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sz w:val="24"/>
          <w:szCs w:val="24"/>
        </w:rPr>
        <w:id w:val="-1688209060"/>
        <w:docPartObj>
          <w:docPartGallery w:val="Cover Pages"/>
          <w:docPartUnique/>
        </w:docPartObj>
      </w:sdtPr>
      <w:sdtContent>
        <w:p w14:paraId="55FF02F0" w14:textId="15287F81" w:rsidR="007A6A40" w:rsidRPr="001A2EF6" w:rsidRDefault="007A6A40">
          <w:pPr>
            <w:rPr>
              <w:rFonts w:ascii="Times New Roman" w:hAnsi="Times New Roman" w:cs="Times New Roman"/>
              <w:sz w:val="24"/>
              <w:szCs w:val="24"/>
            </w:rPr>
          </w:pPr>
          <w:r w:rsidRPr="001A2EF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44257A9" wp14:editId="66EB4E15">
                    <wp:simplePos x="0" y="0"/>
                    <wp:positionH relativeFrom="page">
                      <wp:posOffset>314325</wp:posOffset>
                    </wp:positionH>
                    <wp:positionV relativeFrom="margin">
                      <wp:posOffset>-581025</wp:posOffset>
                    </wp:positionV>
                    <wp:extent cx="6915150" cy="10067925"/>
                    <wp:effectExtent l="0" t="0" r="19050" b="28575"/>
                    <wp:wrapNone/>
                    <wp:docPr id="138" name="Text Box 139"/>
                    <wp:cNvGraphicFramePr/>
                    <a:graphic xmlns:a="http://schemas.openxmlformats.org/drawingml/2006/main">
                      <a:graphicData uri="http://schemas.microsoft.com/office/word/2010/wordprocessingShape">
                        <wps:wsp>
                          <wps:cNvSpPr txBox="1"/>
                          <wps:spPr>
                            <a:xfrm>
                              <a:off x="0" y="0"/>
                              <a:ext cx="6915150" cy="10067925"/>
                            </a:xfrm>
                            <a:prstGeom prst="rect">
                              <a:avLst/>
                            </a:prstGeom>
                            <a:solidFill>
                              <a:schemeClr val="bg1">
                                <a:lumMod val="95000"/>
                              </a:schemeClr>
                            </a:solidFill>
                            <a:ln w="6350">
                              <a:solidFill>
                                <a:schemeClr val="tx2">
                                  <a:lumMod val="90000"/>
                                  <a:lumOff val="1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4972"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7320"/>
                                  <w:gridCol w:w="3499"/>
                                </w:tblGrid>
                                <w:tr w:rsidR="00783AD1" w:rsidRPr="0086624F" w14:paraId="1EFC76CE" w14:textId="77777777" w:rsidTr="00544A45">
                                  <w:trPr>
                                    <w:trHeight w:val="13588"/>
                                    <w:jc w:val="center"/>
                                  </w:trPr>
                                  <w:tc>
                                    <w:tcPr>
                                      <w:tcW w:w="3337" w:type="pct"/>
                                      <w:tcBorders>
                                        <w:right w:val="double" w:sz="4" w:space="0" w:color="auto"/>
                                      </w:tcBorders>
                                      <w:vAlign w:val="center"/>
                                    </w:tcPr>
                                    <w:p w14:paraId="03AD4FC5" w14:textId="77777777" w:rsidR="007A6A40" w:rsidRPr="0086624F" w:rsidRDefault="007A6A40" w:rsidP="00603ED0">
                                      <w:pPr>
                                        <w:rPr>
                                          <w:rFonts w:ascii="Times New Roman" w:hAnsi="Times New Roman" w:cs="Times New Roman"/>
                                        </w:rPr>
                                      </w:pPr>
                                      <w:r w:rsidRPr="009850D1">
                                        <w:rPr>
                                          <w:rFonts w:ascii="Times New Roman" w:hAnsi="Times New Roman" w:cs="Times New Roman"/>
                                          <w:noProof/>
                                          <w:shd w:val="clear" w:color="auto" w:fill="D1D1D1" w:themeFill="background2" w:themeFillShade="E6"/>
                                        </w:rPr>
                                        <w:drawing>
                                          <wp:inline distT="0" distB="0" distL="0" distR="0" wp14:anchorId="73B1095B" wp14:editId="36ABCF14">
                                            <wp:extent cx="4191000" cy="5169885"/>
                                            <wp:effectExtent l="0" t="0" r="0" b="0"/>
                                            <wp:docPr id="1089007834" name="Picture 137" descr="Arrows pointing right while one point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07834" name="Picture 137" descr="Arrows pointing right while one points left"/>
                                                    <pic:cNvPicPr/>
                                                  </pic:nvPicPr>
                                                  <pic:blipFill rotWithShape="1">
                                                    <a:blip r:embed="rId9">
                                                      <a:extLst>
                                                        <a:ext uri="{28A0092B-C50C-407E-A947-70E740481C1C}">
                                                          <a14:useLocalDpi xmlns:a14="http://schemas.microsoft.com/office/drawing/2010/main" val="0"/>
                                                        </a:ext>
                                                      </a:extLst>
                                                    </a:blip>
                                                    <a:srcRect l="34745" r="11225"/>
                                                    <a:stretch>
                                                      <a:fillRect/>
                                                    </a:stretch>
                                                  </pic:blipFill>
                                                  <pic:spPr bwMode="auto">
                                                    <a:xfrm>
                                                      <a:off x="0" y="0"/>
                                                      <a:ext cx="4197478" cy="5177877"/>
                                                    </a:xfrm>
                                                    <a:prstGeom prst="rect">
                                                      <a:avLst/>
                                                    </a:prstGeom>
                                                    <a:ln>
                                                      <a:noFill/>
                                                    </a:ln>
                                                    <a:extLst>
                                                      <a:ext uri="{53640926-AAD7-44D8-BBD7-CCE9431645EC}">
                                                        <a14:shadowObscured xmlns:a14="http://schemas.microsoft.com/office/drawing/2010/main"/>
                                                      </a:ext>
                                                    </a:extLst>
                                                  </pic:spPr>
                                                </pic:pic>
                                              </a:graphicData>
                                            </a:graphic>
                                          </wp:inline>
                                        </w:drawing>
                                      </w:r>
                                    </w:p>
                                    <w:p w14:paraId="441DEAEB" w14:textId="77777777" w:rsidR="00783AD1" w:rsidRPr="00F855D7" w:rsidRDefault="00216A1B" w:rsidP="00E51653">
                                      <w:pPr>
                                        <w:pStyle w:val="NoSpacing"/>
                                        <w:spacing w:line="312" w:lineRule="auto"/>
                                        <w:rPr>
                                          <w:rFonts w:ascii="Times New Roman" w:hAnsi="Times New Roman" w:cs="Times New Roman"/>
                                          <w:color w:val="215E99" w:themeColor="text2" w:themeTint="BF"/>
                                          <w:sz w:val="60"/>
                                          <w:szCs w:val="60"/>
                                        </w:rPr>
                                      </w:pPr>
                                      <w:r w:rsidRPr="00F855D7">
                                        <w:rPr>
                                          <w:rFonts w:ascii="Times New Roman" w:hAnsi="Times New Roman" w:cs="Times New Roman"/>
                                          <w:b/>
                                          <w:bCs/>
                                          <w:i/>
                                          <w:iCs/>
                                          <w:color w:val="215E99" w:themeColor="text2" w:themeTint="BF"/>
                                          <w:sz w:val="60"/>
                                          <w:szCs w:val="60"/>
                                        </w:rPr>
                                        <w:t>Neurocognitive Performance Engineering</w:t>
                                      </w:r>
                                      <w:r w:rsidRPr="00F855D7">
                                        <w:rPr>
                                          <w:rFonts w:ascii="Times New Roman" w:hAnsi="Times New Roman" w:cs="Times New Roman"/>
                                          <w:i/>
                                          <w:iCs/>
                                          <w:color w:val="215E99" w:themeColor="text2" w:themeTint="BF"/>
                                          <w:sz w:val="60"/>
                                          <w:szCs w:val="60"/>
                                        </w:rPr>
                                        <w:t xml:space="preserve"> </w:t>
                                      </w:r>
                                    </w:p>
                                    <w:p w14:paraId="2AD9E500" w14:textId="2D70313E" w:rsidR="007A6A40" w:rsidRPr="00783AD1" w:rsidRDefault="00216A1B" w:rsidP="00E51653">
                                      <w:pPr>
                                        <w:pStyle w:val="NoSpacing"/>
                                        <w:spacing w:line="312" w:lineRule="auto"/>
                                        <w:rPr>
                                          <w:rFonts w:ascii="Times New Roman" w:hAnsi="Times New Roman" w:cs="Times New Roman"/>
                                          <w:caps/>
                                          <w:color w:val="191919" w:themeColor="text1" w:themeTint="E6"/>
                                          <w:sz w:val="144"/>
                                          <w:szCs w:val="144"/>
                                        </w:rPr>
                                      </w:pPr>
                                      <w:r w:rsidRPr="00783AD1">
                                        <w:rPr>
                                          <w:rFonts w:ascii="Times New Roman" w:hAnsi="Times New Roman" w:cs="Times New Roman"/>
                                          <w:color w:val="191919" w:themeColor="text1" w:themeTint="E6"/>
                                          <w:sz w:val="36"/>
                                          <w:szCs w:val="36"/>
                                        </w:rPr>
                                        <w:t>Designing Cognitive Infrastructures for Leadership Autonomy</w:t>
                                      </w:r>
                                    </w:p>
                                    <w:sdt>
                                      <w:sdtPr>
                                        <w:rPr>
                                          <w:rFonts w:ascii="Times New Roman" w:hAnsi="Times New Roman" w:cs="Times New Roman"/>
                                          <w:i/>
                                          <w:iCs/>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432FFD4" w14:textId="00D034B9" w:rsidR="007A6A40" w:rsidRPr="0086624F" w:rsidRDefault="003B79BB" w:rsidP="00E51653">
                                          <w:pPr>
                                            <w:rPr>
                                              <w:rFonts w:ascii="Times New Roman" w:hAnsi="Times New Roman" w:cs="Times New Roman"/>
                                              <w:sz w:val="24"/>
                                              <w:szCs w:val="24"/>
                                            </w:rPr>
                                          </w:pPr>
                                          <w:r w:rsidRPr="004613B8">
                                            <w:rPr>
                                              <w:rFonts w:ascii="Times New Roman" w:hAnsi="Times New Roman" w:cs="Times New Roman"/>
                                              <w:i/>
                                              <w:iCs/>
                                              <w:color w:val="000000" w:themeColor="text1"/>
                                              <w:sz w:val="24"/>
                                              <w:szCs w:val="24"/>
                                            </w:rPr>
                                            <w:t>July 2025</w:t>
                                          </w:r>
                                        </w:p>
                                      </w:sdtContent>
                                    </w:sdt>
                                  </w:tc>
                                  <w:tc>
                                    <w:tcPr>
                                      <w:tcW w:w="1663" w:type="pct"/>
                                      <w:tcBorders>
                                        <w:left w:val="double" w:sz="4" w:space="0" w:color="auto"/>
                                      </w:tcBorders>
                                      <w:vAlign w:val="center"/>
                                    </w:tcPr>
                                    <w:p w14:paraId="4644254C" w14:textId="77777777" w:rsidR="00783AD1" w:rsidRDefault="00783AD1">
                                      <w:pPr>
                                        <w:pStyle w:val="NoSpacing"/>
                                        <w:rPr>
                                          <w:rFonts w:ascii="Times New Roman" w:hAnsi="Times New Roman" w:cs="Times New Roman"/>
                                          <w:caps/>
                                          <w:color w:val="153D63" w:themeColor="text2" w:themeTint="E6"/>
                                          <w:sz w:val="40"/>
                                          <w:szCs w:val="40"/>
                                        </w:rPr>
                                      </w:pPr>
                                    </w:p>
                                    <w:p w14:paraId="6AD766BE" w14:textId="77777777" w:rsidR="00560F66" w:rsidRDefault="00560F66" w:rsidP="005667DE">
                                      <w:pPr>
                                        <w:spacing w:line="276" w:lineRule="auto"/>
                                        <w:rPr>
                                          <w:rFonts w:ascii="Times New Roman" w:hAnsi="Times New Roman" w:cs="Times New Roman"/>
                                          <w:i/>
                                          <w:iCs/>
                                          <w:color w:val="000000" w:themeColor="text1"/>
                                          <w:sz w:val="24"/>
                                          <w:szCs w:val="24"/>
                                        </w:rPr>
                                      </w:pPr>
                                    </w:p>
                                    <w:p w14:paraId="23759A3C" w14:textId="77777777" w:rsidR="00560F66" w:rsidRDefault="00560F66" w:rsidP="005667DE">
                                      <w:pPr>
                                        <w:spacing w:line="276" w:lineRule="auto"/>
                                        <w:rPr>
                                          <w:rFonts w:ascii="Times New Roman" w:hAnsi="Times New Roman" w:cs="Times New Roman"/>
                                          <w:i/>
                                          <w:iCs/>
                                          <w:color w:val="000000" w:themeColor="text1"/>
                                          <w:sz w:val="24"/>
                                          <w:szCs w:val="24"/>
                                        </w:rPr>
                                      </w:pPr>
                                    </w:p>
                                    <w:p w14:paraId="2FBE4BCB" w14:textId="77777777" w:rsidR="00783AD1" w:rsidRDefault="00783AD1" w:rsidP="005667DE">
                                      <w:pPr>
                                        <w:spacing w:line="276" w:lineRule="auto"/>
                                        <w:rPr>
                                          <w:rFonts w:ascii="Times New Roman" w:hAnsi="Times New Roman" w:cs="Times New Roman"/>
                                          <w:i/>
                                          <w:iCs/>
                                          <w:color w:val="000000" w:themeColor="text1"/>
                                          <w:sz w:val="24"/>
                                          <w:szCs w:val="24"/>
                                        </w:rPr>
                                      </w:pPr>
                                    </w:p>
                                    <w:p w14:paraId="526E9C5B" w14:textId="77777777" w:rsidR="00783AD1" w:rsidRDefault="00783AD1" w:rsidP="005667DE">
                                      <w:pPr>
                                        <w:spacing w:line="276" w:lineRule="auto"/>
                                        <w:rPr>
                                          <w:rFonts w:ascii="Times New Roman" w:hAnsi="Times New Roman" w:cs="Times New Roman"/>
                                          <w:i/>
                                          <w:iCs/>
                                          <w:color w:val="000000" w:themeColor="text1"/>
                                          <w:sz w:val="24"/>
                                          <w:szCs w:val="24"/>
                                        </w:rPr>
                                      </w:pPr>
                                    </w:p>
                                    <w:p w14:paraId="4E606BA1" w14:textId="77777777" w:rsidR="00544A45" w:rsidRDefault="00544A45" w:rsidP="005667DE">
                                      <w:pPr>
                                        <w:spacing w:line="276" w:lineRule="auto"/>
                                        <w:rPr>
                                          <w:rFonts w:ascii="Times New Roman" w:hAnsi="Times New Roman" w:cs="Times New Roman"/>
                                          <w:i/>
                                          <w:iCs/>
                                          <w:color w:val="000000" w:themeColor="text1"/>
                                          <w:sz w:val="24"/>
                                          <w:szCs w:val="24"/>
                                        </w:rPr>
                                      </w:pPr>
                                    </w:p>
                                    <w:p w14:paraId="01CA6387" w14:textId="77777777" w:rsidR="00544A45" w:rsidRDefault="00544A45" w:rsidP="005667DE">
                                      <w:pPr>
                                        <w:spacing w:line="276" w:lineRule="auto"/>
                                        <w:rPr>
                                          <w:rFonts w:ascii="Times New Roman" w:hAnsi="Times New Roman" w:cs="Times New Roman"/>
                                          <w:i/>
                                          <w:iCs/>
                                          <w:color w:val="000000" w:themeColor="text1"/>
                                          <w:sz w:val="24"/>
                                          <w:szCs w:val="24"/>
                                        </w:rPr>
                                      </w:pPr>
                                    </w:p>
                                    <w:p w14:paraId="0ADCC050" w14:textId="77777777" w:rsidR="00544A45" w:rsidRDefault="00544A45" w:rsidP="005667DE">
                                      <w:pPr>
                                        <w:spacing w:line="276" w:lineRule="auto"/>
                                        <w:rPr>
                                          <w:rFonts w:ascii="Times New Roman" w:hAnsi="Times New Roman" w:cs="Times New Roman"/>
                                          <w:i/>
                                          <w:iCs/>
                                          <w:color w:val="000000" w:themeColor="text1"/>
                                          <w:sz w:val="24"/>
                                          <w:szCs w:val="24"/>
                                        </w:rPr>
                                      </w:pPr>
                                    </w:p>
                                    <w:p w14:paraId="5CBF81A6" w14:textId="77777777" w:rsidR="00544A45" w:rsidRDefault="00544A45" w:rsidP="005667DE">
                                      <w:pPr>
                                        <w:spacing w:line="276" w:lineRule="auto"/>
                                        <w:rPr>
                                          <w:rFonts w:ascii="Times New Roman" w:hAnsi="Times New Roman" w:cs="Times New Roman"/>
                                          <w:i/>
                                          <w:iCs/>
                                          <w:color w:val="000000" w:themeColor="text1"/>
                                          <w:sz w:val="24"/>
                                          <w:szCs w:val="24"/>
                                        </w:rPr>
                                      </w:pPr>
                                    </w:p>
                                    <w:p w14:paraId="09A80251" w14:textId="77777777" w:rsidR="00544A45" w:rsidRDefault="00544A45" w:rsidP="005667DE">
                                      <w:pPr>
                                        <w:spacing w:line="276" w:lineRule="auto"/>
                                        <w:rPr>
                                          <w:rFonts w:ascii="Times New Roman" w:hAnsi="Times New Roman" w:cs="Times New Roman"/>
                                          <w:i/>
                                          <w:iCs/>
                                          <w:color w:val="000000" w:themeColor="text1"/>
                                          <w:sz w:val="24"/>
                                          <w:szCs w:val="24"/>
                                        </w:rPr>
                                      </w:pPr>
                                    </w:p>
                                    <w:p w14:paraId="41176BAD" w14:textId="77777777" w:rsidR="00544A45" w:rsidRDefault="00544A45" w:rsidP="005667DE">
                                      <w:pPr>
                                        <w:spacing w:line="276" w:lineRule="auto"/>
                                        <w:rPr>
                                          <w:rFonts w:ascii="Times New Roman" w:hAnsi="Times New Roman" w:cs="Times New Roman"/>
                                          <w:i/>
                                          <w:iCs/>
                                          <w:color w:val="000000" w:themeColor="text1"/>
                                          <w:sz w:val="24"/>
                                          <w:szCs w:val="24"/>
                                        </w:rPr>
                                      </w:pPr>
                                    </w:p>
                                    <w:p w14:paraId="70D2C756" w14:textId="77777777" w:rsidR="00544A45" w:rsidRDefault="00544A45" w:rsidP="005667DE">
                                      <w:pPr>
                                        <w:spacing w:line="276" w:lineRule="auto"/>
                                        <w:rPr>
                                          <w:rFonts w:ascii="Times New Roman" w:hAnsi="Times New Roman" w:cs="Times New Roman"/>
                                          <w:i/>
                                          <w:iCs/>
                                          <w:color w:val="000000" w:themeColor="text1"/>
                                          <w:sz w:val="24"/>
                                          <w:szCs w:val="24"/>
                                        </w:rPr>
                                      </w:pPr>
                                    </w:p>
                                    <w:p w14:paraId="73BAFE86" w14:textId="77777777" w:rsidR="00544A45" w:rsidRDefault="00544A45" w:rsidP="005667DE">
                                      <w:pPr>
                                        <w:spacing w:line="276" w:lineRule="auto"/>
                                        <w:rPr>
                                          <w:rFonts w:ascii="Times New Roman" w:hAnsi="Times New Roman" w:cs="Times New Roman"/>
                                          <w:i/>
                                          <w:iCs/>
                                          <w:color w:val="000000" w:themeColor="text1"/>
                                          <w:sz w:val="24"/>
                                          <w:szCs w:val="24"/>
                                        </w:rPr>
                                      </w:pPr>
                                    </w:p>
                                    <w:p w14:paraId="4BD8C967" w14:textId="77777777" w:rsidR="00544A45" w:rsidRDefault="00544A45" w:rsidP="005667DE">
                                      <w:pPr>
                                        <w:spacing w:line="276" w:lineRule="auto"/>
                                        <w:rPr>
                                          <w:rFonts w:ascii="Times New Roman" w:hAnsi="Times New Roman" w:cs="Times New Roman"/>
                                          <w:i/>
                                          <w:iCs/>
                                          <w:color w:val="000000" w:themeColor="text1"/>
                                          <w:sz w:val="24"/>
                                          <w:szCs w:val="24"/>
                                        </w:rPr>
                                      </w:pPr>
                                    </w:p>
                                    <w:p w14:paraId="39AE160D" w14:textId="77777777" w:rsidR="00544A45" w:rsidRDefault="00544A45" w:rsidP="005667DE">
                                      <w:pPr>
                                        <w:spacing w:line="276" w:lineRule="auto"/>
                                        <w:rPr>
                                          <w:rFonts w:ascii="Times New Roman" w:hAnsi="Times New Roman" w:cs="Times New Roman"/>
                                          <w:i/>
                                          <w:iCs/>
                                          <w:color w:val="000000" w:themeColor="text1"/>
                                          <w:sz w:val="24"/>
                                          <w:szCs w:val="24"/>
                                        </w:rPr>
                                      </w:pPr>
                                    </w:p>
                                    <w:p w14:paraId="5BFFA4C0" w14:textId="77777777" w:rsidR="00544A45" w:rsidRDefault="00544A45" w:rsidP="005667DE">
                                      <w:pPr>
                                        <w:spacing w:line="276" w:lineRule="auto"/>
                                        <w:rPr>
                                          <w:rFonts w:ascii="Times New Roman" w:hAnsi="Times New Roman" w:cs="Times New Roman"/>
                                          <w:i/>
                                          <w:iCs/>
                                          <w:color w:val="000000" w:themeColor="text1"/>
                                          <w:sz w:val="24"/>
                                          <w:szCs w:val="24"/>
                                        </w:rPr>
                                      </w:pPr>
                                    </w:p>
                                    <w:p w14:paraId="7C65857A" w14:textId="77777777" w:rsidR="00544A45" w:rsidRDefault="00544A45" w:rsidP="005667DE">
                                      <w:pPr>
                                        <w:spacing w:line="276" w:lineRule="auto"/>
                                        <w:rPr>
                                          <w:rFonts w:ascii="Times New Roman" w:hAnsi="Times New Roman" w:cs="Times New Roman"/>
                                          <w:i/>
                                          <w:iCs/>
                                          <w:color w:val="000000" w:themeColor="text1"/>
                                          <w:sz w:val="24"/>
                                          <w:szCs w:val="24"/>
                                        </w:rPr>
                                      </w:pPr>
                                    </w:p>
                                    <w:p w14:paraId="144A258A" w14:textId="77777777" w:rsidR="00E95C21" w:rsidRDefault="00E95C21" w:rsidP="005667DE">
                                      <w:pPr>
                                        <w:spacing w:line="276" w:lineRule="auto"/>
                                        <w:rPr>
                                          <w:rFonts w:ascii="Times New Roman" w:hAnsi="Times New Roman" w:cs="Times New Roman"/>
                                          <w:i/>
                                          <w:iCs/>
                                          <w:color w:val="000000" w:themeColor="text1"/>
                                          <w:sz w:val="24"/>
                                          <w:szCs w:val="24"/>
                                        </w:rPr>
                                      </w:pPr>
                                    </w:p>
                                    <w:p w14:paraId="34BED37A" w14:textId="77777777" w:rsidR="00E95C21" w:rsidRDefault="00E95C21" w:rsidP="005667DE">
                                      <w:pPr>
                                        <w:spacing w:line="276" w:lineRule="auto"/>
                                        <w:rPr>
                                          <w:rFonts w:ascii="Times New Roman" w:hAnsi="Times New Roman" w:cs="Times New Roman"/>
                                          <w:i/>
                                          <w:iCs/>
                                          <w:color w:val="000000" w:themeColor="text1"/>
                                          <w:sz w:val="24"/>
                                          <w:szCs w:val="24"/>
                                        </w:rPr>
                                      </w:pPr>
                                    </w:p>
                                    <w:p w14:paraId="4D4DF876" w14:textId="77777777" w:rsidR="00E95C21" w:rsidRDefault="00E95C21" w:rsidP="005667DE">
                                      <w:pPr>
                                        <w:spacing w:line="276" w:lineRule="auto"/>
                                        <w:rPr>
                                          <w:rFonts w:ascii="Times New Roman" w:hAnsi="Times New Roman" w:cs="Times New Roman"/>
                                          <w:i/>
                                          <w:iCs/>
                                          <w:color w:val="000000" w:themeColor="text1"/>
                                          <w:sz w:val="24"/>
                                          <w:szCs w:val="24"/>
                                        </w:rPr>
                                      </w:pPr>
                                    </w:p>
                                    <w:p w14:paraId="4A1AB644" w14:textId="77777777" w:rsidR="00E95C21" w:rsidRDefault="00E95C21" w:rsidP="005667DE">
                                      <w:pPr>
                                        <w:spacing w:line="276" w:lineRule="auto"/>
                                        <w:rPr>
                                          <w:rFonts w:ascii="Times New Roman" w:hAnsi="Times New Roman" w:cs="Times New Roman"/>
                                          <w:i/>
                                          <w:iCs/>
                                          <w:color w:val="000000" w:themeColor="text1"/>
                                          <w:sz w:val="24"/>
                                          <w:szCs w:val="24"/>
                                        </w:rPr>
                                      </w:pPr>
                                    </w:p>
                                    <w:p w14:paraId="11CB91B8" w14:textId="77777777" w:rsidR="00E95C21" w:rsidRDefault="00E95C21" w:rsidP="005667DE">
                                      <w:pPr>
                                        <w:spacing w:line="276" w:lineRule="auto"/>
                                        <w:rPr>
                                          <w:rFonts w:ascii="Times New Roman" w:hAnsi="Times New Roman" w:cs="Times New Roman"/>
                                          <w:i/>
                                          <w:iCs/>
                                          <w:color w:val="000000" w:themeColor="text1"/>
                                          <w:sz w:val="24"/>
                                          <w:szCs w:val="24"/>
                                        </w:rPr>
                                      </w:pPr>
                                    </w:p>
                                    <w:p w14:paraId="67114AAA" w14:textId="77777777" w:rsidR="00E95C21" w:rsidRDefault="00E95C21" w:rsidP="005667DE">
                                      <w:pPr>
                                        <w:spacing w:line="276" w:lineRule="auto"/>
                                        <w:rPr>
                                          <w:rFonts w:ascii="Times New Roman" w:hAnsi="Times New Roman" w:cs="Times New Roman"/>
                                          <w:i/>
                                          <w:iCs/>
                                          <w:color w:val="000000" w:themeColor="text1"/>
                                          <w:sz w:val="24"/>
                                          <w:szCs w:val="24"/>
                                        </w:rPr>
                                      </w:pPr>
                                    </w:p>
                                    <w:p w14:paraId="0FDEB184" w14:textId="77777777" w:rsidR="00E95C21" w:rsidRDefault="00E95C21" w:rsidP="005667DE">
                                      <w:pPr>
                                        <w:spacing w:line="276" w:lineRule="auto"/>
                                        <w:rPr>
                                          <w:rFonts w:ascii="Times New Roman" w:hAnsi="Times New Roman" w:cs="Times New Roman"/>
                                          <w:i/>
                                          <w:iCs/>
                                          <w:color w:val="000000" w:themeColor="text1"/>
                                          <w:sz w:val="24"/>
                                          <w:szCs w:val="24"/>
                                        </w:rPr>
                                      </w:pPr>
                                    </w:p>
                                    <w:p w14:paraId="343686B4" w14:textId="77777777" w:rsidR="00E95C21" w:rsidRDefault="00E95C21" w:rsidP="005667DE">
                                      <w:pPr>
                                        <w:spacing w:line="276" w:lineRule="auto"/>
                                        <w:rPr>
                                          <w:rFonts w:ascii="Times New Roman" w:hAnsi="Times New Roman" w:cs="Times New Roman"/>
                                          <w:i/>
                                          <w:iCs/>
                                          <w:color w:val="000000" w:themeColor="text1"/>
                                          <w:sz w:val="24"/>
                                          <w:szCs w:val="24"/>
                                        </w:rPr>
                                      </w:pPr>
                                    </w:p>
                                    <w:p w14:paraId="7608A4EC" w14:textId="77777777" w:rsidR="00544A45" w:rsidRDefault="00544A45" w:rsidP="005667DE">
                                      <w:pPr>
                                        <w:spacing w:line="276" w:lineRule="auto"/>
                                        <w:rPr>
                                          <w:rFonts w:ascii="Times New Roman" w:hAnsi="Times New Roman" w:cs="Times New Roman"/>
                                          <w:i/>
                                          <w:iCs/>
                                          <w:color w:val="000000" w:themeColor="text1"/>
                                          <w:sz w:val="24"/>
                                          <w:szCs w:val="24"/>
                                        </w:rPr>
                                      </w:pPr>
                                    </w:p>
                                    <w:p w14:paraId="2A90B654" w14:textId="77777777" w:rsidR="00783AD1" w:rsidRPr="005667DE" w:rsidRDefault="00783AD1" w:rsidP="005667DE">
                                      <w:pPr>
                                        <w:spacing w:line="276" w:lineRule="auto"/>
                                        <w:rPr>
                                          <w:rFonts w:ascii="Times New Roman" w:hAnsi="Times New Roman" w:cs="Times New Roman"/>
                                          <w:i/>
                                          <w:iCs/>
                                          <w:color w:val="000000" w:themeColor="text1"/>
                                          <w:sz w:val="24"/>
                                          <w:szCs w:val="24"/>
                                        </w:rPr>
                                      </w:pPr>
                                    </w:p>
                                    <w:p w14:paraId="47E2FCC1" w14:textId="6CDB2DFB" w:rsidR="007A6A40" w:rsidRPr="00783AD1" w:rsidRDefault="0015361E">
                                      <w:pPr>
                                        <w:rPr>
                                          <w:rFonts w:ascii="Times New Roman" w:hAnsi="Times New Roman" w:cs="Times New Roman"/>
                                          <w:color w:val="000000" w:themeColor="text1"/>
                                        </w:rPr>
                                      </w:pPr>
                                      <w:r w:rsidRPr="00783AD1">
                                        <w:rPr>
                                          <w:rFonts w:ascii="Times New Roman" w:hAnsi="Times New Roman" w:cs="Times New Roman"/>
                                          <w:color w:val="000000" w:themeColor="text1"/>
                                          <w:sz w:val="24"/>
                                          <w:szCs w:val="24"/>
                                        </w:rPr>
                                        <w:t>Word Count</w:t>
                                      </w:r>
                                      <w:r w:rsidR="005667DE" w:rsidRPr="00783AD1">
                                        <w:rPr>
                                          <w:rFonts w:ascii="Times New Roman" w:hAnsi="Times New Roman" w:cs="Times New Roman"/>
                                          <w:color w:val="000000" w:themeColor="text1"/>
                                          <w:sz w:val="24"/>
                                          <w:szCs w:val="24"/>
                                        </w:rPr>
                                        <w:t>:</w:t>
                                      </w:r>
                                      <w:r w:rsidRPr="00783AD1">
                                        <w:rPr>
                                          <w:rFonts w:ascii="Times New Roman" w:hAnsi="Times New Roman" w:cs="Times New Roman"/>
                                          <w:color w:val="000000" w:themeColor="text1"/>
                                          <w:sz w:val="24"/>
                                          <w:szCs w:val="24"/>
                                        </w:rPr>
                                        <w:t xml:space="preserve"> </w:t>
                                      </w:r>
                                      <w:r w:rsidR="008A613E">
                                        <w:rPr>
                                          <w:rFonts w:ascii="Times New Roman" w:hAnsi="Times New Roman" w:cs="Times New Roman"/>
                                          <w:color w:val="000000" w:themeColor="text1"/>
                                          <w:sz w:val="24"/>
                                          <w:szCs w:val="24"/>
                                        </w:rPr>
                                        <w:t>7404</w:t>
                                      </w:r>
                                    </w:p>
                                    <w:sdt>
                                      <w:sdtPr>
                                        <w:rPr>
                                          <w:rFonts w:ascii="Times New Roman" w:hAnsi="Times New Roman" w:cs="Times New Roman"/>
                                          <w:b/>
                                          <w:bCs/>
                                          <w:color w:val="153D63" w:themeColor="text2" w:themeTint="E6"/>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A075BFE" w14:textId="15345F28" w:rsidR="007A6A40" w:rsidRPr="005667DE" w:rsidRDefault="00927D83">
                                          <w:pPr>
                                            <w:pStyle w:val="NoSpacing"/>
                                            <w:rPr>
                                              <w:rFonts w:ascii="Times New Roman" w:hAnsi="Times New Roman" w:cs="Times New Roman"/>
                                              <w:b/>
                                              <w:bCs/>
                                              <w:color w:val="153D63" w:themeColor="text2" w:themeTint="E6"/>
                                              <w:sz w:val="26"/>
                                              <w:szCs w:val="26"/>
                                            </w:rPr>
                                          </w:pPr>
                                          <w:r>
                                            <w:rPr>
                                              <w:rFonts w:ascii="Times New Roman" w:hAnsi="Times New Roman" w:cs="Times New Roman"/>
                                              <w:b/>
                                              <w:bCs/>
                                              <w:color w:val="153D63" w:themeColor="text2" w:themeTint="E6"/>
                                              <w:sz w:val="26"/>
                                              <w:szCs w:val="26"/>
                                            </w:rPr>
                                            <w:t>Maria E. Huse</w:t>
                                          </w:r>
                                        </w:p>
                                      </w:sdtContent>
                                    </w:sdt>
                                    <w:p w14:paraId="3760FDFC" w14:textId="17B877E3" w:rsidR="007A6A40" w:rsidRPr="0086624F" w:rsidRDefault="00000000">
                                      <w:pPr>
                                        <w:pStyle w:val="NoSpacing"/>
                                        <w:rPr>
                                          <w:rFonts w:ascii="Times New Roman" w:hAnsi="Times New Roman" w:cs="Times New Roman"/>
                                        </w:rPr>
                                      </w:pPr>
                                      <w:sdt>
                                        <w:sdtPr>
                                          <w:rPr>
                                            <w:rFonts w:ascii="Times New Roman" w:hAnsi="Times New Roman" w:cs="Times New Roman"/>
                                            <w:i/>
                                            <w:iCs/>
                                            <w:color w:val="0E2841" w:themeColor="text2"/>
                                            <w:sz w:val="24"/>
                                            <w:szCs w:val="24"/>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7C3EDD" w:rsidRPr="00783AD1">
                                            <w:rPr>
                                              <w:rFonts w:ascii="Times New Roman" w:hAnsi="Times New Roman" w:cs="Times New Roman"/>
                                              <w:i/>
                                              <w:iCs/>
                                              <w:color w:val="0E2841" w:themeColor="text2"/>
                                              <w:sz w:val="24"/>
                                              <w:szCs w:val="24"/>
                                            </w:rPr>
                                            <w:t>Swiss School of Business Research</w:t>
                                          </w:r>
                                        </w:sdtContent>
                                      </w:sdt>
                                    </w:p>
                                  </w:tc>
                                </w:tr>
                                <w:tr w:rsidR="00783AD1" w:rsidRPr="0086624F" w14:paraId="6E1BF5EA" w14:textId="77777777" w:rsidTr="00544A45">
                                  <w:trPr>
                                    <w:jc w:val="center"/>
                                  </w:trPr>
                                  <w:tc>
                                    <w:tcPr>
                                      <w:tcW w:w="3337" w:type="pct"/>
                                      <w:vAlign w:val="center"/>
                                    </w:tcPr>
                                    <w:p w14:paraId="068A2F81" w14:textId="77777777" w:rsidR="00872FB9" w:rsidRPr="0086624F" w:rsidRDefault="00872FB9">
                                      <w:pPr>
                                        <w:jc w:val="right"/>
                                        <w:rPr>
                                          <w:rFonts w:ascii="Times New Roman" w:hAnsi="Times New Roman" w:cs="Times New Roman"/>
                                          <w:noProof/>
                                        </w:rPr>
                                      </w:pPr>
                                    </w:p>
                                  </w:tc>
                                  <w:tc>
                                    <w:tcPr>
                                      <w:tcW w:w="1663" w:type="pct"/>
                                      <w:vAlign w:val="center"/>
                                    </w:tcPr>
                                    <w:p w14:paraId="7E4D1498" w14:textId="77777777" w:rsidR="00872FB9" w:rsidRPr="0086624F" w:rsidRDefault="00872FB9">
                                      <w:pPr>
                                        <w:pStyle w:val="NoSpacing"/>
                                        <w:rPr>
                                          <w:rFonts w:ascii="Times New Roman" w:hAnsi="Times New Roman" w:cs="Times New Roman"/>
                                          <w:caps/>
                                          <w:color w:val="E97132" w:themeColor="accent2"/>
                                          <w:sz w:val="26"/>
                                          <w:szCs w:val="26"/>
                                        </w:rPr>
                                      </w:pPr>
                                    </w:p>
                                  </w:tc>
                                </w:tr>
                              </w:tbl>
                              <w:p w14:paraId="56667089" w14:textId="77777777" w:rsidR="007A6A40" w:rsidRPr="0086624F" w:rsidRDefault="007A6A40">
                                <w:pP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4257A9" id="_x0000_t202" coordsize="21600,21600" o:spt="202" path="m,l,21600r21600,l21600,xe">
                    <v:stroke joinstyle="miter"/>
                    <v:path gradientshapeok="t" o:connecttype="rect"/>
                  </v:shapetype>
                  <v:shape id="Text Box 139" o:spid="_x0000_s1026" type="#_x0000_t202" style="position:absolute;margin-left:24.75pt;margin-top:-45.75pt;width:544.5pt;height:79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" fillcolor="#f2f2f2 [3052]" strokecolor="#153e64 [2911]" strokeweight=".5pt">
                    <v:textbox inset="0,0,0,0">
                      <w:txbxContent>
                        <w:tbl>
                          <w:tblPr>
                            <w:tblW w:w="4972"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7320"/>
                            <w:gridCol w:w="3499"/>
                          </w:tblGrid>
                          <w:tr w:rsidR="00783AD1" w:rsidRPr="0086624F" w14:paraId="1EFC76CE" w14:textId="77777777" w:rsidTr="00544A45">
                            <w:trPr>
                              <w:trHeight w:val="13588"/>
                              <w:jc w:val="center"/>
                            </w:trPr>
                            <w:tc>
                              <w:tcPr>
                                <w:tcW w:w="3337" w:type="pct"/>
                                <w:tcBorders>
                                  <w:right w:val="double" w:sz="4" w:space="0" w:color="auto"/>
                                </w:tcBorders>
                                <w:vAlign w:val="center"/>
                              </w:tcPr>
                              <w:p w14:paraId="03AD4FC5" w14:textId="77777777" w:rsidR="007A6A40" w:rsidRPr="0086624F" w:rsidRDefault="007A6A40" w:rsidP="00603ED0">
                                <w:pPr>
                                  <w:rPr>
                                    <w:rFonts w:ascii="Times New Roman" w:hAnsi="Times New Roman" w:cs="Times New Roman"/>
                                  </w:rPr>
                                </w:pPr>
                                <w:r w:rsidRPr="009850D1">
                                  <w:rPr>
                                    <w:rFonts w:ascii="Times New Roman" w:hAnsi="Times New Roman" w:cs="Times New Roman"/>
                                    <w:noProof/>
                                    <w:shd w:val="clear" w:color="auto" w:fill="D1D1D1" w:themeFill="background2" w:themeFillShade="E6"/>
                                  </w:rPr>
                                  <w:drawing>
                                    <wp:inline distT="0" distB="0" distL="0" distR="0" wp14:anchorId="73B1095B" wp14:editId="36ABCF14">
                                      <wp:extent cx="4191000" cy="5169885"/>
                                      <wp:effectExtent l="0" t="0" r="0" b="0"/>
                                      <wp:docPr id="1089007834" name="Picture 137" descr="Arrows pointing right while one point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07834" name="Picture 137" descr="Arrows pointing right while one points left"/>
                                              <pic:cNvPicPr/>
                                            </pic:nvPicPr>
                                            <pic:blipFill rotWithShape="1">
                                              <a:blip r:embed="rId9">
                                                <a:extLst>
                                                  <a:ext uri="{28A0092B-C50C-407E-A947-70E740481C1C}">
                                                    <a14:useLocalDpi xmlns:a14="http://schemas.microsoft.com/office/drawing/2010/main" val="0"/>
                                                  </a:ext>
                                                </a:extLst>
                                              </a:blip>
                                              <a:srcRect l="34745" r="11225"/>
                                              <a:stretch>
                                                <a:fillRect/>
                                              </a:stretch>
                                            </pic:blipFill>
                                            <pic:spPr bwMode="auto">
                                              <a:xfrm>
                                                <a:off x="0" y="0"/>
                                                <a:ext cx="4197478" cy="5177877"/>
                                              </a:xfrm>
                                              <a:prstGeom prst="rect">
                                                <a:avLst/>
                                              </a:prstGeom>
                                              <a:ln>
                                                <a:noFill/>
                                              </a:ln>
                                              <a:extLst>
                                                <a:ext uri="{53640926-AAD7-44D8-BBD7-CCE9431645EC}">
                                                  <a14:shadowObscured xmlns:a14="http://schemas.microsoft.com/office/drawing/2010/main"/>
                                                </a:ext>
                                              </a:extLst>
                                            </pic:spPr>
                                          </pic:pic>
                                        </a:graphicData>
                                      </a:graphic>
                                    </wp:inline>
                                  </w:drawing>
                                </w:r>
                              </w:p>
                              <w:p w14:paraId="441DEAEB" w14:textId="77777777" w:rsidR="00783AD1" w:rsidRPr="00F855D7" w:rsidRDefault="00216A1B" w:rsidP="00E51653">
                                <w:pPr>
                                  <w:pStyle w:val="NoSpacing"/>
                                  <w:spacing w:line="312" w:lineRule="auto"/>
                                  <w:rPr>
                                    <w:rFonts w:ascii="Times New Roman" w:hAnsi="Times New Roman" w:cs="Times New Roman"/>
                                    <w:color w:val="215E99" w:themeColor="text2" w:themeTint="BF"/>
                                    <w:sz w:val="60"/>
                                    <w:szCs w:val="60"/>
                                  </w:rPr>
                                </w:pPr>
                                <w:r w:rsidRPr="00F855D7">
                                  <w:rPr>
                                    <w:rFonts w:ascii="Times New Roman" w:hAnsi="Times New Roman" w:cs="Times New Roman"/>
                                    <w:b/>
                                    <w:bCs/>
                                    <w:i/>
                                    <w:iCs/>
                                    <w:color w:val="215E99" w:themeColor="text2" w:themeTint="BF"/>
                                    <w:sz w:val="60"/>
                                    <w:szCs w:val="60"/>
                                  </w:rPr>
                                  <w:t>Neurocognitive Performance Engineering</w:t>
                                </w:r>
                                <w:r w:rsidRPr="00F855D7">
                                  <w:rPr>
                                    <w:rFonts w:ascii="Times New Roman" w:hAnsi="Times New Roman" w:cs="Times New Roman"/>
                                    <w:i/>
                                    <w:iCs/>
                                    <w:color w:val="215E99" w:themeColor="text2" w:themeTint="BF"/>
                                    <w:sz w:val="60"/>
                                    <w:szCs w:val="60"/>
                                  </w:rPr>
                                  <w:t xml:space="preserve"> </w:t>
                                </w:r>
                              </w:p>
                              <w:p w14:paraId="2AD9E500" w14:textId="2D70313E" w:rsidR="007A6A40" w:rsidRPr="00783AD1" w:rsidRDefault="00216A1B" w:rsidP="00E51653">
                                <w:pPr>
                                  <w:pStyle w:val="NoSpacing"/>
                                  <w:spacing w:line="312" w:lineRule="auto"/>
                                  <w:rPr>
                                    <w:rFonts w:ascii="Times New Roman" w:hAnsi="Times New Roman" w:cs="Times New Roman"/>
                                    <w:caps/>
                                    <w:color w:val="191919" w:themeColor="text1" w:themeTint="E6"/>
                                    <w:sz w:val="144"/>
                                    <w:szCs w:val="144"/>
                                  </w:rPr>
                                </w:pPr>
                                <w:r w:rsidRPr="00783AD1">
                                  <w:rPr>
                                    <w:rFonts w:ascii="Times New Roman" w:hAnsi="Times New Roman" w:cs="Times New Roman"/>
                                    <w:color w:val="191919" w:themeColor="text1" w:themeTint="E6"/>
                                    <w:sz w:val="36"/>
                                    <w:szCs w:val="36"/>
                                  </w:rPr>
                                  <w:t>Designing Cognitive Infrastructures for Leadership Autonomy</w:t>
                                </w:r>
                              </w:p>
                              <w:sdt>
                                <w:sdtPr>
                                  <w:rPr>
                                    <w:rFonts w:ascii="Times New Roman" w:hAnsi="Times New Roman" w:cs="Times New Roman"/>
                                    <w:i/>
                                    <w:iCs/>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432FFD4" w14:textId="00D034B9" w:rsidR="007A6A40" w:rsidRPr="0086624F" w:rsidRDefault="003B79BB" w:rsidP="00E51653">
                                    <w:pPr>
                                      <w:rPr>
                                        <w:rFonts w:ascii="Times New Roman" w:hAnsi="Times New Roman" w:cs="Times New Roman"/>
                                        <w:sz w:val="24"/>
                                        <w:szCs w:val="24"/>
                                      </w:rPr>
                                    </w:pPr>
                                    <w:r w:rsidRPr="004613B8">
                                      <w:rPr>
                                        <w:rFonts w:ascii="Times New Roman" w:hAnsi="Times New Roman" w:cs="Times New Roman"/>
                                        <w:i/>
                                        <w:iCs/>
                                        <w:color w:val="000000" w:themeColor="text1"/>
                                        <w:sz w:val="24"/>
                                        <w:szCs w:val="24"/>
                                      </w:rPr>
                                      <w:t>July 2025</w:t>
                                    </w:r>
                                  </w:p>
                                </w:sdtContent>
                              </w:sdt>
                            </w:tc>
                            <w:tc>
                              <w:tcPr>
                                <w:tcW w:w="1663" w:type="pct"/>
                                <w:tcBorders>
                                  <w:left w:val="double" w:sz="4" w:space="0" w:color="auto"/>
                                </w:tcBorders>
                                <w:vAlign w:val="center"/>
                              </w:tcPr>
                              <w:p w14:paraId="4644254C" w14:textId="77777777" w:rsidR="00783AD1" w:rsidRDefault="00783AD1">
                                <w:pPr>
                                  <w:pStyle w:val="NoSpacing"/>
                                  <w:rPr>
                                    <w:rFonts w:ascii="Times New Roman" w:hAnsi="Times New Roman" w:cs="Times New Roman"/>
                                    <w:caps/>
                                    <w:color w:val="153D63" w:themeColor="text2" w:themeTint="E6"/>
                                    <w:sz w:val="40"/>
                                    <w:szCs w:val="40"/>
                                  </w:rPr>
                                </w:pPr>
                              </w:p>
                              <w:p w14:paraId="6AD766BE" w14:textId="77777777" w:rsidR="00560F66" w:rsidRDefault="00560F66" w:rsidP="005667DE">
                                <w:pPr>
                                  <w:spacing w:line="276" w:lineRule="auto"/>
                                  <w:rPr>
                                    <w:rFonts w:ascii="Times New Roman" w:hAnsi="Times New Roman" w:cs="Times New Roman"/>
                                    <w:i/>
                                    <w:iCs/>
                                    <w:color w:val="000000" w:themeColor="text1"/>
                                    <w:sz w:val="24"/>
                                    <w:szCs w:val="24"/>
                                  </w:rPr>
                                </w:pPr>
                              </w:p>
                              <w:p w14:paraId="23759A3C" w14:textId="77777777" w:rsidR="00560F66" w:rsidRDefault="00560F66" w:rsidP="005667DE">
                                <w:pPr>
                                  <w:spacing w:line="276" w:lineRule="auto"/>
                                  <w:rPr>
                                    <w:rFonts w:ascii="Times New Roman" w:hAnsi="Times New Roman" w:cs="Times New Roman"/>
                                    <w:i/>
                                    <w:iCs/>
                                    <w:color w:val="000000" w:themeColor="text1"/>
                                    <w:sz w:val="24"/>
                                    <w:szCs w:val="24"/>
                                  </w:rPr>
                                </w:pPr>
                              </w:p>
                              <w:p w14:paraId="2FBE4BCB" w14:textId="77777777" w:rsidR="00783AD1" w:rsidRDefault="00783AD1" w:rsidP="005667DE">
                                <w:pPr>
                                  <w:spacing w:line="276" w:lineRule="auto"/>
                                  <w:rPr>
                                    <w:rFonts w:ascii="Times New Roman" w:hAnsi="Times New Roman" w:cs="Times New Roman"/>
                                    <w:i/>
                                    <w:iCs/>
                                    <w:color w:val="000000" w:themeColor="text1"/>
                                    <w:sz w:val="24"/>
                                    <w:szCs w:val="24"/>
                                  </w:rPr>
                                </w:pPr>
                              </w:p>
                              <w:p w14:paraId="526E9C5B" w14:textId="77777777" w:rsidR="00783AD1" w:rsidRDefault="00783AD1" w:rsidP="005667DE">
                                <w:pPr>
                                  <w:spacing w:line="276" w:lineRule="auto"/>
                                  <w:rPr>
                                    <w:rFonts w:ascii="Times New Roman" w:hAnsi="Times New Roman" w:cs="Times New Roman"/>
                                    <w:i/>
                                    <w:iCs/>
                                    <w:color w:val="000000" w:themeColor="text1"/>
                                    <w:sz w:val="24"/>
                                    <w:szCs w:val="24"/>
                                  </w:rPr>
                                </w:pPr>
                              </w:p>
                              <w:p w14:paraId="4E606BA1" w14:textId="77777777" w:rsidR="00544A45" w:rsidRDefault="00544A45" w:rsidP="005667DE">
                                <w:pPr>
                                  <w:spacing w:line="276" w:lineRule="auto"/>
                                  <w:rPr>
                                    <w:rFonts w:ascii="Times New Roman" w:hAnsi="Times New Roman" w:cs="Times New Roman"/>
                                    <w:i/>
                                    <w:iCs/>
                                    <w:color w:val="000000" w:themeColor="text1"/>
                                    <w:sz w:val="24"/>
                                    <w:szCs w:val="24"/>
                                  </w:rPr>
                                </w:pPr>
                              </w:p>
                              <w:p w14:paraId="01CA6387" w14:textId="77777777" w:rsidR="00544A45" w:rsidRDefault="00544A45" w:rsidP="005667DE">
                                <w:pPr>
                                  <w:spacing w:line="276" w:lineRule="auto"/>
                                  <w:rPr>
                                    <w:rFonts w:ascii="Times New Roman" w:hAnsi="Times New Roman" w:cs="Times New Roman"/>
                                    <w:i/>
                                    <w:iCs/>
                                    <w:color w:val="000000" w:themeColor="text1"/>
                                    <w:sz w:val="24"/>
                                    <w:szCs w:val="24"/>
                                  </w:rPr>
                                </w:pPr>
                              </w:p>
                              <w:p w14:paraId="0ADCC050" w14:textId="77777777" w:rsidR="00544A45" w:rsidRDefault="00544A45" w:rsidP="005667DE">
                                <w:pPr>
                                  <w:spacing w:line="276" w:lineRule="auto"/>
                                  <w:rPr>
                                    <w:rFonts w:ascii="Times New Roman" w:hAnsi="Times New Roman" w:cs="Times New Roman"/>
                                    <w:i/>
                                    <w:iCs/>
                                    <w:color w:val="000000" w:themeColor="text1"/>
                                    <w:sz w:val="24"/>
                                    <w:szCs w:val="24"/>
                                  </w:rPr>
                                </w:pPr>
                              </w:p>
                              <w:p w14:paraId="5CBF81A6" w14:textId="77777777" w:rsidR="00544A45" w:rsidRDefault="00544A45" w:rsidP="005667DE">
                                <w:pPr>
                                  <w:spacing w:line="276" w:lineRule="auto"/>
                                  <w:rPr>
                                    <w:rFonts w:ascii="Times New Roman" w:hAnsi="Times New Roman" w:cs="Times New Roman"/>
                                    <w:i/>
                                    <w:iCs/>
                                    <w:color w:val="000000" w:themeColor="text1"/>
                                    <w:sz w:val="24"/>
                                    <w:szCs w:val="24"/>
                                  </w:rPr>
                                </w:pPr>
                              </w:p>
                              <w:p w14:paraId="09A80251" w14:textId="77777777" w:rsidR="00544A45" w:rsidRDefault="00544A45" w:rsidP="005667DE">
                                <w:pPr>
                                  <w:spacing w:line="276" w:lineRule="auto"/>
                                  <w:rPr>
                                    <w:rFonts w:ascii="Times New Roman" w:hAnsi="Times New Roman" w:cs="Times New Roman"/>
                                    <w:i/>
                                    <w:iCs/>
                                    <w:color w:val="000000" w:themeColor="text1"/>
                                    <w:sz w:val="24"/>
                                    <w:szCs w:val="24"/>
                                  </w:rPr>
                                </w:pPr>
                              </w:p>
                              <w:p w14:paraId="41176BAD" w14:textId="77777777" w:rsidR="00544A45" w:rsidRDefault="00544A45" w:rsidP="005667DE">
                                <w:pPr>
                                  <w:spacing w:line="276" w:lineRule="auto"/>
                                  <w:rPr>
                                    <w:rFonts w:ascii="Times New Roman" w:hAnsi="Times New Roman" w:cs="Times New Roman"/>
                                    <w:i/>
                                    <w:iCs/>
                                    <w:color w:val="000000" w:themeColor="text1"/>
                                    <w:sz w:val="24"/>
                                    <w:szCs w:val="24"/>
                                  </w:rPr>
                                </w:pPr>
                              </w:p>
                              <w:p w14:paraId="70D2C756" w14:textId="77777777" w:rsidR="00544A45" w:rsidRDefault="00544A45" w:rsidP="005667DE">
                                <w:pPr>
                                  <w:spacing w:line="276" w:lineRule="auto"/>
                                  <w:rPr>
                                    <w:rFonts w:ascii="Times New Roman" w:hAnsi="Times New Roman" w:cs="Times New Roman"/>
                                    <w:i/>
                                    <w:iCs/>
                                    <w:color w:val="000000" w:themeColor="text1"/>
                                    <w:sz w:val="24"/>
                                    <w:szCs w:val="24"/>
                                  </w:rPr>
                                </w:pPr>
                              </w:p>
                              <w:p w14:paraId="73BAFE86" w14:textId="77777777" w:rsidR="00544A45" w:rsidRDefault="00544A45" w:rsidP="005667DE">
                                <w:pPr>
                                  <w:spacing w:line="276" w:lineRule="auto"/>
                                  <w:rPr>
                                    <w:rFonts w:ascii="Times New Roman" w:hAnsi="Times New Roman" w:cs="Times New Roman"/>
                                    <w:i/>
                                    <w:iCs/>
                                    <w:color w:val="000000" w:themeColor="text1"/>
                                    <w:sz w:val="24"/>
                                    <w:szCs w:val="24"/>
                                  </w:rPr>
                                </w:pPr>
                              </w:p>
                              <w:p w14:paraId="4BD8C967" w14:textId="77777777" w:rsidR="00544A45" w:rsidRDefault="00544A45" w:rsidP="005667DE">
                                <w:pPr>
                                  <w:spacing w:line="276" w:lineRule="auto"/>
                                  <w:rPr>
                                    <w:rFonts w:ascii="Times New Roman" w:hAnsi="Times New Roman" w:cs="Times New Roman"/>
                                    <w:i/>
                                    <w:iCs/>
                                    <w:color w:val="000000" w:themeColor="text1"/>
                                    <w:sz w:val="24"/>
                                    <w:szCs w:val="24"/>
                                  </w:rPr>
                                </w:pPr>
                              </w:p>
                              <w:p w14:paraId="39AE160D" w14:textId="77777777" w:rsidR="00544A45" w:rsidRDefault="00544A45" w:rsidP="005667DE">
                                <w:pPr>
                                  <w:spacing w:line="276" w:lineRule="auto"/>
                                  <w:rPr>
                                    <w:rFonts w:ascii="Times New Roman" w:hAnsi="Times New Roman" w:cs="Times New Roman"/>
                                    <w:i/>
                                    <w:iCs/>
                                    <w:color w:val="000000" w:themeColor="text1"/>
                                    <w:sz w:val="24"/>
                                    <w:szCs w:val="24"/>
                                  </w:rPr>
                                </w:pPr>
                              </w:p>
                              <w:p w14:paraId="5BFFA4C0" w14:textId="77777777" w:rsidR="00544A45" w:rsidRDefault="00544A45" w:rsidP="005667DE">
                                <w:pPr>
                                  <w:spacing w:line="276" w:lineRule="auto"/>
                                  <w:rPr>
                                    <w:rFonts w:ascii="Times New Roman" w:hAnsi="Times New Roman" w:cs="Times New Roman"/>
                                    <w:i/>
                                    <w:iCs/>
                                    <w:color w:val="000000" w:themeColor="text1"/>
                                    <w:sz w:val="24"/>
                                    <w:szCs w:val="24"/>
                                  </w:rPr>
                                </w:pPr>
                              </w:p>
                              <w:p w14:paraId="7C65857A" w14:textId="77777777" w:rsidR="00544A45" w:rsidRDefault="00544A45" w:rsidP="005667DE">
                                <w:pPr>
                                  <w:spacing w:line="276" w:lineRule="auto"/>
                                  <w:rPr>
                                    <w:rFonts w:ascii="Times New Roman" w:hAnsi="Times New Roman" w:cs="Times New Roman"/>
                                    <w:i/>
                                    <w:iCs/>
                                    <w:color w:val="000000" w:themeColor="text1"/>
                                    <w:sz w:val="24"/>
                                    <w:szCs w:val="24"/>
                                  </w:rPr>
                                </w:pPr>
                              </w:p>
                              <w:p w14:paraId="144A258A" w14:textId="77777777" w:rsidR="00E95C21" w:rsidRDefault="00E95C21" w:rsidP="005667DE">
                                <w:pPr>
                                  <w:spacing w:line="276" w:lineRule="auto"/>
                                  <w:rPr>
                                    <w:rFonts w:ascii="Times New Roman" w:hAnsi="Times New Roman" w:cs="Times New Roman"/>
                                    <w:i/>
                                    <w:iCs/>
                                    <w:color w:val="000000" w:themeColor="text1"/>
                                    <w:sz w:val="24"/>
                                    <w:szCs w:val="24"/>
                                  </w:rPr>
                                </w:pPr>
                              </w:p>
                              <w:p w14:paraId="34BED37A" w14:textId="77777777" w:rsidR="00E95C21" w:rsidRDefault="00E95C21" w:rsidP="005667DE">
                                <w:pPr>
                                  <w:spacing w:line="276" w:lineRule="auto"/>
                                  <w:rPr>
                                    <w:rFonts w:ascii="Times New Roman" w:hAnsi="Times New Roman" w:cs="Times New Roman"/>
                                    <w:i/>
                                    <w:iCs/>
                                    <w:color w:val="000000" w:themeColor="text1"/>
                                    <w:sz w:val="24"/>
                                    <w:szCs w:val="24"/>
                                  </w:rPr>
                                </w:pPr>
                              </w:p>
                              <w:p w14:paraId="4D4DF876" w14:textId="77777777" w:rsidR="00E95C21" w:rsidRDefault="00E95C21" w:rsidP="005667DE">
                                <w:pPr>
                                  <w:spacing w:line="276" w:lineRule="auto"/>
                                  <w:rPr>
                                    <w:rFonts w:ascii="Times New Roman" w:hAnsi="Times New Roman" w:cs="Times New Roman"/>
                                    <w:i/>
                                    <w:iCs/>
                                    <w:color w:val="000000" w:themeColor="text1"/>
                                    <w:sz w:val="24"/>
                                    <w:szCs w:val="24"/>
                                  </w:rPr>
                                </w:pPr>
                              </w:p>
                              <w:p w14:paraId="4A1AB644" w14:textId="77777777" w:rsidR="00E95C21" w:rsidRDefault="00E95C21" w:rsidP="005667DE">
                                <w:pPr>
                                  <w:spacing w:line="276" w:lineRule="auto"/>
                                  <w:rPr>
                                    <w:rFonts w:ascii="Times New Roman" w:hAnsi="Times New Roman" w:cs="Times New Roman"/>
                                    <w:i/>
                                    <w:iCs/>
                                    <w:color w:val="000000" w:themeColor="text1"/>
                                    <w:sz w:val="24"/>
                                    <w:szCs w:val="24"/>
                                  </w:rPr>
                                </w:pPr>
                              </w:p>
                              <w:p w14:paraId="11CB91B8" w14:textId="77777777" w:rsidR="00E95C21" w:rsidRDefault="00E95C21" w:rsidP="005667DE">
                                <w:pPr>
                                  <w:spacing w:line="276" w:lineRule="auto"/>
                                  <w:rPr>
                                    <w:rFonts w:ascii="Times New Roman" w:hAnsi="Times New Roman" w:cs="Times New Roman"/>
                                    <w:i/>
                                    <w:iCs/>
                                    <w:color w:val="000000" w:themeColor="text1"/>
                                    <w:sz w:val="24"/>
                                    <w:szCs w:val="24"/>
                                  </w:rPr>
                                </w:pPr>
                              </w:p>
                              <w:p w14:paraId="67114AAA" w14:textId="77777777" w:rsidR="00E95C21" w:rsidRDefault="00E95C21" w:rsidP="005667DE">
                                <w:pPr>
                                  <w:spacing w:line="276" w:lineRule="auto"/>
                                  <w:rPr>
                                    <w:rFonts w:ascii="Times New Roman" w:hAnsi="Times New Roman" w:cs="Times New Roman"/>
                                    <w:i/>
                                    <w:iCs/>
                                    <w:color w:val="000000" w:themeColor="text1"/>
                                    <w:sz w:val="24"/>
                                    <w:szCs w:val="24"/>
                                  </w:rPr>
                                </w:pPr>
                              </w:p>
                              <w:p w14:paraId="0FDEB184" w14:textId="77777777" w:rsidR="00E95C21" w:rsidRDefault="00E95C21" w:rsidP="005667DE">
                                <w:pPr>
                                  <w:spacing w:line="276" w:lineRule="auto"/>
                                  <w:rPr>
                                    <w:rFonts w:ascii="Times New Roman" w:hAnsi="Times New Roman" w:cs="Times New Roman"/>
                                    <w:i/>
                                    <w:iCs/>
                                    <w:color w:val="000000" w:themeColor="text1"/>
                                    <w:sz w:val="24"/>
                                    <w:szCs w:val="24"/>
                                  </w:rPr>
                                </w:pPr>
                              </w:p>
                              <w:p w14:paraId="343686B4" w14:textId="77777777" w:rsidR="00E95C21" w:rsidRDefault="00E95C21" w:rsidP="005667DE">
                                <w:pPr>
                                  <w:spacing w:line="276" w:lineRule="auto"/>
                                  <w:rPr>
                                    <w:rFonts w:ascii="Times New Roman" w:hAnsi="Times New Roman" w:cs="Times New Roman"/>
                                    <w:i/>
                                    <w:iCs/>
                                    <w:color w:val="000000" w:themeColor="text1"/>
                                    <w:sz w:val="24"/>
                                    <w:szCs w:val="24"/>
                                  </w:rPr>
                                </w:pPr>
                              </w:p>
                              <w:p w14:paraId="7608A4EC" w14:textId="77777777" w:rsidR="00544A45" w:rsidRDefault="00544A45" w:rsidP="005667DE">
                                <w:pPr>
                                  <w:spacing w:line="276" w:lineRule="auto"/>
                                  <w:rPr>
                                    <w:rFonts w:ascii="Times New Roman" w:hAnsi="Times New Roman" w:cs="Times New Roman"/>
                                    <w:i/>
                                    <w:iCs/>
                                    <w:color w:val="000000" w:themeColor="text1"/>
                                    <w:sz w:val="24"/>
                                    <w:szCs w:val="24"/>
                                  </w:rPr>
                                </w:pPr>
                              </w:p>
                              <w:p w14:paraId="2A90B654" w14:textId="77777777" w:rsidR="00783AD1" w:rsidRPr="005667DE" w:rsidRDefault="00783AD1" w:rsidP="005667DE">
                                <w:pPr>
                                  <w:spacing w:line="276" w:lineRule="auto"/>
                                  <w:rPr>
                                    <w:rFonts w:ascii="Times New Roman" w:hAnsi="Times New Roman" w:cs="Times New Roman"/>
                                    <w:i/>
                                    <w:iCs/>
                                    <w:color w:val="000000" w:themeColor="text1"/>
                                    <w:sz w:val="24"/>
                                    <w:szCs w:val="24"/>
                                  </w:rPr>
                                </w:pPr>
                              </w:p>
                              <w:p w14:paraId="47E2FCC1" w14:textId="6CDB2DFB" w:rsidR="007A6A40" w:rsidRPr="00783AD1" w:rsidRDefault="0015361E">
                                <w:pPr>
                                  <w:rPr>
                                    <w:rFonts w:ascii="Times New Roman" w:hAnsi="Times New Roman" w:cs="Times New Roman"/>
                                    <w:color w:val="000000" w:themeColor="text1"/>
                                  </w:rPr>
                                </w:pPr>
                                <w:r w:rsidRPr="00783AD1">
                                  <w:rPr>
                                    <w:rFonts w:ascii="Times New Roman" w:hAnsi="Times New Roman" w:cs="Times New Roman"/>
                                    <w:color w:val="000000" w:themeColor="text1"/>
                                    <w:sz w:val="24"/>
                                    <w:szCs w:val="24"/>
                                  </w:rPr>
                                  <w:t>Word Count</w:t>
                                </w:r>
                                <w:r w:rsidR="005667DE" w:rsidRPr="00783AD1">
                                  <w:rPr>
                                    <w:rFonts w:ascii="Times New Roman" w:hAnsi="Times New Roman" w:cs="Times New Roman"/>
                                    <w:color w:val="000000" w:themeColor="text1"/>
                                    <w:sz w:val="24"/>
                                    <w:szCs w:val="24"/>
                                  </w:rPr>
                                  <w:t>:</w:t>
                                </w:r>
                                <w:r w:rsidRPr="00783AD1">
                                  <w:rPr>
                                    <w:rFonts w:ascii="Times New Roman" w:hAnsi="Times New Roman" w:cs="Times New Roman"/>
                                    <w:color w:val="000000" w:themeColor="text1"/>
                                    <w:sz w:val="24"/>
                                    <w:szCs w:val="24"/>
                                  </w:rPr>
                                  <w:t xml:space="preserve"> </w:t>
                                </w:r>
                                <w:r w:rsidR="008A613E">
                                  <w:rPr>
                                    <w:rFonts w:ascii="Times New Roman" w:hAnsi="Times New Roman" w:cs="Times New Roman"/>
                                    <w:color w:val="000000" w:themeColor="text1"/>
                                    <w:sz w:val="24"/>
                                    <w:szCs w:val="24"/>
                                  </w:rPr>
                                  <w:t>7404</w:t>
                                </w:r>
                              </w:p>
                              <w:sdt>
                                <w:sdtPr>
                                  <w:rPr>
                                    <w:rFonts w:ascii="Times New Roman" w:hAnsi="Times New Roman" w:cs="Times New Roman"/>
                                    <w:b/>
                                    <w:bCs/>
                                    <w:color w:val="153D63" w:themeColor="text2" w:themeTint="E6"/>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A075BFE" w14:textId="15345F28" w:rsidR="007A6A40" w:rsidRPr="005667DE" w:rsidRDefault="00927D83">
                                    <w:pPr>
                                      <w:pStyle w:val="NoSpacing"/>
                                      <w:rPr>
                                        <w:rFonts w:ascii="Times New Roman" w:hAnsi="Times New Roman" w:cs="Times New Roman"/>
                                        <w:b/>
                                        <w:bCs/>
                                        <w:color w:val="153D63" w:themeColor="text2" w:themeTint="E6"/>
                                        <w:sz w:val="26"/>
                                        <w:szCs w:val="26"/>
                                      </w:rPr>
                                    </w:pPr>
                                    <w:r>
                                      <w:rPr>
                                        <w:rFonts w:ascii="Times New Roman" w:hAnsi="Times New Roman" w:cs="Times New Roman"/>
                                        <w:b/>
                                        <w:bCs/>
                                        <w:color w:val="153D63" w:themeColor="text2" w:themeTint="E6"/>
                                        <w:sz w:val="26"/>
                                        <w:szCs w:val="26"/>
                                      </w:rPr>
                                      <w:t>Maria E. Huse</w:t>
                                    </w:r>
                                  </w:p>
                                </w:sdtContent>
                              </w:sdt>
                              <w:p w14:paraId="3760FDFC" w14:textId="17B877E3" w:rsidR="007A6A40" w:rsidRPr="0086624F" w:rsidRDefault="00000000">
                                <w:pPr>
                                  <w:pStyle w:val="NoSpacing"/>
                                  <w:rPr>
                                    <w:rFonts w:ascii="Times New Roman" w:hAnsi="Times New Roman" w:cs="Times New Roman"/>
                                  </w:rPr>
                                </w:pPr>
                                <w:sdt>
                                  <w:sdtPr>
                                    <w:rPr>
                                      <w:rFonts w:ascii="Times New Roman" w:hAnsi="Times New Roman" w:cs="Times New Roman"/>
                                      <w:i/>
                                      <w:iCs/>
                                      <w:color w:val="0E2841" w:themeColor="text2"/>
                                      <w:sz w:val="24"/>
                                      <w:szCs w:val="24"/>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7C3EDD" w:rsidRPr="00783AD1">
                                      <w:rPr>
                                        <w:rFonts w:ascii="Times New Roman" w:hAnsi="Times New Roman" w:cs="Times New Roman"/>
                                        <w:i/>
                                        <w:iCs/>
                                        <w:color w:val="0E2841" w:themeColor="text2"/>
                                        <w:sz w:val="24"/>
                                        <w:szCs w:val="24"/>
                                      </w:rPr>
                                      <w:t>Swiss School of Business Research</w:t>
                                    </w:r>
                                  </w:sdtContent>
                                </w:sdt>
                              </w:p>
                            </w:tc>
                          </w:tr>
                          <w:tr w:rsidR="00783AD1" w:rsidRPr="0086624F" w14:paraId="6E1BF5EA" w14:textId="77777777" w:rsidTr="00544A45">
                            <w:trPr>
                              <w:jc w:val="center"/>
                            </w:trPr>
                            <w:tc>
                              <w:tcPr>
                                <w:tcW w:w="3337" w:type="pct"/>
                                <w:vAlign w:val="center"/>
                              </w:tcPr>
                              <w:p w14:paraId="068A2F81" w14:textId="77777777" w:rsidR="00872FB9" w:rsidRPr="0086624F" w:rsidRDefault="00872FB9">
                                <w:pPr>
                                  <w:jc w:val="right"/>
                                  <w:rPr>
                                    <w:rFonts w:ascii="Times New Roman" w:hAnsi="Times New Roman" w:cs="Times New Roman"/>
                                    <w:noProof/>
                                  </w:rPr>
                                </w:pPr>
                              </w:p>
                            </w:tc>
                            <w:tc>
                              <w:tcPr>
                                <w:tcW w:w="1663" w:type="pct"/>
                                <w:vAlign w:val="center"/>
                              </w:tcPr>
                              <w:p w14:paraId="7E4D1498" w14:textId="77777777" w:rsidR="00872FB9" w:rsidRPr="0086624F" w:rsidRDefault="00872FB9">
                                <w:pPr>
                                  <w:pStyle w:val="NoSpacing"/>
                                  <w:rPr>
                                    <w:rFonts w:ascii="Times New Roman" w:hAnsi="Times New Roman" w:cs="Times New Roman"/>
                                    <w:caps/>
                                    <w:color w:val="E97132" w:themeColor="accent2"/>
                                    <w:sz w:val="26"/>
                                    <w:szCs w:val="26"/>
                                  </w:rPr>
                                </w:pPr>
                              </w:p>
                            </w:tc>
                          </w:tr>
                        </w:tbl>
                        <w:p w14:paraId="56667089" w14:textId="77777777" w:rsidR="007A6A40" w:rsidRPr="0086624F" w:rsidRDefault="007A6A40">
                          <w:pPr>
                            <w:rPr>
                              <w:rFonts w:ascii="Times New Roman" w:hAnsi="Times New Roman" w:cs="Times New Roman"/>
                            </w:rPr>
                          </w:pPr>
                        </w:p>
                      </w:txbxContent>
                    </v:textbox>
                    <w10:wrap anchorx="page" anchory="margin"/>
                  </v:shape>
                </w:pict>
              </mc:Fallback>
            </mc:AlternateContent>
          </w:r>
          <w:r w:rsidRPr="001A2EF6">
            <w:rPr>
              <w:rFonts w:ascii="Times New Roman" w:hAnsi="Times New Roman" w:cs="Times New Roman"/>
              <w:sz w:val="24"/>
              <w:szCs w:val="24"/>
            </w:rPr>
            <w:br w:type="page"/>
          </w:r>
        </w:p>
      </w:sdtContent>
    </w:sdt>
    <w:p w14:paraId="1B850D00" w14:textId="77777777" w:rsidR="00702C98" w:rsidRPr="001A2EF6" w:rsidRDefault="00702C98" w:rsidP="00702C98">
      <w:pPr>
        <w:pStyle w:val="NormalWeb"/>
        <w:spacing w:line="360" w:lineRule="auto"/>
        <w:rPr>
          <w:i/>
          <w:iCs/>
          <w:sz w:val="32"/>
          <w:szCs w:val="32"/>
        </w:rPr>
      </w:pPr>
      <w:bookmarkStart w:id="0" w:name="_Toc204006803"/>
      <w:r w:rsidRPr="001A2EF6">
        <w:rPr>
          <w:rStyle w:val="Strong"/>
          <w:rFonts w:eastAsiaTheme="majorEastAsia"/>
          <w:i/>
          <w:iCs/>
          <w:sz w:val="32"/>
          <w:szCs w:val="32"/>
        </w:rPr>
        <w:lastRenderedPageBreak/>
        <w:t>Foreword</w:t>
      </w:r>
    </w:p>
    <w:p w14:paraId="5A507624" w14:textId="40EC5C4B" w:rsidR="00702C98" w:rsidRPr="001A2EF6" w:rsidRDefault="00702C98" w:rsidP="00702C98">
      <w:pPr>
        <w:pStyle w:val="NormalWeb"/>
        <w:spacing w:line="360" w:lineRule="auto"/>
        <w:rPr>
          <w:i/>
          <w:iCs/>
        </w:rPr>
      </w:pPr>
      <w:r w:rsidRPr="001A2EF6">
        <w:rPr>
          <w:i/>
          <w:iCs/>
        </w:rPr>
        <w:t xml:space="preserve">This </w:t>
      </w:r>
      <w:r w:rsidR="00C238B3">
        <w:rPr>
          <w:i/>
          <w:iCs/>
        </w:rPr>
        <w:t>research</w:t>
      </w:r>
      <w:r w:rsidRPr="001A2EF6">
        <w:rPr>
          <w:i/>
          <w:iCs/>
        </w:rPr>
        <w:t xml:space="preserve"> was written in response to a growing need for leadership models that are both scientifically grounded and practically applicable in increasingly complex organisational landscapes. As cognitive demands on leaders intensify, it became evident that traditional development frameworks no longer suffice. The work presented here introduces the CISA model (Cognitive Infrastructure for Strategic Autonomy) as a novel contribution to this evolving field.</w:t>
      </w:r>
    </w:p>
    <w:p w14:paraId="5BD1254F" w14:textId="300351D1" w:rsidR="00702C98" w:rsidRPr="001A2EF6" w:rsidRDefault="00702C98" w:rsidP="00702C98">
      <w:pPr>
        <w:pStyle w:val="NormalWeb"/>
        <w:spacing w:line="360" w:lineRule="auto"/>
        <w:rPr>
          <w:i/>
          <w:iCs/>
        </w:rPr>
      </w:pPr>
      <w:r w:rsidRPr="001A2EF6">
        <w:rPr>
          <w:i/>
          <w:iCs/>
        </w:rPr>
        <w:t xml:space="preserve">The project emerged at the intersection of cognitive psychology, leadership science, and strategic management. It reflects not only academic inquiry but also professional experience in navigating high-stakes decision environments. By drawing on interdisciplinary insights and empirical observation, the </w:t>
      </w:r>
      <w:r w:rsidR="00443FF8">
        <w:rPr>
          <w:i/>
          <w:iCs/>
        </w:rPr>
        <w:t>research</w:t>
      </w:r>
      <w:r w:rsidRPr="001A2EF6">
        <w:rPr>
          <w:i/>
          <w:iCs/>
        </w:rPr>
        <w:t xml:space="preserve"> proposes a structured approach to engineering leadership cognition in a way that is both rigorous and actionable.</w:t>
      </w:r>
    </w:p>
    <w:p w14:paraId="01912690" w14:textId="77777777" w:rsidR="00702C98" w:rsidRPr="001A2EF6" w:rsidRDefault="00702C98" w:rsidP="00702C98">
      <w:pPr>
        <w:pStyle w:val="NormalWeb"/>
        <w:spacing w:line="360" w:lineRule="auto"/>
        <w:rPr>
          <w:i/>
          <w:iCs/>
        </w:rPr>
      </w:pPr>
      <w:r w:rsidRPr="001A2EF6">
        <w:rPr>
          <w:i/>
          <w:iCs/>
        </w:rPr>
        <w:t>Several individuals and institutions have provided invaluable support throughout this journey. I would like to express sincere gratitude to my academic supervisors for their guidance and engagement, and to my professional colleagues for offering lived insights that grounded this research in reality. Particular thanks are owed to the leadership team at Microchip Technology Inc., whose openness to innovative thinking helped shape the practical orientation of this work.</w:t>
      </w:r>
    </w:p>
    <w:p w14:paraId="38811424" w14:textId="63701179" w:rsidR="00702C98" w:rsidRPr="001A2EF6" w:rsidRDefault="00702C98" w:rsidP="00702C98">
      <w:pPr>
        <w:pStyle w:val="NormalWeb"/>
        <w:spacing w:line="360" w:lineRule="auto"/>
        <w:rPr>
          <w:i/>
          <w:iCs/>
        </w:rPr>
      </w:pPr>
      <w:r w:rsidRPr="001A2EF6">
        <w:rPr>
          <w:i/>
          <w:iCs/>
        </w:rPr>
        <w:t xml:space="preserve">It is my hope that this </w:t>
      </w:r>
      <w:r w:rsidR="00F912C9">
        <w:rPr>
          <w:i/>
          <w:iCs/>
        </w:rPr>
        <w:t xml:space="preserve">business proposal </w:t>
      </w:r>
      <w:r w:rsidRPr="001A2EF6">
        <w:rPr>
          <w:i/>
          <w:iCs/>
        </w:rPr>
        <w:t>contributes meaningfully to the discourse on leadership autonomy and resilience, and that the CISA framework offers a viable blueprint for those seeking to strengthen cognitive performance at the highest levels of decision-making.</w:t>
      </w:r>
    </w:p>
    <w:p w14:paraId="4AEE7AE7" w14:textId="77777777" w:rsidR="00702C98" w:rsidRPr="001A2EF6" w:rsidRDefault="00702C98" w:rsidP="00702C98">
      <w:pPr>
        <w:pStyle w:val="NormalWeb"/>
        <w:spacing w:line="360" w:lineRule="auto"/>
        <w:rPr>
          <w:i/>
          <w:iCs/>
        </w:rPr>
      </w:pPr>
      <w:r w:rsidRPr="001A2EF6">
        <w:rPr>
          <w:i/>
          <w:iCs/>
        </w:rPr>
        <w:t>Maria E. Huse,</w:t>
      </w:r>
      <w:r w:rsidRPr="001A2EF6">
        <w:rPr>
          <w:i/>
          <w:iCs/>
        </w:rPr>
        <w:br/>
        <w:t>July 2025.</w:t>
      </w:r>
    </w:p>
    <w:p w14:paraId="25E4E6D7" w14:textId="6F7DC8FA" w:rsidR="00EF74D0" w:rsidRPr="001A2EF6" w:rsidRDefault="00702C98">
      <w:pPr>
        <w:rPr>
          <w:rFonts w:ascii="Times New Roman" w:eastAsiaTheme="majorEastAsia" w:hAnsi="Times New Roman" w:cs="Times New Roman"/>
          <w:color w:val="0F4761" w:themeColor="accent1" w:themeShade="BF"/>
          <w:sz w:val="40"/>
          <w:szCs w:val="40"/>
        </w:rPr>
      </w:pPr>
      <w:r w:rsidRPr="001A2EF6">
        <w:rPr>
          <w:rFonts w:ascii="Times New Roman" w:hAnsi="Times New Roman" w:cs="Times New Roman"/>
        </w:rPr>
        <w:br w:type="page"/>
      </w:r>
    </w:p>
    <w:sdt>
      <w:sdtPr>
        <w:rPr>
          <w:rFonts w:ascii="Times New Roman" w:eastAsiaTheme="minorHAnsi" w:hAnsi="Times New Roman" w:cs="Times New Roman"/>
          <w:color w:val="auto"/>
          <w:kern w:val="2"/>
          <w:sz w:val="24"/>
          <w:szCs w:val="24"/>
          <w:lang w:val="nb-NO"/>
          <w14:ligatures w14:val="standardContextual"/>
        </w:rPr>
        <w:id w:val="879360901"/>
        <w:docPartObj>
          <w:docPartGallery w:val="Table of Contents"/>
          <w:docPartUnique/>
        </w:docPartObj>
      </w:sdtPr>
      <w:sdtEndPr>
        <w:rPr>
          <w:b/>
          <w:bCs/>
          <w:noProof/>
        </w:rPr>
      </w:sdtEndPr>
      <w:sdtContent>
        <w:p w14:paraId="59788977" w14:textId="6E9D0E28" w:rsidR="00EF74D0" w:rsidRPr="0001506A" w:rsidRDefault="00EF74D0" w:rsidP="0001506A">
          <w:pPr>
            <w:pStyle w:val="TOCHeading"/>
            <w:spacing w:line="360" w:lineRule="auto"/>
            <w:rPr>
              <w:rFonts w:ascii="Times New Roman" w:hAnsi="Times New Roman" w:cs="Times New Roman"/>
              <w:b/>
              <w:bCs/>
              <w:sz w:val="40"/>
              <w:szCs w:val="40"/>
            </w:rPr>
          </w:pPr>
          <w:r w:rsidRPr="0001506A">
            <w:rPr>
              <w:rFonts w:ascii="Times New Roman" w:hAnsi="Times New Roman" w:cs="Times New Roman"/>
              <w:b/>
              <w:bCs/>
              <w:sz w:val="40"/>
              <w:szCs w:val="40"/>
            </w:rPr>
            <w:t>Contents</w:t>
          </w:r>
        </w:p>
        <w:p w14:paraId="16A97B48" w14:textId="6B4541EE" w:rsidR="001255CA" w:rsidRPr="00691BD4" w:rsidRDefault="00EF74D0" w:rsidP="0001506A">
          <w:pPr>
            <w:pStyle w:val="TOC1"/>
            <w:rPr>
              <w:rFonts w:ascii="Times New Roman" w:eastAsiaTheme="minorEastAsia" w:hAnsi="Times New Roman" w:cs="Times New Roman"/>
              <w:noProof/>
              <w:sz w:val="24"/>
              <w:szCs w:val="24"/>
              <w:lang w:eastAsia="nb-NO"/>
            </w:rPr>
          </w:pPr>
          <w:r w:rsidRPr="00691BD4">
            <w:rPr>
              <w:rFonts w:ascii="Times New Roman" w:hAnsi="Times New Roman" w:cs="Times New Roman"/>
              <w:sz w:val="24"/>
              <w:szCs w:val="24"/>
            </w:rPr>
            <w:fldChar w:fldCharType="begin"/>
          </w:r>
          <w:r w:rsidRPr="00691BD4">
            <w:rPr>
              <w:rFonts w:ascii="Times New Roman" w:hAnsi="Times New Roman" w:cs="Times New Roman"/>
              <w:sz w:val="24"/>
              <w:szCs w:val="24"/>
            </w:rPr>
            <w:instrText xml:space="preserve"> TOC \o "1-3" \h \z \u </w:instrText>
          </w:r>
          <w:r w:rsidRPr="00691BD4">
            <w:rPr>
              <w:rFonts w:ascii="Times New Roman" w:hAnsi="Times New Roman" w:cs="Times New Roman"/>
              <w:sz w:val="24"/>
              <w:szCs w:val="24"/>
            </w:rPr>
            <w:fldChar w:fldCharType="separate"/>
          </w:r>
          <w:hyperlink w:anchor="_Toc206317507" w:history="1">
            <w:r w:rsidR="001255CA" w:rsidRPr="00691BD4">
              <w:rPr>
                <w:rStyle w:val="Hyperlink"/>
                <w:rFonts w:ascii="Times New Roman" w:eastAsia="Times New Roman" w:hAnsi="Times New Roman" w:cs="Times New Roman"/>
                <w:b/>
                <w:bCs/>
                <w:noProof/>
                <w:sz w:val="24"/>
                <w:szCs w:val="24"/>
                <w:lang w:eastAsia="nb-NO"/>
              </w:rPr>
              <w:t>Executive Summary</w:t>
            </w:r>
            <w:r w:rsidR="001255CA" w:rsidRPr="00691BD4">
              <w:rPr>
                <w:rFonts w:ascii="Times New Roman" w:hAnsi="Times New Roman" w:cs="Times New Roman"/>
                <w:noProof/>
                <w:webHidden/>
                <w:sz w:val="24"/>
                <w:szCs w:val="24"/>
              </w:rPr>
              <w:tab/>
            </w:r>
            <w:r w:rsidR="001255CA" w:rsidRPr="00691BD4">
              <w:rPr>
                <w:rFonts w:ascii="Times New Roman" w:hAnsi="Times New Roman" w:cs="Times New Roman"/>
                <w:noProof/>
                <w:webHidden/>
                <w:sz w:val="24"/>
                <w:szCs w:val="24"/>
              </w:rPr>
              <w:fldChar w:fldCharType="begin"/>
            </w:r>
            <w:r w:rsidR="001255CA" w:rsidRPr="00691BD4">
              <w:rPr>
                <w:rFonts w:ascii="Times New Roman" w:hAnsi="Times New Roman" w:cs="Times New Roman"/>
                <w:noProof/>
                <w:webHidden/>
                <w:sz w:val="24"/>
                <w:szCs w:val="24"/>
              </w:rPr>
              <w:instrText xml:space="preserve"> PAGEREF _Toc206317507 \h </w:instrText>
            </w:r>
            <w:r w:rsidR="001255CA" w:rsidRPr="00691BD4">
              <w:rPr>
                <w:rFonts w:ascii="Times New Roman" w:hAnsi="Times New Roman" w:cs="Times New Roman"/>
                <w:noProof/>
                <w:webHidden/>
                <w:sz w:val="24"/>
                <w:szCs w:val="24"/>
              </w:rPr>
            </w:r>
            <w:r w:rsidR="001255CA" w:rsidRPr="00691BD4">
              <w:rPr>
                <w:rFonts w:ascii="Times New Roman" w:hAnsi="Times New Roman" w:cs="Times New Roman"/>
                <w:noProof/>
                <w:webHidden/>
                <w:sz w:val="24"/>
                <w:szCs w:val="24"/>
              </w:rPr>
              <w:fldChar w:fldCharType="separate"/>
            </w:r>
            <w:r w:rsidR="001255CA" w:rsidRPr="00691BD4">
              <w:rPr>
                <w:rFonts w:ascii="Times New Roman" w:hAnsi="Times New Roman" w:cs="Times New Roman"/>
                <w:noProof/>
                <w:webHidden/>
                <w:sz w:val="24"/>
                <w:szCs w:val="24"/>
              </w:rPr>
              <w:t>4</w:t>
            </w:r>
            <w:r w:rsidR="001255CA" w:rsidRPr="00691BD4">
              <w:rPr>
                <w:rFonts w:ascii="Times New Roman" w:hAnsi="Times New Roman" w:cs="Times New Roman"/>
                <w:noProof/>
                <w:webHidden/>
                <w:sz w:val="24"/>
                <w:szCs w:val="24"/>
              </w:rPr>
              <w:fldChar w:fldCharType="end"/>
            </w:r>
          </w:hyperlink>
        </w:p>
        <w:p w14:paraId="7EEB42A8" w14:textId="0BBE1558"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08" w:history="1">
            <w:r w:rsidRPr="00691BD4">
              <w:rPr>
                <w:rStyle w:val="Hyperlink"/>
                <w:rFonts w:ascii="Times New Roman" w:hAnsi="Times New Roman" w:cs="Times New Roman"/>
                <w:b/>
                <w:bCs/>
                <w:noProof/>
                <w:sz w:val="24"/>
                <w:szCs w:val="24"/>
              </w:rPr>
              <w:t>Introduction</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_Toc206317508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6</w:t>
            </w:r>
            <w:r w:rsidRPr="00691BD4">
              <w:rPr>
                <w:rFonts w:ascii="Times New Roman" w:hAnsi="Times New Roman" w:cs="Times New Roman"/>
                <w:noProof/>
                <w:webHidden/>
                <w:sz w:val="24"/>
                <w:szCs w:val="24"/>
              </w:rPr>
              <w:fldChar w:fldCharType="end"/>
            </w:r>
          </w:hyperlink>
        </w:p>
        <w:p w14:paraId="22692E81" w14:textId="02059177"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09" w:history="1">
            <w:r w:rsidRPr="00691BD4">
              <w:rPr>
                <w:rStyle w:val="Hyperlink"/>
                <w:rFonts w:ascii="Times New Roman" w:eastAsia="Times New Roman" w:hAnsi="Times New Roman" w:cs="Times New Roman"/>
                <w:b/>
                <w:bCs/>
                <w:noProof/>
                <w:sz w:val="24"/>
                <w:szCs w:val="24"/>
                <w:lang w:eastAsia="nb-NO"/>
              </w:rPr>
              <w:t>Problem Statement</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_Toc206317509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7</w:t>
            </w:r>
            <w:r w:rsidRPr="00691BD4">
              <w:rPr>
                <w:rFonts w:ascii="Times New Roman" w:hAnsi="Times New Roman" w:cs="Times New Roman"/>
                <w:noProof/>
                <w:webHidden/>
                <w:sz w:val="24"/>
                <w:szCs w:val="24"/>
              </w:rPr>
              <w:fldChar w:fldCharType="end"/>
            </w:r>
          </w:hyperlink>
        </w:p>
        <w:p w14:paraId="3829CDED" w14:textId="5C65AEC0"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10" w:history="1">
            <w:r w:rsidRPr="00691BD4">
              <w:rPr>
                <w:rStyle w:val="Hyperlink"/>
                <w:rFonts w:ascii="Times New Roman" w:hAnsi="Times New Roman" w:cs="Times New Roman"/>
                <w:b/>
                <w:bCs/>
                <w:noProof/>
                <w:sz w:val="24"/>
                <w:szCs w:val="24"/>
              </w:rPr>
              <w:t>Innovation Management and Post-Pandemic Leadership Strategy</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_Toc206317510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9</w:t>
            </w:r>
            <w:r w:rsidRPr="00691BD4">
              <w:rPr>
                <w:rFonts w:ascii="Times New Roman" w:hAnsi="Times New Roman" w:cs="Times New Roman"/>
                <w:noProof/>
                <w:webHidden/>
                <w:sz w:val="24"/>
                <w:szCs w:val="24"/>
              </w:rPr>
              <w:fldChar w:fldCharType="end"/>
            </w:r>
          </w:hyperlink>
        </w:p>
        <w:p w14:paraId="36CDC661" w14:textId="16CE8C07"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11" w:history="1">
            <w:r w:rsidRPr="00691BD4">
              <w:rPr>
                <w:rStyle w:val="Hyperlink"/>
                <w:rFonts w:ascii="Times New Roman" w:eastAsia="Times New Roman" w:hAnsi="Times New Roman" w:cs="Times New Roman"/>
                <w:b/>
                <w:bCs/>
                <w:noProof/>
                <w:sz w:val="24"/>
                <w:szCs w:val="24"/>
                <w:lang w:eastAsia="nb-NO"/>
              </w:rPr>
              <w:t>The Proposal: CISA Model</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_Toc206317511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11</w:t>
            </w:r>
            <w:r w:rsidRPr="00691BD4">
              <w:rPr>
                <w:rFonts w:ascii="Times New Roman" w:hAnsi="Times New Roman" w:cs="Times New Roman"/>
                <w:noProof/>
                <w:webHidden/>
                <w:sz w:val="24"/>
                <w:szCs w:val="24"/>
              </w:rPr>
              <w:fldChar w:fldCharType="end"/>
            </w:r>
          </w:hyperlink>
        </w:p>
        <w:p w14:paraId="0F404372" w14:textId="576F8B4F"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12" w:history="1">
            <w:r w:rsidRPr="00691BD4">
              <w:rPr>
                <w:rStyle w:val="Hyperlink"/>
                <w:rFonts w:ascii="Times New Roman" w:eastAsia="Times New Roman" w:hAnsi="Times New Roman" w:cs="Times New Roman"/>
                <w:noProof/>
                <w:sz w:val="24"/>
                <w:szCs w:val="24"/>
                <w:lang w:eastAsia="nb-NO"/>
              </w:rPr>
              <w:t xml:space="preserve">Module One: </w:t>
            </w:r>
            <w:r w:rsidRPr="00691BD4">
              <w:rPr>
                <w:rStyle w:val="Hyperlink"/>
                <w:rFonts w:ascii="Times New Roman" w:eastAsia="Times New Roman" w:hAnsi="Times New Roman" w:cs="Times New Roman"/>
                <w:i/>
                <w:iCs/>
                <w:noProof/>
                <w:sz w:val="24"/>
                <w:szCs w:val="24"/>
                <w:lang w:eastAsia="nb-NO"/>
              </w:rPr>
              <w:t>Digital Cognitive Dashboard</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_Toc206317512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11</w:t>
            </w:r>
            <w:r w:rsidRPr="00691BD4">
              <w:rPr>
                <w:rFonts w:ascii="Times New Roman" w:hAnsi="Times New Roman" w:cs="Times New Roman"/>
                <w:noProof/>
                <w:webHidden/>
                <w:sz w:val="24"/>
                <w:szCs w:val="24"/>
              </w:rPr>
              <w:fldChar w:fldCharType="end"/>
            </w:r>
          </w:hyperlink>
        </w:p>
        <w:p w14:paraId="2F68157A" w14:textId="5432BE5F"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13" w:history="1">
            <w:r w:rsidRPr="00691BD4">
              <w:rPr>
                <w:rStyle w:val="Hyperlink"/>
                <w:rFonts w:ascii="Times New Roman" w:hAnsi="Times New Roman" w:cs="Times New Roman"/>
                <w:noProof/>
                <w:sz w:val="24"/>
                <w:szCs w:val="24"/>
              </w:rPr>
              <w:t xml:space="preserve">Module Two: </w:t>
            </w:r>
            <w:r w:rsidRPr="00691BD4">
              <w:rPr>
                <w:rStyle w:val="Hyperlink"/>
                <w:rFonts w:ascii="Times New Roman" w:hAnsi="Times New Roman" w:cs="Times New Roman"/>
                <w:i/>
                <w:iCs/>
                <w:noProof/>
                <w:sz w:val="24"/>
                <w:szCs w:val="24"/>
              </w:rPr>
              <w:t>Ritualised Decision Mapping Routines</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_Toc206317513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13</w:t>
            </w:r>
            <w:r w:rsidRPr="00691BD4">
              <w:rPr>
                <w:rFonts w:ascii="Times New Roman" w:hAnsi="Times New Roman" w:cs="Times New Roman"/>
                <w:noProof/>
                <w:webHidden/>
                <w:sz w:val="24"/>
                <w:szCs w:val="24"/>
              </w:rPr>
              <w:fldChar w:fldCharType="end"/>
            </w:r>
          </w:hyperlink>
        </w:p>
        <w:p w14:paraId="470CB17A" w14:textId="4D697955"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14" w:history="1">
            <w:r w:rsidRPr="00691BD4">
              <w:rPr>
                <w:rStyle w:val="Hyperlink"/>
                <w:rFonts w:ascii="Times New Roman" w:hAnsi="Times New Roman" w:cs="Times New Roman"/>
                <w:noProof/>
                <w:sz w:val="24"/>
                <w:szCs w:val="24"/>
              </w:rPr>
              <w:t xml:space="preserve">Module Three: </w:t>
            </w:r>
            <w:r w:rsidRPr="00691BD4">
              <w:rPr>
                <w:rStyle w:val="Hyperlink"/>
                <w:rFonts w:ascii="Times New Roman" w:hAnsi="Times New Roman" w:cs="Times New Roman"/>
                <w:i/>
                <w:iCs/>
                <w:noProof/>
                <w:sz w:val="24"/>
                <w:szCs w:val="24"/>
              </w:rPr>
              <w:t>Transformation Pilot Cell</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_Toc206317514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15</w:t>
            </w:r>
            <w:r w:rsidRPr="00691BD4">
              <w:rPr>
                <w:rFonts w:ascii="Times New Roman" w:hAnsi="Times New Roman" w:cs="Times New Roman"/>
                <w:noProof/>
                <w:webHidden/>
                <w:sz w:val="24"/>
                <w:szCs w:val="24"/>
              </w:rPr>
              <w:fldChar w:fldCharType="end"/>
            </w:r>
          </w:hyperlink>
        </w:p>
        <w:p w14:paraId="4D016C16" w14:textId="2D9A9AFB"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15" w:history="1">
            <w:r w:rsidRPr="00691BD4">
              <w:rPr>
                <w:rStyle w:val="Hyperlink"/>
                <w:rFonts w:ascii="Times New Roman" w:hAnsi="Times New Roman" w:cs="Times New Roman"/>
                <w:b/>
                <w:bCs/>
                <w:noProof/>
                <w:sz w:val="24"/>
                <w:szCs w:val="24"/>
              </w:rPr>
              <w:t>Integration of Modules and Originality of the Approach</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_Toc206317515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18</w:t>
            </w:r>
            <w:r w:rsidRPr="00691BD4">
              <w:rPr>
                <w:rFonts w:ascii="Times New Roman" w:hAnsi="Times New Roman" w:cs="Times New Roman"/>
                <w:noProof/>
                <w:webHidden/>
                <w:sz w:val="24"/>
                <w:szCs w:val="24"/>
              </w:rPr>
              <w:fldChar w:fldCharType="end"/>
            </w:r>
          </w:hyperlink>
        </w:p>
        <w:p w14:paraId="4A9C6EDE" w14:textId="518C6393"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16" w:history="1">
            <w:r w:rsidRPr="00691BD4">
              <w:rPr>
                <w:rStyle w:val="Hyperlink"/>
                <w:rFonts w:ascii="Times New Roman" w:hAnsi="Times New Roman" w:cs="Times New Roman"/>
                <w:b/>
                <w:bCs/>
                <w:noProof/>
                <w:sz w:val="24"/>
                <w:szCs w:val="24"/>
              </w:rPr>
              <w:t>Implementation Strategy and Organisational Impact</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_Toc206317516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19</w:t>
            </w:r>
            <w:r w:rsidRPr="00691BD4">
              <w:rPr>
                <w:rFonts w:ascii="Times New Roman" w:hAnsi="Times New Roman" w:cs="Times New Roman"/>
                <w:noProof/>
                <w:webHidden/>
                <w:sz w:val="24"/>
                <w:szCs w:val="24"/>
              </w:rPr>
              <w:fldChar w:fldCharType="end"/>
            </w:r>
          </w:hyperlink>
        </w:p>
        <w:p w14:paraId="6E56238C" w14:textId="30C5AE2D"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17" w:history="1">
            <w:r w:rsidRPr="00691BD4">
              <w:rPr>
                <w:rStyle w:val="Hyperlink"/>
                <w:rFonts w:ascii="Times New Roman" w:hAnsi="Times New Roman" w:cs="Times New Roman"/>
                <w:i/>
                <w:iCs/>
                <w:noProof/>
                <w:sz w:val="24"/>
                <w:szCs w:val="24"/>
              </w:rPr>
              <w:t>Phased Rollout</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_Toc206317517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19</w:t>
            </w:r>
            <w:r w:rsidRPr="00691BD4">
              <w:rPr>
                <w:rFonts w:ascii="Times New Roman" w:hAnsi="Times New Roman" w:cs="Times New Roman"/>
                <w:noProof/>
                <w:webHidden/>
                <w:sz w:val="24"/>
                <w:szCs w:val="24"/>
              </w:rPr>
              <w:fldChar w:fldCharType="end"/>
            </w:r>
          </w:hyperlink>
        </w:p>
        <w:p w14:paraId="799E9716" w14:textId="6504006C"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18" w:history="1">
            <w:r w:rsidRPr="00691BD4">
              <w:rPr>
                <w:rStyle w:val="Hyperlink"/>
                <w:rFonts w:ascii="Times New Roman" w:hAnsi="Times New Roman" w:cs="Times New Roman"/>
                <w:i/>
                <w:iCs/>
                <w:noProof/>
                <w:sz w:val="24"/>
                <w:szCs w:val="24"/>
              </w:rPr>
              <w:t>Change Management Considerations</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_Toc206317518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19</w:t>
            </w:r>
            <w:r w:rsidRPr="00691BD4">
              <w:rPr>
                <w:rFonts w:ascii="Times New Roman" w:hAnsi="Times New Roman" w:cs="Times New Roman"/>
                <w:noProof/>
                <w:webHidden/>
                <w:sz w:val="24"/>
                <w:szCs w:val="24"/>
              </w:rPr>
              <w:fldChar w:fldCharType="end"/>
            </w:r>
          </w:hyperlink>
        </w:p>
        <w:p w14:paraId="5417101E" w14:textId="0BCA84E6"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19" w:history="1">
            <w:r w:rsidRPr="00691BD4">
              <w:rPr>
                <w:rStyle w:val="Hyperlink"/>
                <w:rFonts w:ascii="Times New Roman" w:hAnsi="Times New Roman" w:cs="Times New Roman"/>
                <w:i/>
                <w:iCs/>
                <w:noProof/>
                <w:sz w:val="24"/>
                <w:szCs w:val="24"/>
              </w:rPr>
              <w:t>Anticipated Impact</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_Toc206317519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20</w:t>
            </w:r>
            <w:r w:rsidRPr="00691BD4">
              <w:rPr>
                <w:rFonts w:ascii="Times New Roman" w:hAnsi="Times New Roman" w:cs="Times New Roman"/>
                <w:noProof/>
                <w:webHidden/>
                <w:sz w:val="24"/>
                <w:szCs w:val="24"/>
              </w:rPr>
              <w:fldChar w:fldCharType="end"/>
            </w:r>
          </w:hyperlink>
        </w:p>
        <w:p w14:paraId="13D222BF" w14:textId="4021A3E2"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20" w:history="1">
            <w:r w:rsidRPr="00691BD4">
              <w:rPr>
                <w:rStyle w:val="Hyperlink"/>
                <w:rFonts w:ascii="Times New Roman" w:hAnsi="Times New Roman" w:cs="Times New Roman"/>
                <w:b/>
                <w:bCs/>
                <w:noProof/>
                <w:sz w:val="24"/>
                <w:szCs w:val="24"/>
              </w:rPr>
              <w:t>Methodology</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_Toc206317520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22</w:t>
            </w:r>
            <w:r w:rsidRPr="00691BD4">
              <w:rPr>
                <w:rFonts w:ascii="Times New Roman" w:hAnsi="Times New Roman" w:cs="Times New Roman"/>
                <w:noProof/>
                <w:webHidden/>
                <w:sz w:val="24"/>
                <w:szCs w:val="24"/>
              </w:rPr>
              <w:fldChar w:fldCharType="end"/>
            </w:r>
          </w:hyperlink>
        </w:p>
        <w:p w14:paraId="7F8BB6AD" w14:textId="390D4E76"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21" w:history="1">
            <w:r w:rsidRPr="00691BD4">
              <w:rPr>
                <w:rStyle w:val="Hyperlink"/>
                <w:rFonts w:ascii="Times New Roman" w:hAnsi="Times New Roman" w:cs="Times New Roman"/>
                <w:i/>
                <w:iCs/>
                <w:noProof/>
                <w:sz w:val="24"/>
                <w:szCs w:val="24"/>
              </w:rPr>
              <w:t>Research Design and Instrumentation</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_Toc206317521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22</w:t>
            </w:r>
            <w:r w:rsidRPr="00691BD4">
              <w:rPr>
                <w:rFonts w:ascii="Times New Roman" w:hAnsi="Times New Roman" w:cs="Times New Roman"/>
                <w:noProof/>
                <w:webHidden/>
                <w:sz w:val="24"/>
                <w:szCs w:val="24"/>
              </w:rPr>
              <w:fldChar w:fldCharType="end"/>
            </w:r>
          </w:hyperlink>
        </w:p>
        <w:p w14:paraId="2DEBFB04" w14:textId="4DF051FE"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22" w:history="1">
            <w:r w:rsidRPr="00691BD4">
              <w:rPr>
                <w:rStyle w:val="Hyperlink"/>
                <w:rFonts w:ascii="Times New Roman" w:hAnsi="Times New Roman" w:cs="Times New Roman"/>
                <w:b/>
                <w:bCs/>
                <w:noProof/>
                <w:sz w:val="24"/>
                <w:szCs w:val="24"/>
              </w:rPr>
              <w:t>Sampling and Data Collection</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_Toc206317522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23</w:t>
            </w:r>
            <w:r w:rsidRPr="00691BD4">
              <w:rPr>
                <w:rFonts w:ascii="Times New Roman" w:hAnsi="Times New Roman" w:cs="Times New Roman"/>
                <w:noProof/>
                <w:webHidden/>
                <w:sz w:val="24"/>
                <w:szCs w:val="24"/>
              </w:rPr>
              <w:fldChar w:fldCharType="end"/>
            </w:r>
          </w:hyperlink>
        </w:p>
        <w:p w14:paraId="51099F25" w14:textId="1A8625A7"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23" w:history="1">
            <w:r w:rsidRPr="00691BD4">
              <w:rPr>
                <w:rStyle w:val="Hyperlink"/>
                <w:rFonts w:ascii="Times New Roman" w:hAnsi="Times New Roman" w:cs="Times New Roman"/>
                <w:b/>
                <w:bCs/>
                <w:noProof/>
                <w:sz w:val="24"/>
                <w:szCs w:val="24"/>
              </w:rPr>
              <w:t>Data Analysis and Ethical Considerations</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_Toc206317523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24</w:t>
            </w:r>
            <w:r w:rsidRPr="00691BD4">
              <w:rPr>
                <w:rFonts w:ascii="Times New Roman" w:hAnsi="Times New Roman" w:cs="Times New Roman"/>
                <w:noProof/>
                <w:webHidden/>
                <w:sz w:val="24"/>
                <w:szCs w:val="24"/>
              </w:rPr>
              <w:fldChar w:fldCharType="end"/>
            </w:r>
          </w:hyperlink>
        </w:p>
        <w:p w14:paraId="792B2E59" w14:textId="0D7F08A5"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24" w:history="1">
            <w:r w:rsidRPr="00691BD4">
              <w:rPr>
                <w:rStyle w:val="Hyperlink"/>
                <w:rFonts w:ascii="Times New Roman" w:hAnsi="Times New Roman" w:cs="Times New Roman"/>
                <w:b/>
                <w:bCs/>
                <w:noProof/>
                <w:sz w:val="24"/>
                <w:szCs w:val="24"/>
              </w:rPr>
              <w:t>Findings and Analysis</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_Toc206317524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25</w:t>
            </w:r>
            <w:r w:rsidRPr="00691BD4">
              <w:rPr>
                <w:rFonts w:ascii="Times New Roman" w:hAnsi="Times New Roman" w:cs="Times New Roman"/>
                <w:noProof/>
                <w:webHidden/>
                <w:sz w:val="24"/>
                <w:szCs w:val="24"/>
              </w:rPr>
              <w:fldChar w:fldCharType="end"/>
            </w:r>
          </w:hyperlink>
        </w:p>
        <w:p w14:paraId="089DF95B" w14:textId="60E1AC06"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25" w:history="1">
            <w:r w:rsidRPr="00691BD4">
              <w:rPr>
                <w:rStyle w:val="Hyperlink"/>
                <w:rFonts w:ascii="Times New Roman" w:hAnsi="Times New Roman" w:cs="Times New Roman"/>
                <w:i/>
                <w:iCs/>
                <w:noProof/>
                <w:sz w:val="24"/>
                <w:szCs w:val="24"/>
              </w:rPr>
              <w:t>Strategic Autonomy and Trust Perceptions</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_Toc206317525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25</w:t>
            </w:r>
            <w:r w:rsidRPr="00691BD4">
              <w:rPr>
                <w:rFonts w:ascii="Times New Roman" w:hAnsi="Times New Roman" w:cs="Times New Roman"/>
                <w:noProof/>
                <w:webHidden/>
                <w:sz w:val="24"/>
                <w:szCs w:val="24"/>
              </w:rPr>
              <w:fldChar w:fldCharType="end"/>
            </w:r>
          </w:hyperlink>
        </w:p>
        <w:p w14:paraId="2F73D6A0" w14:textId="7B481705"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26" w:history="1">
            <w:r w:rsidRPr="00691BD4">
              <w:rPr>
                <w:rStyle w:val="Hyperlink"/>
                <w:rFonts w:ascii="Times New Roman" w:hAnsi="Times New Roman" w:cs="Times New Roman"/>
                <w:i/>
                <w:iCs/>
                <w:noProof/>
                <w:sz w:val="24"/>
                <w:szCs w:val="24"/>
              </w:rPr>
              <w:t>Cognitive Load, Clarity, and Decision Fatigue</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_Toc206317526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26</w:t>
            </w:r>
            <w:r w:rsidRPr="00691BD4">
              <w:rPr>
                <w:rFonts w:ascii="Times New Roman" w:hAnsi="Times New Roman" w:cs="Times New Roman"/>
                <w:noProof/>
                <w:webHidden/>
                <w:sz w:val="24"/>
                <w:szCs w:val="24"/>
              </w:rPr>
              <w:fldChar w:fldCharType="end"/>
            </w:r>
          </w:hyperlink>
        </w:p>
        <w:p w14:paraId="09FD854E" w14:textId="24EDF9EA"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27" w:history="1">
            <w:r w:rsidRPr="00691BD4">
              <w:rPr>
                <w:rStyle w:val="Hyperlink"/>
                <w:rFonts w:ascii="Times New Roman" w:hAnsi="Times New Roman" w:cs="Times New Roman"/>
                <w:i/>
                <w:iCs/>
                <w:noProof/>
                <w:sz w:val="24"/>
                <w:szCs w:val="24"/>
              </w:rPr>
              <w:t>Organisational Support for Cognitive Work</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_Toc206317527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27</w:t>
            </w:r>
            <w:r w:rsidRPr="00691BD4">
              <w:rPr>
                <w:rFonts w:ascii="Times New Roman" w:hAnsi="Times New Roman" w:cs="Times New Roman"/>
                <w:noProof/>
                <w:webHidden/>
                <w:sz w:val="24"/>
                <w:szCs w:val="24"/>
              </w:rPr>
              <w:fldChar w:fldCharType="end"/>
            </w:r>
          </w:hyperlink>
        </w:p>
        <w:p w14:paraId="5DEFB842" w14:textId="0A89ACDA"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28" w:history="1">
            <w:r w:rsidRPr="00691BD4">
              <w:rPr>
                <w:rStyle w:val="Hyperlink"/>
                <w:rFonts w:ascii="Times New Roman" w:hAnsi="Times New Roman" w:cs="Times New Roman"/>
                <w:i/>
                <w:iCs/>
                <w:noProof/>
                <w:sz w:val="24"/>
                <w:szCs w:val="24"/>
              </w:rPr>
              <w:t>Cognitive Resilience and Metacognitive Practices</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_Toc206317528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28</w:t>
            </w:r>
            <w:r w:rsidRPr="00691BD4">
              <w:rPr>
                <w:rFonts w:ascii="Times New Roman" w:hAnsi="Times New Roman" w:cs="Times New Roman"/>
                <w:noProof/>
                <w:webHidden/>
                <w:sz w:val="24"/>
                <w:szCs w:val="24"/>
              </w:rPr>
              <w:fldChar w:fldCharType="end"/>
            </w:r>
          </w:hyperlink>
        </w:p>
        <w:p w14:paraId="507C9B49" w14:textId="72904256"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29" w:history="1">
            <w:r w:rsidRPr="00691BD4">
              <w:rPr>
                <w:rStyle w:val="Hyperlink"/>
                <w:rFonts w:ascii="Times New Roman" w:eastAsia="Times New Roman" w:hAnsi="Times New Roman" w:cs="Times New Roman"/>
                <w:b/>
                <w:bCs/>
                <w:noProof/>
                <w:sz w:val="24"/>
                <w:szCs w:val="24"/>
                <w:lang w:eastAsia="nb-NO"/>
              </w:rPr>
              <w:t>Literature Review</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_Toc206317529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30</w:t>
            </w:r>
            <w:r w:rsidRPr="00691BD4">
              <w:rPr>
                <w:rFonts w:ascii="Times New Roman" w:hAnsi="Times New Roman" w:cs="Times New Roman"/>
                <w:noProof/>
                <w:webHidden/>
                <w:sz w:val="24"/>
                <w:szCs w:val="24"/>
              </w:rPr>
              <w:fldChar w:fldCharType="end"/>
            </w:r>
          </w:hyperlink>
        </w:p>
        <w:p w14:paraId="575E1B28" w14:textId="7DA54B30"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30" w:history="1">
            <w:r w:rsidRPr="00691BD4">
              <w:rPr>
                <w:rStyle w:val="Hyperlink"/>
                <w:rFonts w:ascii="Times New Roman" w:eastAsia="Times New Roman" w:hAnsi="Times New Roman" w:cs="Times New Roman"/>
                <w:i/>
                <w:iCs/>
                <w:noProof/>
                <w:sz w:val="24"/>
                <w:szCs w:val="24"/>
                <w:lang w:eastAsia="nb-NO"/>
              </w:rPr>
              <w:t>Neurocognitive Foundations of Executive Decision Making</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_Toc206317530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30</w:t>
            </w:r>
            <w:r w:rsidRPr="00691BD4">
              <w:rPr>
                <w:rFonts w:ascii="Times New Roman" w:hAnsi="Times New Roman" w:cs="Times New Roman"/>
                <w:noProof/>
                <w:webHidden/>
                <w:sz w:val="24"/>
                <w:szCs w:val="24"/>
              </w:rPr>
              <w:fldChar w:fldCharType="end"/>
            </w:r>
          </w:hyperlink>
        </w:p>
        <w:p w14:paraId="5044ACFD" w14:textId="15D6AAAB"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31" w:history="1">
            <w:r w:rsidRPr="00691BD4">
              <w:rPr>
                <w:rStyle w:val="Hyperlink"/>
                <w:rFonts w:ascii="Times New Roman" w:eastAsia="Times New Roman" w:hAnsi="Times New Roman" w:cs="Times New Roman"/>
                <w:i/>
                <w:iCs/>
                <w:noProof/>
                <w:sz w:val="24"/>
                <w:szCs w:val="24"/>
                <w:lang w:eastAsia="nb-NO"/>
              </w:rPr>
              <w:t>Decision Autonomy, Trust and Organisational Dynamics</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_Toc206317531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31</w:t>
            </w:r>
            <w:r w:rsidRPr="00691BD4">
              <w:rPr>
                <w:rFonts w:ascii="Times New Roman" w:hAnsi="Times New Roman" w:cs="Times New Roman"/>
                <w:noProof/>
                <w:webHidden/>
                <w:sz w:val="24"/>
                <w:szCs w:val="24"/>
              </w:rPr>
              <w:fldChar w:fldCharType="end"/>
            </w:r>
          </w:hyperlink>
        </w:p>
        <w:p w14:paraId="75AD4F7B" w14:textId="21F0636B"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32" w:history="1">
            <w:r w:rsidRPr="00691BD4">
              <w:rPr>
                <w:rStyle w:val="Hyperlink"/>
                <w:rFonts w:ascii="Times New Roman" w:hAnsi="Times New Roman" w:cs="Times New Roman"/>
                <w:b/>
                <w:bCs/>
                <w:noProof/>
                <w:sz w:val="24"/>
                <w:szCs w:val="24"/>
              </w:rPr>
              <w:t>Conclusion</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_Toc206317532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32</w:t>
            </w:r>
            <w:r w:rsidRPr="00691BD4">
              <w:rPr>
                <w:rFonts w:ascii="Times New Roman" w:hAnsi="Times New Roman" w:cs="Times New Roman"/>
                <w:noProof/>
                <w:webHidden/>
                <w:sz w:val="24"/>
                <w:szCs w:val="24"/>
              </w:rPr>
              <w:fldChar w:fldCharType="end"/>
            </w:r>
          </w:hyperlink>
        </w:p>
        <w:p w14:paraId="14CF1F44" w14:textId="34780CCE"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33" w:history="1">
            <w:r w:rsidRPr="00691BD4">
              <w:rPr>
                <w:rStyle w:val="Hyperlink"/>
                <w:rFonts w:ascii="Times New Roman" w:hAnsi="Times New Roman" w:cs="Times New Roman"/>
                <w:b/>
                <w:bCs/>
                <w:noProof/>
                <w:sz w:val="24"/>
                <w:szCs w:val="24"/>
              </w:rPr>
              <w:t>Bibliography</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_Toc206317533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34</w:t>
            </w:r>
            <w:r w:rsidRPr="00691BD4">
              <w:rPr>
                <w:rFonts w:ascii="Times New Roman" w:hAnsi="Times New Roman" w:cs="Times New Roman"/>
                <w:noProof/>
                <w:webHidden/>
                <w:sz w:val="24"/>
                <w:szCs w:val="24"/>
              </w:rPr>
              <w:fldChar w:fldCharType="end"/>
            </w:r>
          </w:hyperlink>
        </w:p>
        <w:p w14:paraId="68EF37A9" w14:textId="3F6497C9" w:rsidR="001255CA" w:rsidRPr="00691BD4" w:rsidRDefault="001255CA" w:rsidP="0001506A">
          <w:pPr>
            <w:pStyle w:val="TOC1"/>
            <w:rPr>
              <w:rFonts w:ascii="Times New Roman" w:eastAsiaTheme="minorEastAsia" w:hAnsi="Times New Roman" w:cs="Times New Roman"/>
              <w:noProof/>
              <w:sz w:val="24"/>
              <w:szCs w:val="24"/>
              <w:lang w:eastAsia="nb-NO"/>
            </w:rPr>
          </w:pPr>
          <w:hyperlink w:anchor="_Toc206317534" w:history="1">
            <w:r w:rsidRPr="00691BD4">
              <w:rPr>
                <w:rStyle w:val="Hyperlink"/>
                <w:rFonts w:ascii="Times New Roman" w:hAnsi="Times New Roman" w:cs="Times New Roman"/>
                <w:b/>
                <w:bCs/>
                <w:noProof/>
                <w:sz w:val="24"/>
                <w:szCs w:val="24"/>
              </w:rPr>
              <w:t>Appendices</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_Toc206317534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41</w:t>
            </w:r>
            <w:r w:rsidRPr="00691BD4">
              <w:rPr>
                <w:rFonts w:ascii="Times New Roman" w:hAnsi="Times New Roman" w:cs="Times New Roman"/>
                <w:noProof/>
                <w:webHidden/>
                <w:sz w:val="24"/>
                <w:szCs w:val="24"/>
              </w:rPr>
              <w:fldChar w:fldCharType="end"/>
            </w:r>
          </w:hyperlink>
        </w:p>
        <w:p w14:paraId="3C3744EF" w14:textId="0D7CABAF"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35" w:history="1">
            <w:r w:rsidRPr="00691BD4">
              <w:rPr>
                <w:rStyle w:val="Hyperlink"/>
                <w:rFonts w:ascii="Times New Roman" w:hAnsi="Times New Roman" w:cs="Times New Roman"/>
                <w:b/>
                <w:bCs/>
                <w:noProof/>
                <w:sz w:val="24"/>
                <w:szCs w:val="24"/>
              </w:rPr>
              <w:t>Appendix One: Poster Presentation</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_Toc206317535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42</w:t>
            </w:r>
            <w:r w:rsidRPr="00691BD4">
              <w:rPr>
                <w:rFonts w:ascii="Times New Roman" w:hAnsi="Times New Roman" w:cs="Times New Roman"/>
                <w:noProof/>
                <w:webHidden/>
                <w:sz w:val="24"/>
                <w:szCs w:val="24"/>
              </w:rPr>
              <w:fldChar w:fldCharType="end"/>
            </w:r>
          </w:hyperlink>
        </w:p>
        <w:p w14:paraId="2F5C45F0" w14:textId="74F82699"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36" w:history="1">
            <w:r w:rsidRPr="00691BD4">
              <w:rPr>
                <w:rStyle w:val="Hyperlink"/>
                <w:rFonts w:ascii="Times New Roman" w:hAnsi="Times New Roman" w:cs="Times New Roman"/>
                <w:b/>
                <w:bCs/>
                <w:noProof/>
                <w:sz w:val="24"/>
                <w:szCs w:val="24"/>
              </w:rPr>
              <w:t>Appendix Two: Summary from Module One</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_Toc206317536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43</w:t>
            </w:r>
            <w:r w:rsidRPr="00691BD4">
              <w:rPr>
                <w:rFonts w:ascii="Times New Roman" w:hAnsi="Times New Roman" w:cs="Times New Roman"/>
                <w:noProof/>
                <w:webHidden/>
                <w:sz w:val="24"/>
                <w:szCs w:val="24"/>
              </w:rPr>
              <w:fldChar w:fldCharType="end"/>
            </w:r>
          </w:hyperlink>
        </w:p>
        <w:p w14:paraId="01F3DC1C" w14:textId="321EAD20"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37" w:history="1">
            <w:r w:rsidRPr="00691BD4">
              <w:rPr>
                <w:rStyle w:val="Hyperlink"/>
                <w:rFonts w:ascii="Times New Roman" w:hAnsi="Times New Roman" w:cs="Times New Roman"/>
                <w:b/>
                <w:bCs/>
                <w:noProof/>
                <w:sz w:val="24"/>
                <w:szCs w:val="24"/>
              </w:rPr>
              <w:t>Appendix Three: Summary from Module Two</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_Toc206317537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45</w:t>
            </w:r>
            <w:r w:rsidRPr="00691BD4">
              <w:rPr>
                <w:rFonts w:ascii="Times New Roman" w:hAnsi="Times New Roman" w:cs="Times New Roman"/>
                <w:noProof/>
                <w:webHidden/>
                <w:sz w:val="24"/>
                <w:szCs w:val="24"/>
              </w:rPr>
              <w:fldChar w:fldCharType="end"/>
            </w:r>
          </w:hyperlink>
        </w:p>
        <w:p w14:paraId="034FE270" w14:textId="20B4F9D6"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38" w:history="1">
            <w:r w:rsidRPr="00691BD4">
              <w:rPr>
                <w:rStyle w:val="Hyperlink"/>
                <w:rFonts w:ascii="Times New Roman" w:hAnsi="Times New Roman" w:cs="Times New Roman"/>
                <w:b/>
                <w:bCs/>
                <w:noProof/>
                <w:sz w:val="24"/>
                <w:szCs w:val="24"/>
              </w:rPr>
              <w:t xml:space="preserve">Appendix Four (a): </w:t>
            </w:r>
            <w:r w:rsidRPr="00691BD4">
              <w:rPr>
                <w:rStyle w:val="Hyperlink"/>
                <w:rFonts w:ascii="Times New Roman" w:hAnsi="Times New Roman" w:cs="Times New Roman"/>
                <w:b/>
                <w:bCs/>
                <w:i/>
                <w:iCs/>
                <w:noProof/>
                <w:sz w:val="24"/>
                <w:szCs w:val="24"/>
              </w:rPr>
              <w:t>Seven-Point Likert Scale</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_Toc206317538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47</w:t>
            </w:r>
            <w:r w:rsidRPr="00691BD4">
              <w:rPr>
                <w:rFonts w:ascii="Times New Roman" w:hAnsi="Times New Roman" w:cs="Times New Roman"/>
                <w:noProof/>
                <w:webHidden/>
                <w:sz w:val="24"/>
                <w:szCs w:val="24"/>
              </w:rPr>
              <w:fldChar w:fldCharType="end"/>
            </w:r>
          </w:hyperlink>
        </w:p>
        <w:p w14:paraId="2AAE8203" w14:textId="34B657A6"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39" w:history="1">
            <w:r w:rsidRPr="00691BD4">
              <w:rPr>
                <w:rStyle w:val="Hyperlink"/>
                <w:rFonts w:ascii="Times New Roman" w:hAnsi="Times New Roman" w:cs="Times New Roman"/>
                <w:b/>
                <w:bCs/>
                <w:noProof/>
                <w:sz w:val="24"/>
                <w:szCs w:val="24"/>
              </w:rPr>
              <w:t xml:space="preserve">Appendix Four (b): </w:t>
            </w:r>
            <w:r w:rsidRPr="00691BD4">
              <w:rPr>
                <w:rStyle w:val="Hyperlink"/>
                <w:rFonts w:ascii="Times New Roman" w:hAnsi="Times New Roman" w:cs="Times New Roman"/>
                <w:b/>
                <w:bCs/>
                <w:i/>
                <w:iCs/>
                <w:noProof/>
                <w:sz w:val="24"/>
                <w:szCs w:val="24"/>
              </w:rPr>
              <w:t>Methodological Documentation and Justification (CAS Scale)</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_Toc206317539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48</w:t>
            </w:r>
            <w:r w:rsidRPr="00691BD4">
              <w:rPr>
                <w:rFonts w:ascii="Times New Roman" w:hAnsi="Times New Roman" w:cs="Times New Roman"/>
                <w:noProof/>
                <w:webHidden/>
                <w:sz w:val="24"/>
                <w:szCs w:val="24"/>
              </w:rPr>
              <w:fldChar w:fldCharType="end"/>
            </w:r>
          </w:hyperlink>
        </w:p>
        <w:p w14:paraId="03BE74B8" w14:textId="7AB44A86"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40" w:history="1">
            <w:r w:rsidRPr="00691BD4">
              <w:rPr>
                <w:rStyle w:val="Hyperlink"/>
                <w:rFonts w:ascii="Times New Roman" w:hAnsi="Times New Roman" w:cs="Times New Roman"/>
                <w:b/>
                <w:bCs/>
                <w:noProof/>
                <w:sz w:val="24"/>
                <w:szCs w:val="24"/>
              </w:rPr>
              <w:t xml:space="preserve">Appendix Four (c): </w:t>
            </w:r>
            <w:r w:rsidRPr="00691BD4">
              <w:rPr>
                <w:rStyle w:val="Hyperlink"/>
                <w:rFonts w:ascii="Times New Roman" w:hAnsi="Times New Roman" w:cs="Times New Roman"/>
                <w:b/>
                <w:bCs/>
                <w:i/>
                <w:iCs/>
                <w:noProof/>
                <w:sz w:val="24"/>
                <w:szCs w:val="24"/>
              </w:rPr>
              <w:t>Survey Instrument</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_Toc206317540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52</w:t>
            </w:r>
            <w:r w:rsidRPr="00691BD4">
              <w:rPr>
                <w:rFonts w:ascii="Times New Roman" w:hAnsi="Times New Roman" w:cs="Times New Roman"/>
                <w:noProof/>
                <w:webHidden/>
                <w:sz w:val="24"/>
                <w:szCs w:val="24"/>
              </w:rPr>
              <w:fldChar w:fldCharType="end"/>
            </w:r>
          </w:hyperlink>
        </w:p>
        <w:p w14:paraId="3C907B8E" w14:textId="0915B9F0" w:rsidR="001255CA" w:rsidRPr="00691BD4" w:rsidRDefault="001255CA" w:rsidP="0001506A">
          <w:pPr>
            <w:pStyle w:val="TOC2"/>
            <w:tabs>
              <w:tab w:val="right" w:leader="dot" w:pos="9016"/>
            </w:tabs>
            <w:spacing w:line="360" w:lineRule="auto"/>
            <w:rPr>
              <w:rFonts w:ascii="Times New Roman" w:eastAsiaTheme="minorEastAsia" w:hAnsi="Times New Roman" w:cs="Times New Roman"/>
              <w:noProof/>
              <w:sz w:val="24"/>
              <w:szCs w:val="24"/>
              <w:lang w:eastAsia="nb-NO"/>
            </w:rPr>
          </w:pPr>
          <w:hyperlink w:anchor="_Toc206317541" w:history="1">
            <w:r w:rsidRPr="00691BD4">
              <w:rPr>
                <w:rStyle w:val="Hyperlink"/>
                <w:rFonts w:ascii="Times New Roman" w:hAnsi="Times New Roman" w:cs="Times New Roman"/>
                <w:b/>
                <w:bCs/>
                <w:noProof/>
                <w:sz w:val="24"/>
                <w:szCs w:val="24"/>
              </w:rPr>
              <w:t xml:space="preserve">Appendix Four (d): </w:t>
            </w:r>
            <w:r w:rsidRPr="00691BD4">
              <w:rPr>
                <w:rStyle w:val="Hyperlink"/>
                <w:rFonts w:ascii="Times New Roman" w:hAnsi="Times New Roman" w:cs="Times New Roman"/>
                <w:b/>
                <w:bCs/>
                <w:i/>
                <w:iCs/>
                <w:noProof/>
                <w:sz w:val="24"/>
                <w:szCs w:val="24"/>
              </w:rPr>
              <w:t>Survey Data</w:t>
            </w:r>
            <w:r w:rsidRPr="00691BD4">
              <w:rPr>
                <w:rFonts w:ascii="Times New Roman" w:hAnsi="Times New Roman" w:cs="Times New Roman"/>
                <w:noProof/>
                <w:webHidden/>
                <w:sz w:val="24"/>
                <w:szCs w:val="24"/>
              </w:rPr>
              <w:tab/>
            </w:r>
            <w:r w:rsidRPr="00691BD4">
              <w:rPr>
                <w:rFonts w:ascii="Times New Roman" w:hAnsi="Times New Roman" w:cs="Times New Roman"/>
                <w:noProof/>
                <w:webHidden/>
                <w:sz w:val="24"/>
                <w:szCs w:val="24"/>
              </w:rPr>
              <w:fldChar w:fldCharType="begin"/>
            </w:r>
            <w:r w:rsidRPr="00691BD4">
              <w:rPr>
                <w:rFonts w:ascii="Times New Roman" w:hAnsi="Times New Roman" w:cs="Times New Roman"/>
                <w:noProof/>
                <w:webHidden/>
                <w:sz w:val="24"/>
                <w:szCs w:val="24"/>
              </w:rPr>
              <w:instrText xml:space="preserve"> PAGEREF _Toc206317541 \h </w:instrText>
            </w:r>
            <w:r w:rsidRPr="00691BD4">
              <w:rPr>
                <w:rFonts w:ascii="Times New Roman" w:hAnsi="Times New Roman" w:cs="Times New Roman"/>
                <w:noProof/>
                <w:webHidden/>
                <w:sz w:val="24"/>
                <w:szCs w:val="24"/>
              </w:rPr>
            </w:r>
            <w:r w:rsidRPr="00691BD4">
              <w:rPr>
                <w:rFonts w:ascii="Times New Roman" w:hAnsi="Times New Roman" w:cs="Times New Roman"/>
                <w:noProof/>
                <w:webHidden/>
                <w:sz w:val="24"/>
                <w:szCs w:val="24"/>
              </w:rPr>
              <w:fldChar w:fldCharType="separate"/>
            </w:r>
            <w:r w:rsidRPr="00691BD4">
              <w:rPr>
                <w:rFonts w:ascii="Times New Roman" w:hAnsi="Times New Roman" w:cs="Times New Roman"/>
                <w:noProof/>
                <w:webHidden/>
                <w:sz w:val="24"/>
                <w:szCs w:val="24"/>
              </w:rPr>
              <w:t>60</w:t>
            </w:r>
            <w:r w:rsidRPr="00691BD4">
              <w:rPr>
                <w:rFonts w:ascii="Times New Roman" w:hAnsi="Times New Roman" w:cs="Times New Roman"/>
                <w:noProof/>
                <w:webHidden/>
                <w:sz w:val="24"/>
                <w:szCs w:val="24"/>
              </w:rPr>
              <w:fldChar w:fldCharType="end"/>
            </w:r>
          </w:hyperlink>
        </w:p>
        <w:p w14:paraId="003E7F63" w14:textId="0DE0BFB8" w:rsidR="00EF74D0" w:rsidRPr="001A2EF6" w:rsidRDefault="00EF74D0" w:rsidP="0001506A">
          <w:pPr>
            <w:spacing w:line="360" w:lineRule="auto"/>
            <w:rPr>
              <w:rFonts w:ascii="Times New Roman" w:hAnsi="Times New Roman" w:cs="Times New Roman"/>
              <w:sz w:val="24"/>
              <w:szCs w:val="24"/>
            </w:rPr>
          </w:pPr>
          <w:r w:rsidRPr="00691BD4">
            <w:rPr>
              <w:rFonts w:ascii="Times New Roman" w:hAnsi="Times New Roman" w:cs="Times New Roman"/>
              <w:b/>
              <w:bCs/>
              <w:noProof/>
              <w:sz w:val="24"/>
              <w:szCs w:val="24"/>
            </w:rPr>
            <w:fldChar w:fldCharType="end"/>
          </w:r>
        </w:p>
      </w:sdtContent>
    </w:sdt>
    <w:p w14:paraId="0767F7BC" w14:textId="7188BDC3" w:rsidR="00EF74D0" w:rsidRPr="001A2EF6" w:rsidRDefault="00EF74D0" w:rsidP="0001506A">
      <w:pPr>
        <w:spacing w:line="360" w:lineRule="auto"/>
        <w:rPr>
          <w:rFonts w:ascii="Times New Roman" w:eastAsiaTheme="majorEastAsia" w:hAnsi="Times New Roman" w:cs="Times New Roman"/>
          <w:color w:val="0F4761" w:themeColor="accent1" w:themeShade="BF"/>
          <w:sz w:val="24"/>
          <w:szCs w:val="24"/>
        </w:rPr>
      </w:pPr>
    </w:p>
    <w:p w14:paraId="324F4F66" w14:textId="034CCED8" w:rsidR="00E62675" w:rsidRPr="00916049" w:rsidRDefault="00C574EA" w:rsidP="0001506A">
      <w:pPr>
        <w:spacing w:line="360" w:lineRule="auto"/>
        <w:rPr>
          <w:rFonts w:ascii="Times New Roman" w:hAnsi="Times New Roman" w:cs="Times New Roman"/>
          <w:b/>
          <w:bCs/>
        </w:rPr>
      </w:pPr>
      <w:r w:rsidRPr="001A2EF6">
        <w:rPr>
          <w:rFonts w:ascii="Times New Roman" w:hAnsi="Times New Roman" w:cs="Times New Roman"/>
          <w:b/>
          <w:bCs/>
        </w:rPr>
        <w:br w:type="page"/>
      </w:r>
    </w:p>
    <w:p w14:paraId="226211A1" w14:textId="77777777" w:rsidR="00E62675" w:rsidRPr="00E62675" w:rsidRDefault="00E62675" w:rsidP="00E62675">
      <w:pPr>
        <w:pStyle w:val="Heading1"/>
        <w:rPr>
          <w:rFonts w:ascii="Times New Roman" w:eastAsia="Times New Roman" w:hAnsi="Times New Roman" w:cs="Times New Roman"/>
          <w:b/>
          <w:bCs/>
          <w:lang w:eastAsia="nb-NO"/>
        </w:rPr>
      </w:pPr>
      <w:bookmarkStart w:id="1" w:name="_Toc206317507"/>
      <w:r w:rsidRPr="00E62675">
        <w:rPr>
          <w:rFonts w:ascii="Times New Roman" w:eastAsia="Times New Roman" w:hAnsi="Times New Roman" w:cs="Times New Roman"/>
          <w:b/>
          <w:bCs/>
          <w:lang w:eastAsia="nb-NO"/>
        </w:rPr>
        <w:lastRenderedPageBreak/>
        <w:t>Executive Summary</w:t>
      </w:r>
      <w:bookmarkEnd w:id="1"/>
    </w:p>
    <w:p w14:paraId="274AFFC4" w14:textId="77777777" w:rsidR="00E62675" w:rsidRPr="00E62675" w:rsidRDefault="00E62675" w:rsidP="00E62675">
      <w:pPr>
        <w:spacing w:before="100" w:beforeAutospacing="1" w:after="100" w:afterAutospacing="1" w:line="360" w:lineRule="auto"/>
        <w:rPr>
          <w:rFonts w:ascii="Times New Roman" w:eastAsia="Times New Roman" w:hAnsi="Times New Roman" w:cs="Times New Roman"/>
          <w:kern w:val="0"/>
          <w:sz w:val="24"/>
          <w:szCs w:val="24"/>
          <w:lang w:eastAsia="nb-NO"/>
          <w14:ligatures w14:val="none"/>
        </w:rPr>
      </w:pPr>
      <w:r w:rsidRPr="00E62675">
        <w:rPr>
          <w:rFonts w:ascii="Times New Roman" w:eastAsia="Times New Roman" w:hAnsi="Times New Roman" w:cs="Times New Roman"/>
          <w:kern w:val="0"/>
          <w:sz w:val="24"/>
          <w:szCs w:val="24"/>
          <w:lang w:eastAsia="nb-NO"/>
          <w14:ligatures w14:val="none"/>
        </w:rPr>
        <w:t>This proposal seeks approval to deliver a focused transformation in Microchip Technology Inc.’s Nordic division that improves executive cognition, compresses decision cycle times, and increases strategic autonomy. The programme is designed to convert proven managerial practice into measurable financial, customer, risk, and people outcomes while remaining light on process and simple to adopt.</w:t>
      </w:r>
    </w:p>
    <w:p w14:paraId="0342D77A" w14:textId="77777777" w:rsidR="00E62675" w:rsidRPr="00E62675" w:rsidRDefault="00E62675" w:rsidP="00E62675">
      <w:pPr>
        <w:spacing w:before="100" w:beforeAutospacing="1" w:after="100" w:afterAutospacing="1" w:line="360" w:lineRule="auto"/>
        <w:rPr>
          <w:rFonts w:ascii="Times New Roman" w:eastAsia="Times New Roman" w:hAnsi="Times New Roman" w:cs="Times New Roman"/>
          <w:kern w:val="0"/>
          <w:sz w:val="24"/>
          <w:szCs w:val="24"/>
          <w:lang w:eastAsia="nb-NO"/>
          <w14:ligatures w14:val="none"/>
        </w:rPr>
      </w:pPr>
      <w:r w:rsidRPr="00E62675">
        <w:rPr>
          <w:rFonts w:ascii="Times New Roman" w:eastAsia="Times New Roman" w:hAnsi="Times New Roman" w:cs="Times New Roman"/>
          <w:kern w:val="0"/>
          <w:sz w:val="24"/>
          <w:szCs w:val="24"/>
          <w:lang w:eastAsia="nb-NO"/>
          <w14:ligatures w14:val="none"/>
        </w:rPr>
        <w:t>The division can expect faster and better decisions, reduced rework, earlier detection of failing initiatives, and a stronger pipeline of disciplined experiments. Benefits will be visible in shorter time to market for priority releases, fewer escalations, lower variance between planned and actual outcomes, and higher engagement in leadership routines. Under conservative assumptions, payback is expected within two to three quarters once the pilot reaches steady operation.</w:t>
      </w:r>
    </w:p>
    <w:p w14:paraId="36510B8F" w14:textId="77777777" w:rsidR="00E62675" w:rsidRPr="00E62675" w:rsidRDefault="00E62675" w:rsidP="00E62675">
      <w:pPr>
        <w:spacing w:before="100" w:beforeAutospacing="1" w:after="100" w:afterAutospacing="1" w:line="360" w:lineRule="auto"/>
        <w:rPr>
          <w:rFonts w:ascii="Times New Roman" w:eastAsia="Times New Roman" w:hAnsi="Times New Roman" w:cs="Times New Roman"/>
          <w:kern w:val="0"/>
          <w:sz w:val="24"/>
          <w:szCs w:val="24"/>
          <w:lang w:eastAsia="nb-NO"/>
          <w14:ligatures w14:val="none"/>
        </w:rPr>
      </w:pPr>
      <w:r w:rsidRPr="00E62675">
        <w:rPr>
          <w:rFonts w:ascii="Times New Roman" w:eastAsia="Times New Roman" w:hAnsi="Times New Roman" w:cs="Times New Roman"/>
          <w:kern w:val="0"/>
          <w:sz w:val="24"/>
          <w:szCs w:val="24"/>
          <w:lang w:eastAsia="nb-NO"/>
          <w14:ligatures w14:val="none"/>
        </w:rPr>
        <w:t>Outcomes are delivered through three integrated elements that work as one system. A digital cognitive dashboard consolidates operational, financial, customer, and people indicators into a forward looking view that elevates signal and supports timely course correction. A set of ritualised decision mapping routines establishes shared mental models for complex choices, with explicit framing, transparent criteria, systematic bias checks, premortem analysis, and scheduled reviews. A small transformation pilot cell concentrates change capacity in live operations, proves value under real conditions, and generates the methods and evidence required for scale.</w:t>
      </w:r>
    </w:p>
    <w:p w14:paraId="5E35352E" w14:textId="77777777" w:rsidR="00E62675" w:rsidRPr="00E62675" w:rsidRDefault="00E62675" w:rsidP="00E62675">
      <w:pPr>
        <w:spacing w:before="100" w:beforeAutospacing="1" w:after="100" w:afterAutospacing="1" w:line="360" w:lineRule="auto"/>
        <w:rPr>
          <w:rFonts w:ascii="Times New Roman" w:eastAsia="Times New Roman" w:hAnsi="Times New Roman" w:cs="Times New Roman"/>
          <w:kern w:val="0"/>
          <w:sz w:val="24"/>
          <w:szCs w:val="24"/>
          <w:lang w:eastAsia="nb-NO"/>
          <w14:ligatures w14:val="none"/>
        </w:rPr>
      </w:pPr>
      <w:r w:rsidRPr="00E62675">
        <w:rPr>
          <w:rFonts w:ascii="Times New Roman" w:eastAsia="Times New Roman" w:hAnsi="Times New Roman" w:cs="Times New Roman"/>
          <w:kern w:val="0"/>
          <w:sz w:val="24"/>
          <w:szCs w:val="24"/>
          <w:lang w:eastAsia="nb-NO"/>
          <w14:ligatures w14:val="none"/>
        </w:rPr>
        <w:t>Measurement is simple and outcome anchored. Median decision lead time will reduce materially within two quarters. Variance between planned and actual outcomes on priority initiatives will decline over year one. Escalations tied to avoidable decision errors will fall through routine use of premortems and clearer criteria. Innovation throughput will rise as leadership attention shifts from rework to exploration and disciplined scale up of successful pilots. Engagement in decision rituals will improve in quarterly pulse data as routines stabilise.</w:t>
      </w:r>
    </w:p>
    <w:p w14:paraId="3A461A73" w14:textId="77777777" w:rsidR="00E62675" w:rsidRPr="00E62675" w:rsidRDefault="00E62675" w:rsidP="00E62675">
      <w:pPr>
        <w:spacing w:before="100" w:beforeAutospacing="1" w:after="100" w:afterAutospacing="1" w:line="360" w:lineRule="auto"/>
        <w:rPr>
          <w:rFonts w:ascii="Times New Roman" w:eastAsia="Times New Roman" w:hAnsi="Times New Roman" w:cs="Times New Roman"/>
          <w:kern w:val="0"/>
          <w:sz w:val="24"/>
          <w:szCs w:val="24"/>
          <w:lang w:eastAsia="nb-NO"/>
          <w14:ligatures w14:val="none"/>
        </w:rPr>
      </w:pPr>
      <w:r w:rsidRPr="00E62675">
        <w:rPr>
          <w:rFonts w:ascii="Times New Roman" w:eastAsia="Times New Roman" w:hAnsi="Times New Roman" w:cs="Times New Roman"/>
          <w:kern w:val="0"/>
          <w:sz w:val="24"/>
          <w:szCs w:val="24"/>
          <w:lang w:eastAsia="nb-NO"/>
          <w14:ligatures w14:val="none"/>
        </w:rPr>
        <w:t xml:space="preserve">Governance and risk control are built in. A steering group chaired by Nordic leadership provides direction, ensures adoption, and allocates funding through clear stage gates linked to evidenced benefits and capability thresholds. The dashboard draws primarily on existing </w:t>
      </w:r>
      <w:r w:rsidRPr="00E62675">
        <w:rPr>
          <w:rFonts w:ascii="Times New Roman" w:eastAsia="Times New Roman" w:hAnsi="Times New Roman" w:cs="Times New Roman"/>
          <w:kern w:val="0"/>
          <w:sz w:val="24"/>
          <w:szCs w:val="24"/>
          <w:lang w:eastAsia="nb-NO"/>
          <w14:ligatures w14:val="none"/>
        </w:rPr>
        <w:lastRenderedPageBreak/>
        <w:t>enterprise data to increase signal without adding reporting burden. Capability building focuses on practice, coaching, and simple templates so that new habits become the default way of working.</w:t>
      </w:r>
    </w:p>
    <w:p w14:paraId="2E718778" w14:textId="77777777" w:rsidR="00E62675" w:rsidRPr="00E62675" w:rsidRDefault="00E62675" w:rsidP="00E62675">
      <w:pPr>
        <w:spacing w:before="100" w:beforeAutospacing="1" w:after="100" w:afterAutospacing="1" w:line="360" w:lineRule="auto"/>
        <w:rPr>
          <w:rFonts w:ascii="Times New Roman" w:eastAsia="Times New Roman" w:hAnsi="Times New Roman" w:cs="Times New Roman"/>
          <w:kern w:val="0"/>
          <w:sz w:val="24"/>
          <w:szCs w:val="24"/>
          <w:lang w:eastAsia="nb-NO"/>
          <w14:ligatures w14:val="none"/>
        </w:rPr>
      </w:pPr>
      <w:r w:rsidRPr="00E62675">
        <w:rPr>
          <w:rFonts w:ascii="Times New Roman" w:eastAsia="Times New Roman" w:hAnsi="Times New Roman" w:cs="Times New Roman"/>
          <w:kern w:val="0"/>
          <w:sz w:val="24"/>
          <w:szCs w:val="24"/>
          <w:lang w:eastAsia="nb-NO"/>
          <w14:ligatures w14:val="none"/>
        </w:rPr>
        <w:t>Approval will position the Nordic division as a reference site for evidence based leadership and disciplined execution. The approach travels across business units with contextual tailoring and creates a persistent improvement in the quality and speed of executive action, with corresponding gains in customer value, financial performance, and organisational resilience.</w:t>
      </w:r>
    </w:p>
    <w:p w14:paraId="6FCCCFD9" w14:textId="77777777" w:rsidR="00E62675" w:rsidRPr="001A2EF6" w:rsidRDefault="00E62675">
      <w:pPr>
        <w:rPr>
          <w:rFonts w:ascii="Times New Roman" w:eastAsiaTheme="majorEastAsia" w:hAnsi="Times New Roman" w:cs="Times New Roman"/>
          <w:b/>
          <w:bCs/>
          <w:color w:val="0F4761" w:themeColor="accent1" w:themeShade="BF"/>
          <w:sz w:val="40"/>
          <w:szCs w:val="40"/>
        </w:rPr>
      </w:pPr>
    </w:p>
    <w:p w14:paraId="60490F93" w14:textId="77777777" w:rsidR="00916049" w:rsidRDefault="00916049">
      <w:pPr>
        <w:rPr>
          <w:rFonts w:ascii="Times New Roman" w:eastAsiaTheme="majorEastAsia" w:hAnsi="Times New Roman" w:cs="Times New Roman"/>
          <w:b/>
          <w:bCs/>
          <w:color w:val="0F4761" w:themeColor="accent1" w:themeShade="BF"/>
          <w:sz w:val="40"/>
          <w:szCs w:val="40"/>
        </w:rPr>
      </w:pPr>
      <w:r>
        <w:rPr>
          <w:rFonts w:ascii="Times New Roman" w:hAnsi="Times New Roman" w:cs="Times New Roman"/>
          <w:b/>
          <w:bCs/>
        </w:rPr>
        <w:br w:type="page"/>
      </w:r>
    </w:p>
    <w:p w14:paraId="7B8FF8BC" w14:textId="0B3DE363" w:rsidR="007902B7" w:rsidRPr="001A2EF6" w:rsidRDefault="007902B7" w:rsidP="00060C39">
      <w:pPr>
        <w:pStyle w:val="Heading1"/>
        <w:rPr>
          <w:rFonts w:ascii="Times New Roman" w:hAnsi="Times New Roman" w:cs="Times New Roman"/>
          <w:b/>
          <w:bCs/>
        </w:rPr>
      </w:pPr>
      <w:bookmarkStart w:id="2" w:name="_Toc206317508"/>
      <w:r w:rsidRPr="001A2EF6">
        <w:rPr>
          <w:rFonts w:ascii="Times New Roman" w:hAnsi="Times New Roman" w:cs="Times New Roman"/>
          <w:b/>
          <w:bCs/>
        </w:rPr>
        <w:lastRenderedPageBreak/>
        <w:t>Introduction</w:t>
      </w:r>
      <w:bookmarkEnd w:id="0"/>
      <w:bookmarkEnd w:id="2"/>
    </w:p>
    <w:p w14:paraId="3DE0BAB6" w14:textId="51E1A37D" w:rsidR="0014763C" w:rsidRPr="0014763C" w:rsidRDefault="0014763C" w:rsidP="0014763C">
      <w:pPr>
        <w:spacing w:line="360" w:lineRule="auto"/>
        <w:rPr>
          <w:rFonts w:ascii="Times New Roman" w:hAnsi="Times New Roman" w:cs="Times New Roman"/>
          <w:sz w:val="24"/>
          <w:szCs w:val="24"/>
        </w:rPr>
      </w:pPr>
      <w:r w:rsidRPr="0014763C">
        <w:rPr>
          <w:rFonts w:ascii="Times New Roman" w:hAnsi="Times New Roman" w:cs="Times New Roman"/>
          <w:sz w:val="24"/>
          <w:szCs w:val="24"/>
        </w:rPr>
        <w:t>Microchip Technology Inc.’s Nordic division operates in an environment of persistent complexity and pace. Volatile demand, intricate supply networks, and shifting customer requirements place sustained cognitive pressure on senior leadership, raising the stakes for clarity of intent, quality of information, and discipline in decision forums.</w:t>
      </w:r>
    </w:p>
    <w:p w14:paraId="7167B9E5" w14:textId="12677650" w:rsidR="0014763C" w:rsidRPr="0014763C" w:rsidRDefault="0014763C" w:rsidP="0014763C">
      <w:pPr>
        <w:spacing w:line="360" w:lineRule="auto"/>
        <w:rPr>
          <w:rFonts w:ascii="Times New Roman" w:hAnsi="Times New Roman" w:cs="Times New Roman"/>
          <w:sz w:val="24"/>
          <w:szCs w:val="24"/>
        </w:rPr>
      </w:pPr>
      <w:r w:rsidRPr="0014763C">
        <w:rPr>
          <w:rFonts w:ascii="Times New Roman" w:hAnsi="Times New Roman" w:cs="Times New Roman"/>
          <w:sz w:val="24"/>
          <w:szCs w:val="24"/>
        </w:rPr>
        <w:t xml:space="preserve">The purpose of this </w:t>
      </w:r>
      <w:r w:rsidR="001E3E9A">
        <w:rPr>
          <w:rFonts w:ascii="Times New Roman" w:hAnsi="Times New Roman" w:cs="Times New Roman"/>
          <w:sz w:val="24"/>
          <w:szCs w:val="24"/>
        </w:rPr>
        <w:t>proposal</w:t>
      </w:r>
      <w:r w:rsidRPr="0014763C">
        <w:rPr>
          <w:rFonts w:ascii="Times New Roman" w:hAnsi="Times New Roman" w:cs="Times New Roman"/>
          <w:sz w:val="24"/>
          <w:szCs w:val="24"/>
        </w:rPr>
        <w:t xml:space="preserve"> is to define the leadership decision challenge in operational terms, state the objectives for improvement, and secure approval to initiate a focused programme that strengthens strategic autonomy and reliability of executive action. The emphasis is practical and outcome oriented while remaining light on process and respectful of existing ways of working.</w:t>
      </w:r>
    </w:p>
    <w:p w14:paraId="2693FFA6" w14:textId="77777777" w:rsidR="0014763C" w:rsidRPr="0014763C" w:rsidRDefault="0014763C" w:rsidP="0014763C">
      <w:pPr>
        <w:spacing w:line="360" w:lineRule="auto"/>
        <w:rPr>
          <w:rFonts w:ascii="Times New Roman" w:hAnsi="Times New Roman" w:cs="Times New Roman"/>
          <w:sz w:val="24"/>
          <w:szCs w:val="24"/>
        </w:rPr>
      </w:pPr>
      <w:r w:rsidRPr="0014763C">
        <w:rPr>
          <w:rFonts w:ascii="Times New Roman" w:hAnsi="Times New Roman" w:cs="Times New Roman"/>
          <w:sz w:val="24"/>
          <w:szCs w:val="24"/>
        </w:rPr>
        <w:t>The scope covers executive decisions that materially shape revenue, cost, risk, and capability across commercial, operations, and technology domains within the Nordic division. The proposal concentrates on raising signal quality, sharpening decision preparation and review, and reinforcing learning from outcomes. It leverages current systems and accountabilities rather than pursuing structural reorganisation or wholesale process redesign.</w:t>
      </w:r>
    </w:p>
    <w:p w14:paraId="352A6CAF" w14:textId="77777777" w:rsidR="00A27E1D" w:rsidRPr="001A2EF6" w:rsidRDefault="00A27E1D">
      <w:pPr>
        <w:rPr>
          <w:rFonts w:ascii="Times New Roman" w:eastAsia="Times New Roman" w:hAnsi="Times New Roman" w:cs="Times New Roman"/>
          <w:color w:val="0F4761" w:themeColor="accent1" w:themeShade="BF"/>
          <w:sz w:val="40"/>
          <w:szCs w:val="40"/>
          <w:lang w:eastAsia="nb-NO"/>
        </w:rPr>
      </w:pPr>
      <w:bookmarkStart w:id="3" w:name="_Toc204006804"/>
      <w:r w:rsidRPr="001A2EF6">
        <w:rPr>
          <w:rFonts w:ascii="Times New Roman" w:eastAsia="Times New Roman" w:hAnsi="Times New Roman" w:cs="Times New Roman"/>
          <w:lang w:eastAsia="nb-NO"/>
        </w:rPr>
        <w:br w:type="page"/>
      </w:r>
    </w:p>
    <w:p w14:paraId="319DF7D8" w14:textId="4C41DE00" w:rsidR="00F40320" w:rsidRPr="00685474" w:rsidRDefault="00847936" w:rsidP="00685474">
      <w:pPr>
        <w:pStyle w:val="Heading1"/>
        <w:rPr>
          <w:rFonts w:ascii="Times New Roman" w:eastAsia="Times New Roman" w:hAnsi="Times New Roman" w:cs="Times New Roman"/>
          <w:b/>
          <w:bCs/>
          <w:lang w:eastAsia="nb-NO"/>
        </w:rPr>
      </w:pPr>
      <w:bookmarkStart w:id="4" w:name="_Toc206317509"/>
      <w:r w:rsidRPr="001A2EF6">
        <w:rPr>
          <w:rFonts w:ascii="Times New Roman" w:eastAsia="Times New Roman" w:hAnsi="Times New Roman" w:cs="Times New Roman"/>
          <w:b/>
          <w:bCs/>
          <w:lang w:eastAsia="nb-NO"/>
        </w:rPr>
        <w:lastRenderedPageBreak/>
        <w:t>Problem Statement</w:t>
      </w:r>
      <w:bookmarkEnd w:id="3"/>
      <w:bookmarkEnd w:id="4"/>
    </w:p>
    <w:p w14:paraId="1BDFB2D4" w14:textId="15EE8157" w:rsidR="00685474" w:rsidRPr="00685474" w:rsidRDefault="00685474" w:rsidP="00685474">
      <w:pPr>
        <w:spacing w:line="360" w:lineRule="auto"/>
        <w:rPr>
          <w:rFonts w:ascii="Times New Roman" w:eastAsia="Times New Roman" w:hAnsi="Times New Roman" w:cs="Times New Roman"/>
          <w:sz w:val="24"/>
          <w:szCs w:val="24"/>
          <w:lang w:eastAsia="nb-NO"/>
        </w:rPr>
      </w:pPr>
      <w:bookmarkStart w:id="5" w:name="_Toc204006808"/>
      <w:r w:rsidRPr="00685474">
        <w:rPr>
          <w:rFonts w:ascii="Times New Roman" w:eastAsia="Times New Roman" w:hAnsi="Times New Roman" w:cs="Times New Roman"/>
          <w:sz w:val="24"/>
          <w:szCs w:val="24"/>
          <w:lang w:eastAsia="nb-NO"/>
        </w:rPr>
        <w:t>Microchip Technology Inc.’s Nordic division operates under sustained complexity and pace that elevate cognitive load on senior leadership and raise the cost of slow or inconsistent decisions. External conditions shaped by volatility and post crisis renewal intensify pressure on information quality and forum discipline, heightening the risk of decision latency, rework, and diluted strategic focus (Bennett and Lemoine 2014; Maor et al. 2022). Internal evidence indicates a persistent gap between formal authority and genuine cognitive autonomy. An internal survey of twenty four senior leaders found that more than fifty four per cent reported difficulty maintaining strategic clarity during periods of pressure. Ninety one per cent acknowledged formally delegated autonomy for strategic decisions, with nearly forty six per cent strongly agreeing, yet more than ninety five per cent simultaneously indicated feeling constrained by organisational structure or excessive workload. The pattern signals a structural constraint on leadership attention rather than an episodic skills issue.</w:t>
      </w:r>
    </w:p>
    <w:p w14:paraId="6FDC1CDF" w14:textId="77777777" w:rsidR="00685474" w:rsidRPr="00685474" w:rsidRDefault="00685474" w:rsidP="00685474">
      <w:pPr>
        <w:spacing w:line="360" w:lineRule="auto"/>
        <w:rPr>
          <w:rFonts w:ascii="Times New Roman" w:eastAsia="Times New Roman" w:hAnsi="Times New Roman" w:cs="Times New Roman"/>
          <w:sz w:val="24"/>
          <w:szCs w:val="24"/>
          <w:lang w:eastAsia="nb-NO"/>
        </w:rPr>
      </w:pPr>
    </w:p>
    <w:p w14:paraId="6A4C7724" w14:textId="77777777" w:rsidR="00685474" w:rsidRPr="00685474" w:rsidRDefault="00685474" w:rsidP="00685474">
      <w:pPr>
        <w:spacing w:line="360" w:lineRule="auto"/>
        <w:rPr>
          <w:rFonts w:ascii="Times New Roman" w:eastAsia="Times New Roman" w:hAnsi="Times New Roman" w:cs="Times New Roman"/>
          <w:sz w:val="24"/>
          <w:szCs w:val="24"/>
          <w:lang w:eastAsia="nb-NO"/>
        </w:rPr>
      </w:pPr>
      <w:r w:rsidRPr="00685474">
        <w:rPr>
          <w:rFonts w:ascii="Times New Roman" w:eastAsia="Times New Roman" w:hAnsi="Times New Roman" w:cs="Times New Roman"/>
          <w:sz w:val="24"/>
          <w:szCs w:val="24"/>
          <w:lang w:eastAsia="nb-NO"/>
        </w:rPr>
        <w:t>Operational manifestations are visible across decision forums and artefacts. Decision fatigue accumulates as cognitive demands persist, eroding judgement and consistency of choice, while leaders must continuously reconcile fast intuitive processing with slower analytical reasoning without explicit scaffolding in preparation, challenge, and review (Pignatiello, Martin and Hickman 2020; Kahneman 2011). Complex problem solving proceeds through recognisable phases, yet these phases are expressed unevenly across documents and meetings, which weakens traceability of rationales and reduces comparability across options (Goel 1995). At the organisational level, attention must be balanced between running the core and exploring new opportunities, a tension that requires deliberate design rather than informal accommodation if strategic autonomy is to be realised in practice (Anthony, Gilbert and Johnson 2017).</w:t>
      </w:r>
    </w:p>
    <w:p w14:paraId="1283A215" w14:textId="77777777" w:rsidR="00685474" w:rsidRPr="00685474" w:rsidRDefault="00685474" w:rsidP="00685474">
      <w:pPr>
        <w:spacing w:line="360" w:lineRule="auto"/>
        <w:rPr>
          <w:rFonts w:ascii="Times New Roman" w:eastAsia="Times New Roman" w:hAnsi="Times New Roman" w:cs="Times New Roman"/>
          <w:sz w:val="24"/>
          <w:szCs w:val="24"/>
          <w:lang w:eastAsia="nb-NO"/>
        </w:rPr>
      </w:pPr>
    </w:p>
    <w:p w14:paraId="5EEDB8B9" w14:textId="77777777" w:rsidR="00685474" w:rsidRPr="00685474" w:rsidRDefault="00685474" w:rsidP="00685474">
      <w:pPr>
        <w:spacing w:line="360" w:lineRule="auto"/>
        <w:rPr>
          <w:rFonts w:ascii="Times New Roman" w:eastAsia="Times New Roman" w:hAnsi="Times New Roman" w:cs="Times New Roman"/>
          <w:sz w:val="24"/>
          <w:szCs w:val="24"/>
          <w:lang w:eastAsia="nb-NO"/>
        </w:rPr>
      </w:pPr>
      <w:r w:rsidRPr="00685474">
        <w:rPr>
          <w:rFonts w:ascii="Times New Roman" w:eastAsia="Times New Roman" w:hAnsi="Times New Roman" w:cs="Times New Roman"/>
          <w:sz w:val="24"/>
          <w:szCs w:val="24"/>
          <w:lang w:eastAsia="nb-NO"/>
        </w:rPr>
        <w:t>Consequences compound over time. Decision latency delays time to market for priority releases. Variability in preparation and review increases cost of poor quality and drives avoidable escalations. Innovation throughput softens as leadership attention is diverted to rework rather than disciplined experimentation and scale up. Morale and engagement decline when meeting quality is inconsistent and follow through is unreliable, which erodes confidence in decision forums and reduces discretionary effort.</w:t>
      </w:r>
    </w:p>
    <w:p w14:paraId="60D47AC8" w14:textId="77777777" w:rsidR="00685474" w:rsidRPr="00685474" w:rsidRDefault="00685474" w:rsidP="00685474">
      <w:pPr>
        <w:spacing w:line="360" w:lineRule="auto"/>
        <w:rPr>
          <w:rFonts w:ascii="Times New Roman" w:eastAsia="Times New Roman" w:hAnsi="Times New Roman" w:cs="Times New Roman"/>
          <w:sz w:val="24"/>
          <w:szCs w:val="24"/>
          <w:lang w:eastAsia="nb-NO"/>
        </w:rPr>
      </w:pPr>
    </w:p>
    <w:p w14:paraId="19DFEAD9" w14:textId="527721DF" w:rsidR="000E4E4B" w:rsidRPr="00685474" w:rsidRDefault="00685474" w:rsidP="00685474">
      <w:pPr>
        <w:spacing w:line="360" w:lineRule="auto"/>
        <w:rPr>
          <w:rFonts w:ascii="Times New Roman" w:eastAsia="Times New Roman" w:hAnsi="Times New Roman" w:cs="Times New Roman"/>
          <w:color w:val="0F4761" w:themeColor="accent1" w:themeShade="BF"/>
          <w:sz w:val="24"/>
          <w:szCs w:val="24"/>
          <w:lang w:eastAsia="nb-NO"/>
        </w:rPr>
      </w:pPr>
      <w:r w:rsidRPr="00685474">
        <w:rPr>
          <w:rFonts w:ascii="Times New Roman" w:eastAsia="Times New Roman" w:hAnsi="Times New Roman" w:cs="Times New Roman"/>
          <w:sz w:val="24"/>
          <w:szCs w:val="24"/>
          <w:lang w:eastAsia="nb-NO"/>
        </w:rPr>
        <w:t>The core problem is the absence of a coherent decision system that preserves executive cognitive capacity while producing faster and better choices with clear traceability. The division requires a consistent way to raise signal quality in preparation, standardise the critical steps of complex choices from framing to review, embed simple bias checks and premortem analysis, and close learning loops so that outcomes inform future choices. Until this capability is installed, leadership will continue to experience a disparity between the autonomy granted on paper and the autonomy realised in practice, with predictable drag on financial performance, customer outcomes, risk control, and innovation velocity (Bennett and Lemoine 2014; Kahneman 2011; Goel 1995; Pignatiello, Martin and Hickman 2020; Anthony, Gilbert and Johnson 2017; Maor et al. 2022).</w:t>
      </w:r>
    </w:p>
    <w:bookmarkEnd w:id="5"/>
    <w:p w14:paraId="0CAB4139" w14:textId="77777777" w:rsidR="00F40320" w:rsidRPr="001A2EF6" w:rsidRDefault="00F40320" w:rsidP="00884BB0">
      <w:pPr>
        <w:spacing w:line="360" w:lineRule="auto"/>
        <w:rPr>
          <w:rFonts w:ascii="Times New Roman" w:hAnsi="Times New Roman" w:cs="Times New Roman"/>
          <w:sz w:val="24"/>
          <w:szCs w:val="24"/>
        </w:rPr>
      </w:pPr>
    </w:p>
    <w:p w14:paraId="785E7829" w14:textId="77777777" w:rsidR="00F40320" w:rsidRPr="001A2EF6" w:rsidRDefault="00F40320" w:rsidP="00884BB0">
      <w:pPr>
        <w:spacing w:line="360" w:lineRule="auto"/>
        <w:rPr>
          <w:rFonts w:ascii="Times New Roman" w:hAnsi="Times New Roman" w:cs="Times New Roman"/>
          <w:sz w:val="24"/>
          <w:szCs w:val="24"/>
        </w:rPr>
      </w:pPr>
    </w:p>
    <w:p w14:paraId="0D422822" w14:textId="77777777" w:rsidR="00F40320" w:rsidRPr="001A2EF6" w:rsidRDefault="00F40320" w:rsidP="00884BB0">
      <w:pPr>
        <w:spacing w:line="360" w:lineRule="auto"/>
        <w:rPr>
          <w:rFonts w:ascii="Times New Roman" w:hAnsi="Times New Roman" w:cs="Times New Roman"/>
          <w:sz w:val="24"/>
          <w:szCs w:val="24"/>
        </w:rPr>
      </w:pPr>
    </w:p>
    <w:p w14:paraId="2B19B664" w14:textId="77777777" w:rsidR="00F40320" w:rsidRPr="001A2EF6" w:rsidRDefault="00F40320" w:rsidP="00884BB0">
      <w:pPr>
        <w:spacing w:line="360" w:lineRule="auto"/>
        <w:rPr>
          <w:rFonts w:ascii="Times New Roman" w:hAnsi="Times New Roman" w:cs="Times New Roman"/>
          <w:sz w:val="24"/>
          <w:szCs w:val="24"/>
        </w:rPr>
      </w:pPr>
    </w:p>
    <w:p w14:paraId="2FAAA804" w14:textId="77777777" w:rsidR="00F40320" w:rsidRPr="001A2EF6" w:rsidRDefault="00F40320" w:rsidP="00884BB0">
      <w:pPr>
        <w:spacing w:line="360" w:lineRule="auto"/>
        <w:rPr>
          <w:rFonts w:ascii="Times New Roman" w:hAnsi="Times New Roman" w:cs="Times New Roman"/>
          <w:sz w:val="24"/>
          <w:szCs w:val="24"/>
        </w:rPr>
      </w:pPr>
    </w:p>
    <w:p w14:paraId="2C475524" w14:textId="77777777" w:rsidR="00F40320" w:rsidRPr="001A2EF6" w:rsidRDefault="00F40320" w:rsidP="00884BB0">
      <w:pPr>
        <w:spacing w:line="360" w:lineRule="auto"/>
        <w:rPr>
          <w:rFonts w:ascii="Times New Roman" w:hAnsi="Times New Roman" w:cs="Times New Roman"/>
          <w:sz w:val="24"/>
          <w:szCs w:val="24"/>
        </w:rPr>
      </w:pPr>
    </w:p>
    <w:p w14:paraId="1D1A6893" w14:textId="77777777" w:rsidR="00897B3B" w:rsidRDefault="00897B3B">
      <w:pPr>
        <w:rPr>
          <w:rFonts w:ascii="Times New Roman" w:eastAsiaTheme="majorEastAsia" w:hAnsi="Times New Roman" w:cs="Times New Roman"/>
          <w:b/>
          <w:bCs/>
          <w:color w:val="0F4761" w:themeColor="accent1" w:themeShade="BF"/>
          <w:sz w:val="40"/>
          <w:szCs w:val="40"/>
        </w:rPr>
      </w:pPr>
      <w:bookmarkStart w:id="6" w:name="_Toc204006811"/>
      <w:r>
        <w:rPr>
          <w:rFonts w:ascii="Times New Roman" w:hAnsi="Times New Roman" w:cs="Times New Roman"/>
          <w:b/>
          <w:bCs/>
        </w:rPr>
        <w:br w:type="page"/>
      </w:r>
    </w:p>
    <w:p w14:paraId="5C37965B" w14:textId="58C1C7CA" w:rsidR="000728C4" w:rsidRPr="001A2EF6" w:rsidRDefault="000728C4" w:rsidP="00871946">
      <w:pPr>
        <w:pStyle w:val="Heading1"/>
        <w:rPr>
          <w:rFonts w:ascii="Times New Roman" w:hAnsi="Times New Roman" w:cs="Times New Roman"/>
          <w:b/>
          <w:bCs/>
        </w:rPr>
      </w:pPr>
      <w:bookmarkStart w:id="7" w:name="_Toc206317510"/>
      <w:r w:rsidRPr="001A2EF6">
        <w:rPr>
          <w:rFonts w:ascii="Times New Roman" w:hAnsi="Times New Roman" w:cs="Times New Roman"/>
          <w:b/>
          <w:bCs/>
        </w:rPr>
        <w:lastRenderedPageBreak/>
        <w:t>Innovation Management and Post-Pandemic Leadership Strategy</w:t>
      </w:r>
      <w:bookmarkEnd w:id="6"/>
      <w:bookmarkEnd w:id="7"/>
    </w:p>
    <w:p w14:paraId="5B900E4D" w14:textId="77DBC183" w:rsidR="000728C4" w:rsidRPr="001A2EF6" w:rsidRDefault="000728C4"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The context of this research is defined by organisational innovation and strategic renewal following the Covid-19 crisis. Many firms have reassessed their leadership and operating models, with those emerging stronger having embraced disruption as an opportunity for forward-facing transformation rather than a return to prior routines (De Smet et al. 2021). This aligns with strategic resilience theory, which emphasises agility, adaptation and embedded learning as foundations of long-term viability (Maor et al. 2022). Studies confirm that decentralised teams with genuine autonomy and accountable ownership demonstrate faster pivot capacity and foster bottom-up innovation (De Smet et al., 2021). These findings underpin the “Transformation Pilot Cell” in the proposed CISA model: a cross-functional unit empowered to experiment with new decision-making approaches while embedding a culture of learning and cognitive self-regulation.</w:t>
      </w:r>
    </w:p>
    <w:p w14:paraId="2F552450" w14:textId="77777777" w:rsidR="006C77A7" w:rsidRPr="001A2EF6" w:rsidRDefault="006C77A7" w:rsidP="00884BB0">
      <w:pPr>
        <w:spacing w:line="360" w:lineRule="auto"/>
        <w:rPr>
          <w:rFonts w:ascii="Times New Roman" w:hAnsi="Times New Roman" w:cs="Times New Roman"/>
          <w:sz w:val="24"/>
          <w:szCs w:val="24"/>
        </w:rPr>
      </w:pPr>
    </w:p>
    <w:p w14:paraId="408199BB" w14:textId="392DDAAF" w:rsidR="000728C4" w:rsidRPr="001A2EF6" w:rsidRDefault="000728C4"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A further conceptual lens is offered by the Dual Transformation model (Anthony et al. 2017), which distinguishes between Transformation A (strengthening the core business) and Transformation B (pursuing disruptive innovation). In this context, CISA functions as a hybrid intervention: enhancing leadership systems within the core (Transformation A), while simultaneously introducing novel strategic behaviours and routines aligned with Transformation B. The model promotes both immediate performance gains and longer-term organisational adaptability. By deploying cognitive decision tools, clarifying roles, and reducing error-prone judgement under pressure, the organisation reinforces its current leadership capabilities while cultivating a dynamic platform for future resilience.</w:t>
      </w:r>
    </w:p>
    <w:p w14:paraId="01D42F36" w14:textId="77777777" w:rsidR="006C77A7" w:rsidRPr="001A2EF6" w:rsidRDefault="006C77A7" w:rsidP="00884BB0">
      <w:pPr>
        <w:spacing w:line="360" w:lineRule="auto"/>
        <w:rPr>
          <w:rFonts w:ascii="Times New Roman" w:hAnsi="Times New Roman" w:cs="Times New Roman"/>
          <w:sz w:val="24"/>
          <w:szCs w:val="24"/>
        </w:rPr>
      </w:pPr>
    </w:p>
    <w:p w14:paraId="46F37B24" w14:textId="28FBF1BA" w:rsidR="000728C4" w:rsidRPr="001A2EF6" w:rsidRDefault="000728C4"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Recent leadership theory further supports a shift towards post-heroic models, where leadership is shared, networked and embedded in organisational design rather than centralised in individual figures. Effective firms move beyond hierarchy, cultivating networks of empowered teams led by individuals who function as facilitators, architects and coaches (De Smet et al. 2023). This behavioural shift requires cognitive infrastructure to support evolving leadership mindsets</w:t>
      </w:r>
      <w:r w:rsidR="0009340C" w:rsidRPr="001A2EF6">
        <w:rPr>
          <w:rFonts w:ascii="Times New Roman" w:hAnsi="Times New Roman" w:cs="Times New Roman"/>
          <w:sz w:val="24"/>
          <w:szCs w:val="24"/>
        </w:rPr>
        <w:t xml:space="preserve"> - </w:t>
      </w:r>
      <w:r w:rsidRPr="001A2EF6">
        <w:rPr>
          <w:rFonts w:ascii="Times New Roman" w:hAnsi="Times New Roman" w:cs="Times New Roman"/>
          <w:sz w:val="24"/>
          <w:szCs w:val="24"/>
        </w:rPr>
        <w:t xml:space="preserve">namely, openness to uncertainty, commitment to co-creation, and continuous learning (Maor et al. 2022). The CISA model reflects this paradigm by </w:t>
      </w:r>
      <w:r w:rsidRPr="001A2EF6">
        <w:rPr>
          <w:rFonts w:ascii="Times New Roman" w:hAnsi="Times New Roman" w:cs="Times New Roman"/>
          <w:sz w:val="24"/>
          <w:szCs w:val="24"/>
        </w:rPr>
        <w:lastRenderedPageBreak/>
        <w:t>encouraging distributed cognitive engagement through shared routines, transparent decision mapping and structured autonomy. Its design bridges individual neurocognitive capacities with collective innovation mechanisms, thus enabling leaders to operate with both strategic independence and mutual interdependence.</w:t>
      </w:r>
    </w:p>
    <w:p w14:paraId="7C78423C" w14:textId="77777777" w:rsidR="0009340C" w:rsidRPr="001A2EF6" w:rsidRDefault="0009340C" w:rsidP="00884BB0">
      <w:pPr>
        <w:spacing w:line="360" w:lineRule="auto"/>
        <w:rPr>
          <w:rFonts w:ascii="Times New Roman" w:hAnsi="Times New Roman" w:cs="Times New Roman"/>
          <w:sz w:val="24"/>
          <w:szCs w:val="24"/>
        </w:rPr>
      </w:pPr>
    </w:p>
    <w:p w14:paraId="05C7F69D" w14:textId="4AA4FECF" w:rsidR="000728C4" w:rsidRPr="001A2EF6" w:rsidRDefault="000728C4"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There is a notable convergence between what cognitive science identifies as essential for executive functioning</w:t>
      </w:r>
      <w:r w:rsidR="00A23719" w:rsidRPr="001A2EF6">
        <w:rPr>
          <w:rFonts w:ascii="Times New Roman" w:hAnsi="Times New Roman" w:cs="Times New Roman"/>
          <w:sz w:val="24"/>
          <w:szCs w:val="24"/>
        </w:rPr>
        <w:t>,</w:t>
      </w:r>
      <w:r w:rsidR="0009340C" w:rsidRPr="001A2EF6">
        <w:rPr>
          <w:rFonts w:ascii="Times New Roman" w:hAnsi="Times New Roman" w:cs="Times New Roman"/>
          <w:sz w:val="24"/>
          <w:szCs w:val="24"/>
        </w:rPr>
        <w:t xml:space="preserve"> </w:t>
      </w:r>
      <w:r w:rsidRPr="001A2EF6">
        <w:rPr>
          <w:rFonts w:ascii="Times New Roman" w:hAnsi="Times New Roman" w:cs="Times New Roman"/>
          <w:sz w:val="24"/>
          <w:szCs w:val="24"/>
        </w:rPr>
        <w:t>mental clarity, cognitive stamina and reflective regulation</w:t>
      </w:r>
      <w:r w:rsidR="0009340C" w:rsidRPr="001A2EF6">
        <w:rPr>
          <w:rFonts w:ascii="Times New Roman" w:hAnsi="Times New Roman" w:cs="Times New Roman"/>
          <w:sz w:val="24"/>
          <w:szCs w:val="24"/>
        </w:rPr>
        <w:t xml:space="preserve">, </w:t>
      </w:r>
      <w:r w:rsidRPr="001A2EF6">
        <w:rPr>
          <w:rFonts w:ascii="Times New Roman" w:hAnsi="Times New Roman" w:cs="Times New Roman"/>
          <w:sz w:val="24"/>
          <w:szCs w:val="24"/>
        </w:rPr>
        <w:t>and what organisational theory demands: agility, empowerment and innovation at scale. However, most prior interventions fail to integrate these domains. This study therefore positions the CISA model as a synthesis of these literatures, delivering a practical, evidence-based proposal for equipping leaders to sustain cognitive autonomy and strategic clarity in turbulent contexts. In doing so, the model contributes to the broader challenge of building post-pandemic organisational resilience through neurocognitive performance engineering.</w:t>
      </w:r>
    </w:p>
    <w:p w14:paraId="146BDCFE" w14:textId="77777777" w:rsidR="00871946" w:rsidRPr="001A2EF6" w:rsidRDefault="00871946">
      <w:pPr>
        <w:rPr>
          <w:rFonts w:ascii="Times New Roman" w:hAnsi="Times New Roman" w:cs="Times New Roman"/>
          <w:sz w:val="24"/>
          <w:szCs w:val="24"/>
        </w:rPr>
      </w:pPr>
      <w:r w:rsidRPr="001A2EF6">
        <w:rPr>
          <w:rFonts w:ascii="Times New Roman" w:hAnsi="Times New Roman" w:cs="Times New Roman"/>
          <w:sz w:val="24"/>
          <w:szCs w:val="24"/>
        </w:rPr>
        <w:br w:type="page"/>
      </w:r>
    </w:p>
    <w:p w14:paraId="5C70E25A" w14:textId="4D2550B0" w:rsidR="00D13AEA" w:rsidRPr="001A2EF6" w:rsidRDefault="00D13AEA" w:rsidP="006B2341">
      <w:pPr>
        <w:pStyle w:val="Heading1"/>
        <w:rPr>
          <w:rFonts w:ascii="Times New Roman" w:eastAsia="Times New Roman" w:hAnsi="Times New Roman" w:cs="Times New Roman"/>
          <w:b/>
          <w:bCs/>
          <w:lang w:eastAsia="nb-NO"/>
        </w:rPr>
      </w:pPr>
      <w:bookmarkStart w:id="8" w:name="_Toc204006821"/>
      <w:bookmarkStart w:id="9" w:name="_Toc206317511"/>
      <w:r w:rsidRPr="001A2EF6">
        <w:rPr>
          <w:rFonts w:ascii="Times New Roman" w:eastAsia="Times New Roman" w:hAnsi="Times New Roman" w:cs="Times New Roman"/>
          <w:b/>
          <w:bCs/>
          <w:lang w:eastAsia="nb-NO"/>
        </w:rPr>
        <w:lastRenderedPageBreak/>
        <w:t xml:space="preserve">The Proposal: </w:t>
      </w:r>
      <w:r w:rsidR="009C4446">
        <w:rPr>
          <w:rFonts w:ascii="Times New Roman" w:eastAsia="Times New Roman" w:hAnsi="Times New Roman" w:cs="Times New Roman"/>
          <w:b/>
          <w:bCs/>
          <w:lang w:eastAsia="nb-NO"/>
        </w:rPr>
        <w:t xml:space="preserve">The </w:t>
      </w:r>
      <w:r w:rsidRPr="001A2EF6">
        <w:rPr>
          <w:rFonts w:ascii="Times New Roman" w:eastAsia="Times New Roman" w:hAnsi="Times New Roman" w:cs="Times New Roman"/>
          <w:b/>
          <w:bCs/>
          <w:lang w:eastAsia="nb-NO"/>
        </w:rPr>
        <w:t>CISA Model</w:t>
      </w:r>
      <w:bookmarkEnd w:id="8"/>
      <w:bookmarkEnd w:id="9"/>
    </w:p>
    <w:p w14:paraId="71A88FA0" w14:textId="2AE121FD" w:rsidR="00D13AEA" w:rsidRPr="001A2EF6" w:rsidRDefault="00D13AEA" w:rsidP="00884BB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 xml:space="preserve">Building on the empirical findings and interdisciplinary insights presented above, this </w:t>
      </w:r>
      <w:r w:rsidR="0037678A">
        <w:rPr>
          <w:rFonts w:ascii="Times New Roman" w:eastAsia="Times New Roman" w:hAnsi="Times New Roman" w:cs="Times New Roman"/>
          <w:kern w:val="0"/>
          <w:sz w:val="24"/>
          <w:szCs w:val="24"/>
          <w:lang w:eastAsia="nb-NO"/>
          <w14:ligatures w14:val="none"/>
        </w:rPr>
        <w:t xml:space="preserve">research </w:t>
      </w:r>
      <w:r w:rsidRPr="001A2EF6">
        <w:rPr>
          <w:rFonts w:ascii="Times New Roman" w:eastAsia="Times New Roman" w:hAnsi="Times New Roman" w:cs="Times New Roman"/>
          <w:kern w:val="0"/>
          <w:sz w:val="24"/>
          <w:szCs w:val="24"/>
          <w:lang w:eastAsia="nb-NO"/>
          <w14:ligatures w14:val="none"/>
        </w:rPr>
        <w:t xml:space="preserve">proposes a novel intervention termed </w:t>
      </w:r>
      <w:r w:rsidRPr="001A2EF6">
        <w:rPr>
          <w:rFonts w:ascii="Times New Roman" w:eastAsia="Times New Roman" w:hAnsi="Times New Roman" w:cs="Times New Roman"/>
          <w:i/>
          <w:iCs/>
          <w:kern w:val="0"/>
          <w:sz w:val="24"/>
          <w:szCs w:val="24"/>
          <w:lang w:eastAsia="nb-NO"/>
          <w14:ligatures w14:val="none"/>
        </w:rPr>
        <w:t>Cognitive Infrastructure for Strategic Autonomy</w:t>
      </w:r>
      <w:r w:rsidRPr="001A2EF6">
        <w:rPr>
          <w:rFonts w:ascii="Times New Roman" w:eastAsia="Times New Roman" w:hAnsi="Times New Roman" w:cs="Times New Roman"/>
          <w:kern w:val="0"/>
          <w:sz w:val="24"/>
          <w:szCs w:val="24"/>
          <w:lang w:eastAsia="nb-NO"/>
          <w14:ligatures w14:val="none"/>
        </w:rPr>
        <w:t>, abbreviated as CISA. This model is conceived as a modular programme to be implemented within Microchip Technology Inc.'s Nordic division, with the objective of enhancing executives’ cognitive performance, decision autonomy, and strategic precision. The model comprises three interrelated components: the Digital Cognitive Dashboard, Ritualised Decision-Mapping Routines, and a Transformation Pilot Cell. Each module addresses specific deficiencies identified through the study, collectively establishing an infrastructure that integrates neurocognitive supports into routine leadership activities.</w:t>
      </w:r>
    </w:p>
    <w:p w14:paraId="4A660EB0" w14:textId="77777777" w:rsidR="00EE47FC" w:rsidRPr="001A2EF6" w:rsidRDefault="00EE47FC" w:rsidP="00884BB0">
      <w:pPr>
        <w:spacing w:line="360" w:lineRule="auto"/>
        <w:rPr>
          <w:rFonts w:ascii="Times New Roman" w:eastAsia="Times New Roman" w:hAnsi="Times New Roman" w:cs="Times New Roman"/>
          <w:kern w:val="0"/>
          <w:sz w:val="24"/>
          <w:szCs w:val="24"/>
          <w:lang w:eastAsia="nb-NO"/>
          <w14:ligatures w14:val="none"/>
        </w:rPr>
      </w:pPr>
    </w:p>
    <w:p w14:paraId="6A9AF3C5" w14:textId="77777777" w:rsidR="00D13AEA" w:rsidRPr="001A2EF6" w:rsidRDefault="00D13AEA" w:rsidP="00A216DE">
      <w:pPr>
        <w:pStyle w:val="Heading2"/>
        <w:rPr>
          <w:rFonts w:ascii="Times New Roman" w:eastAsia="Times New Roman" w:hAnsi="Times New Roman" w:cs="Times New Roman"/>
          <w:lang w:eastAsia="nb-NO"/>
        </w:rPr>
      </w:pPr>
      <w:bookmarkStart w:id="10" w:name="_Toc204006822"/>
      <w:bookmarkStart w:id="11" w:name="_Toc206317512"/>
      <w:r w:rsidRPr="001A2EF6">
        <w:rPr>
          <w:rFonts w:ascii="Times New Roman" w:eastAsia="Times New Roman" w:hAnsi="Times New Roman" w:cs="Times New Roman"/>
          <w:lang w:eastAsia="nb-NO"/>
        </w:rPr>
        <w:t xml:space="preserve">Module One: </w:t>
      </w:r>
      <w:r w:rsidRPr="001A2EF6">
        <w:rPr>
          <w:rFonts w:ascii="Times New Roman" w:eastAsia="Times New Roman" w:hAnsi="Times New Roman" w:cs="Times New Roman"/>
          <w:i/>
          <w:iCs/>
          <w:lang w:eastAsia="nb-NO"/>
        </w:rPr>
        <w:t>Digital Cognitive Dashboard</w:t>
      </w:r>
      <w:bookmarkEnd w:id="10"/>
      <w:bookmarkEnd w:id="11"/>
    </w:p>
    <w:p w14:paraId="76DF4739" w14:textId="77777777" w:rsidR="00A216DE" w:rsidRPr="001A2EF6" w:rsidRDefault="00A216DE" w:rsidP="00E827B4">
      <w:pPr>
        <w:rPr>
          <w:rFonts w:ascii="Times New Roman" w:hAnsi="Times New Roman" w:cs="Times New Roman"/>
          <w:b/>
          <w:bCs/>
          <w:i/>
          <w:iCs/>
          <w:sz w:val="24"/>
          <w:szCs w:val="24"/>
        </w:rPr>
      </w:pPr>
      <w:r w:rsidRPr="001A2EF6">
        <w:rPr>
          <w:rFonts w:ascii="Times New Roman" w:hAnsi="Times New Roman" w:cs="Times New Roman"/>
          <w:b/>
          <w:bCs/>
          <w:i/>
          <w:iCs/>
          <w:sz w:val="24"/>
          <w:szCs w:val="24"/>
        </w:rPr>
        <w:t xml:space="preserve">Concept and Design </w:t>
      </w:r>
    </w:p>
    <w:p w14:paraId="5938D3ED" w14:textId="77777777" w:rsidR="00CF1194" w:rsidRPr="001A2EF6" w:rsidRDefault="00D13AEA" w:rsidP="00884BB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 xml:space="preserve">The Digital Cognitive Dashboard functions as a software application available on desktop and mobile platforms, furnishing leaders with real-time or periodic feedback concerning their cognitive state and workload. This dashboard operates similarly to physical health trackers by enabling leaders to monitor critical indicators such as task load, exemplified by the number of pending action items or decisions; cognitive fatigue inferred from self-assessment prompts or biometric signals such as typing speed; and the proportion of time dedicated to strategic in contrast to operational activities (The Decision Lab). </w:t>
      </w:r>
    </w:p>
    <w:p w14:paraId="1ACC7C24" w14:textId="77777777" w:rsidR="00CF1194" w:rsidRPr="001A2EF6" w:rsidRDefault="00CF1194" w:rsidP="00884BB0">
      <w:pPr>
        <w:spacing w:line="360" w:lineRule="auto"/>
        <w:rPr>
          <w:rFonts w:ascii="Times New Roman" w:eastAsia="Times New Roman" w:hAnsi="Times New Roman" w:cs="Times New Roman"/>
          <w:kern w:val="0"/>
          <w:sz w:val="24"/>
          <w:szCs w:val="24"/>
          <w:lang w:eastAsia="nb-NO"/>
          <w14:ligatures w14:val="none"/>
        </w:rPr>
      </w:pPr>
    </w:p>
    <w:p w14:paraId="5586B624" w14:textId="742717E4" w:rsidR="00D13AEA" w:rsidRPr="001A2EF6" w:rsidRDefault="00D13AEA" w:rsidP="00884BB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Personalised and confidential, the dashboard acts simultaneously as a mirror and a guide to promote improved self-regulation. For instance, a leader may observe a summary revealing that seventy per cent of their time was allocated to consecutive meetings and urgent matters while only thirty per cent was devoted to long-term planning. In response, the system might recommend scheduling additional time for strategic deliberation by issuing a prompt such as “Consider blocking two hours for strategic thinking as less than ten per cent of your time was spent on this activity.” The design relies on principles of self-regulation and feedback mechanisms by rendering usually unseen facets of cognitive work visible, thereby encouraging proactive behavioural adjustment akin to the motivational effect of step counters in physical activity (Kahneman 2011).</w:t>
      </w:r>
    </w:p>
    <w:p w14:paraId="2C065A4C" w14:textId="77777777" w:rsidR="00D13AEA" w:rsidRPr="001A2EF6" w:rsidRDefault="00D13AEA" w:rsidP="00884BB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lastRenderedPageBreak/>
        <w:t>Moreover, the dashboard issues subtle prompts urging users to take mental breaks following prolonged decision-making sessions or alerts when cognitive load thresholds are surpassed (Baumeister and Tierney 2011).</w:t>
      </w:r>
    </w:p>
    <w:p w14:paraId="235929AC" w14:textId="77777777" w:rsidR="00B32C9D" w:rsidRPr="001A2EF6" w:rsidRDefault="00B32C9D" w:rsidP="00884BB0">
      <w:pPr>
        <w:spacing w:line="360" w:lineRule="auto"/>
        <w:rPr>
          <w:rFonts w:ascii="Times New Roman" w:eastAsia="Times New Roman" w:hAnsi="Times New Roman" w:cs="Times New Roman"/>
          <w:kern w:val="0"/>
          <w:sz w:val="24"/>
          <w:szCs w:val="24"/>
          <w:lang w:eastAsia="nb-NO"/>
          <w14:ligatures w14:val="none"/>
        </w:rPr>
      </w:pPr>
    </w:p>
    <w:p w14:paraId="6140B627" w14:textId="77777777" w:rsidR="00A216DE" w:rsidRPr="001A2EF6" w:rsidRDefault="00A216DE" w:rsidP="00E827B4">
      <w:pPr>
        <w:rPr>
          <w:rFonts w:ascii="Times New Roman" w:eastAsia="Times New Roman" w:hAnsi="Times New Roman" w:cs="Times New Roman"/>
          <w:b/>
          <w:bCs/>
          <w:i/>
          <w:iCs/>
          <w:kern w:val="0"/>
          <w:sz w:val="24"/>
          <w:szCs w:val="24"/>
          <w:lang w:eastAsia="nb-NO"/>
          <w14:ligatures w14:val="none"/>
        </w:rPr>
      </w:pPr>
      <w:r w:rsidRPr="001A2EF6">
        <w:rPr>
          <w:rFonts w:ascii="Times New Roman" w:hAnsi="Times New Roman" w:cs="Times New Roman"/>
          <w:b/>
          <w:bCs/>
          <w:i/>
          <w:iCs/>
          <w:sz w:val="24"/>
          <w:szCs w:val="24"/>
        </w:rPr>
        <w:t>Theoretical Justification</w:t>
      </w:r>
      <w:r w:rsidRPr="001A2EF6">
        <w:rPr>
          <w:rFonts w:ascii="Times New Roman" w:eastAsia="Times New Roman" w:hAnsi="Times New Roman" w:cs="Times New Roman"/>
          <w:b/>
          <w:bCs/>
          <w:i/>
          <w:iCs/>
          <w:kern w:val="0"/>
          <w:sz w:val="24"/>
          <w:szCs w:val="24"/>
          <w:lang w:eastAsia="nb-NO"/>
          <w14:ligatures w14:val="none"/>
        </w:rPr>
        <w:t xml:space="preserve"> </w:t>
      </w:r>
    </w:p>
    <w:p w14:paraId="31B25817" w14:textId="77777777" w:rsidR="00B32C9D" w:rsidRPr="001A2EF6" w:rsidRDefault="00D13AEA" w:rsidP="00884BB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 xml:space="preserve">From a theoretical perspective, self-monitoring is a well-documented technique for enhancing both cognitive performance and overall wellbeing (Bandura 1991). By externalising components of cognitive workload, the dashboard supports leaders in activating System Two reflective processes to regulate System One impulsive tendencies, facilitating recognition of cognitive overload and advocating postponement of decisions until mental clarity is restored (The Decision Lab). </w:t>
      </w:r>
    </w:p>
    <w:p w14:paraId="30D18029" w14:textId="77777777" w:rsidR="00B32C9D" w:rsidRPr="001A2EF6" w:rsidRDefault="00B32C9D" w:rsidP="00884BB0">
      <w:pPr>
        <w:spacing w:line="360" w:lineRule="auto"/>
        <w:rPr>
          <w:rFonts w:ascii="Times New Roman" w:eastAsia="Times New Roman" w:hAnsi="Times New Roman" w:cs="Times New Roman"/>
          <w:kern w:val="0"/>
          <w:sz w:val="24"/>
          <w:szCs w:val="24"/>
          <w:lang w:eastAsia="nb-NO"/>
          <w14:ligatures w14:val="none"/>
        </w:rPr>
      </w:pPr>
    </w:p>
    <w:p w14:paraId="0AC2D993" w14:textId="21EA33CA" w:rsidR="00D13AEA" w:rsidRPr="001A2EF6" w:rsidRDefault="00D13AEA" w:rsidP="00884BB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This tool addresses decision fatigue by signalling when diminishing returns are likely, for example, suggesting a pause after a series of minor decisions before undertaking a significant choice (Baumeister and Tierney 2011). Additionally, it mitigates planning fallacies by logging actual time spent on strategic endeavours versus reactive firefighting, thereby providing an empirical counterbalance to cognitive biases affecting time management (Kahneman 2011). The emphasis on data visualisation aligns with emergent “quantified workplace” initiatives but is specifically tailored to cognitive and strategic metrics (Davenport 2018). Effectively, the dashboard operates as a cognitive autopilot, transferring monitoring responsibilities from the leader’s mind to an instrumental system comparable to a pilot’s use of an instrument panel to monitor vital flight parameters (Norman 2013).</w:t>
      </w:r>
    </w:p>
    <w:p w14:paraId="2EDE6370" w14:textId="77777777" w:rsidR="00B32C9D" w:rsidRPr="001A2EF6" w:rsidRDefault="00B32C9D" w:rsidP="00884BB0">
      <w:pPr>
        <w:spacing w:line="360" w:lineRule="auto"/>
        <w:rPr>
          <w:rFonts w:ascii="Times New Roman" w:eastAsia="Times New Roman" w:hAnsi="Times New Roman" w:cs="Times New Roman"/>
          <w:kern w:val="0"/>
          <w:sz w:val="24"/>
          <w:szCs w:val="24"/>
          <w:lang w:eastAsia="nb-NO"/>
          <w14:ligatures w14:val="none"/>
        </w:rPr>
      </w:pPr>
    </w:p>
    <w:p w14:paraId="06262CFE" w14:textId="77777777" w:rsidR="00A216DE" w:rsidRPr="001A2EF6" w:rsidRDefault="00A216DE" w:rsidP="00E827B4">
      <w:pPr>
        <w:rPr>
          <w:rFonts w:ascii="Times New Roman" w:eastAsia="Times New Roman" w:hAnsi="Times New Roman" w:cs="Times New Roman"/>
          <w:b/>
          <w:bCs/>
          <w:i/>
          <w:iCs/>
          <w:kern w:val="0"/>
          <w:sz w:val="24"/>
          <w:szCs w:val="24"/>
          <w:lang w:eastAsia="nb-NO"/>
          <w14:ligatures w14:val="none"/>
        </w:rPr>
      </w:pPr>
      <w:r w:rsidRPr="001A2EF6">
        <w:rPr>
          <w:rFonts w:ascii="Times New Roman" w:hAnsi="Times New Roman" w:cs="Times New Roman"/>
          <w:b/>
          <w:bCs/>
          <w:i/>
          <w:iCs/>
          <w:sz w:val="24"/>
          <w:szCs w:val="24"/>
        </w:rPr>
        <w:t>Addressing Identified Needs</w:t>
      </w:r>
      <w:r w:rsidRPr="001A2EF6">
        <w:rPr>
          <w:rFonts w:ascii="Times New Roman" w:eastAsia="Times New Roman" w:hAnsi="Times New Roman" w:cs="Times New Roman"/>
          <w:b/>
          <w:bCs/>
          <w:i/>
          <w:iCs/>
          <w:kern w:val="0"/>
          <w:sz w:val="24"/>
          <w:szCs w:val="24"/>
          <w:lang w:eastAsia="nb-NO"/>
          <w14:ligatures w14:val="none"/>
        </w:rPr>
        <w:t xml:space="preserve"> </w:t>
      </w:r>
    </w:p>
    <w:p w14:paraId="70218636" w14:textId="7DA03535" w:rsidR="00D13AEA" w:rsidRPr="001A2EF6" w:rsidRDefault="00D13AEA" w:rsidP="00884BB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 xml:space="preserve">Addressing the empirical needs identified, the data indicate a considerable proportion of leaders function near cognitive saturation during peak periods, frequently without conscious awareness of cognitive decline. The dashboard serves as a preventive measure by prompting respite or mindfulness practices when leaders report diminished focus or energy or have engaged in continuous meetings without breaks (Kabat-Zinn 2003). Institutionalising such interventions within Microchip Technology Inc. may cultivate a culture that regards mental clarity as a valuable organisational asset (Duhigg 2016). Crucially, the dashboard is designed </w:t>
      </w:r>
      <w:r w:rsidRPr="001A2EF6">
        <w:rPr>
          <w:rFonts w:ascii="Times New Roman" w:eastAsia="Times New Roman" w:hAnsi="Times New Roman" w:cs="Times New Roman"/>
          <w:kern w:val="0"/>
          <w:sz w:val="24"/>
          <w:szCs w:val="24"/>
          <w:lang w:eastAsia="nb-NO"/>
          <w14:ligatures w14:val="none"/>
        </w:rPr>
        <w:lastRenderedPageBreak/>
        <w:t>as a personal tool rather than a managerial surveillance device, fostering trust and encouraging voluntary adoption. Over time, anonymised aggregated data may reveal organisational patterns such as cognitive load surges at quarter-end, potentially guiding structural modifications (Davenport 2018). The immediate benefit, however, accrues to individual leaders through enhanced cognitive wellbeing and decision-making effectiveness. Indirectly, by facilitating improved cognitive management, this module may rebuild trust within the leadership hierarchy, as decisions made from a well-rested cognitive state tend to be of superior quality, bolstering confidence among peers and superiors alike (Edmondson 2019).</w:t>
      </w:r>
    </w:p>
    <w:p w14:paraId="5602E271" w14:textId="77777777" w:rsidR="00BE4AFF" w:rsidRPr="001A2EF6" w:rsidRDefault="00BE4AFF" w:rsidP="00884BB0">
      <w:pPr>
        <w:spacing w:line="360" w:lineRule="auto"/>
        <w:rPr>
          <w:rFonts w:ascii="Times New Roman" w:hAnsi="Times New Roman" w:cs="Times New Roman"/>
          <w:sz w:val="24"/>
          <w:szCs w:val="24"/>
        </w:rPr>
      </w:pPr>
    </w:p>
    <w:p w14:paraId="1AB80135" w14:textId="77777777" w:rsidR="00F36AC0" w:rsidRPr="001A2EF6" w:rsidRDefault="00F36AC0" w:rsidP="00884BB0">
      <w:pPr>
        <w:spacing w:line="360" w:lineRule="auto"/>
        <w:rPr>
          <w:rFonts w:ascii="Times New Roman" w:hAnsi="Times New Roman" w:cs="Times New Roman"/>
          <w:sz w:val="24"/>
          <w:szCs w:val="24"/>
        </w:rPr>
      </w:pPr>
    </w:p>
    <w:p w14:paraId="381EED4E" w14:textId="12FD174C" w:rsidR="003710E3" w:rsidRPr="001A2EF6" w:rsidRDefault="003710E3" w:rsidP="00A216DE">
      <w:pPr>
        <w:pStyle w:val="Heading2"/>
        <w:rPr>
          <w:rFonts w:ascii="Times New Roman" w:hAnsi="Times New Roman" w:cs="Times New Roman"/>
        </w:rPr>
      </w:pPr>
      <w:bookmarkStart w:id="12" w:name="_Toc204006823"/>
      <w:bookmarkStart w:id="13" w:name="_Toc206317513"/>
      <w:r w:rsidRPr="001A2EF6">
        <w:rPr>
          <w:rFonts w:ascii="Times New Roman" w:hAnsi="Times New Roman" w:cs="Times New Roman"/>
        </w:rPr>
        <w:t xml:space="preserve">Module </w:t>
      </w:r>
      <w:r w:rsidR="00541934" w:rsidRPr="001A2EF6">
        <w:rPr>
          <w:rFonts w:ascii="Times New Roman" w:hAnsi="Times New Roman" w:cs="Times New Roman"/>
        </w:rPr>
        <w:t>Two</w:t>
      </w:r>
      <w:r w:rsidRPr="001A2EF6">
        <w:rPr>
          <w:rFonts w:ascii="Times New Roman" w:hAnsi="Times New Roman" w:cs="Times New Roman"/>
        </w:rPr>
        <w:t xml:space="preserve">: </w:t>
      </w:r>
      <w:r w:rsidRPr="001A2EF6">
        <w:rPr>
          <w:rFonts w:ascii="Times New Roman" w:hAnsi="Times New Roman" w:cs="Times New Roman"/>
          <w:i/>
          <w:iCs/>
        </w:rPr>
        <w:t>Ritualised Decision Mapping Routines</w:t>
      </w:r>
      <w:bookmarkEnd w:id="12"/>
      <w:bookmarkEnd w:id="13"/>
    </w:p>
    <w:p w14:paraId="452A2339" w14:textId="77777777" w:rsidR="00F36AC0" w:rsidRPr="001A2EF6" w:rsidRDefault="003710E3" w:rsidP="00884BB0">
      <w:pPr>
        <w:spacing w:line="360" w:lineRule="auto"/>
        <w:rPr>
          <w:rFonts w:ascii="Times New Roman" w:hAnsi="Times New Roman" w:cs="Times New Roman"/>
          <w:sz w:val="24"/>
          <w:szCs w:val="24"/>
        </w:rPr>
      </w:pPr>
      <w:r w:rsidRPr="001A2EF6">
        <w:rPr>
          <w:rFonts w:ascii="Times New Roman" w:hAnsi="Times New Roman" w:cs="Times New Roman"/>
          <w:b/>
          <w:bCs/>
          <w:i/>
          <w:iCs/>
          <w:sz w:val="24"/>
          <w:szCs w:val="24"/>
        </w:rPr>
        <w:t>Concept and Design</w:t>
      </w:r>
      <w:r w:rsidRPr="001A2EF6">
        <w:rPr>
          <w:rFonts w:ascii="Times New Roman" w:hAnsi="Times New Roman" w:cs="Times New Roman"/>
          <w:sz w:val="24"/>
          <w:szCs w:val="24"/>
        </w:rPr>
        <w:br/>
        <w:t xml:space="preserve">The second module introduces structured, repeatable routines for decision-making and reflection, designed to become embedded in the leadership team’s weekly practices. The core component is a "Decision Mapping" exercise. In this routine, conducted individually or in small peer groups, leaders systematically map out an upcoming strategic decision using a structured template. This template captures the available options, relevant criteria, stakeholders to consult, anticipated outcomes, and alignment with strategic objectives. </w:t>
      </w:r>
    </w:p>
    <w:p w14:paraId="281B5F78" w14:textId="77777777" w:rsidR="00F36AC0" w:rsidRPr="001A2EF6" w:rsidRDefault="00F36AC0" w:rsidP="00884BB0">
      <w:pPr>
        <w:spacing w:line="360" w:lineRule="auto"/>
        <w:rPr>
          <w:rFonts w:ascii="Times New Roman" w:hAnsi="Times New Roman" w:cs="Times New Roman"/>
          <w:sz w:val="24"/>
          <w:szCs w:val="24"/>
        </w:rPr>
      </w:pPr>
    </w:p>
    <w:p w14:paraId="104C50FE" w14:textId="77777777" w:rsidR="005C1470" w:rsidRPr="001A2EF6" w:rsidRDefault="003710E3"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By externalising the decision process, the leader engages in deliberate, reasoned analysis rather than relying on intuition or ad hoc discussion. The routine may be implemented as a weekly ritual, such as allocating thirty minutes each Friday to map one key decision, or reviewing a peer's decision map within the pilot group.</w:t>
      </w:r>
    </w:p>
    <w:p w14:paraId="7CEBBC03" w14:textId="77777777" w:rsidR="005C1470" w:rsidRPr="001A2EF6" w:rsidRDefault="005C1470" w:rsidP="00884BB0">
      <w:pPr>
        <w:spacing w:line="360" w:lineRule="auto"/>
        <w:rPr>
          <w:rFonts w:ascii="Times New Roman" w:hAnsi="Times New Roman" w:cs="Times New Roman"/>
          <w:sz w:val="24"/>
          <w:szCs w:val="24"/>
        </w:rPr>
      </w:pPr>
    </w:p>
    <w:p w14:paraId="15829012" w14:textId="582E226E" w:rsidR="003710E3" w:rsidRPr="001A2EF6" w:rsidRDefault="003710E3"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Other supporting routines include premortems, where a leader imagines the decision has failed and reasons backward to identify root causes, and after-action reviews, which distil lessons from completed decisions (McKinsey &amp; Company 2021). These practices are formalised through consistent timing and format, transforming reflection from an occasional activity into a cultural norm.</w:t>
      </w:r>
    </w:p>
    <w:p w14:paraId="5D34D0AA" w14:textId="0CF1F409" w:rsidR="00F36AC0" w:rsidRPr="001A2EF6" w:rsidRDefault="003710E3" w:rsidP="00884BB0">
      <w:pPr>
        <w:spacing w:line="360" w:lineRule="auto"/>
        <w:rPr>
          <w:rFonts w:ascii="Times New Roman" w:hAnsi="Times New Roman" w:cs="Times New Roman"/>
          <w:sz w:val="24"/>
          <w:szCs w:val="24"/>
        </w:rPr>
      </w:pPr>
      <w:r w:rsidRPr="001A2EF6">
        <w:rPr>
          <w:rFonts w:ascii="Times New Roman" w:hAnsi="Times New Roman" w:cs="Times New Roman"/>
          <w:b/>
          <w:bCs/>
          <w:i/>
          <w:iCs/>
          <w:sz w:val="24"/>
          <w:szCs w:val="24"/>
        </w:rPr>
        <w:lastRenderedPageBreak/>
        <w:t>Theoretical Justification</w:t>
      </w:r>
      <w:r w:rsidRPr="001A2EF6">
        <w:rPr>
          <w:rFonts w:ascii="Times New Roman" w:hAnsi="Times New Roman" w:cs="Times New Roman"/>
          <w:sz w:val="24"/>
          <w:szCs w:val="24"/>
        </w:rPr>
        <w:br/>
        <w:t xml:space="preserve">The use of structured decision routines is well supported by cognitive and organisational science. In domains such as medicine and aviation, systematic protocols like checklists reduce errors and improve outcomes (Gawande 2010). Within managerial contexts, such routines function to disrupt cognitive bias by enforcing pauses and broader framing. This reflects the dual-process model of decision-making, where System 1 provides intuitive responses while System 2 enables analytical reasoning (Kahneman 2011). The decision mapping exercise intentionally activates System 2 processing, prompting leaders to articulate assumptions, consider alternatives, and weigh outcomes in a structured manner. </w:t>
      </w:r>
    </w:p>
    <w:p w14:paraId="08BBE478" w14:textId="77777777" w:rsidR="00F36AC0" w:rsidRPr="001A2EF6" w:rsidRDefault="00F36AC0" w:rsidP="00884BB0">
      <w:pPr>
        <w:spacing w:line="360" w:lineRule="auto"/>
        <w:rPr>
          <w:rFonts w:ascii="Times New Roman" w:hAnsi="Times New Roman" w:cs="Times New Roman"/>
          <w:sz w:val="24"/>
          <w:szCs w:val="24"/>
        </w:rPr>
      </w:pPr>
    </w:p>
    <w:p w14:paraId="4CDDC7FF" w14:textId="392BBE9C" w:rsidR="003710E3" w:rsidRPr="001A2EF6" w:rsidRDefault="003710E3"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It also promotes metacognition, the act of thinking about one’s own thinking, which is a recognised feature of expert-level performance. This resonates with the concept of deliberate practice, where individuals continually refine their judgement through structured feedback and reflection (Ericsson 2008). Moreover, the routine fosters psychological safety by normalising the open examination of uncertainty and potential failure. Over time, a shared repository of decision maps and reflections can serve as a training tool for new leaders and promote knowledge retention across the organisation. The practice also reinforces strategic alignment by explicitly requiring leaders to evaluate how decisions connect to long-term priorities.</w:t>
      </w:r>
    </w:p>
    <w:p w14:paraId="2FE9D3A8" w14:textId="77777777" w:rsidR="00F36AC0" w:rsidRPr="001A2EF6" w:rsidRDefault="00F36AC0" w:rsidP="00884BB0">
      <w:pPr>
        <w:spacing w:line="360" w:lineRule="auto"/>
        <w:rPr>
          <w:rFonts w:ascii="Times New Roman" w:hAnsi="Times New Roman" w:cs="Times New Roman"/>
          <w:sz w:val="24"/>
          <w:szCs w:val="24"/>
        </w:rPr>
      </w:pPr>
    </w:p>
    <w:p w14:paraId="6E64375D" w14:textId="77777777" w:rsidR="0026377B" w:rsidRPr="001A2EF6" w:rsidRDefault="003710E3" w:rsidP="00884BB0">
      <w:pPr>
        <w:spacing w:line="360" w:lineRule="auto"/>
        <w:rPr>
          <w:rFonts w:ascii="Times New Roman" w:hAnsi="Times New Roman" w:cs="Times New Roman"/>
          <w:sz w:val="24"/>
          <w:szCs w:val="24"/>
        </w:rPr>
      </w:pPr>
      <w:r w:rsidRPr="001A2EF6">
        <w:rPr>
          <w:rFonts w:ascii="Times New Roman" w:hAnsi="Times New Roman" w:cs="Times New Roman"/>
          <w:b/>
          <w:bCs/>
          <w:i/>
          <w:iCs/>
          <w:sz w:val="24"/>
          <w:szCs w:val="24"/>
        </w:rPr>
        <w:t>Addressing Identified Needs</w:t>
      </w:r>
      <w:r w:rsidRPr="001A2EF6">
        <w:rPr>
          <w:rFonts w:ascii="Times New Roman" w:hAnsi="Times New Roman" w:cs="Times New Roman"/>
          <w:sz w:val="24"/>
          <w:szCs w:val="24"/>
        </w:rPr>
        <w:br/>
        <w:t xml:space="preserve">Survey data revealed that while leaders at Microchip Technology Inc. are encouraged to adopt a strategic mindset, many lack formalised mechanisms to support this objective. The decision mapping routine addresses this gap by creating dedicated space for critical thinking and strategic alignment. It counters the reactive tendencies of high-pressure environments by embedding reflection into routine workflow. </w:t>
      </w:r>
    </w:p>
    <w:p w14:paraId="23FF51D5" w14:textId="77777777" w:rsidR="0026377B" w:rsidRPr="001A2EF6" w:rsidRDefault="0026377B" w:rsidP="00884BB0">
      <w:pPr>
        <w:spacing w:line="360" w:lineRule="auto"/>
        <w:rPr>
          <w:rFonts w:ascii="Times New Roman" w:hAnsi="Times New Roman" w:cs="Times New Roman"/>
          <w:sz w:val="24"/>
          <w:szCs w:val="24"/>
        </w:rPr>
      </w:pPr>
    </w:p>
    <w:p w14:paraId="734E6A15" w14:textId="15ACDF4D" w:rsidR="003710E3" w:rsidRPr="001A2EF6" w:rsidRDefault="003710E3"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Within the pilot group structure, it also facilitates shared learning and cross-functional input. Leaders who map and share their decision processes increase transparency and trust, making it easier for colleagues and superiors to understand the rationale behind autonomous decisions. This, in turn, mitigates the empowerment-trust paradox, where autonomy is </w:t>
      </w:r>
      <w:r w:rsidRPr="001A2EF6">
        <w:rPr>
          <w:rFonts w:ascii="Times New Roman" w:hAnsi="Times New Roman" w:cs="Times New Roman"/>
          <w:sz w:val="24"/>
          <w:szCs w:val="24"/>
        </w:rPr>
        <w:lastRenderedPageBreak/>
        <w:t>granted but often overridden due to perceived opacity. As these practices demonstrate value over time, such as higher-quality decisions, reduced need for strategic pivots, and improved alignment, they can be formally integrated into governance structures and become a sustained element of Microchip Technology Inc.’s leadership model.</w:t>
      </w:r>
    </w:p>
    <w:p w14:paraId="68730755" w14:textId="77777777" w:rsidR="003710E3" w:rsidRPr="001A2EF6" w:rsidRDefault="003710E3" w:rsidP="00884BB0">
      <w:pPr>
        <w:spacing w:line="360" w:lineRule="auto"/>
        <w:rPr>
          <w:rFonts w:ascii="Times New Roman" w:hAnsi="Times New Roman" w:cs="Times New Roman"/>
          <w:sz w:val="24"/>
          <w:szCs w:val="24"/>
        </w:rPr>
      </w:pPr>
    </w:p>
    <w:p w14:paraId="6A5DFD0B" w14:textId="77777777" w:rsidR="003710E3" w:rsidRPr="001A2EF6" w:rsidRDefault="003710E3" w:rsidP="00884BB0">
      <w:pPr>
        <w:spacing w:line="360" w:lineRule="auto"/>
        <w:rPr>
          <w:rFonts w:ascii="Times New Roman" w:hAnsi="Times New Roman" w:cs="Times New Roman"/>
          <w:sz w:val="24"/>
          <w:szCs w:val="24"/>
        </w:rPr>
      </w:pPr>
    </w:p>
    <w:p w14:paraId="38E67117" w14:textId="0C01EC07" w:rsidR="00866E75" w:rsidRPr="001A2EF6" w:rsidRDefault="00866E75" w:rsidP="00A216DE">
      <w:pPr>
        <w:pStyle w:val="Heading2"/>
        <w:rPr>
          <w:rFonts w:ascii="Times New Roman" w:hAnsi="Times New Roman" w:cs="Times New Roman"/>
        </w:rPr>
      </w:pPr>
      <w:bookmarkStart w:id="14" w:name="_Toc204006824"/>
      <w:bookmarkStart w:id="15" w:name="_Toc206317514"/>
      <w:r w:rsidRPr="001A2EF6">
        <w:rPr>
          <w:rFonts w:ascii="Times New Roman" w:hAnsi="Times New Roman" w:cs="Times New Roman"/>
        </w:rPr>
        <w:t xml:space="preserve">Module </w:t>
      </w:r>
      <w:r w:rsidR="00541934" w:rsidRPr="001A2EF6">
        <w:rPr>
          <w:rFonts w:ascii="Times New Roman" w:hAnsi="Times New Roman" w:cs="Times New Roman"/>
        </w:rPr>
        <w:t>Three</w:t>
      </w:r>
      <w:r w:rsidRPr="001A2EF6">
        <w:rPr>
          <w:rFonts w:ascii="Times New Roman" w:hAnsi="Times New Roman" w:cs="Times New Roman"/>
        </w:rPr>
        <w:t xml:space="preserve">: </w:t>
      </w:r>
      <w:r w:rsidRPr="001A2EF6">
        <w:rPr>
          <w:rFonts w:ascii="Times New Roman" w:hAnsi="Times New Roman" w:cs="Times New Roman"/>
          <w:i/>
          <w:iCs/>
        </w:rPr>
        <w:t>Transformation Pilot Cell</w:t>
      </w:r>
      <w:bookmarkEnd w:id="14"/>
      <w:bookmarkEnd w:id="15"/>
    </w:p>
    <w:p w14:paraId="7B8D4FE6" w14:textId="42FFC794" w:rsidR="00866E75" w:rsidRPr="001A2EF6" w:rsidRDefault="00866E75" w:rsidP="00884BB0">
      <w:pPr>
        <w:spacing w:line="360" w:lineRule="auto"/>
        <w:rPr>
          <w:rFonts w:ascii="Times New Roman" w:hAnsi="Times New Roman" w:cs="Times New Roman"/>
          <w:sz w:val="24"/>
          <w:szCs w:val="24"/>
        </w:rPr>
      </w:pPr>
      <w:r w:rsidRPr="001A2EF6">
        <w:rPr>
          <w:rFonts w:ascii="Times New Roman" w:hAnsi="Times New Roman" w:cs="Times New Roman"/>
          <w:b/>
          <w:bCs/>
          <w:i/>
          <w:iCs/>
          <w:sz w:val="24"/>
          <w:szCs w:val="24"/>
        </w:rPr>
        <w:t>Concept and Design</w:t>
      </w:r>
      <w:r w:rsidRPr="001A2EF6">
        <w:rPr>
          <w:rFonts w:ascii="Times New Roman" w:hAnsi="Times New Roman" w:cs="Times New Roman"/>
          <w:sz w:val="24"/>
          <w:szCs w:val="24"/>
        </w:rPr>
        <w:br/>
        <w:t xml:space="preserve">The third module introduces a strategic organisational intervention: a cross-functional unit termed the Transformation Pilot Cell. Comprising five to seven leaders from diverse departments, such as </w:t>
      </w:r>
      <w:r w:rsidR="00EA1019" w:rsidRPr="001A2EF6">
        <w:rPr>
          <w:rFonts w:ascii="Times New Roman" w:hAnsi="Times New Roman" w:cs="Times New Roman"/>
          <w:sz w:val="24"/>
          <w:szCs w:val="24"/>
        </w:rPr>
        <w:t>H</w:t>
      </w:r>
      <w:r w:rsidRPr="001A2EF6">
        <w:rPr>
          <w:rFonts w:ascii="Times New Roman" w:hAnsi="Times New Roman" w:cs="Times New Roman"/>
          <w:sz w:val="24"/>
          <w:szCs w:val="24"/>
        </w:rPr>
        <w:t xml:space="preserve">uman </w:t>
      </w:r>
      <w:r w:rsidR="00EA1019" w:rsidRPr="001A2EF6">
        <w:rPr>
          <w:rFonts w:ascii="Times New Roman" w:hAnsi="Times New Roman" w:cs="Times New Roman"/>
          <w:sz w:val="24"/>
          <w:szCs w:val="24"/>
        </w:rPr>
        <w:t>R</w:t>
      </w:r>
      <w:r w:rsidRPr="001A2EF6">
        <w:rPr>
          <w:rFonts w:ascii="Times New Roman" w:hAnsi="Times New Roman" w:cs="Times New Roman"/>
          <w:sz w:val="24"/>
          <w:szCs w:val="24"/>
        </w:rPr>
        <w:t xml:space="preserve">esources, engineering, and </w:t>
      </w:r>
      <w:r w:rsidR="00EA1019" w:rsidRPr="001A2EF6">
        <w:rPr>
          <w:rFonts w:ascii="Times New Roman" w:hAnsi="Times New Roman" w:cs="Times New Roman"/>
          <w:sz w:val="24"/>
          <w:szCs w:val="24"/>
        </w:rPr>
        <w:t>Finance</w:t>
      </w:r>
      <w:r w:rsidRPr="001A2EF6">
        <w:rPr>
          <w:rFonts w:ascii="Times New Roman" w:hAnsi="Times New Roman" w:cs="Times New Roman"/>
          <w:sz w:val="24"/>
          <w:szCs w:val="24"/>
        </w:rPr>
        <w:t>, members would be selected for their openness to innovation and informal influence across the organisation. These individuals would pilot Modules 1 and 2, becoming the first adopters of the CISA tools.</w:t>
      </w:r>
    </w:p>
    <w:p w14:paraId="4C90CF72" w14:textId="77777777" w:rsidR="00A76749" w:rsidRPr="001A2EF6" w:rsidRDefault="00A76749" w:rsidP="00884BB0">
      <w:pPr>
        <w:spacing w:line="360" w:lineRule="auto"/>
        <w:rPr>
          <w:rFonts w:ascii="Times New Roman" w:hAnsi="Times New Roman" w:cs="Times New Roman"/>
          <w:sz w:val="24"/>
          <w:szCs w:val="24"/>
        </w:rPr>
      </w:pPr>
    </w:p>
    <w:p w14:paraId="773F34DF" w14:textId="77777777" w:rsidR="00866E75" w:rsidRPr="001A2EF6" w:rsidRDefault="00866E75"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Operating as an internal innovation hub, the cell meets regularly to trial the cognitive dashboard, engage in structured decision-mapping exercises, and apply these tools to a tangible strategic challenge of limited scope. Possible initiatives might include developing post-pandemic talent retention strategies or enhancing interdepartmental collaboration. The cell functions as a low-risk experimentation environment, with explicit permission to diverge from standard protocols in pursuit of learning. Following the trial period, the group would synthesise key findings and lead advocacy for broader organisational uptake.</w:t>
      </w:r>
    </w:p>
    <w:p w14:paraId="5C8319F7" w14:textId="77777777" w:rsidR="00A76749" w:rsidRPr="001A2EF6" w:rsidRDefault="00A76749" w:rsidP="00884BB0">
      <w:pPr>
        <w:spacing w:line="360" w:lineRule="auto"/>
        <w:rPr>
          <w:rFonts w:ascii="Times New Roman" w:hAnsi="Times New Roman" w:cs="Times New Roman"/>
          <w:sz w:val="24"/>
          <w:szCs w:val="24"/>
        </w:rPr>
      </w:pPr>
    </w:p>
    <w:p w14:paraId="4EDC34D7" w14:textId="7D267E48" w:rsidR="00866E75" w:rsidRPr="001A2EF6" w:rsidRDefault="00866E75" w:rsidP="00884BB0">
      <w:pPr>
        <w:spacing w:line="360" w:lineRule="auto"/>
        <w:rPr>
          <w:rFonts w:ascii="Times New Roman" w:hAnsi="Times New Roman" w:cs="Times New Roman"/>
          <w:sz w:val="24"/>
          <w:szCs w:val="24"/>
        </w:rPr>
      </w:pPr>
      <w:r w:rsidRPr="001A2EF6">
        <w:rPr>
          <w:rFonts w:ascii="Times New Roman" w:hAnsi="Times New Roman" w:cs="Times New Roman"/>
          <w:b/>
          <w:bCs/>
          <w:i/>
          <w:iCs/>
          <w:sz w:val="24"/>
          <w:szCs w:val="24"/>
        </w:rPr>
        <w:t>Theoretical Justification</w:t>
      </w:r>
      <w:r w:rsidRPr="001A2EF6">
        <w:rPr>
          <w:rFonts w:ascii="Times New Roman" w:hAnsi="Times New Roman" w:cs="Times New Roman"/>
          <w:sz w:val="24"/>
          <w:szCs w:val="24"/>
        </w:rPr>
        <w:br/>
        <w:t>This approach aligns with Kotter’s (1996) model of organisational change, which emphasises the importance of forming a guiding coalition and demonstrating short-term wins to build momentum. The pilot cell embodies both elements, serving as a platform for championing and validating the CISA framework. It also draws on the concept of dual transformation, which advocates isolating innovative efforts from core business operations to facilitate growth without constraint (Anthony, Johnson and Sinfield 2017). Here, the pilot cell acts as a transformation space for leadership behaviour and cognitive practices.</w:t>
      </w:r>
    </w:p>
    <w:p w14:paraId="2AEE6BB0" w14:textId="77777777" w:rsidR="00AA6FE5" w:rsidRPr="001A2EF6" w:rsidRDefault="00AA6FE5" w:rsidP="00884BB0">
      <w:pPr>
        <w:spacing w:line="360" w:lineRule="auto"/>
        <w:rPr>
          <w:rFonts w:ascii="Times New Roman" w:hAnsi="Times New Roman" w:cs="Times New Roman"/>
          <w:sz w:val="24"/>
          <w:szCs w:val="24"/>
        </w:rPr>
      </w:pPr>
    </w:p>
    <w:p w14:paraId="70E3F03F" w14:textId="2BD76250" w:rsidR="00866E75" w:rsidRPr="001A2EF6" w:rsidRDefault="00866E75"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The model is further supported by learning organisation theory. Garvin (1993) stresses the importance of dedicated experimental units for cultivating and embedding innovation. The structured nature of the pilot cell ensures that the adoption of cognitive practices is systematic rather than incidental. Social learning theory also plays a role: individuals are more likely to adopt new behaviours when modelled by credible peers (Bandura 1977). Pilot cell members serve as internal exemplars, amplifying the model’s reach.</w:t>
      </w:r>
    </w:p>
    <w:p w14:paraId="57C4167A" w14:textId="77777777" w:rsidR="00AA6FE5" w:rsidRPr="001A2EF6" w:rsidRDefault="00AA6FE5" w:rsidP="00884BB0">
      <w:pPr>
        <w:spacing w:line="360" w:lineRule="auto"/>
        <w:rPr>
          <w:rFonts w:ascii="Times New Roman" w:hAnsi="Times New Roman" w:cs="Times New Roman"/>
          <w:sz w:val="24"/>
          <w:szCs w:val="24"/>
        </w:rPr>
      </w:pPr>
    </w:p>
    <w:p w14:paraId="7384A069" w14:textId="77777777" w:rsidR="00866E75" w:rsidRPr="001A2EF6" w:rsidRDefault="00866E75"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Finally, the cell reflects a shift towards decentralised leadership models. As McKinsey &amp; Company (2020) note, modern organisations increasingly rely on networked, cross-functional teams rather than hierarchical structures. The pilot cell mirrors this model by fostering a culture of shared ownership, psychological safety, and peer-led innovation. Its members, once embedded, act as diffusion nodes, carrying insights and influencing wider adoption across the organisational system.</w:t>
      </w:r>
    </w:p>
    <w:p w14:paraId="2BAFF5EC" w14:textId="77777777" w:rsidR="00AA6FE5" w:rsidRPr="001A2EF6" w:rsidRDefault="00AA6FE5" w:rsidP="00884BB0">
      <w:pPr>
        <w:spacing w:line="360" w:lineRule="auto"/>
        <w:rPr>
          <w:rFonts w:ascii="Times New Roman" w:hAnsi="Times New Roman" w:cs="Times New Roman"/>
          <w:sz w:val="24"/>
          <w:szCs w:val="24"/>
        </w:rPr>
      </w:pPr>
    </w:p>
    <w:p w14:paraId="3ACEB234" w14:textId="77777777" w:rsidR="00866E75" w:rsidRPr="001A2EF6" w:rsidRDefault="00866E75" w:rsidP="00884BB0">
      <w:pPr>
        <w:spacing w:line="360" w:lineRule="auto"/>
        <w:rPr>
          <w:rFonts w:ascii="Times New Roman" w:hAnsi="Times New Roman" w:cs="Times New Roman"/>
          <w:sz w:val="24"/>
          <w:szCs w:val="24"/>
        </w:rPr>
      </w:pPr>
    </w:p>
    <w:p w14:paraId="520526B8" w14:textId="77777777" w:rsidR="00023FE9" w:rsidRPr="001A2EF6" w:rsidRDefault="00023FE9" w:rsidP="00E827B4">
      <w:pPr>
        <w:rPr>
          <w:rFonts w:ascii="Times New Roman" w:hAnsi="Times New Roman" w:cs="Times New Roman"/>
          <w:b/>
          <w:bCs/>
          <w:i/>
          <w:iCs/>
          <w:sz w:val="24"/>
          <w:szCs w:val="24"/>
        </w:rPr>
      </w:pPr>
      <w:r w:rsidRPr="001A2EF6">
        <w:rPr>
          <w:rFonts w:ascii="Times New Roman" w:hAnsi="Times New Roman" w:cs="Times New Roman"/>
          <w:b/>
          <w:bCs/>
          <w:i/>
          <w:iCs/>
          <w:sz w:val="24"/>
          <w:szCs w:val="24"/>
        </w:rPr>
        <w:t>Addressing Identified Needs</w:t>
      </w:r>
    </w:p>
    <w:p w14:paraId="2AAB4F11" w14:textId="4B956F9C" w:rsidR="00023FE9" w:rsidRPr="001A2EF6" w:rsidRDefault="00023F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The establishment of the pilot cell responds directly to the challenges identified in the preceding analysis, particularly the issues of trust, implementation feasibility, and change resistance. By appointing credible, cross-functional leaders and explicitly authorising them to lead this transformation initiative, Microchip Technology Inc. enacts a visible and operational demonstration of organisational trust. This formal empowerment addresses the erosion of trust perceived among middle management in post-disruption contexts (Edmondson and Lei 2014).</w:t>
      </w:r>
    </w:p>
    <w:p w14:paraId="20B1756B" w14:textId="77777777" w:rsidR="00AA6FE5" w:rsidRPr="001A2EF6" w:rsidRDefault="00AA6FE5" w:rsidP="00884BB0">
      <w:pPr>
        <w:spacing w:line="360" w:lineRule="auto"/>
        <w:rPr>
          <w:rFonts w:ascii="Times New Roman" w:hAnsi="Times New Roman" w:cs="Times New Roman"/>
          <w:sz w:val="24"/>
          <w:szCs w:val="24"/>
        </w:rPr>
      </w:pPr>
    </w:p>
    <w:p w14:paraId="0904FA13" w14:textId="5651B38F" w:rsidR="00023FE9" w:rsidRPr="001A2EF6" w:rsidRDefault="00023F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The pilot cell also provides a risk-managed environment for behavioural experimentation. Rather than imposing wide-scale behavioural change across all leadership layers simultaneously, which could provoke scepticism or change fatigue, the cell allows for iterative testing and adaptation. Over time, it can accumulate outcome-based evidence, such as a reduction in decision delays or increased strategic alignment. These measurable benefits </w:t>
      </w:r>
      <w:r w:rsidRPr="001A2EF6">
        <w:rPr>
          <w:rFonts w:ascii="Times New Roman" w:hAnsi="Times New Roman" w:cs="Times New Roman"/>
          <w:sz w:val="24"/>
          <w:szCs w:val="24"/>
        </w:rPr>
        <w:lastRenderedPageBreak/>
        <w:t>strengthen the credibility of the model during broader rollout stages (Kotter 1996; Garvin 1993). For example, if decision-mapping routines reduce project cycle times or improve interdepartmental coordination, the empirical evidence generated by the pilot cell becomes a persuasive argument for scale-up.</w:t>
      </w:r>
    </w:p>
    <w:p w14:paraId="342A2DE3" w14:textId="77777777" w:rsidR="00AA124D" w:rsidRPr="001A2EF6" w:rsidRDefault="00AA124D" w:rsidP="00884BB0">
      <w:pPr>
        <w:spacing w:line="360" w:lineRule="auto"/>
        <w:rPr>
          <w:rFonts w:ascii="Times New Roman" w:hAnsi="Times New Roman" w:cs="Times New Roman"/>
          <w:sz w:val="24"/>
          <w:szCs w:val="24"/>
        </w:rPr>
      </w:pPr>
    </w:p>
    <w:p w14:paraId="1EFA558A" w14:textId="287FA23F" w:rsidR="00023FE9" w:rsidRPr="001A2EF6" w:rsidRDefault="00023F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Furthermore, the pilot cell formalises adaptive learning mechanisms within the change process. By granting participants licence to iterate and refine CISA elements in response to practical feedback, Microchip </w:t>
      </w:r>
      <w:r w:rsidR="00A86010" w:rsidRPr="001A2EF6">
        <w:rPr>
          <w:rFonts w:ascii="Times New Roman" w:hAnsi="Times New Roman" w:cs="Times New Roman"/>
          <w:sz w:val="24"/>
          <w:szCs w:val="24"/>
        </w:rPr>
        <w:t xml:space="preserve">Technology Inc. </w:t>
      </w:r>
      <w:r w:rsidRPr="001A2EF6">
        <w:rPr>
          <w:rFonts w:ascii="Times New Roman" w:hAnsi="Times New Roman" w:cs="Times New Roman"/>
          <w:sz w:val="24"/>
          <w:szCs w:val="24"/>
        </w:rPr>
        <w:t>builds an internal improvement loop that increases the likelihood of successful diffusion (Argyris and Schön 1996). The pilot cell also serves as a systems integrator. It ensures that the cognitive dashboard and decision-mapping routines harmonise with existing organisational platforms such as project management systems, communication tools, and task scheduling infrastructure. In essence, it acts as an operational crucible in which the CISA model is refined for local relevance and broader cultural fit (Senge 1990).</w:t>
      </w:r>
    </w:p>
    <w:p w14:paraId="66251AF5" w14:textId="77777777" w:rsidR="00715612" w:rsidRPr="001A2EF6" w:rsidRDefault="00715612" w:rsidP="00884BB0">
      <w:pPr>
        <w:spacing w:line="360" w:lineRule="auto"/>
        <w:rPr>
          <w:rFonts w:ascii="Times New Roman" w:hAnsi="Times New Roman" w:cs="Times New Roman"/>
          <w:sz w:val="24"/>
          <w:szCs w:val="24"/>
        </w:rPr>
      </w:pPr>
    </w:p>
    <w:p w14:paraId="581AE506" w14:textId="77777777" w:rsidR="00715612" w:rsidRPr="001A2EF6" w:rsidRDefault="00715612" w:rsidP="00884BB0">
      <w:pPr>
        <w:spacing w:line="360" w:lineRule="auto"/>
        <w:rPr>
          <w:rFonts w:ascii="Times New Roman" w:hAnsi="Times New Roman" w:cs="Times New Roman"/>
          <w:sz w:val="24"/>
          <w:szCs w:val="24"/>
        </w:rPr>
      </w:pPr>
    </w:p>
    <w:p w14:paraId="5DA3F403" w14:textId="77777777" w:rsidR="00715612" w:rsidRPr="001A2EF6" w:rsidRDefault="00715612" w:rsidP="00884BB0">
      <w:pPr>
        <w:spacing w:line="360" w:lineRule="auto"/>
        <w:rPr>
          <w:rFonts w:ascii="Times New Roman" w:hAnsi="Times New Roman" w:cs="Times New Roman"/>
          <w:sz w:val="24"/>
          <w:szCs w:val="24"/>
        </w:rPr>
      </w:pPr>
    </w:p>
    <w:p w14:paraId="4780E4B4" w14:textId="77777777" w:rsidR="00A86010" w:rsidRPr="001A2EF6" w:rsidRDefault="00A86010">
      <w:pPr>
        <w:rPr>
          <w:rFonts w:ascii="Times New Roman" w:eastAsiaTheme="majorEastAsia" w:hAnsi="Times New Roman" w:cs="Times New Roman"/>
          <w:color w:val="0F4761" w:themeColor="accent1" w:themeShade="BF"/>
          <w:sz w:val="40"/>
          <w:szCs w:val="40"/>
        </w:rPr>
      </w:pPr>
      <w:bookmarkStart w:id="16" w:name="_Toc204006825"/>
      <w:r w:rsidRPr="001A2EF6">
        <w:rPr>
          <w:rFonts w:ascii="Times New Roman" w:hAnsi="Times New Roman" w:cs="Times New Roman"/>
        </w:rPr>
        <w:br w:type="page"/>
      </w:r>
    </w:p>
    <w:p w14:paraId="04B0502D" w14:textId="09240FDA" w:rsidR="00023FE9" w:rsidRPr="001A2EF6" w:rsidRDefault="00023FE9" w:rsidP="00715612">
      <w:pPr>
        <w:pStyle w:val="Heading1"/>
        <w:rPr>
          <w:rFonts w:ascii="Times New Roman" w:hAnsi="Times New Roman" w:cs="Times New Roman"/>
          <w:b/>
          <w:bCs/>
        </w:rPr>
      </w:pPr>
      <w:bookmarkStart w:id="17" w:name="_Toc206317515"/>
      <w:r w:rsidRPr="001A2EF6">
        <w:rPr>
          <w:rFonts w:ascii="Times New Roman" w:hAnsi="Times New Roman" w:cs="Times New Roman"/>
          <w:b/>
          <w:bCs/>
        </w:rPr>
        <w:lastRenderedPageBreak/>
        <w:t>Integration of Modules and Originality of the Approach</w:t>
      </w:r>
      <w:bookmarkEnd w:id="16"/>
      <w:bookmarkEnd w:id="17"/>
    </w:p>
    <w:p w14:paraId="7B0074EF" w14:textId="051B649F" w:rsidR="00023FE9" w:rsidRPr="001A2EF6" w:rsidRDefault="00023F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The disruptive strength of the CISA model lies in its integration of personal, procedural, and structural interventions. Unlike traditional leadership training, which often consists of isolated workshops or theoretical modules, CISA creates a multi-layered cognitive infrastructure embedded into everyday work. Through the digital dashboard, reflective decision routines, and cross-functional pilot groups, the system addresses multiple dimensions of cognitive strain and decision quality in a cohesive framework (Rock and Schwartz 2006).</w:t>
      </w:r>
    </w:p>
    <w:p w14:paraId="264A2287" w14:textId="77777777" w:rsidR="00A86010" w:rsidRPr="001A2EF6" w:rsidRDefault="00A86010" w:rsidP="00884BB0">
      <w:pPr>
        <w:spacing w:line="360" w:lineRule="auto"/>
        <w:rPr>
          <w:rFonts w:ascii="Times New Roman" w:hAnsi="Times New Roman" w:cs="Times New Roman"/>
          <w:sz w:val="24"/>
          <w:szCs w:val="24"/>
        </w:rPr>
      </w:pPr>
    </w:p>
    <w:p w14:paraId="5B92E391" w14:textId="164848BA" w:rsidR="00023FE9" w:rsidRPr="001A2EF6" w:rsidRDefault="00023F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What distinguishes CISA most fundamentally is its treatment of cognitive capacity as an institutional asset. Where organisations typically invest in tangible infrastructure or digital platforms to improve productivity, CISA repositions executive attention, mental clarity, and decision autonomy as organisational design variables open to engineering (Dane and Pratt 2007). Drawing on applied neuroscience and decision theory, it translates academic insight into pragmatic, systemic interventions (Kahneman 2011). The dashboard externalises self-monitoring; the routines inject metacognitive checkpoints; and the pilot cell functions as both a modelling unit and an accelerator of cultural adoption.</w:t>
      </w:r>
    </w:p>
    <w:p w14:paraId="66DAD943" w14:textId="77777777" w:rsidR="00CF5DF1" w:rsidRPr="001A2EF6" w:rsidRDefault="00CF5DF1" w:rsidP="00884BB0">
      <w:pPr>
        <w:spacing w:line="360" w:lineRule="auto"/>
        <w:rPr>
          <w:rFonts w:ascii="Times New Roman" w:hAnsi="Times New Roman" w:cs="Times New Roman"/>
          <w:sz w:val="24"/>
          <w:szCs w:val="24"/>
        </w:rPr>
      </w:pPr>
    </w:p>
    <w:p w14:paraId="2D311D80" w14:textId="340DC931" w:rsidR="00023FE9" w:rsidRPr="001A2EF6" w:rsidRDefault="00023F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If Microchip </w:t>
      </w:r>
      <w:r w:rsidR="00715612" w:rsidRPr="001A2EF6">
        <w:rPr>
          <w:rFonts w:ascii="Times New Roman" w:hAnsi="Times New Roman" w:cs="Times New Roman"/>
          <w:sz w:val="24"/>
          <w:szCs w:val="24"/>
        </w:rPr>
        <w:t xml:space="preserve">Technology Inc. </w:t>
      </w:r>
      <w:r w:rsidRPr="001A2EF6">
        <w:rPr>
          <w:rFonts w:ascii="Times New Roman" w:hAnsi="Times New Roman" w:cs="Times New Roman"/>
          <w:sz w:val="24"/>
          <w:szCs w:val="24"/>
        </w:rPr>
        <w:t>succeeds in deploying CISA at scale, the anticipated benefits extend beyond individual cognitive optimisation. The model has potential to enhance strategic agility, reduce leadership inconsistency, and rebuild trust in post-pandemic leadership systems. It offers a transferable prototype for other high-velocity organisations seeking resilience and innovation through cognitive systems design. As Schein (2010) suggests, changing leadership behaviours requires reshaping the environment in which those behaviours take place. CISA provides that environment in a deliberate, systemic form. The next section details the proposed implementation plan and outlines expected organisational impacts, including sustainability over time.</w:t>
      </w:r>
    </w:p>
    <w:p w14:paraId="2B22F6CD" w14:textId="77777777" w:rsidR="00023FE9" w:rsidRPr="001A2EF6" w:rsidRDefault="00023FE9" w:rsidP="00884BB0">
      <w:pPr>
        <w:spacing w:line="360" w:lineRule="auto"/>
        <w:rPr>
          <w:rFonts w:ascii="Times New Roman" w:hAnsi="Times New Roman" w:cs="Times New Roman"/>
          <w:sz w:val="24"/>
          <w:szCs w:val="24"/>
        </w:rPr>
      </w:pPr>
    </w:p>
    <w:p w14:paraId="25FE0907" w14:textId="77777777" w:rsidR="00023FE9" w:rsidRPr="001A2EF6" w:rsidRDefault="00023FE9" w:rsidP="00884BB0">
      <w:pPr>
        <w:spacing w:line="360" w:lineRule="auto"/>
        <w:rPr>
          <w:rFonts w:ascii="Times New Roman" w:hAnsi="Times New Roman" w:cs="Times New Roman"/>
          <w:sz w:val="24"/>
          <w:szCs w:val="24"/>
        </w:rPr>
      </w:pPr>
    </w:p>
    <w:p w14:paraId="4EF30FE1" w14:textId="77777777" w:rsidR="005F03E9" w:rsidRPr="001A2EF6" w:rsidRDefault="005F03E9" w:rsidP="00C41354">
      <w:pPr>
        <w:pStyle w:val="Heading1"/>
        <w:rPr>
          <w:rFonts w:ascii="Times New Roman" w:hAnsi="Times New Roman" w:cs="Times New Roman"/>
          <w:b/>
          <w:bCs/>
        </w:rPr>
      </w:pPr>
      <w:bookmarkStart w:id="18" w:name="_Toc204006826"/>
      <w:bookmarkStart w:id="19" w:name="_Toc206317516"/>
      <w:r w:rsidRPr="001A2EF6">
        <w:rPr>
          <w:rFonts w:ascii="Times New Roman" w:hAnsi="Times New Roman" w:cs="Times New Roman"/>
          <w:b/>
          <w:bCs/>
        </w:rPr>
        <w:lastRenderedPageBreak/>
        <w:t>Implementation Strategy and Organisational Impact</w:t>
      </w:r>
      <w:bookmarkEnd w:id="18"/>
      <w:bookmarkEnd w:id="19"/>
    </w:p>
    <w:p w14:paraId="7ED9B71E" w14:textId="28B4C972" w:rsidR="00396B5E" w:rsidRPr="001A2EF6" w:rsidRDefault="005F03E9" w:rsidP="00884BB0">
      <w:pPr>
        <w:spacing w:line="360" w:lineRule="auto"/>
        <w:rPr>
          <w:rFonts w:ascii="Times New Roman" w:hAnsi="Times New Roman" w:cs="Times New Roman"/>
          <w:sz w:val="24"/>
          <w:szCs w:val="24"/>
        </w:rPr>
      </w:pPr>
      <w:bookmarkStart w:id="20" w:name="_Toc204006827"/>
      <w:bookmarkStart w:id="21" w:name="_Toc206317517"/>
      <w:r w:rsidRPr="001A2EF6">
        <w:rPr>
          <w:rStyle w:val="Heading2Char"/>
          <w:rFonts w:ascii="Times New Roman" w:hAnsi="Times New Roman" w:cs="Times New Roman"/>
          <w:i/>
          <w:iCs/>
        </w:rPr>
        <w:t>Phased Rollout</w:t>
      </w:r>
      <w:bookmarkEnd w:id="20"/>
      <w:bookmarkEnd w:id="21"/>
      <w:r w:rsidRPr="001A2EF6">
        <w:rPr>
          <w:rFonts w:ascii="Times New Roman" w:hAnsi="Times New Roman" w:cs="Times New Roman"/>
          <w:sz w:val="24"/>
          <w:szCs w:val="24"/>
        </w:rPr>
        <w:br/>
        <w:t>Microchip Technology Inc. can implement CISA through three deliberate phases. Phase one focuses on securing executive sponsorship and communicating CISA’s intent across the leadership population. Senior executives and the HR function should formally endorse the initiative as a strategic enabler rather than a monitoring mechanism, aligning with Kotter’s emphasis on establishing a guiding coalition and crafting a compelling vision (Kotter</w:t>
      </w:r>
      <w:r w:rsidR="00CE4788" w:rsidRPr="001A2EF6">
        <w:rPr>
          <w:rFonts w:ascii="Times New Roman" w:hAnsi="Times New Roman" w:cs="Times New Roman"/>
          <w:sz w:val="24"/>
          <w:szCs w:val="24"/>
        </w:rPr>
        <w:t xml:space="preserve"> </w:t>
      </w:r>
      <w:r w:rsidRPr="001A2EF6">
        <w:rPr>
          <w:rFonts w:ascii="Times New Roman" w:hAnsi="Times New Roman" w:cs="Times New Roman"/>
          <w:sz w:val="24"/>
          <w:szCs w:val="24"/>
        </w:rPr>
        <w:t xml:space="preserve">1996). </w:t>
      </w:r>
    </w:p>
    <w:p w14:paraId="68B8D8F3" w14:textId="77777777" w:rsidR="00396B5E" w:rsidRPr="001A2EF6" w:rsidRDefault="00396B5E" w:rsidP="00884BB0">
      <w:pPr>
        <w:spacing w:line="360" w:lineRule="auto"/>
        <w:rPr>
          <w:rFonts w:ascii="Times New Roman" w:hAnsi="Times New Roman" w:cs="Times New Roman"/>
          <w:sz w:val="24"/>
          <w:szCs w:val="24"/>
        </w:rPr>
      </w:pPr>
    </w:p>
    <w:p w14:paraId="48DCAB4E" w14:textId="77777777" w:rsidR="00EE13BE" w:rsidRPr="001A2EF6" w:rsidRDefault="005F03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Phase two initiates the pilot phase. A diverse team of five to seven respected leaders will form the Transformation Pilot Cell and receive dedicated training on the cognitive dashboard and decision-mapping routines. Over a defined period, typically between eight and twelve weeks, the pilot group will trial the tools intensively, with regular learning reviews to support adaptation and knowledge transfer. Early results</w:t>
      </w:r>
      <w:r w:rsidR="00EE13BE" w:rsidRPr="001A2EF6">
        <w:rPr>
          <w:rFonts w:ascii="Times New Roman" w:hAnsi="Times New Roman" w:cs="Times New Roman"/>
          <w:sz w:val="24"/>
          <w:szCs w:val="24"/>
        </w:rPr>
        <w:t xml:space="preserve">, </w:t>
      </w:r>
      <w:r w:rsidRPr="001A2EF6">
        <w:rPr>
          <w:rFonts w:ascii="Times New Roman" w:hAnsi="Times New Roman" w:cs="Times New Roman"/>
          <w:sz w:val="24"/>
          <w:szCs w:val="24"/>
        </w:rPr>
        <w:t>such as avoiding a decision backlog or preventing flawed judgement through mapping exercises</w:t>
      </w:r>
      <w:r w:rsidR="00EE13BE" w:rsidRPr="001A2EF6">
        <w:rPr>
          <w:rFonts w:ascii="Times New Roman" w:hAnsi="Times New Roman" w:cs="Times New Roman"/>
          <w:sz w:val="24"/>
          <w:szCs w:val="24"/>
        </w:rPr>
        <w:t xml:space="preserve">, </w:t>
      </w:r>
      <w:r w:rsidRPr="001A2EF6">
        <w:rPr>
          <w:rFonts w:ascii="Times New Roman" w:hAnsi="Times New Roman" w:cs="Times New Roman"/>
          <w:sz w:val="24"/>
          <w:szCs w:val="24"/>
        </w:rPr>
        <w:t xml:space="preserve">should be captured and disseminated to build organisational momentum. </w:t>
      </w:r>
    </w:p>
    <w:p w14:paraId="4D5F64FC" w14:textId="77777777" w:rsidR="00EE13BE" w:rsidRPr="001A2EF6" w:rsidRDefault="00EE13BE" w:rsidP="00884BB0">
      <w:pPr>
        <w:spacing w:line="360" w:lineRule="auto"/>
        <w:rPr>
          <w:rFonts w:ascii="Times New Roman" w:hAnsi="Times New Roman" w:cs="Times New Roman"/>
          <w:sz w:val="24"/>
          <w:szCs w:val="24"/>
        </w:rPr>
      </w:pPr>
    </w:p>
    <w:p w14:paraId="5DB51B6E" w14:textId="54A4B277" w:rsidR="005F03E9" w:rsidRPr="001A2EF6" w:rsidRDefault="005F03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Phase three expands implementation. The dashboard can be scaled across leadership teams, while decision-mapping becomes embedded in recurring structures, such as strategic review meetings. Members of the pilot group will act as change champions, offering peer coaching and modelling new behaviours. In parallel, the HR department will formally embed CISA into leadership development curricula and recognise effective cognitive practice as part of ongoing performance development.</w:t>
      </w:r>
    </w:p>
    <w:p w14:paraId="469D8A9F" w14:textId="77777777" w:rsidR="00EE13BE" w:rsidRPr="001A2EF6" w:rsidRDefault="00EE13BE" w:rsidP="00884BB0">
      <w:pPr>
        <w:spacing w:line="360" w:lineRule="auto"/>
        <w:rPr>
          <w:rFonts w:ascii="Times New Roman" w:hAnsi="Times New Roman" w:cs="Times New Roman"/>
          <w:sz w:val="24"/>
          <w:szCs w:val="24"/>
        </w:rPr>
      </w:pPr>
    </w:p>
    <w:p w14:paraId="21280811" w14:textId="77777777" w:rsidR="00EE13BE" w:rsidRPr="001A2EF6" w:rsidRDefault="00EE13BE" w:rsidP="00884BB0">
      <w:pPr>
        <w:spacing w:line="360" w:lineRule="auto"/>
        <w:rPr>
          <w:rFonts w:ascii="Times New Roman" w:hAnsi="Times New Roman" w:cs="Times New Roman"/>
          <w:sz w:val="24"/>
          <w:szCs w:val="24"/>
        </w:rPr>
      </w:pPr>
    </w:p>
    <w:p w14:paraId="1CD17E16" w14:textId="77777777" w:rsidR="00EE13BE" w:rsidRPr="001A2EF6" w:rsidRDefault="005F03E9" w:rsidP="00884BB0">
      <w:pPr>
        <w:spacing w:line="360" w:lineRule="auto"/>
        <w:rPr>
          <w:rFonts w:ascii="Times New Roman" w:hAnsi="Times New Roman" w:cs="Times New Roman"/>
          <w:sz w:val="24"/>
          <w:szCs w:val="24"/>
        </w:rPr>
      </w:pPr>
      <w:bookmarkStart w:id="22" w:name="_Toc204006828"/>
      <w:bookmarkStart w:id="23" w:name="_Toc206317518"/>
      <w:r w:rsidRPr="001A2EF6">
        <w:rPr>
          <w:rStyle w:val="Heading2Char"/>
          <w:rFonts w:ascii="Times New Roman" w:hAnsi="Times New Roman" w:cs="Times New Roman"/>
          <w:i/>
          <w:iCs/>
        </w:rPr>
        <w:t>Change Management Considerations</w:t>
      </w:r>
      <w:bookmarkEnd w:id="22"/>
      <w:bookmarkEnd w:id="23"/>
      <w:r w:rsidRPr="001A2EF6">
        <w:rPr>
          <w:rFonts w:ascii="Times New Roman" w:hAnsi="Times New Roman" w:cs="Times New Roman"/>
          <w:sz w:val="24"/>
          <w:szCs w:val="24"/>
        </w:rPr>
        <w:br/>
        <w:t>Clear communication will be essential throughout. CISA must be framed not as a corrective policy but as an investment in leadership resilience and decision clarity. Cognitive support should be normalised through modelling by senior leaders and positioned as equivalent to using financial dashboards or analytics platforms</w:t>
      </w:r>
      <w:r w:rsidR="00EE13BE" w:rsidRPr="001A2EF6">
        <w:rPr>
          <w:rFonts w:ascii="Times New Roman" w:hAnsi="Times New Roman" w:cs="Times New Roman"/>
          <w:sz w:val="24"/>
          <w:szCs w:val="24"/>
        </w:rPr>
        <w:t xml:space="preserve">; </w:t>
      </w:r>
      <w:r w:rsidRPr="001A2EF6">
        <w:rPr>
          <w:rFonts w:ascii="Times New Roman" w:hAnsi="Times New Roman" w:cs="Times New Roman"/>
          <w:sz w:val="24"/>
          <w:szCs w:val="24"/>
        </w:rPr>
        <w:t xml:space="preserve">evidence of professional maturity. </w:t>
      </w:r>
    </w:p>
    <w:p w14:paraId="59CCE5F6" w14:textId="77777777" w:rsidR="00C81B04" w:rsidRPr="001A2EF6" w:rsidRDefault="005F03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lastRenderedPageBreak/>
        <w:t xml:space="preserve">Research shows that leaders are more likely to adopt novel tools when the perceived value exceeds the perceived cost and the environment signals psychological safety (Edmondson 1999). To support this, the confidentiality of dashboard data must be assured. Microchip Technology Inc. could implement technical safeguards that ensure data is localised or anonymised, supported by clear governance protocols. </w:t>
      </w:r>
    </w:p>
    <w:p w14:paraId="032FFD89" w14:textId="77777777" w:rsidR="00C81B04" w:rsidRPr="001A2EF6" w:rsidRDefault="00C81B04" w:rsidP="00884BB0">
      <w:pPr>
        <w:spacing w:line="360" w:lineRule="auto"/>
        <w:rPr>
          <w:rFonts w:ascii="Times New Roman" w:hAnsi="Times New Roman" w:cs="Times New Roman"/>
          <w:sz w:val="24"/>
          <w:szCs w:val="24"/>
        </w:rPr>
      </w:pPr>
    </w:p>
    <w:p w14:paraId="07EA4300" w14:textId="559BC5B3" w:rsidR="005F03E9" w:rsidRPr="001A2EF6" w:rsidRDefault="005F03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Moreover, aligning CISA with existing post-pandemic initiatives, such as wellness or transformation programmes, creates a coherent strategic narrative and avoids fragmentation of change efforts (Beer and Nohria 2000). Leaders are more likely to engage with new practices when these are presented as reinforcements of prior initiatives rather than as</w:t>
      </w:r>
      <w:r w:rsidR="00C81B04" w:rsidRPr="001A2EF6">
        <w:rPr>
          <w:rFonts w:ascii="Times New Roman" w:hAnsi="Times New Roman" w:cs="Times New Roman"/>
          <w:sz w:val="24"/>
          <w:szCs w:val="24"/>
        </w:rPr>
        <w:t xml:space="preserve"> </w:t>
      </w:r>
      <w:r w:rsidRPr="001A2EF6">
        <w:rPr>
          <w:rFonts w:ascii="Times New Roman" w:hAnsi="Times New Roman" w:cs="Times New Roman"/>
          <w:sz w:val="24"/>
          <w:szCs w:val="24"/>
        </w:rPr>
        <w:t>isolated interventions.</w:t>
      </w:r>
    </w:p>
    <w:p w14:paraId="119B9FC5" w14:textId="77777777" w:rsidR="00C81B04" w:rsidRPr="001A2EF6" w:rsidRDefault="00C81B04" w:rsidP="00884BB0">
      <w:pPr>
        <w:spacing w:line="360" w:lineRule="auto"/>
        <w:rPr>
          <w:rFonts w:ascii="Times New Roman" w:hAnsi="Times New Roman" w:cs="Times New Roman"/>
          <w:sz w:val="24"/>
          <w:szCs w:val="24"/>
        </w:rPr>
      </w:pPr>
    </w:p>
    <w:p w14:paraId="1526526A" w14:textId="77777777" w:rsidR="00C81B04" w:rsidRPr="001A2EF6" w:rsidRDefault="00C81B04" w:rsidP="00884BB0">
      <w:pPr>
        <w:spacing w:line="360" w:lineRule="auto"/>
        <w:rPr>
          <w:rFonts w:ascii="Times New Roman" w:hAnsi="Times New Roman" w:cs="Times New Roman"/>
          <w:sz w:val="24"/>
          <w:szCs w:val="24"/>
        </w:rPr>
      </w:pPr>
    </w:p>
    <w:p w14:paraId="41190A07" w14:textId="37A1D49A" w:rsidR="005F03E9" w:rsidRPr="001A2EF6" w:rsidRDefault="005F03E9" w:rsidP="00884BB0">
      <w:pPr>
        <w:spacing w:line="360" w:lineRule="auto"/>
        <w:rPr>
          <w:rFonts w:ascii="Times New Roman" w:hAnsi="Times New Roman" w:cs="Times New Roman"/>
          <w:sz w:val="24"/>
          <w:szCs w:val="24"/>
        </w:rPr>
      </w:pPr>
      <w:bookmarkStart w:id="24" w:name="_Toc204006829"/>
      <w:bookmarkStart w:id="25" w:name="_Toc206317519"/>
      <w:r w:rsidRPr="001A2EF6">
        <w:rPr>
          <w:rStyle w:val="Heading2Char"/>
          <w:rFonts w:ascii="Times New Roman" w:hAnsi="Times New Roman" w:cs="Times New Roman"/>
          <w:i/>
          <w:iCs/>
        </w:rPr>
        <w:t>Anticipated Impact</w:t>
      </w:r>
      <w:bookmarkEnd w:id="24"/>
      <w:bookmarkEnd w:id="25"/>
      <w:r w:rsidRPr="001A2EF6">
        <w:rPr>
          <w:rFonts w:ascii="Times New Roman" w:hAnsi="Times New Roman" w:cs="Times New Roman"/>
          <w:sz w:val="24"/>
          <w:szCs w:val="24"/>
        </w:rPr>
        <w:br/>
        <w:t>If implemented effectively, CISA is expected to generate both short-term and enduring benefits. In the immediate term, leaders should experience improved focus, reduced cognitive load, and more methodical decision processes. For instance, by using the dashboard to monitor bandwidth, executives may prevent fatigue-induced errors and shift less critical decisions appropriately. Decision-mapping should reduce impulsivity, leading to shorter cycle times and improved decision quality. Over time, these practices can contribute to the development of Microchip Technology Inc. as a learning organisation. Leaders who regularly reflect on their cognitive processes will become better equipped to adapt to unforeseen challenges, embodying the principles of double-loop learning (Argyris and Schön 1978) and the deliberate practice model of skill acquisition (Ericsson et al. 1993).</w:t>
      </w:r>
    </w:p>
    <w:p w14:paraId="1EF10997" w14:textId="77777777" w:rsidR="00CE5789" w:rsidRPr="001A2EF6" w:rsidRDefault="00CE5789" w:rsidP="00884BB0">
      <w:pPr>
        <w:spacing w:line="360" w:lineRule="auto"/>
        <w:rPr>
          <w:rFonts w:ascii="Times New Roman" w:hAnsi="Times New Roman" w:cs="Times New Roman"/>
          <w:sz w:val="24"/>
          <w:szCs w:val="24"/>
        </w:rPr>
      </w:pPr>
    </w:p>
    <w:p w14:paraId="78A27CC4" w14:textId="304E29DF" w:rsidR="005F03E9" w:rsidRPr="001A2EF6" w:rsidRDefault="005F03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CISA also holds potential to reduce burnout and preserve strategic capability. Managing executive bandwidth through cognitive awareness tools aligns with research on sustainable performance and mental recovery (Sonnentag and Fritz 2015). By institutionalising reflection, the organisation also captures otherwise tacit knowledge, supporting continuity during leadership transitions. This investment in the cognitive infrastructure of leadership </w:t>
      </w:r>
      <w:r w:rsidRPr="001A2EF6">
        <w:rPr>
          <w:rFonts w:ascii="Times New Roman" w:hAnsi="Times New Roman" w:cs="Times New Roman"/>
          <w:sz w:val="24"/>
          <w:szCs w:val="24"/>
        </w:rPr>
        <w:lastRenderedPageBreak/>
        <w:t>enhances Microchip Technology Inc.’s dynamic capabilities (Teece et al. 1997), supporting strategic flexibility in a volatile environment.</w:t>
      </w:r>
    </w:p>
    <w:p w14:paraId="122A5CB2" w14:textId="77777777" w:rsidR="00CE5789" w:rsidRPr="001A2EF6" w:rsidRDefault="00CE5789" w:rsidP="00884BB0">
      <w:pPr>
        <w:spacing w:line="360" w:lineRule="auto"/>
        <w:rPr>
          <w:rFonts w:ascii="Times New Roman" w:hAnsi="Times New Roman" w:cs="Times New Roman"/>
          <w:sz w:val="24"/>
          <w:szCs w:val="24"/>
        </w:rPr>
      </w:pPr>
    </w:p>
    <w:p w14:paraId="0C995D53" w14:textId="77777777" w:rsidR="005F03E9" w:rsidRPr="001A2EF6" w:rsidRDefault="005F03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Beyond internal performance, CISA may also position Microchip Technology Inc. as an employer of choice. In a post-pandemic labour market where professionals increasingly evaluate employers on the basis of psychological well-being and autonomy, a cognitive-supportive leadership model can become a competitive differentiator. Experienced leaders are less likely to exit prematurely due to unmanaged stress, and incoming talent may view the company’s commitment to cognition as progressive. Investors and stakeholders may also observe more stable execution, greater strategic coherence, and reduced reversals in leadership decisions.</w:t>
      </w:r>
    </w:p>
    <w:p w14:paraId="01C7E4F9" w14:textId="77777777" w:rsidR="00CE5789" w:rsidRPr="001A2EF6" w:rsidRDefault="00CE5789" w:rsidP="00884BB0">
      <w:pPr>
        <w:spacing w:line="360" w:lineRule="auto"/>
        <w:rPr>
          <w:rFonts w:ascii="Times New Roman" w:hAnsi="Times New Roman" w:cs="Times New Roman"/>
          <w:sz w:val="24"/>
          <w:szCs w:val="24"/>
        </w:rPr>
      </w:pPr>
    </w:p>
    <w:p w14:paraId="729DDED7" w14:textId="74F9346D" w:rsidR="005F03E9" w:rsidRPr="001A2EF6" w:rsidRDefault="005F03E9"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By engineering a deliberate cognitive ecosystem around its leadership, Microchip Technology Inc. is not simply deploying a training initiative. It is building a new form of strategic infrastructure</w:t>
      </w:r>
      <w:r w:rsidR="00697A7F" w:rsidRPr="001A2EF6">
        <w:rPr>
          <w:rFonts w:ascii="Times New Roman" w:hAnsi="Times New Roman" w:cs="Times New Roman"/>
          <w:sz w:val="24"/>
          <w:szCs w:val="24"/>
        </w:rPr>
        <w:t xml:space="preserve"> - </w:t>
      </w:r>
      <w:r w:rsidRPr="001A2EF6">
        <w:rPr>
          <w:rFonts w:ascii="Times New Roman" w:hAnsi="Times New Roman" w:cs="Times New Roman"/>
          <w:sz w:val="24"/>
          <w:szCs w:val="24"/>
        </w:rPr>
        <w:t>designed to elevate decision quality, safeguard executive capacity, and future-proof the organisation for complexity and change.</w:t>
      </w:r>
    </w:p>
    <w:p w14:paraId="2C4CD208" w14:textId="77777777" w:rsidR="00C41354" w:rsidRPr="001A2EF6" w:rsidRDefault="00C41354" w:rsidP="00884BB0">
      <w:pPr>
        <w:spacing w:line="360" w:lineRule="auto"/>
        <w:rPr>
          <w:rFonts w:ascii="Times New Roman" w:hAnsi="Times New Roman" w:cs="Times New Roman"/>
          <w:sz w:val="24"/>
          <w:szCs w:val="24"/>
        </w:rPr>
      </w:pPr>
    </w:p>
    <w:p w14:paraId="30642636" w14:textId="77777777" w:rsidR="00C41354" w:rsidRPr="001A2EF6" w:rsidRDefault="00C41354" w:rsidP="00884BB0">
      <w:pPr>
        <w:spacing w:line="360" w:lineRule="auto"/>
        <w:rPr>
          <w:rFonts w:ascii="Times New Roman" w:hAnsi="Times New Roman" w:cs="Times New Roman"/>
          <w:sz w:val="24"/>
          <w:szCs w:val="24"/>
        </w:rPr>
      </w:pPr>
    </w:p>
    <w:p w14:paraId="51AF1109" w14:textId="77777777" w:rsidR="00C41354" w:rsidRPr="001A2EF6" w:rsidRDefault="00C41354" w:rsidP="00884BB0">
      <w:pPr>
        <w:spacing w:line="360" w:lineRule="auto"/>
        <w:rPr>
          <w:rFonts w:ascii="Times New Roman" w:hAnsi="Times New Roman" w:cs="Times New Roman"/>
          <w:sz w:val="24"/>
          <w:szCs w:val="24"/>
        </w:rPr>
      </w:pPr>
    </w:p>
    <w:p w14:paraId="1C2BBF94" w14:textId="77777777" w:rsidR="00C41354" w:rsidRPr="001A2EF6" w:rsidRDefault="00C41354" w:rsidP="00884BB0">
      <w:pPr>
        <w:spacing w:line="360" w:lineRule="auto"/>
        <w:rPr>
          <w:rFonts w:ascii="Times New Roman" w:hAnsi="Times New Roman" w:cs="Times New Roman"/>
          <w:sz w:val="24"/>
          <w:szCs w:val="24"/>
        </w:rPr>
      </w:pPr>
    </w:p>
    <w:p w14:paraId="121052D7" w14:textId="77777777" w:rsidR="00C41354" w:rsidRPr="001A2EF6" w:rsidRDefault="00C41354" w:rsidP="00884BB0">
      <w:pPr>
        <w:spacing w:line="360" w:lineRule="auto"/>
        <w:rPr>
          <w:rFonts w:ascii="Times New Roman" w:hAnsi="Times New Roman" w:cs="Times New Roman"/>
          <w:sz w:val="24"/>
          <w:szCs w:val="24"/>
        </w:rPr>
      </w:pPr>
    </w:p>
    <w:p w14:paraId="12291ED8" w14:textId="77777777" w:rsidR="00C41354" w:rsidRPr="001A2EF6" w:rsidRDefault="00C41354" w:rsidP="00884BB0">
      <w:pPr>
        <w:spacing w:line="360" w:lineRule="auto"/>
        <w:rPr>
          <w:rFonts w:ascii="Times New Roman" w:hAnsi="Times New Roman" w:cs="Times New Roman"/>
          <w:sz w:val="24"/>
          <w:szCs w:val="24"/>
        </w:rPr>
      </w:pPr>
    </w:p>
    <w:p w14:paraId="66156B64" w14:textId="77777777" w:rsidR="00AB2470" w:rsidRDefault="00AB2470">
      <w:pPr>
        <w:rPr>
          <w:rFonts w:ascii="Times New Roman" w:eastAsia="Times New Roman" w:hAnsi="Times New Roman" w:cs="Times New Roman"/>
          <w:b/>
          <w:bCs/>
          <w:color w:val="0F4761" w:themeColor="accent1" w:themeShade="BF"/>
          <w:sz w:val="40"/>
          <w:szCs w:val="40"/>
          <w:lang w:eastAsia="nb-NO"/>
        </w:rPr>
      </w:pPr>
      <w:r>
        <w:rPr>
          <w:rFonts w:ascii="Times New Roman" w:eastAsia="Times New Roman" w:hAnsi="Times New Roman" w:cs="Times New Roman"/>
          <w:b/>
          <w:bCs/>
          <w:lang w:eastAsia="nb-NO"/>
        </w:rPr>
        <w:br w:type="page"/>
      </w:r>
    </w:p>
    <w:p w14:paraId="32A6C908" w14:textId="77777777" w:rsidR="00FE65B2" w:rsidRPr="001A2EF6" w:rsidRDefault="00FE65B2" w:rsidP="00FE65B2">
      <w:pPr>
        <w:pStyle w:val="Heading1"/>
        <w:rPr>
          <w:rFonts w:ascii="Times New Roman" w:hAnsi="Times New Roman" w:cs="Times New Roman"/>
          <w:b/>
          <w:bCs/>
        </w:rPr>
      </w:pPr>
      <w:bookmarkStart w:id="26" w:name="_Toc204006812"/>
      <w:bookmarkStart w:id="27" w:name="_Toc206317520"/>
      <w:r w:rsidRPr="001A2EF6">
        <w:rPr>
          <w:rFonts w:ascii="Times New Roman" w:hAnsi="Times New Roman" w:cs="Times New Roman"/>
          <w:b/>
          <w:bCs/>
        </w:rPr>
        <w:lastRenderedPageBreak/>
        <w:t>Methodology</w:t>
      </w:r>
      <w:bookmarkEnd w:id="26"/>
      <w:bookmarkEnd w:id="27"/>
    </w:p>
    <w:p w14:paraId="437B0562" w14:textId="77777777" w:rsidR="00FE65B2" w:rsidRPr="001A2EF6" w:rsidRDefault="00FE65B2" w:rsidP="00FE65B2">
      <w:pPr>
        <w:pStyle w:val="Heading2"/>
        <w:rPr>
          <w:rFonts w:ascii="Times New Roman" w:hAnsi="Times New Roman" w:cs="Times New Roman"/>
          <w:i/>
          <w:iCs/>
        </w:rPr>
      </w:pPr>
      <w:bookmarkStart w:id="28" w:name="_Toc204006813"/>
      <w:bookmarkStart w:id="29" w:name="_Toc206317521"/>
      <w:r w:rsidRPr="001A2EF6">
        <w:rPr>
          <w:rFonts w:ascii="Times New Roman" w:hAnsi="Times New Roman" w:cs="Times New Roman"/>
          <w:i/>
          <w:iCs/>
        </w:rPr>
        <w:t>Research Design and Instrumentation</w:t>
      </w:r>
      <w:bookmarkEnd w:id="28"/>
      <w:bookmarkEnd w:id="29"/>
    </w:p>
    <w:p w14:paraId="618A5365"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This </w:t>
      </w:r>
      <w:r>
        <w:rPr>
          <w:rFonts w:ascii="Times New Roman" w:hAnsi="Times New Roman" w:cs="Times New Roman"/>
          <w:sz w:val="24"/>
          <w:szCs w:val="24"/>
        </w:rPr>
        <w:t>research</w:t>
      </w:r>
      <w:r w:rsidRPr="001A2EF6">
        <w:rPr>
          <w:rFonts w:ascii="Times New Roman" w:hAnsi="Times New Roman" w:cs="Times New Roman"/>
          <w:sz w:val="24"/>
          <w:szCs w:val="24"/>
        </w:rPr>
        <w:t xml:space="preserve"> employed a cross-sectional quantitative design using an online survey instrument. The core component was the Cognitive Abilities Scale (CAS), a validated tool measuring neurocognitive competencies essential to strategic leadership, including working memory, attentional control, cognitive flexibility and abstract reasoning (Diamond 2013). The CAS was supplemented by items tailored to assess perceived strategic autonomy, cognitive strain, organisational support, resilience, and metacognitive practice. The instrument was divided into six thematic categories and employed a seven-point Likert scale ranging from 1 (“Strongly disagree”) to 7 (“Strongly agree”).</w:t>
      </w:r>
    </w:p>
    <w:p w14:paraId="12AE3EE2" w14:textId="77777777" w:rsidR="00FE65B2" w:rsidRPr="001A2EF6" w:rsidRDefault="00FE65B2" w:rsidP="00FE65B2">
      <w:pPr>
        <w:spacing w:line="360" w:lineRule="auto"/>
        <w:rPr>
          <w:rFonts w:ascii="Times New Roman" w:hAnsi="Times New Roman" w:cs="Times New Roman"/>
          <w:sz w:val="24"/>
          <w:szCs w:val="24"/>
        </w:rPr>
      </w:pPr>
    </w:p>
    <w:p w14:paraId="41AF1AE0"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The use of a seven-point scale reflects psychometric research indicating improved sensitivity without overburdening respondents (Preston and Colman 2000). It allows for greater discrimination in cognitive perception data than five-point alternatives, while avoiding the fatigue and response noise associated with ten-point formats. A midpoint option was retained to enable neutrality and minimise forced choices, thereby increasing response validity.</w:t>
      </w:r>
    </w:p>
    <w:p w14:paraId="75A6D4BF" w14:textId="77777777" w:rsidR="00FE65B2" w:rsidRPr="001A2EF6" w:rsidRDefault="00FE65B2" w:rsidP="00FE65B2">
      <w:pPr>
        <w:spacing w:line="360" w:lineRule="auto"/>
        <w:rPr>
          <w:rFonts w:ascii="Times New Roman" w:hAnsi="Times New Roman" w:cs="Times New Roman"/>
          <w:sz w:val="24"/>
          <w:szCs w:val="24"/>
        </w:rPr>
      </w:pPr>
    </w:p>
    <w:p w14:paraId="1C3C8745"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Face validity was established through expert review by two specialists in leadership psychology and organisational design. Survey items included both standard CAS statements derived from previous validated research, and new items specific to the study’s aims. These addressed the interaction between cognitive performance and organisational context in post-pandemic conditions. Several items were reverse-worded or designed for reverse scoring (for example, “I often feel restricted in my ability to make independent strategic decisions”) to mitigate acquiescence bias. Respondents were clearly instructed on the scale format and informed that some statements were intentionally phrased in a neutral or inverse manner.</w:t>
      </w:r>
    </w:p>
    <w:p w14:paraId="591E1A7C" w14:textId="77777777" w:rsidR="00FE65B2" w:rsidRPr="001A2EF6" w:rsidRDefault="00FE65B2" w:rsidP="00FE65B2">
      <w:pPr>
        <w:spacing w:line="360" w:lineRule="auto"/>
        <w:rPr>
          <w:rFonts w:ascii="Times New Roman" w:hAnsi="Times New Roman" w:cs="Times New Roman"/>
          <w:sz w:val="24"/>
          <w:szCs w:val="24"/>
        </w:rPr>
      </w:pPr>
    </w:p>
    <w:p w14:paraId="72EAFEA1"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The survey opened with basic demographic variables, including leadership role, functional area, tenure, organisation size and region. This enabled contextual segmentation of findings. The instrument is provided in full in Appendix A, with rationale for scale selection summarised in Appendix B.</w:t>
      </w:r>
    </w:p>
    <w:p w14:paraId="3C3762CB" w14:textId="77777777" w:rsidR="00FE65B2" w:rsidRPr="001A2EF6" w:rsidRDefault="00FE65B2" w:rsidP="00FE65B2">
      <w:pPr>
        <w:pStyle w:val="Heading1"/>
        <w:rPr>
          <w:rFonts w:ascii="Times New Roman" w:hAnsi="Times New Roman" w:cs="Times New Roman"/>
          <w:b/>
          <w:bCs/>
        </w:rPr>
      </w:pPr>
      <w:bookmarkStart w:id="30" w:name="_Toc204006814"/>
      <w:bookmarkStart w:id="31" w:name="_Toc206317522"/>
      <w:r w:rsidRPr="001A2EF6">
        <w:rPr>
          <w:rFonts w:ascii="Times New Roman" w:hAnsi="Times New Roman" w:cs="Times New Roman"/>
          <w:b/>
          <w:bCs/>
        </w:rPr>
        <w:lastRenderedPageBreak/>
        <w:t>Sampling and Data Collection</w:t>
      </w:r>
      <w:bookmarkEnd w:id="30"/>
      <w:bookmarkEnd w:id="31"/>
    </w:p>
    <w:p w14:paraId="33D5ECC6"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The target population comprised experienced leaders in the technology and semiconductor sector, with a specific focus on Microchip Technology Inc.’s Nordic operations and their extended professional network. A purposive sampling strategy was applied, recruiting participants via internal communication channels and external professional contacts during the second quarter of 2025. Participation was voluntary and anonymous. A total of 24 respondents completed the survey, with one partial response excluded. This sample size is appropriate for exploratory research within a specialised leadership population.</w:t>
      </w:r>
    </w:p>
    <w:p w14:paraId="30E93867" w14:textId="77777777" w:rsidR="00FE65B2" w:rsidRPr="001A2EF6" w:rsidRDefault="00FE65B2" w:rsidP="00FE65B2">
      <w:pPr>
        <w:spacing w:line="360" w:lineRule="auto"/>
        <w:rPr>
          <w:rFonts w:ascii="Times New Roman" w:hAnsi="Times New Roman" w:cs="Times New Roman"/>
          <w:sz w:val="24"/>
          <w:szCs w:val="24"/>
        </w:rPr>
      </w:pPr>
    </w:p>
    <w:p w14:paraId="7E25A467"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Respondents represented a broad range of leadership roles: approximately 62 per cent held executive or senior management positions (C-level, Director, or Senior Manager), while the remainder were middle managers, team leaders, or strategic advisors. They also spanned diverse functional domains, including general management, human resources, technology, and finance, though all held strategic decision-making responsibilities. </w:t>
      </w:r>
    </w:p>
    <w:p w14:paraId="0520ED38" w14:textId="77777777" w:rsidR="00FE65B2" w:rsidRPr="001A2EF6" w:rsidRDefault="00FE65B2" w:rsidP="00FE65B2">
      <w:pPr>
        <w:spacing w:line="360" w:lineRule="auto"/>
        <w:rPr>
          <w:rFonts w:ascii="Times New Roman" w:hAnsi="Times New Roman" w:cs="Times New Roman"/>
          <w:sz w:val="24"/>
          <w:szCs w:val="24"/>
        </w:rPr>
      </w:pPr>
    </w:p>
    <w:p w14:paraId="5B39431A"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The survey was administered using </w:t>
      </w:r>
      <w:r w:rsidRPr="001A2EF6">
        <w:rPr>
          <w:rFonts w:ascii="Times New Roman" w:hAnsi="Times New Roman" w:cs="Times New Roman"/>
          <w:i/>
          <w:iCs/>
          <w:sz w:val="24"/>
          <w:szCs w:val="24"/>
        </w:rPr>
        <w:t>www.SurveyMonkey.com</w:t>
      </w:r>
      <w:r w:rsidRPr="001A2EF6">
        <w:rPr>
          <w:rFonts w:ascii="Times New Roman" w:hAnsi="Times New Roman" w:cs="Times New Roman"/>
          <w:sz w:val="24"/>
          <w:szCs w:val="24"/>
        </w:rPr>
        <w:t xml:space="preserve"> and remained active for three weeks in June 2025. Two reminder emails were distributed at weekly intervals to enhance the response rate. Participants were required to confirm informed consent before beginning the questionnaire. The introduction clarified the study’s purpose, ensured confidentiality and anonymity, and emphasised that participation was voluntary, with the option to withdraw at any point. No personally identifying information was collected unless participants chose to provide contact details to receive the results; these were stored separately and were not linked to individual responses. All data were gathered and reported in aggregate form.</w:t>
      </w:r>
    </w:p>
    <w:p w14:paraId="3ED01A68" w14:textId="77777777" w:rsidR="00FE65B2" w:rsidRPr="001A2EF6" w:rsidRDefault="00FE65B2" w:rsidP="00FE65B2">
      <w:pPr>
        <w:rPr>
          <w:rFonts w:ascii="Times New Roman" w:hAnsi="Times New Roman" w:cs="Times New Roman"/>
          <w:sz w:val="24"/>
          <w:szCs w:val="24"/>
        </w:rPr>
      </w:pPr>
      <w:r w:rsidRPr="001A2EF6">
        <w:rPr>
          <w:rFonts w:ascii="Times New Roman" w:hAnsi="Times New Roman" w:cs="Times New Roman"/>
          <w:sz w:val="24"/>
          <w:szCs w:val="24"/>
        </w:rPr>
        <w:br w:type="page"/>
      </w:r>
    </w:p>
    <w:p w14:paraId="5091D914" w14:textId="77777777" w:rsidR="00FE65B2" w:rsidRPr="001A2EF6" w:rsidRDefault="00FE65B2" w:rsidP="00FE65B2">
      <w:pPr>
        <w:pStyle w:val="Heading1"/>
        <w:rPr>
          <w:rFonts w:ascii="Times New Roman" w:hAnsi="Times New Roman" w:cs="Times New Roman"/>
          <w:b/>
          <w:bCs/>
        </w:rPr>
      </w:pPr>
      <w:bookmarkStart w:id="32" w:name="_Toc204006815"/>
      <w:bookmarkStart w:id="33" w:name="_Toc206317523"/>
      <w:r w:rsidRPr="001A2EF6">
        <w:rPr>
          <w:rFonts w:ascii="Times New Roman" w:hAnsi="Times New Roman" w:cs="Times New Roman"/>
          <w:b/>
          <w:bCs/>
        </w:rPr>
        <w:lastRenderedPageBreak/>
        <w:t>Data Analysis and Ethical Considerations</w:t>
      </w:r>
      <w:bookmarkEnd w:id="32"/>
      <w:bookmarkEnd w:id="33"/>
    </w:p>
    <w:p w14:paraId="0641B12E"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Given the exploratory nature and modest sample size, data analysis was primarily descriptive and interpretive. Item-level responses were examined for measures of central tendency (mean and median) and dispersion (standard deviation). Composite scores were calculated for each conceptual category (for example, the Cognitive Load section), offering insight into aggregate trends. Internal consistency reliability of the CAS-based items was high, with a Cronbach’s alpha of 0.88 in this sample, comparable to prior validation studies. Although formal inferential statistics were not conducted due to the sample size, exploratory correlations (such as between perceived autonomy and cognitive load) were assessed to inform the interpretive discussion. Optional written feedback from several respondents provided qualitative context for the quantitative findings.</w:t>
      </w:r>
    </w:p>
    <w:p w14:paraId="2136EE2E" w14:textId="77777777" w:rsidR="00FE65B2" w:rsidRPr="001A2EF6" w:rsidRDefault="00FE65B2" w:rsidP="00FE65B2">
      <w:pPr>
        <w:spacing w:line="360" w:lineRule="auto"/>
        <w:rPr>
          <w:rFonts w:ascii="Times New Roman" w:hAnsi="Times New Roman" w:cs="Times New Roman"/>
          <w:sz w:val="24"/>
          <w:szCs w:val="24"/>
        </w:rPr>
      </w:pPr>
    </w:p>
    <w:p w14:paraId="535C2497"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The study adhered to rigorous ethical standards throughout. The research protocol was approved by Microchip Technology Inc.’s internal review board, ensuring compliance with both corporate policy and academic research principles. Participants were informed about data protection protocols: all data were de-identified and presented only in summary form, with no individual or commercially sensitive details disclosed. By focusing on leaders’ perceptions and cognitive patterns rather than clinical testing or sensitive personal data, the study minimised potential risks. Participant candour appeared strong, likely due to the assured anonymity and developmental framing of the research.</w:t>
      </w:r>
    </w:p>
    <w:p w14:paraId="10F49272" w14:textId="77777777" w:rsidR="00FE65B2" w:rsidRPr="001A2EF6" w:rsidRDefault="00FE65B2" w:rsidP="00FE65B2">
      <w:pPr>
        <w:spacing w:line="360" w:lineRule="auto"/>
        <w:rPr>
          <w:rFonts w:ascii="Times New Roman" w:hAnsi="Times New Roman" w:cs="Times New Roman"/>
          <w:sz w:val="24"/>
          <w:szCs w:val="24"/>
        </w:rPr>
      </w:pPr>
    </w:p>
    <w:p w14:paraId="11A2CDDF"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The methodology was designed to provide a robust and ethically sound foundation for empirical insight into the cognitive dimensions of strategic leadership. The validated instrument, rigorous sampling approach, and protective measures collectively ensured the integrity, relevance, and reliability of the study. The following section presents the results and their implications for the design and implementation of the proposed CISA model.</w:t>
      </w:r>
    </w:p>
    <w:p w14:paraId="2DC0AF2B" w14:textId="77777777" w:rsidR="00FE65B2" w:rsidRPr="001A2EF6" w:rsidRDefault="00FE65B2" w:rsidP="00FE65B2">
      <w:pPr>
        <w:spacing w:line="360" w:lineRule="auto"/>
        <w:rPr>
          <w:rFonts w:ascii="Times New Roman" w:hAnsi="Times New Roman" w:cs="Times New Roman"/>
          <w:sz w:val="24"/>
          <w:szCs w:val="24"/>
        </w:rPr>
      </w:pPr>
    </w:p>
    <w:p w14:paraId="540CBF37" w14:textId="77777777" w:rsidR="00FE65B2" w:rsidRPr="001A2EF6" w:rsidRDefault="00FE65B2" w:rsidP="00FE65B2">
      <w:pPr>
        <w:spacing w:line="360" w:lineRule="auto"/>
        <w:rPr>
          <w:rFonts w:ascii="Times New Roman" w:hAnsi="Times New Roman" w:cs="Times New Roman"/>
          <w:sz w:val="24"/>
          <w:szCs w:val="24"/>
        </w:rPr>
      </w:pPr>
    </w:p>
    <w:p w14:paraId="08107C79" w14:textId="77777777" w:rsidR="00FE65B2" w:rsidRPr="001A2EF6" w:rsidRDefault="00FE65B2" w:rsidP="00FE65B2">
      <w:pPr>
        <w:spacing w:line="360" w:lineRule="auto"/>
        <w:rPr>
          <w:rFonts w:ascii="Times New Roman" w:hAnsi="Times New Roman" w:cs="Times New Roman"/>
          <w:sz w:val="24"/>
          <w:szCs w:val="24"/>
        </w:rPr>
      </w:pPr>
    </w:p>
    <w:p w14:paraId="7B83D91D" w14:textId="77777777" w:rsidR="00FE65B2" w:rsidRPr="001A2EF6" w:rsidRDefault="00FE65B2" w:rsidP="00FE65B2">
      <w:pPr>
        <w:pStyle w:val="Heading1"/>
        <w:rPr>
          <w:rFonts w:ascii="Times New Roman" w:hAnsi="Times New Roman" w:cs="Times New Roman"/>
          <w:b/>
          <w:bCs/>
        </w:rPr>
      </w:pPr>
      <w:bookmarkStart w:id="34" w:name="_Toc204006816"/>
      <w:bookmarkStart w:id="35" w:name="_Toc206317524"/>
      <w:r w:rsidRPr="001A2EF6">
        <w:rPr>
          <w:rFonts w:ascii="Times New Roman" w:hAnsi="Times New Roman" w:cs="Times New Roman"/>
          <w:b/>
          <w:bCs/>
        </w:rPr>
        <w:lastRenderedPageBreak/>
        <w:t>Findings and Analysis</w:t>
      </w:r>
      <w:bookmarkEnd w:id="34"/>
      <w:bookmarkEnd w:id="35"/>
    </w:p>
    <w:p w14:paraId="0C2D1F5B" w14:textId="77777777" w:rsidR="00FE65B2" w:rsidRPr="001A2EF6" w:rsidRDefault="00FE65B2" w:rsidP="00FE65B2">
      <w:pPr>
        <w:spacing w:line="360" w:lineRule="auto"/>
        <w:rPr>
          <w:rFonts w:ascii="Times New Roman" w:hAnsi="Times New Roman" w:cs="Times New Roman"/>
          <w:sz w:val="24"/>
          <w:szCs w:val="24"/>
        </w:rPr>
      </w:pPr>
      <w:bookmarkStart w:id="36" w:name="_Toc204006817"/>
      <w:bookmarkStart w:id="37" w:name="_Toc206317525"/>
      <w:r w:rsidRPr="001A2EF6">
        <w:rPr>
          <w:rStyle w:val="Heading2Char"/>
          <w:rFonts w:ascii="Times New Roman" w:hAnsi="Times New Roman" w:cs="Times New Roman"/>
          <w:i/>
          <w:iCs/>
        </w:rPr>
        <w:t>Strategic Autonomy and Trust Perceptions</w:t>
      </w:r>
      <w:bookmarkEnd w:id="36"/>
      <w:bookmarkEnd w:id="37"/>
      <w:r w:rsidRPr="001A2EF6">
        <w:rPr>
          <w:rFonts w:ascii="Times New Roman" w:hAnsi="Times New Roman" w:cs="Times New Roman"/>
          <w:sz w:val="24"/>
          <w:szCs w:val="24"/>
        </w:rPr>
        <w:br/>
        <w:t>Responses within the Strategic Autonomy category revealed a nuanced dynamic. Although 91.3 per cent of participants agreed or strongly agreed that they felt empowered to make strategic decisions independently - indicating broad formal delegation of authority - this perception coexisted with latent indicators of organisational constraint. Notably, 52 per cent of respondents believed their input carried substantial weight in shaping organisational outcomes. However, these positive sentiments were tempered by persistent perceptions of distrust from senior leadership, suggesting a misalignment between formal autonomy and the felt experience of cognitive and strategic freedom.</w:t>
      </w:r>
    </w:p>
    <w:p w14:paraId="3A18963D" w14:textId="77777777" w:rsidR="00FE65B2" w:rsidRPr="001A2EF6" w:rsidRDefault="00FE65B2" w:rsidP="00FE65B2">
      <w:pPr>
        <w:spacing w:line="360" w:lineRule="auto"/>
        <w:rPr>
          <w:rFonts w:ascii="Times New Roman" w:hAnsi="Times New Roman" w:cs="Times New Roman"/>
          <w:sz w:val="24"/>
          <w:szCs w:val="24"/>
        </w:rPr>
      </w:pPr>
    </w:p>
    <w:p w14:paraId="5C487421"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When asked whether they experience a high degree of trust from superiors when making significant decisions, only 8.7 per cent of respondents selected “Strongly agree,” while no respondent selected “Agree.” Approximately 78 per cent expressed some level of disagreement, with 34.8 per cent selecting “Disagree” and 43.5 per cent selecting “Strongly disagree.” Furthermore, 95.7 per cent affirmed feeling restricted in their ability to make independent strategic decisions, with 56.5 per cent selecting “Strongly agree” and 39.1 per cent selecting “Agree.” These figures indicate a significant discrepancy between the formal delegation of authority and the actual felt experience of autonomy, highlighting trust as a critical constraint on decision-making freedom.</w:t>
      </w:r>
    </w:p>
    <w:p w14:paraId="629C0B40" w14:textId="77777777" w:rsidR="00FE65B2" w:rsidRPr="001A2EF6" w:rsidRDefault="00FE65B2" w:rsidP="00FE65B2">
      <w:pPr>
        <w:spacing w:line="360" w:lineRule="auto"/>
        <w:rPr>
          <w:rFonts w:ascii="Times New Roman" w:hAnsi="Times New Roman" w:cs="Times New Roman"/>
          <w:sz w:val="24"/>
          <w:szCs w:val="24"/>
        </w:rPr>
      </w:pPr>
    </w:p>
    <w:p w14:paraId="17687A5B"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This disconnect reflects what Lemoine and Bennett (2020) describe as “latent disempowerment,” whereby structural empowerment is undermined by inconsistent cultural or relational dynamics. Leaders may internalise constraints, pre-emptively limit their discretion, or seek excessive approval, leading to inertia and learned dependence. In volatile, uncertain, complex, and ambiguous (VUCA) environments, such behaviour compounds decision-making lags and weakens initiative (Bennett and Lemoine 2014).</w:t>
      </w:r>
    </w:p>
    <w:p w14:paraId="1E2AC250" w14:textId="77777777" w:rsidR="00FE65B2" w:rsidRPr="001A2EF6" w:rsidRDefault="00FE65B2" w:rsidP="00FE65B2">
      <w:pPr>
        <w:spacing w:line="360" w:lineRule="auto"/>
        <w:rPr>
          <w:rFonts w:ascii="Times New Roman" w:hAnsi="Times New Roman" w:cs="Times New Roman"/>
          <w:sz w:val="24"/>
          <w:szCs w:val="24"/>
        </w:rPr>
      </w:pPr>
    </w:p>
    <w:p w14:paraId="696D34F3"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Microchip Technology Inc.’s leadership model would benefit from targeting this trust gap. The CISA model addresses the issue through transparent decision-mapping routines that clarify process and rationale. If superiors can trace how a decision is reasoned, they are more </w:t>
      </w:r>
      <w:r w:rsidRPr="001A2EF6">
        <w:rPr>
          <w:rFonts w:ascii="Times New Roman" w:hAnsi="Times New Roman" w:cs="Times New Roman"/>
          <w:sz w:val="24"/>
          <w:szCs w:val="24"/>
        </w:rPr>
        <w:lastRenderedPageBreak/>
        <w:t>likely to endorse it without micromanagement (Maor et al. 2022). This aligns with emerging leadership frameworks that promote psychological safety, epistemic trust, and clarity of expectations (De Smet et al. 2023). Thus, trust cannot be treated as a soft addendum to autonomy; it must be recognised as a foundational enabler of strategic cognition.</w:t>
      </w:r>
    </w:p>
    <w:p w14:paraId="1D954FD5" w14:textId="77777777" w:rsidR="00FE65B2" w:rsidRPr="001A2EF6" w:rsidRDefault="00FE65B2" w:rsidP="00FE65B2">
      <w:pPr>
        <w:spacing w:line="360" w:lineRule="auto"/>
        <w:rPr>
          <w:rFonts w:ascii="Times New Roman" w:hAnsi="Times New Roman" w:cs="Times New Roman"/>
          <w:sz w:val="24"/>
          <w:szCs w:val="24"/>
        </w:rPr>
      </w:pPr>
    </w:p>
    <w:p w14:paraId="04245408" w14:textId="77777777" w:rsidR="00FE65B2" w:rsidRPr="001A2EF6" w:rsidRDefault="00FE65B2" w:rsidP="00FE65B2">
      <w:pPr>
        <w:spacing w:line="360" w:lineRule="auto"/>
        <w:rPr>
          <w:rFonts w:ascii="Times New Roman" w:hAnsi="Times New Roman" w:cs="Times New Roman"/>
          <w:sz w:val="24"/>
          <w:szCs w:val="24"/>
        </w:rPr>
      </w:pPr>
      <w:bookmarkStart w:id="38" w:name="_Toc204006818"/>
      <w:bookmarkStart w:id="39" w:name="_Toc206317526"/>
      <w:r w:rsidRPr="001A2EF6">
        <w:rPr>
          <w:rStyle w:val="Heading2Char"/>
          <w:rFonts w:ascii="Times New Roman" w:hAnsi="Times New Roman" w:cs="Times New Roman"/>
          <w:i/>
          <w:iCs/>
        </w:rPr>
        <w:t>Cognitive Load, Clarity, and Decision Fatigue</w:t>
      </w:r>
      <w:bookmarkEnd w:id="38"/>
      <w:bookmarkEnd w:id="39"/>
      <w:r w:rsidRPr="001A2EF6">
        <w:rPr>
          <w:rFonts w:ascii="Times New Roman" w:hAnsi="Times New Roman" w:cs="Times New Roman"/>
          <w:sz w:val="24"/>
          <w:szCs w:val="24"/>
        </w:rPr>
        <w:br/>
        <w:t>Responses related to cognitive load and executive functioning demonstrated considerable strain. Although 73.9 per cent indicated having sufficient mental energy to reflect strategically during a typical week, a significant proportion struggled under pressure. When asked whether they maintain clarity of thought under stress or uncertainty, 65.2 per cent disagreed to some extent, many strongly. This evidences the phenomenon of decision fatigue, defined by Baumeister et al. (2008) as the progressive depletion of executive control resources, resulting in impaired reasoning, avoidance, or impulsivity.</w:t>
      </w:r>
    </w:p>
    <w:p w14:paraId="00B86C7C" w14:textId="77777777" w:rsidR="00FE65B2" w:rsidRPr="001A2EF6" w:rsidRDefault="00FE65B2" w:rsidP="00FE65B2">
      <w:pPr>
        <w:spacing w:line="360" w:lineRule="auto"/>
        <w:rPr>
          <w:rFonts w:ascii="Times New Roman" w:hAnsi="Times New Roman" w:cs="Times New Roman"/>
          <w:sz w:val="24"/>
          <w:szCs w:val="24"/>
        </w:rPr>
      </w:pPr>
    </w:p>
    <w:p w14:paraId="3E267FA7"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The difficulty in toggling between urgent demands and strategic foresight was also evident. Only 39 per cent found it easy to transition between short-term reactivity and long-term planning without losing focus. The remaining 61 per cent admitted this was challenging. Goel (2010) notes that distinct cognitive states are required for immediate problem-solving and abstract reasoning; failure to manage the switch between these states results in tunnel vision and operational overwhelm. Within this sample, such switching limitations indicate an over-reliance on firefighting, with insufficient bandwidth for complex thought.</w:t>
      </w:r>
    </w:p>
    <w:p w14:paraId="65FC02C2" w14:textId="77777777" w:rsidR="00FE65B2" w:rsidRPr="001A2EF6" w:rsidRDefault="00FE65B2" w:rsidP="00FE65B2">
      <w:pPr>
        <w:spacing w:line="360" w:lineRule="auto"/>
        <w:rPr>
          <w:rFonts w:ascii="Times New Roman" w:hAnsi="Times New Roman" w:cs="Times New Roman"/>
          <w:sz w:val="24"/>
          <w:szCs w:val="24"/>
        </w:rPr>
      </w:pPr>
    </w:p>
    <w:p w14:paraId="1002B0A9"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Although 57 per cent of participants disagreed that their workload precludes forward-looking reflection, 43 per cent confirmed that it often does. Furthermore, while 48 per cent felt able to protect cognitive space for high-level problem solving, 39 per cent indicated otherwise. These mixed patterns suggest uneven distribution of cognitive resilience across the leadership population. Leaders in more supportive contexts, or those practising protective strategies such as time-blocking, delegation, or mindfulness, appear to manage their cognitive load better (Garofalo 2021). In contrast, those embedded in reactive systems remain at risk of chronic overload.</w:t>
      </w:r>
    </w:p>
    <w:p w14:paraId="523FF140" w14:textId="77777777" w:rsidR="00FE65B2" w:rsidRPr="001A2EF6" w:rsidRDefault="00FE65B2" w:rsidP="00FE65B2">
      <w:pPr>
        <w:spacing w:line="360" w:lineRule="auto"/>
        <w:rPr>
          <w:rFonts w:ascii="Times New Roman" w:hAnsi="Times New Roman" w:cs="Times New Roman"/>
          <w:sz w:val="24"/>
          <w:szCs w:val="24"/>
        </w:rPr>
      </w:pPr>
    </w:p>
    <w:p w14:paraId="7A170461"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lastRenderedPageBreak/>
        <w:t>These findings reinforce the need to embed mental resource monitoring in leadership systems. The CISA model incorporates this through a cognitive dashboard and ritualised reflection points designed to promote intentional transitions from reactive to strategic modes. This supports empirical findings by Howarth and Gillham (1981), who emphasise the importance of structured separation between problem recognition, generation, and evaluation phases. Without such design features, leaders may continue operating at the edge of their cognitive limits, risking burnout and strategic myopia.</w:t>
      </w:r>
    </w:p>
    <w:p w14:paraId="600FFF2A" w14:textId="77777777" w:rsidR="00FE65B2" w:rsidRPr="001A2EF6" w:rsidRDefault="00FE65B2" w:rsidP="00FE65B2">
      <w:pPr>
        <w:spacing w:line="360" w:lineRule="auto"/>
        <w:rPr>
          <w:rFonts w:ascii="Times New Roman" w:hAnsi="Times New Roman" w:cs="Times New Roman"/>
          <w:sz w:val="24"/>
          <w:szCs w:val="24"/>
        </w:rPr>
      </w:pPr>
    </w:p>
    <w:p w14:paraId="60BCC6E5" w14:textId="77777777" w:rsidR="00FE65B2" w:rsidRPr="001A2EF6" w:rsidRDefault="00FE65B2" w:rsidP="00FE65B2">
      <w:pPr>
        <w:pStyle w:val="Heading2"/>
        <w:rPr>
          <w:rFonts w:ascii="Times New Roman" w:hAnsi="Times New Roman" w:cs="Times New Roman"/>
          <w:i/>
          <w:iCs/>
        </w:rPr>
      </w:pPr>
      <w:bookmarkStart w:id="40" w:name="_Toc204006819"/>
      <w:bookmarkStart w:id="41" w:name="_Toc206317527"/>
      <w:r w:rsidRPr="001A2EF6">
        <w:rPr>
          <w:rFonts w:ascii="Times New Roman" w:hAnsi="Times New Roman" w:cs="Times New Roman"/>
          <w:i/>
          <w:iCs/>
        </w:rPr>
        <w:t>Organisational Support for Cognitive Work</w:t>
      </w:r>
      <w:bookmarkEnd w:id="40"/>
      <w:bookmarkEnd w:id="41"/>
    </w:p>
    <w:p w14:paraId="45273AD3"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The survey assessed whether the organisational environment at Microchip Technology Inc., and comparable firms, supports or undermines leaders’ cognitive clarity. Responses in the Organisational Infrastructure and Support category were mixed but contained encouraging signals. Sixty-five per cent of respondents agreed their organisation supports focus on long-term strategic issues. This suggests cultural or structural mechanisms exist that endorse horizon-scanning, such as strategy retreats, innovation programmes, or long-term KPIs.</w:t>
      </w:r>
    </w:p>
    <w:p w14:paraId="0D087F41" w14:textId="77777777" w:rsidR="00FE65B2" w:rsidRPr="001A2EF6" w:rsidRDefault="00FE65B2" w:rsidP="00FE65B2">
      <w:pPr>
        <w:spacing w:line="360" w:lineRule="auto"/>
        <w:rPr>
          <w:rFonts w:ascii="Times New Roman" w:hAnsi="Times New Roman" w:cs="Times New Roman"/>
          <w:sz w:val="24"/>
          <w:szCs w:val="24"/>
        </w:rPr>
      </w:pPr>
    </w:p>
    <w:p w14:paraId="1A06A8D9"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Many participants also perceived support for thoughtful decision-making. However, only one third agreed they had access to tools or routines for managing cognitive workload. This indicates limited infrastructural backing. Moreover, around forty-five per cent reported daily work dominated by urgency, with volatile conditions disrupting reflective focus.</w:t>
      </w:r>
    </w:p>
    <w:p w14:paraId="0C884435" w14:textId="77777777" w:rsidR="00FE65B2" w:rsidRPr="001A2EF6" w:rsidRDefault="00FE65B2" w:rsidP="00FE65B2">
      <w:pPr>
        <w:spacing w:line="360" w:lineRule="auto"/>
        <w:rPr>
          <w:rFonts w:ascii="Times New Roman" w:hAnsi="Times New Roman" w:cs="Times New Roman"/>
          <w:sz w:val="24"/>
          <w:szCs w:val="24"/>
        </w:rPr>
      </w:pPr>
    </w:p>
    <w:p w14:paraId="62AD61A5"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These findings suggest that organisational context either alleviates or compounds cognitive strain. This echoes research showing that resilient firms foster agility and feedback systems to improve decisions under pressure (Maor, Nagarajan and Singhal 2022). While strategic thinking may be endorsed in principle, implementation often lacks depth. Routines like weekly reflection or decision reviews were rarely formalised.</w:t>
      </w:r>
    </w:p>
    <w:p w14:paraId="3087E038" w14:textId="77777777" w:rsidR="00FE65B2" w:rsidRPr="001A2EF6" w:rsidRDefault="00FE65B2" w:rsidP="00FE65B2">
      <w:pPr>
        <w:spacing w:line="360" w:lineRule="auto"/>
        <w:rPr>
          <w:rFonts w:ascii="Times New Roman" w:hAnsi="Times New Roman" w:cs="Times New Roman"/>
          <w:sz w:val="24"/>
          <w:szCs w:val="24"/>
        </w:rPr>
      </w:pPr>
    </w:p>
    <w:p w14:paraId="67B17FAF"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The idea of a cognitive infrastructure becomes concrete in this context. It includes tools, practices, and norms that facilitate deep thinking - such as dashboards to monitor overload, protected thinking time, or leadership behaviours that model deliberate reflection. Half of </w:t>
      </w:r>
      <w:r w:rsidRPr="001A2EF6">
        <w:rPr>
          <w:rFonts w:ascii="Times New Roman" w:hAnsi="Times New Roman" w:cs="Times New Roman"/>
          <w:sz w:val="24"/>
          <w:szCs w:val="24"/>
        </w:rPr>
        <w:lastRenderedPageBreak/>
        <w:t>respondents were uncertain or disagreed that such practices exist in their organisation, revealing an opportunity to implement structured rituals. CISA Module 2, for instance, includes decision-mapping routines to systematise reflection. Similarly, “strategic pause” days may institutionalise space for long-term thinking. Although the organisational culture appears aligned with strategic focus, consistent mechanisms are lacking. Addressing this gap is critical for the success of any intervention.</w:t>
      </w:r>
    </w:p>
    <w:p w14:paraId="1F7C5762" w14:textId="77777777" w:rsidR="00FE65B2" w:rsidRPr="001A2EF6" w:rsidRDefault="00FE65B2" w:rsidP="00FE65B2">
      <w:pPr>
        <w:spacing w:line="360" w:lineRule="auto"/>
        <w:rPr>
          <w:rFonts w:ascii="Times New Roman" w:hAnsi="Times New Roman" w:cs="Times New Roman"/>
          <w:sz w:val="24"/>
          <w:szCs w:val="24"/>
        </w:rPr>
      </w:pPr>
    </w:p>
    <w:p w14:paraId="00311948" w14:textId="77777777" w:rsidR="00FE65B2" w:rsidRPr="001A2EF6" w:rsidRDefault="00FE65B2" w:rsidP="00FE65B2">
      <w:pPr>
        <w:spacing w:line="360" w:lineRule="auto"/>
        <w:rPr>
          <w:rFonts w:ascii="Times New Roman" w:hAnsi="Times New Roman" w:cs="Times New Roman"/>
          <w:sz w:val="24"/>
          <w:szCs w:val="24"/>
        </w:rPr>
      </w:pPr>
    </w:p>
    <w:p w14:paraId="76A387FD" w14:textId="77777777" w:rsidR="00FE65B2" w:rsidRPr="001A2EF6" w:rsidRDefault="00FE65B2" w:rsidP="00FE65B2">
      <w:pPr>
        <w:pStyle w:val="Heading2"/>
        <w:rPr>
          <w:rFonts w:ascii="Times New Roman" w:hAnsi="Times New Roman" w:cs="Times New Roman"/>
          <w:i/>
          <w:iCs/>
        </w:rPr>
      </w:pPr>
      <w:bookmarkStart w:id="42" w:name="_Toc204006820"/>
      <w:bookmarkStart w:id="43" w:name="_Toc206317528"/>
      <w:r w:rsidRPr="001A2EF6">
        <w:rPr>
          <w:rFonts w:ascii="Times New Roman" w:hAnsi="Times New Roman" w:cs="Times New Roman"/>
          <w:i/>
          <w:iCs/>
        </w:rPr>
        <w:t>Cognitive Resilience and Metacognitive Practices</w:t>
      </w:r>
      <w:bookmarkEnd w:id="42"/>
      <w:bookmarkEnd w:id="43"/>
    </w:p>
    <w:p w14:paraId="7AA4F4E3"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The final survey domain explored how leaders manage stress and whether they use metacognitive strategies to maintain clarity. Variation was marked. A majority indicated they had personal strategies to recover after intensive effort, and many recognised early signs of cognitive overload, adjusting their behaviour accordingly. These self-regulatory capacities reflect growing interest in “neurocognitive fitness”, a combination of mental endurance, awareness, and recuperation (Baumeister et al. 2008).</w:t>
      </w:r>
    </w:p>
    <w:p w14:paraId="255399FC" w14:textId="77777777" w:rsidR="00FE65B2" w:rsidRPr="001A2EF6" w:rsidRDefault="00FE65B2" w:rsidP="00FE65B2">
      <w:pPr>
        <w:spacing w:line="360" w:lineRule="auto"/>
        <w:rPr>
          <w:rFonts w:ascii="Times New Roman" w:hAnsi="Times New Roman" w:cs="Times New Roman"/>
          <w:sz w:val="24"/>
          <w:szCs w:val="24"/>
        </w:rPr>
      </w:pPr>
    </w:p>
    <w:p w14:paraId="13471338"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Such skills align with modern leadership development, which promotes reflection and mindfulness to prevent burnout and decision fatigue (De Smet et al. 2023). Nonetheless, almost forty-six per cent admitted to becoming mentally fatigued under prolonged stress rather than adapting their thinking. This suggests gaps in adaptive resilience, especially in high-pressure contexts.</w:t>
      </w:r>
    </w:p>
    <w:p w14:paraId="28B90770" w14:textId="77777777" w:rsidR="00FE65B2" w:rsidRPr="001A2EF6" w:rsidRDefault="00FE65B2" w:rsidP="00FE65B2">
      <w:pPr>
        <w:spacing w:line="360" w:lineRule="auto"/>
        <w:rPr>
          <w:rFonts w:ascii="Times New Roman" w:hAnsi="Times New Roman" w:cs="Times New Roman"/>
          <w:sz w:val="24"/>
          <w:szCs w:val="24"/>
        </w:rPr>
      </w:pPr>
    </w:p>
    <w:p w14:paraId="5D5F2116"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Further, few leaders regularly applied structured cognitive techniques such as decision journals, premortems, or first-principles reasoning. Despite extensive experience, many rely on intuition over deliberate frameworks when making complex decisions. This supports existing evidence that most professionals revert to heuristics under cognitive strain without formal prompts or training (Goel 2010).</w:t>
      </w:r>
    </w:p>
    <w:p w14:paraId="25853B2F" w14:textId="77777777" w:rsidR="00FE65B2" w:rsidRPr="001A2EF6" w:rsidRDefault="00FE65B2" w:rsidP="00FE65B2">
      <w:pPr>
        <w:spacing w:line="360" w:lineRule="auto"/>
        <w:rPr>
          <w:rFonts w:ascii="Times New Roman" w:hAnsi="Times New Roman" w:cs="Times New Roman"/>
          <w:sz w:val="24"/>
          <w:szCs w:val="24"/>
        </w:rPr>
      </w:pPr>
    </w:p>
    <w:p w14:paraId="033C4D06" w14:textId="7710DD39"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lastRenderedPageBreak/>
        <w:t xml:space="preserve">The data confirm a central premise of this </w:t>
      </w:r>
      <w:r w:rsidR="00796D25">
        <w:rPr>
          <w:rFonts w:ascii="Times New Roman" w:hAnsi="Times New Roman" w:cs="Times New Roman"/>
          <w:sz w:val="24"/>
          <w:szCs w:val="24"/>
        </w:rPr>
        <w:t>research</w:t>
      </w:r>
      <w:r w:rsidRPr="001A2EF6">
        <w:rPr>
          <w:rFonts w:ascii="Times New Roman" w:hAnsi="Times New Roman" w:cs="Times New Roman"/>
          <w:sz w:val="24"/>
          <w:szCs w:val="24"/>
        </w:rPr>
        <w:t xml:space="preserve">: experienced leaders operate under considerable cognitive stress, without consistent habits or organisational structures to support clarity. Four gaps emerge: </w:t>
      </w:r>
    </w:p>
    <w:p w14:paraId="3B639594"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(a) a disconnect between formal empowerment and perceived autonomy, mediated by trust and clarity; (b) visible decision fatigue under pressure; (c) partial structural support for deep cognition; and (d) limited use of metacognitive practices.</w:t>
      </w:r>
    </w:p>
    <w:p w14:paraId="766E23A9" w14:textId="77777777" w:rsidR="00FE65B2" w:rsidRPr="001A2EF6" w:rsidRDefault="00FE65B2" w:rsidP="00FE65B2">
      <w:pPr>
        <w:spacing w:line="360" w:lineRule="auto"/>
        <w:rPr>
          <w:rFonts w:ascii="Times New Roman" w:hAnsi="Times New Roman" w:cs="Times New Roman"/>
          <w:sz w:val="24"/>
          <w:szCs w:val="24"/>
        </w:rPr>
      </w:pPr>
    </w:p>
    <w:p w14:paraId="7A5AF384" w14:textId="77777777" w:rsidR="00FE65B2" w:rsidRPr="001A2EF6" w:rsidRDefault="00FE65B2" w:rsidP="00FE65B2">
      <w:pPr>
        <w:spacing w:line="360" w:lineRule="auto"/>
        <w:rPr>
          <w:rFonts w:ascii="Times New Roman" w:hAnsi="Times New Roman" w:cs="Times New Roman"/>
          <w:sz w:val="24"/>
          <w:szCs w:val="24"/>
        </w:rPr>
      </w:pPr>
      <w:r w:rsidRPr="001A2EF6">
        <w:rPr>
          <w:rFonts w:ascii="Times New Roman" w:hAnsi="Times New Roman" w:cs="Times New Roman"/>
          <w:sz w:val="24"/>
          <w:szCs w:val="24"/>
        </w:rPr>
        <w:t>These findings validate the rationale for a structured intervention. The CISA model addresses these vulnerabilities by embedding cognitive support into leadership routines and organisational norms, thereby strengthening clarity, agency, and long-term thinking in complex decision contexts. The next section introduces the model’s structure and conceptual basis.</w:t>
      </w:r>
    </w:p>
    <w:p w14:paraId="56954D9F" w14:textId="77777777" w:rsidR="00FE65B2" w:rsidRDefault="00FE65B2">
      <w:pPr>
        <w:rPr>
          <w:rFonts w:ascii="Times New Roman" w:eastAsia="Times New Roman" w:hAnsi="Times New Roman" w:cs="Times New Roman"/>
          <w:b/>
          <w:bCs/>
          <w:color w:val="0F4761" w:themeColor="accent1" w:themeShade="BF"/>
          <w:sz w:val="40"/>
          <w:szCs w:val="40"/>
          <w:lang w:eastAsia="nb-NO"/>
        </w:rPr>
      </w:pPr>
      <w:r>
        <w:rPr>
          <w:rFonts w:ascii="Times New Roman" w:eastAsia="Times New Roman" w:hAnsi="Times New Roman" w:cs="Times New Roman"/>
          <w:b/>
          <w:bCs/>
          <w:lang w:eastAsia="nb-NO"/>
        </w:rPr>
        <w:br w:type="page"/>
      </w:r>
    </w:p>
    <w:p w14:paraId="0DC892EF" w14:textId="0E3D092A" w:rsidR="00AB2470" w:rsidRPr="001A2EF6" w:rsidRDefault="00AB2470" w:rsidP="00AB2470">
      <w:pPr>
        <w:pStyle w:val="Heading1"/>
        <w:rPr>
          <w:rFonts w:ascii="Times New Roman" w:eastAsia="Times New Roman" w:hAnsi="Times New Roman" w:cs="Times New Roman"/>
          <w:b/>
          <w:bCs/>
          <w:lang w:eastAsia="nb-NO"/>
        </w:rPr>
      </w:pPr>
      <w:bookmarkStart w:id="44" w:name="_Toc206317529"/>
      <w:r w:rsidRPr="001A2EF6">
        <w:rPr>
          <w:rFonts w:ascii="Times New Roman" w:eastAsia="Times New Roman" w:hAnsi="Times New Roman" w:cs="Times New Roman"/>
          <w:b/>
          <w:bCs/>
          <w:lang w:eastAsia="nb-NO"/>
        </w:rPr>
        <w:lastRenderedPageBreak/>
        <w:t>Literature Review</w:t>
      </w:r>
      <w:bookmarkEnd w:id="44"/>
    </w:p>
    <w:p w14:paraId="62B994AB" w14:textId="77777777" w:rsidR="00AB2470" w:rsidRPr="001A2EF6" w:rsidRDefault="00AB2470" w:rsidP="00AB2470">
      <w:pPr>
        <w:pStyle w:val="Heading2"/>
        <w:rPr>
          <w:rFonts w:ascii="Times New Roman" w:eastAsia="Times New Roman" w:hAnsi="Times New Roman" w:cs="Times New Roman"/>
          <w:i/>
          <w:iCs/>
          <w:lang w:eastAsia="nb-NO"/>
        </w:rPr>
      </w:pPr>
      <w:bookmarkStart w:id="45" w:name="_Toc204006809"/>
      <w:bookmarkStart w:id="46" w:name="_Toc206317530"/>
      <w:r w:rsidRPr="001A2EF6">
        <w:rPr>
          <w:rFonts w:ascii="Times New Roman" w:eastAsia="Times New Roman" w:hAnsi="Times New Roman" w:cs="Times New Roman"/>
          <w:i/>
          <w:iCs/>
          <w:lang w:eastAsia="nb-NO"/>
        </w:rPr>
        <w:t>Neurocognitive Foundations of Executive Decision Making</w:t>
      </w:r>
      <w:bookmarkEnd w:id="45"/>
      <w:bookmarkEnd w:id="46"/>
    </w:p>
    <w:p w14:paraId="048946A8" w14:textId="77777777" w:rsidR="00AB2470" w:rsidRPr="001A2EF6" w:rsidRDefault="00AB2470" w:rsidP="00AB247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Research in cognitive psychology provides insight into leadership challenges under complex conditions. Central to this is executive function, comprising working memory, cognitive flexibility, attentional control and abstract reasoning (Diamond 2013). These abilities enable leaders to process information effectively, adapt cognitively, identify patterns amid uncertainty and resist impulsive decisions. High executive function correlates positively with strategic decision-making quality and resilient leadership in volatile environments (Diamond 2013). The Cognitive Abilities Scale (CAS), utilised in this study, reliably measures these executive competencies relevant to autonomous leadership (Diamond 2013).</w:t>
      </w:r>
    </w:p>
    <w:p w14:paraId="2168490A" w14:textId="77777777" w:rsidR="00AB2470" w:rsidRPr="001A2EF6" w:rsidRDefault="00AB2470" w:rsidP="00AB2470">
      <w:pPr>
        <w:spacing w:line="360" w:lineRule="auto"/>
        <w:rPr>
          <w:rFonts w:ascii="Times New Roman" w:eastAsia="Times New Roman" w:hAnsi="Times New Roman" w:cs="Times New Roman"/>
          <w:kern w:val="0"/>
          <w:sz w:val="24"/>
          <w:szCs w:val="24"/>
          <w:lang w:eastAsia="nb-NO"/>
          <w14:ligatures w14:val="none"/>
        </w:rPr>
      </w:pPr>
    </w:p>
    <w:p w14:paraId="38C6CC57" w14:textId="77777777" w:rsidR="00AB2470" w:rsidRPr="001A2EF6" w:rsidRDefault="00AB2470" w:rsidP="00AB247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Dual process theories offer additional clarity. Kahneman (2011) distinguishes intuitive rapid cognition (System 1) from deliberate analytical reasoning (System 2), asserting effective leadership requires balancing these processes. Evans and Stanovich (2013) suggest optimal decisions integrate intuitive judgements and analytic scrutiny, warning that intuitive thinking risks bias, particularly under stress, while analytical reasoning may induce paralysis under excessive cognitive load. Decision fatigue further exemplifies this cognitive overload: sustained decision making exhausts mental resources, impairing decision quality and effectiveness (Pignatiello, Martin and Hickman 2020). Such cognitive depletion is prevalent in organisational settings, necessitating structured cognitive support mechanisms to mitigate this risk.</w:t>
      </w:r>
    </w:p>
    <w:p w14:paraId="3D99F8ED" w14:textId="77777777" w:rsidR="00AB2470" w:rsidRPr="001A2EF6" w:rsidRDefault="00AB2470" w:rsidP="00AB2470">
      <w:pPr>
        <w:spacing w:line="360" w:lineRule="auto"/>
        <w:rPr>
          <w:rFonts w:ascii="Times New Roman" w:eastAsia="Times New Roman" w:hAnsi="Times New Roman" w:cs="Times New Roman"/>
          <w:kern w:val="0"/>
          <w:sz w:val="24"/>
          <w:szCs w:val="24"/>
          <w:lang w:eastAsia="nb-NO"/>
          <w14:ligatures w14:val="none"/>
        </w:rPr>
      </w:pPr>
    </w:p>
    <w:p w14:paraId="56EF7556" w14:textId="77777777" w:rsidR="00AB2470" w:rsidRPr="001A2EF6" w:rsidRDefault="00AB2470" w:rsidP="00AB247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Problem-solving frameworks also illuminate strategic leadership demands. Goel (1995) identifies distinct phases in addressing complex problems: initial scoping, preliminary idea generation, solution refinement, and detailed execution. Initial phases require exploratory creativity, while later stages necessitate focused analytical development and committed implementation (Goel 1995). Neurocognitively, earlier phases utilise fluid, creative cognition, whereas later stages rely on structured mental representations and logical analysis (Goel 1995). Effective cognitive infrastructures must therefore support each phase, promoting divergent thinking initially and disciplined analytical approaches subsequently.</w:t>
      </w:r>
    </w:p>
    <w:p w14:paraId="3B754AE5" w14:textId="77777777" w:rsidR="00AB2470" w:rsidRPr="001A2EF6" w:rsidRDefault="00AB2470" w:rsidP="00AB2470">
      <w:pPr>
        <w:pStyle w:val="Heading2"/>
        <w:rPr>
          <w:rFonts w:ascii="Times New Roman" w:eastAsia="Times New Roman" w:hAnsi="Times New Roman" w:cs="Times New Roman"/>
          <w:i/>
          <w:iCs/>
          <w:lang w:eastAsia="nb-NO"/>
        </w:rPr>
      </w:pPr>
      <w:bookmarkStart w:id="47" w:name="_Toc204006810"/>
      <w:bookmarkStart w:id="48" w:name="_Toc206317531"/>
      <w:r w:rsidRPr="001A2EF6">
        <w:rPr>
          <w:rFonts w:ascii="Times New Roman" w:eastAsia="Times New Roman" w:hAnsi="Times New Roman" w:cs="Times New Roman"/>
          <w:i/>
          <w:iCs/>
          <w:lang w:eastAsia="nb-NO"/>
        </w:rPr>
        <w:lastRenderedPageBreak/>
        <w:t>Decision Autonomy, Trust and Organisational Dynamics</w:t>
      </w:r>
      <w:bookmarkEnd w:id="47"/>
      <w:bookmarkEnd w:id="48"/>
    </w:p>
    <w:p w14:paraId="1DC70730" w14:textId="77777777" w:rsidR="00AB2470" w:rsidRPr="001A2EF6" w:rsidRDefault="00AB2470" w:rsidP="00AB247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Leadership autonomy is heavily influenced by organisational culture and structural conditions. Insights from Harvard Business Review and McKinsey affirm trust and empowerment as essential enablers of strategic autonomy (Maor et al. 2022). However, leaders frequently encounter tension between formal empowerment and practical constraints such as micromanagement, informational silos, and ambiguous decision rights. Research highlights that volatile conditions commonly undermine perceived autonomy, creating paradoxes whereby empowered leaders nevertheless feel constrained without adequate support (Bennett and Lemoine 2014). Microchip Technology Inc.’s internal survey reinforces this paradox: despite widespread formal empowerment, most leaders simultaneously felt restricted. This tension indicates genuine cognitive autonomy depends significantly on organisational trust and clarity.</w:t>
      </w:r>
    </w:p>
    <w:p w14:paraId="776B87AA" w14:textId="77777777" w:rsidR="00AB2470" w:rsidRPr="001A2EF6" w:rsidRDefault="00AB2470" w:rsidP="00AB2470">
      <w:pPr>
        <w:spacing w:line="360" w:lineRule="auto"/>
        <w:rPr>
          <w:rFonts w:ascii="Times New Roman" w:eastAsia="Times New Roman" w:hAnsi="Times New Roman" w:cs="Times New Roman"/>
          <w:kern w:val="0"/>
          <w:sz w:val="24"/>
          <w:szCs w:val="24"/>
          <w:lang w:eastAsia="nb-NO"/>
          <w14:ligatures w14:val="none"/>
        </w:rPr>
      </w:pPr>
    </w:p>
    <w:p w14:paraId="73406CAE" w14:textId="77777777" w:rsidR="00AB2470" w:rsidRPr="001A2EF6" w:rsidRDefault="00AB2470" w:rsidP="00AB2470">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Classical decision theory emphasises the importance of explicit decision rights (Rogers and Blenko 2006). Ambiguity regarding decision ownership frequently stalls organisational responsiveness, particularly in crises (Maor et al. 2022). Cognitive infrastructures address this by transparently mapping decision processes, ensuring leaders have clear mandates and sufficient information. Structured decision-mapping routines, central to the CISA model, clarify decision rationale and criteria, enhancing stakeholder trust and reducing intrusive oversight. This fosters genuine autonomy, aligning organisational empowerment with practical decision-making effectiveness.</w:t>
      </w:r>
    </w:p>
    <w:p w14:paraId="2956FE2B" w14:textId="77777777" w:rsidR="00C41354" w:rsidRPr="001A2EF6" w:rsidRDefault="00C41354" w:rsidP="00884BB0">
      <w:pPr>
        <w:spacing w:line="360" w:lineRule="auto"/>
        <w:rPr>
          <w:rFonts w:ascii="Times New Roman" w:hAnsi="Times New Roman" w:cs="Times New Roman"/>
          <w:sz w:val="24"/>
          <w:szCs w:val="24"/>
        </w:rPr>
      </w:pPr>
    </w:p>
    <w:p w14:paraId="6DB32853" w14:textId="77777777" w:rsidR="00697A7F" w:rsidRPr="001A2EF6" w:rsidRDefault="00697A7F">
      <w:pPr>
        <w:rPr>
          <w:rFonts w:ascii="Times New Roman" w:eastAsiaTheme="majorEastAsia" w:hAnsi="Times New Roman" w:cs="Times New Roman"/>
          <w:color w:val="0F4761" w:themeColor="accent1" w:themeShade="BF"/>
          <w:sz w:val="40"/>
          <w:szCs w:val="40"/>
        </w:rPr>
      </w:pPr>
      <w:bookmarkStart w:id="49" w:name="_Toc204006830"/>
      <w:r w:rsidRPr="001A2EF6">
        <w:rPr>
          <w:rFonts w:ascii="Times New Roman" w:hAnsi="Times New Roman" w:cs="Times New Roman"/>
        </w:rPr>
        <w:br w:type="page"/>
      </w:r>
    </w:p>
    <w:p w14:paraId="0DBF1494" w14:textId="175D347C" w:rsidR="00BE7E96" w:rsidRPr="001A2EF6" w:rsidRDefault="00BE7E96" w:rsidP="00C41354">
      <w:pPr>
        <w:pStyle w:val="Heading1"/>
        <w:rPr>
          <w:rFonts w:ascii="Times New Roman" w:hAnsi="Times New Roman" w:cs="Times New Roman"/>
          <w:b/>
          <w:bCs/>
        </w:rPr>
      </w:pPr>
      <w:bookmarkStart w:id="50" w:name="_Toc206317532"/>
      <w:r w:rsidRPr="001A2EF6">
        <w:rPr>
          <w:rFonts w:ascii="Times New Roman" w:hAnsi="Times New Roman" w:cs="Times New Roman"/>
          <w:b/>
          <w:bCs/>
        </w:rPr>
        <w:lastRenderedPageBreak/>
        <w:t>Conclusion</w:t>
      </w:r>
      <w:bookmarkEnd w:id="49"/>
      <w:bookmarkEnd w:id="50"/>
    </w:p>
    <w:p w14:paraId="76851CFF" w14:textId="050FADDF" w:rsidR="00BE7E96" w:rsidRPr="001A2EF6" w:rsidRDefault="00BE7E96"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This </w:t>
      </w:r>
      <w:r w:rsidR="009D4006">
        <w:rPr>
          <w:rFonts w:ascii="Times New Roman" w:hAnsi="Times New Roman" w:cs="Times New Roman"/>
          <w:sz w:val="24"/>
          <w:szCs w:val="24"/>
        </w:rPr>
        <w:t>research</w:t>
      </w:r>
      <w:r w:rsidRPr="001A2EF6">
        <w:rPr>
          <w:rFonts w:ascii="Times New Roman" w:hAnsi="Times New Roman" w:cs="Times New Roman"/>
          <w:sz w:val="24"/>
          <w:szCs w:val="24"/>
        </w:rPr>
        <w:t xml:space="preserve"> set out to bridge a critical gap between neurocognitive psychology and leadership practice in the context of post-pandemic strategic complexity. Drawing upon empirical insights from a targeted survey at Microchip Technology Inc. and integrating multidisciplinary literature from psychology, decision science, and organisational theory (Kahneman 2011; Garvin 1993; Dweck 2006), the research identified three core challenges facing contemporary leadership: cognitive overload, decision fatigue, and a structural misalignment between autonomy and support. These findings illuminated a fundamental tension between the cognitive demands placed on senior leaders and the organisational infrastructure available to support high-stakes decision-making.</w:t>
      </w:r>
    </w:p>
    <w:p w14:paraId="75F4465B" w14:textId="77777777" w:rsidR="00697A7F" w:rsidRPr="001A2EF6" w:rsidRDefault="00697A7F" w:rsidP="00884BB0">
      <w:pPr>
        <w:spacing w:line="360" w:lineRule="auto"/>
        <w:rPr>
          <w:rFonts w:ascii="Times New Roman" w:hAnsi="Times New Roman" w:cs="Times New Roman"/>
          <w:sz w:val="24"/>
          <w:szCs w:val="24"/>
        </w:rPr>
      </w:pPr>
    </w:p>
    <w:p w14:paraId="6BB65B6B" w14:textId="674647BB" w:rsidR="00BE7E96" w:rsidRPr="001A2EF6" w:rsidRDefault="00BE7E96"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In response, this </w:t>
      </w:r>
      <w:r w:rsidR="0031570D">
        <w:rPr>
          <w:rFonts w:ascii="Times New Roman" w:hAnsi="Times New Roman" w:cs="Times New Roman"/>
          <w:sz w:val="24"/>
          <w:szCs w:val="24"/>
        </w:rPr>
        <w:t>business proposal</w:t>
      </w:r>
      <w:r w:rsidRPr="001A2EF6">
        <w:rPr>
          <w:rFonts w:ascii="Times New Roman" w:hAnsi="Times New Roman" w:cs="Times New Roman"/>
          <w:sz w:val="24"/>
          <w:szCs w:val="24"/>
        </w:rPr>
        <w:t xml:space="preserve"> </w:t>
      </w:r>
      <w:r w:rsidR="0031570D">
        <w:rPr>
          <w:rFonts w:ascii="Times New Roman" w:hAnsi="Times New Roman" w:cs="Times New Roman"/>
          <w:sz w:val="24"/>
          <w:szCs w:val="24"/>
        </w:rPr>
        <w:t>offer</w:t>
      </w:r>
      <w:r w:rsidR="009D4006">
        <w:rPr>
          <w:rFonts w:ascii="Times New Roman" w:hAnsi="Times New Roman" w:cs="Times New Roman"/>
          <w:sz w:val="24"/>
          <w:szCs w:val="24"/>
        </w:rPr>
        <w:t>s</w:t>
      </w:r>
      <w:r w:rsidRPr="001A2EF6">
        <w:rPr>
          <w:rFonts w:ascii="Times New Roman" w:hAnsi="Times New Roman" w:cs="Times New Roman"/>
          <w:sz w:val="24"/>
          <w:szCs w:val="24"/>
        </w:rPr>
        <w:t xml:space="preserve"> a novel intervention</w:t>
      </w:r>
      <w:r w:rsidR="00502B6E" w:rsidRPr="001A2EF6">
        <w:rPr>
          <w:rFonts w:ascii="Times New Roman" w:hAnsi="Times New Roman" w:cs="Times New Roman"/>
          <w:sz w:val="24"/>
          <w:szCs w:val="24"/>
        </w:rPr>
        <w:t xml:space="preserve">: </w:t>
      </w:r>
      <w:r w:rsidRPr="001A2EF6">
        <w:rPr>
          <w:rFonts w:ascii="Times New Roman" w:hAnsi="Times New Roman" w:cs="Times New Roman"/>
          <w:sz w:val="24"/>
          <w:szCs w:val="24"/>
        </w:rPr>
        <w:t>Neurocognitive Performance Engineering</w:t>
      </w:r>
      <w:r w:rsidR="00502B6E" w:rsidRPr="001A2EF6">
        <w:rPr>
          <w:rFonts w:ascii="Times New Roman" w:hAnsi="Times New Roman" w:cs="Times New Roman"/>
          <w:sz w:val="24"/>
          <w:szCs w:val="24"/>
        </w:rPr>
        <w:t xml:space="preserve">, </w:t>
      </w:r>
      <w:r w:rsidRPr="001A2EF6">
        <w:rPr>
          <w:rFonts w:ascii="Times New Roman" w:hAnsi="Times New Roman" w:cs="Times New Roman"/>
          <w:sz w:val="24"/>
          <w:szCs w:val="24"/>
        </w:rPr>
        <w:t>which reframes cognitive functioning not as a static personal trait, but as an organisational resource that can be actively supported, enhanced, and sustained. The model introduced, CISA (Cognitive Infrastructure for Strategic Autonomy), comprises three integrated modules: a digital cognitive dashboard to support self-monitoring and workload calibration; ritualised decision-mapping routines to instil metacognitive discipline; and a transformation pilot cell to incubate behavioural and cultural change. Together, these components represent a systems-level approach to cognitive optimisation in leadership, translating scientific theory into practical infrastructure.</w:t>
      </w:r>
    </w:p>
    <w:p w14:paraId="248F8063" w14:textId="77777777" w:rsidR="00502B6E" w:rsidRPr="001A2EF6" w:rsidRDefault="00502B6E" w:rsidP="00884BB0">
      <w:pPr>
        <w:spacing w:line="360" w:lineRule="auto"/>
        <w:rPr>
          <w:rFonts w:ascii="Times New Roman" w:hAnsi="Times New Roman" w:cs="Times New Roman"/>
          <w:sz w:val="24"/>
          <w:szCs w:val="24"/>
        </w:rPr>
      </w:pPr>
    </w:p>
    <w:p w14:paraId="1E394E6B" w14:textId="115E64B3" w:rsidR="0054578D" w:rsidRPr="001A2EF6" w:rsidRDefault="00BE7E96"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CISA’s architecture explicitly operationalises academic constructs such as dual-process cognition (Stanovich and West 2000), metacognitive regulation (Flavell 1979), and adaptive expertise (Hatano and Inagaki 1986) into actionable formats deployable in real-world corporate environments. Rather than treating executive cognition as a background variable, the model places it at the centre of strategic execution, aligning decision design with organisational learning processes (Senge 1990) and cultural reinforcement mechanisms (Kotter 1996). </w:t>
      </w:r>
    </w:p>
    <w:p w14:paraId="77BB4753" w14:textId="77777777" w:rsidR="0054578D" w:rsidRPr="001A2EF6" w:rsidRDefault="0054578D" w:rsidP="00884BB0">
      <w:pPr>
        <w:spacing w:line="360" w:lineRule="auto"/>
        <w:rPr>
          <w:rFonts w:ascii="Times New Roman" w:hAnsi="Times New Roman" w:cs="Times New Roman"/>
          <w:sz w:val="24"/>
          <w:szCs w:val="24"/>
        </w:rPr>
      </w:pPr>
    </w:p>
    <w:p w14:paraId="4DDE1094" w14:textId="7E27D08E" w:rsidR="00BE7E96" w:rsidRPr="001A2EF6" w:rsidRDefault="00BE7E96"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Importantly, CISA is not designed as a one-time training or behavioural campaign. It is conceived as an embedded infrastructure</w:t>
      </w:r>
      <w:r w:rsidR="0054578D" w:rsidRPr="001A2EF6">
        <w:rPr>
          <w:rFonts w:ascii="Times New Roman" w:hAnsi="Times New Roman" w:cs="Times New Roman"/>
          <w:sz w:val="24"/>
          <w:szCs w:val="24"/>
        </w:rPr>
        <w:t xml:space="preserve">; </w:t>
      </w:r>
      <w:r w:rsidRPr="001A2EF6">
        <w:rPr>
          <w:rFonts w:ascii="Times New Roman" w:hAnsi="Times New Roman" w:cs="Times New Roman"/>
          <w:sz w:val="24"/>
          <w:szCs w:val="24"/>
        </w:rPr>
        <w:t xml:space="preserve">an integrated system of artefacts, routines, and </w:t>
      </w:r>
      <w:r w:rsidRPr="001A2EF6">
        <w:rPr>
          <w:rFonts w:ascii="Times New Roman" w:hAnsi="Times New Roman" w:cs="Times New Roman"/>
          <w:sz w:val="24"/>
          <w:szCs w:val="24"/>
        </w:rPr>
        <w:lastRenderedPageBreak/>
        <w:t>social reinforcers</w:t>
      </w:r>
      <w:r w:rsidR="0054578D" w:rsidRPr="001A2EF6">
        <w:rPr>
          <w:rFonts w:ascii="Times New Roman" w:hAnsi="Times New Roman" w:cs="Times New Roman"/>
          <w:sz w:val="24"/>
          <w:szCs w:val="24"/>
        </w:rPr>
        <w:t xml:space="preserve">, </w:t>
      </w:r>
      <w:r w:rsidRPr="001A2EF6">
        <w:rPr>
          <w:rFonts w:ascii="Times New Roman" w:hAnsi="Times New Roman" w:cs="Times New Roman"/>
          <w:sz w:val="24"/>
          <w:szCs w:val="24"/>
        </w:rPr>
        <w:t>meant to evolve with the organisation and reinforce sustainable autonomy over time.</w:t>
      </w:r>
    </w:p>
    <w:p w14:paraId="2F7C8C3C" w14:textId="77777777" w:rsidR="0054578D" w:rsidRPr="001A2EF6" w:rsidRDefault="0054578D" w:rsidP="00884BB0">
      <w:pPr>
        <w:spacing w:line="360" w:lineRule="auto"/>
        <w:rPr>
          <w:rFonts w:ascii="Times New Roman" w:hAnsi="Times New Roman" w:cs="Times New Roman"/>
          <w:sz w:val="24"/>
          <w:szCs w:val="24"/>
        </w:rPr>
      </w:pPr>
    </w:p>
    <w:p w14:paraId="5B2EEF95" w14:textId="01875C8F" w:rsidR="00BE7E96" w:rsidRPr="001A2EF6" w:rsidRDefault="00BE7E96"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The implementation strategy proposed in this </w:t>
      </w:r>
      <w:r w:rsidR="00796D25">
        <w:rPr>
          <w:rFonts w:ascii="Times New Roman" w:hAnsi="Times New Roman" w:cs="Times New Roman"/>
          <w:sz w:val="24"/>
          <w:szCs w:val="24"/>
        </w:rPr>
        <w:t>business proposal</w:t>
      </w:r>
      <w:r w:rsidRPr="001A2EF6">
        <w:rPr>
          <w:rFonts w:ascii="Times New Roman" w:hAnsi="Times New Roman" w:cs="Times New Roman"/>
          <w:sz w:val="24"/>
          <w:szCs w:val="24"/>
        </w:rPr>
        <w:t xml:space="preserve"> anticipates practical constraints and cultural dynamics, drawing from contemporary change management literature (Hiatt 2006; Heifetz et al. 2009) and aligning with empirical findings on post-pandemic leadership development (McKinsey &amp; Company 2023). Through a phased rollout, beginning with executive sponsorship and a pilot period led by a cross-functional cell, the model builds internal legitimacy while enabling iterative adaptation. Ethical considerations</w:t>
      </w:r>
      <w:r w:rsidR="0054578D" w:rsidRPr="001A2EF6">
        <w:rPr>
          <w:rFonts w:ascii="Times New Roman" w:hAnsi="Times New Roman" w:cs="Times New Roman"/>
          <w:sz w:val="24"/>
          <w:szCs w:val="24"/>
        </w:rPr>
        <w:t xml:space="preserve">, </w:t>
      </w:r>
      <w:r w:rsidRPr="001A2EF6">
        <w:rPr>
          <w:rFonts w:ascii="Times New Roman" w:hAnsi="Times New Roman" w:cs="Times New Roman"/>
          <w:sz w:val="24"/>
          <w:szCs w:val="24"/>
        </w:rPr>
        <w:t>including psychological safety, data confidentiality, and perceived legitimacy</w:t>
      </w:r>
      <w:r w:rsidR="0054578D" w:rsidRPr="001A2EF6">
        <w:rPr>
          <w:rFonts w:ascii="Times New Roman" w:hAnsi="Times New Roman" w:cs="Times New Roman"/>
          <w:sz w:val="24"/>
          <w:szCs w:val="24"/>
        </w:rPr>
        <w:t xml:space="preserve">,  </w:t>
      </w:r>
      <w:r w:rsidRPr="001A2EF6">
        <w:rPr>
          <w:rFonts w:ascii="Times New Roman" w:hAnsi="Times New Roman" w:cs="Times New Roman"/>
          <w:sz w:val="24"/>
          <w:szCs w:val="24"/>
        </w:rPr>
        <w:t>are addressed as design priorities, not as afterthoughts, thereby ensuring adoption is framed as empowerment rather than surveillance.</w:t>
      </w:r>
    </w:p>
    <w:p w14:paraId="00A1E956" w14:textId="77777777" w:rsidR="0054578D" w:rsidRPr="001A2EF6" w:rsidRDefault="0054578D" w:rsidP="00884BB0">
      <w:pPr>
        <w:spacing w:line="360" w:lineRule="auto"/>
        <w:rPr>
          <w:rFonts w:ascii="Times New Roman" w:hAnsi="Times New Roman" w:cs="Times New Roman"/>
          <w:sz w:val="24"/>
          <w:szCs w:val="24"/>
        </w:rPr>
      </w:pPr>
    </w:p>
    <w:p w14:paraId="32A9FD99" w14:textId="06D36426" w:rsidR="00BE7E96" w:rsidRPr="001A2EF6" w:rsidRDefault="00BE7E96" w:rsidP="00884BB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In sum, this </w:t>
      </w:r>
      <w:r w:rsidR="0037700A">
        <w:rPr>
          <w:rFonts w:ascii="Times New Roman" w:hAnsi="Times New Roman" w:cs="Times New Roman"/>
          <w:sz w:val="24"/>
          <w:szCs w:val="24"/>
        </w:rPr>
        <w:t>research</w:t>
      </w:r>
      <w:r w:rsidRPr="001A2EF6">
        <w:rPr>
          <w:rFonts w:ascii="Times New Roman" w:hAnsi="Times New Roman" w:cs="Times New Roman"/>
          <w:sz w:val="24"/>
          <w:szCs w:val="24"/>
        </w:rPr>
        <w:t xml:space="preserve"> establishes that designing cognitive infrastructure for leadership is not only feasible but imperative in the face of escalating strategic complexity. It reconceptualises the executive function not as an innate personal capacity but as an engineered domain of practice, subject to deliberate structuring, support, and refinement. By advancing the CISA model as both an operational and epistemological innovation, the research offers a rigorous, theory-informed, and practicable pathway for transforming leadership from reactive crisis management into sustained, reflective strategic command. This interdisciplinary synthesis</w:t>
      </w:r>
      <w:r w:rsidR="004B0CD2" w:rsidRPr="001A2EF6">
        <w:rPr>
          <w:rFonts w:ascii="Times New Roman" w:hAnsi="Times New Roman" w:cs="Times New Roman"/>
          <w:sz w:val="24"/>
          <w:szCs w:val="24"/>
        </w:rPr>
        <w:t xml:space="preserve">, </w:t>
      </w:r>
      <w:r w:rsidRPr="001A2EF6">
        <w:rPr>
          <w:rFonts w:ascii="Times New Roman" w:hAnsi="Times New Roman" w:cs="Times New Roman"/>
          <w:sz w:val="24"/>
          <w:szCs w:val="24"/>
        </w:rPr>
        <w:t>anchored in cognitive psychology, organisational theory, and leadership science</w:t>
      </w:r>
      <w:r w:rsidR="004B0CD2" w:rsidRPr="001A2EF6">
        <w:rPr>
          <w:rFonts w:ascii="Times New Roman" w:hAnsi="Times New Roman" w:cs="Times New Roman"/>
          <w:sz w:val="24"/>
          <w:szCs w:val="24"/>
        </w:rPr>
        <w:t xml:space="preserve">, </w:t>
      </w:r>
      <w:r w:rsidRPr="001A2EF6">
        <w:rPr>
          <w:rFonts w:ascii="Times New Roman" w:hAnsi="Times New Roman" w:cs="Times New Roman"/>
          <w:sz w:val="24"/>
          <w:szCs w:val="24"/>
        </w:rPr>
        <w:t>makes a distinctive scholarly contribution by bridging conceptual insight with executable design. It challenges both scholars and practitioners to discard outdated assumptions of heroic leadership and instead embrace a paradigm in which strategic autonomy is scaffolded, cognitive clarity is cultivated, and decision excellence becomes the norm rather than the exception. Ultimately, the work redefines leadership not as an art of personal brilliance but as a collective, system-supported capability</w:t>
      </w:r>
      <w:r w:rsidR="00BF3E67" w:rsidRPr="001A2EF6">
        <w:rPr>
          <w:rFonts w:ascii="Times New Roman" w:hAnsi="Times New Roman" w:cs="Times New Roman"/>
          <w:sz w:val="24"/>
          <w:szCs w:val="24"/>
        </w:rPr>
        <w:t xml:space="preserve">; </w:t>
      </w:r>
      <w:r w:rsidRPr="001A2EF6">
        <w:rPr>
          <w:rFonts w:ascii="Times New Roman" w:hAnsi="Times New Roman" w:cs="Times New Roman"/>
          <w:sz w:val="24"/>
          <w:szCs w:val="24"/>
        </w:rPr>
        <w:t>engineered for resilience, precision, and enduring organisational value.</w:t>
      </w:r>
    </w:p>
    <w:p w14:paraId="3CDF6BEE" w14:textId="77777777" w:rsidR="00441594" w:rsidRPr="001A2EF6" w:rsidRDefault="00441594" w:rsidP="00884BB0">
      <w:pPr>
        <w:spacing w:line="360" w:lineRule="auto"/>
        <w:rPr>
          <w:rFonts w:ascii="Times New Roman" w:hAnsi="Times New Roman" w:cs="Times New Roman"/>
          <w:sz w:val="24"/>
          <w:szCs w:val="24"/>
        </w:rPr>
      </w:pPr>
    </w:p>
    <w:p w14:paraId="3522C88D" w14:textId="77777777" w:rsidR="00EC15F3" w:rsidRPr="001A2EF6" w:rsidRDefault="00EC15F3" w:rsidP="00884BB0">
      <w:pPr>
        <w:spacing w:line="360" w:lineRule="auto"/>
        <w:rPr>
          <w:rFonts w:ascii="Times New Roman" w:hAnsi="Times New Roman" w:cs="Times New Roman"/>
          <w:sz w:val="24"/>
          <w:szCs w:val="24"/>
        </w:rPr>
      </w:pPr>
    </w:p>
    <w:p w14:paraId="7AE03E08" w14:textId="77777777" w:rsidR="00C41354" w:rsidRPr="001A2EF6" w:rsidRDefault="00C41354" w:rsidP="00884BB0">
      <w:pPr>
        <w:spacing w:line="360" w:lineRule="auto"/>
        <w:rPr>
          <w:rFonts w:ascii="Times New Roman" w:hAnsi="Times New Roman" w:cs="Times New Roman"/>
          <w:sz w:val="24"/>
          <w:szCs w:val="24"/>
        </w:rPr>
      </w:pPr>
    </w:p>
    <w:p w14:paraId="642DC44C" w14:textId="532B3959" w:rsidR="00EC15F3" w:rsidRPr="001A2EF6" w:rsidRDefault="00BF3E67" w:rsidP="00BF3E67">
      <w:pPr>
        <w:pStyle w:val="Heading1"/>
        <w:rPr>
          <w:rFonts w:ascii="Times New Roman" w:hAnsi="Times New Roman" w:cs="Times New Roman"/>
          <w:b/>
          <w:bCs/>
        </w:rPr>
      </w:pPr>
      <w:bookmarkStart w:id="51" w:name="_Toc206317533"/>
      <w:r w:rsidRPr="001A2EF6">
        <w:rPr>
          <w:rFonts w:ascii="Times New Roman" w:hAnsi="Times New Roman" w:cs="Times New Roman"/>
          <w:b/>
          <w:bCs/>
        </w:rPr>
        <w:lastRenderedPageBreak/>
        <w:t>Bibliography</w:t>
      </w:r>
      <w:bookmarkEnd w:id="51"/>
    </w:p>
    <w:p w14:paraId="1C47D507" w14:textId="77777777" w:rsidR="00EC15F3" w:rsidRPr="001A2EF6" w:rsidRDefault="00EC15F3" w:rsidP="00884BB0">
      <w:pPr>
        <w:spacing w:line="360" w:lineRule="auto"/>
        <w:rPr>
          <w:rFonts w:ascii="Times New Roman" w:hAnsi="Times New Roman" w:cs="Times New Roman"/>
          <w:sz w:val="24"/>
          <w:szCs w:val="24"/>
        </w:rPr>
      </w:pPr>
    </w:p>
    <w:tbl>
      <w:tblPr>
        <w:tblW w:w="9026" w:type="dxa"/>
        <w:tblInd w:w="-70" w:type="dxa"/>
        <w:tblCellMar>
          <w:left w:w="70" w:type="dxa"/>
          <w:right w:w="70" w:type="dxa"/>
        </w:tblCellMar>
        <w:tblLook w:val="04A0" w:firstRow="1" w:lastRow="0" w:firstColumn="1" w:lastColumn="0" w:noHBand="0" w:noVBand="1"/>
      </w:tblPr>
      <w:tblGrid>
        <w:gridCol w:w="9026"/>
      </w:tblGrid>
      <w:tr w:rsidR="005C30F2" w:rsidRPr="001A2EF6" w14:paraId="7011A54F" w14:textId="77777777" w:rsidTr="002D2F18">
        <w:trPr>
          <w:trHeight w:val="300"/>
        </w:trPr>
        <w:tc>
          <w:tcPr>
            <w:tcW w:w="9026" w:type="dxa"/>
            <w:tcBorders>
              <w:top w:val="nil"/>
              <w:left w:val="nil"/>
              <w:bottom w:val="nil"/>
              <w:right w:val="nil"/>
            </w:tcBorders>
            <w:noWrap/>
            <w:vAlign w:val="bottom"/>
            <w:hideMark/>
          </w:tcPr>
          <w:p w14:paraId="4C14F3BD" w14:textId="77777777"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Anthony, S.D., Gilbert, C.G. and Johnson, M.W. (2017) </w:t>
            </w:r>
            <w:r w:rsidRPr="001A2EF6">
              <w:rPr>
                <w:rFonts w:ascii="Times New Roman" w:eastAsia="Times New Roman" w:hAnsi="Times New Roman" w:cs="Times New Roman"/>
                <w:i/>
                <w:iCs/>
                <w:color w:val="000000"/>
                <w:kern w:val="0"/>
                <w:sz w:val="24"/>
                <w:szCs w:val="24"/>
                <w:lang w:eastAsia="nb-NO"/>
                <w14:ligatures w14:val="none"/>
              </w:rPr>
              <w:t>Dual Transformation: How to Reposition Today’s Business While Creating the Future</w:t>
            </w:r>
            <w:r w:rsidRPr="001A2EF6">
              <w:rPr>
                <w:rFonts w:ascii="Times New Roman" w:eastAsia="Times New Roman" w:hAnsi="Times New Roman" w:cs="Times New Roman"/>
                <w:color w:val="000000"/>
                <w:kern w:val="0"/>
                <w:sz w:val="24"/>
                <w:szCs w:val="24"/>
                <w:lang w:eastAsia="nb-NO"/>
                <w14:ligatures w14:val="none"/>
              </w:rPr>
              <w:t>. Boston: Harvard Business Review Press, pp. 15–34.</w:t>
            </w:r>
          </w:p>
          <w:p w14:paraId="771B5ED2"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tc>
      </w:tr>
      <w:tr w:rsidR="005C30F2" w:rsidRPr="001A2EF6" w14:paraId="3EBC67AC" w14:textId="77777777" w:rsidTr="002D2F18">
        <w:trPr>
          <w:trHeight w:val="300"/>
        </w:trPr>
        <w:tc>
          <w:tcPr>
            <w:tcW w:w="9026" w:type="dxa"/>
            <w:tcBorders>
              <w:top w:val="nil"/>
              <w:left w:val="nil"/>
              <w:bottom w:val="nil"/>
              <w:right w:val="nil"/>
            </w:tcBorders>
            <w:noWrap/>
            <w:vAlign w:val="bottom"/>
            <w:hideMark/>
          </w:tcPr>
          <w:p w14:paraId="48097DC7"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18C6EC89" w14:textId="4989D6FD"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Argyris, C. and Schön, D.A. (1978) </w:t>
            </w:r>
            <w:r w:rsidRPr="001A2EF6">
              <w:rPr>
                <w:rFonts w:ascii="Times New Roman" w:eastAsia="Times New Roman" w:hAnsi="Times New Roman" w:cs="Times New Roman"/>
                <w:i/>
                <w:iCs/>
                <w:color w:val="000000"/>
                <w:kern w:val="0"/>
                <w:sz w:val="24"/>
                <w:szCs w:val="24"/>
                <w:lang w:eastAsia="nb-NO"/>
                <w14:ligatures w14:val="none"/>
              </w:rPr>
              <w:t>Organizational Learning: A Theory of Action Perspective</w:t>
            </w:r>
            <w:r w:rsidRPr="001A2EF6">
              <w:rPr>
                <w:rFonts w:ascii="Times New Roman" w:eastAsia="Times New Roman" w:hAnsi="Times New Roman" w:cs="Times New Roman"/>
                <w:color w:val="000000"/>
                <w:kern w:val="0"/>
                <w:sz w:val="24"/>
                <w:szCs w:val="24"/>
                <w:lang w:eastAsia="nb-NO"/>
                <w14:ligatures w14:val="none"/>
              </w:rPr>
              <w:t>. Reading, MA: Addison-Wesley, pp. 17-33</w:t>
            </w:r>
          </w:p>
          <w:p w14:paraId="6FFFADD3"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tc>
      </w:tr>
      <w:tr w:rsidR="005C30F2" w:rsidRPr="001A2EF6" w14:paraId="6449DE4F" w14:textId="77777777" w:rsidTr="002D2F18">
        <w:trPr>
          <w:trHeight w:val="300"/>
        </w:trPr>
        <w:tc>
          <w:tcPr>
            <w:tcW w:w="9026" w:type="dxa"/>
            <w:tcBorders>
              <w:top w:val="nil"/>
              <w:left w:val="nil"/>
              <w:bottom w:val="nil"/>
              <w:right w:val="nil"/>
            </w:tcBorders>
            <w:noWrap/>
            <w:vAlign w:val="bottom"/>
            <w:hideMark/>
          </w:tcPr>
          <w:p w14:paraId="23C2406C"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488706DF" w14:textId="2F2B1B47"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Argyris, C. and Schön, D.A. (1996) </w:t>
            </w:r>
            <w:r w:rsidRPr="001A2EF6">
              <w:rPr>
                <w:rFonts w:ascii="Times New Roman" w:eastAsia="Times New Roman" w:hAnsi="Times New Roman" w:cs="Times New Roman"/>
                <w:i/>
                <w:iCs/>
                <w:color w:val="000000"/>
                <w:kern w:val="0"/>
                <w:sz w:val="24"/>
                <w:szCs w:val="24"/>
                <w:lang w:eastAsia="nb-NO"/>
                <w14:ligatures w14:val="none"/>
              </w:rPr>
              <w:t>Organizational Learning II: Theory, Method, and Practice</w:t>
            </w:r>
            <w:r w:rsidRPr="001A2EF6">
              <w:rPr>
                <w:rFonts w:ascii="Times New Roman" w:eastAsia="Times New Roman" w:hAnsi="Times New Roman" w:cs="Times New Roman"/>
                <w:color w:val="000000"/>
                <w:kern w:val="0"/>
                <w:sz w:val="24"/>
                <w:szCs w:val="24"/>
                <w:lang w:eastAsia="nb-NO"/>
                <w14:ligatures w14:val="none"/>
              </w:rPr>
              <w:t>. Reading, MA: Addison-Wesley, pp. 6–40.</w:t>
            </w:r>
          </w:p>
          <w:p w14:paraId="5CE1FA3D"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tc>
      </w:tr>
      <w:tr w:rsidR="005C30F2" w:rsidRPr="001A2EF6" w14:paraId="08E1DDFF" w14:textId="77777777" w:rsidTr="002D2F18">
        <w:trPr>
          <w:trHeight w:val="300"/>
        </w:trPr>
        <w:tc>
          <w:tcPr>
            <w:tcW w:w="9026" w:type="dxa"/>
            <w:tcBorders>
              <w:top w:val="nil"/>
              <w:left w:val="nil"/>
              <w:bottom w:val="nil"/>
              <w:right w:val="nil"/>
            </w:tcBorders>
            <w:noWrap/>
            <w:vAlign w:val="bottom"/>
            <w:hideMark/>
          </w:tcPr>
          <w:p w14:paraId="7BFEE5E3"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72EDB93B" w14:textId="6E2E299A"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Bandura, A. (1977) </w:t>
            </w:r>
            <w:r w:rsidRPr="001A2EF6">
              <w:rPr>
                <w:rFonts w:ascii="Times New Roman" w:eastAsia="Times New Roman" w:hAnsi="Times New Roman" w:cs="Times New Roman"/>
                <w:i/>
                <w:iCs/>
                <w:color w:val="000000"/>
                <w:kern w:val="0"/>
                <w:sz w:val="24"/>
                <w:szCs w:val="24"/>
                <w:lang w:eastAsia="nb-NO"/>
                <w14:ligatures w14:val="none"/>
              </w:rPr>
              <w:t>Social Learning Theory</w:t>
            </w:r>
            <w:r w:rsidRPr="001A2EF6">
              <w:rPr>
                <w:rFonts w:ascii="Times New Roman" w:eastAsia="Times New Roman" w:hAnsi="Times New Roman" w:cs="Times New Roman"/>
                <w:color w:val="000000"/>
                <w:kern w:val="0"/>
                <w:sz w:val="24"/>
                <w:szCs w:val="24"/>
                <w:lang w:eastAsia="nb-NO"/>
                <w14:ligatures w14:val="none"/>
              </w:rPr>
              <w:t>. Englewood Cliffs, NJ: Prentice Hall, pp. 37–50.</w:t>
            </w:r>
          </w:p>
          <w:p w14:paraId="00E268FA"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tc>
      </w:tr>
      <w:tr w:rsidR="005C30F2" w:rsidRPr="001A2EF6" w14:paraId="2547D9AE" w14:textId="77777777" w:rsidTr="002D2F18">
        <w:trPr>
          <w:trHeight w:val="300"/>
        </w:trPr>
        <w:tc>
          <w:tcPr>
            <w:tcW w:w="9026" w:type="dxa"/>
            <w:tcBorders>
              <w:top w:val="nil"/>
              <w:left w:val="nil"/>
              <w:bottom w:val="nil"/>
              <w:right w:val="nil"/>
            </w:tcBorders>
            <w:noWrap/>
            <w:vAlign w:val="bottom"/>
            <w:hideMark/>
          </w:tcPr>
          <w:p w14:paraId="5BA6ABA0"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5C0E2254" w14:textId="7CC639DC"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Bandura, A., (1991). Social cognitive theory of self-regulation.</w:t>
            </w:r>
            <w:r w:rsidRPr="001A2EF6">
              <w:rPr>
                <w:rFonts w:ascii="Times New Roman" w:eastAsia="Times New Roman" w:hAnsi="Times New Roman" w:cs="Times New Roman"/>
                <w:i/>
                <w:iCs/>
                <w:color w:val="000000"/>
                <w:kern w:val="0"/>
                <w:sz w:val="24"/>
                <w:szCs w:val="24"/>
                <w:lang w:eastAsia="nb-NO"/>
                <w14:ligatures w14:val="none"/>
              </w:rPr>
              <w:t xml:space="preserve"> Organizational Behavior and Human Decision Processes</w:t>
            </w:r>
            <w:r w:rsidRPr="001A2EF6">
              <w:rPr>
                <w:rFonts w:ascii="Times New Roman" w:eastAsia="Times New Roman" w:hAnsi="Times New Roman" w:cs="Times New Roman"/>
                <w:color w:val="000000"/>
                <w:kern w:val="0"/>
                <w:sz w:val="24"/>
                <w:szCs w:val="24"/>
                <w:lang w:eastAsia="nb-NO"/>
                <w14:ligatures w14:val="none"/>
              </w:rPr>
              <w:t>, 50(2), pp.248–287. Available at: https://doi.org/10.1016/0749-5978(91)90022-L [Accessed 21 July 2025].</w:t>
            </w:r>
          </w:p>
        </w:tc>
      </w:tr>
      <w:tr w:rsidR="005C30F2" w:rsidRPr="001A2EF6" w14:paraId="73BAC407" w14:textId="77777777" w:rsidTr="002D2F18">
        <w:trPr>
          <w:trHeight w:val="300"/>
        </w:trPr>
        <w:tc>
          <w:tcPr>
            <w:tcW w:w="9026" w:type="dxa"/>
            <w:tcBorders>
              <w:top w:val="nil"/>
              <w:left w:val="nil"/>
              <w:bottom w:val="nil"/>
              <w:right w:val="nil"/>
            </w:tcBorders>
            <w:noWrap/>
            <w:vAlign w:val="bottom"/>
            <w:hideMark/>
          </w:tcPr>
          <w:p w14:paraId="06E5B50F"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5076AC3F" w14:textId="2412F8F6"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Baumeister, R.F., Vohs, K.D., Tice, D.M. and Muraven, M. (1998) ‘Self-control, decision fatigue, and active initiative’, </w:t>
            </w:r>
            <w:r w:rsidRPr="001A2EF6">
              <w:rPr>
                <w:rFonts w:ascii="Times New Roman" w:eastAsia="Times New Roman" w:hAnsi="Times New Roman" w:cs="Times New Roman"/>
                <w:i/>
                <w:iCs/>
                <w:color w:val="000000"/>
                <w:kern w:val="0"/>
                <w:sz w:val="24"/>
                <w:szCs w:val="24"/>
                <w:lang w:eastAsia="nb-NO"/>
                <w14:ligatures w14:val="none"/>
              </w:rPr>
              <w:t>Journal of Consumer Research</w:t>
            </w:r>
            <w:r w:rsidRPr="001A2EF6">
              <w:rPr>
                <w:rFonts w:ascii="Times New Roman" w:eastAsia="Times New Roman" w:hAnsi="Times New Roman" w:cs="Times New Roman"/>
                <w:color w:val="000000"/>
                <w:kern w:val="0"/>
                <w:sz w:val="24"/>
                <w:szCs w:val="24"/>
                <w:lang w:eastAsia="nb-NO"/>
                <w14:ligatures w14:val="none"/>
              </w:rPr>
              <w:t>, 24(2), pp. 419–425.</w:t>
            </w:r>
          </w:p>
        </w:tc>
      </w:tr>
      <w:tr w:rsidR="005C30F2" w:rsidRPr="001A2EF6" w14:paraId="7D1102FF" w14:textId="77777777" w:rsidTr="002D2F18">
        <w:trPr>
          <w:trHeight w:val="300"/>
        </w:trPr>
        <w:tc>
          <w:tcPr>
            <w:tcW w:w="9026" w:type="dxa"/>
            <w:tcBorders>
              <w:top w:val="nil"/>
              <w:left w:val="nil"/>
              <w:bottom w:val="nil"/>
              <w:right w:val="nil"/>
            </w:tcBorders>
            <w:noWrap/>
            <w:vAlign w:val="bottom"/>
            <w:hideMark/>
          </w:tcPr>
          <w:p w14:paraId="35CB02A6"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5EFF23E5" w14:textId="355FC310"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Baumeister, R.F. and Tierney, J. (2011) </w:t>
            </w:r>
            <w:r w:rsidRPr="001A2EF6">
              <w:rPr>
                <w:rFonts w:ascii="Times New Roman" w:eastAsia="Times New Roman" w:hAnsi="Times New Roman" w:cs="Times New Roman"/>
                <w:i/>
                <w:iCs/>
                <w:color w:val="000000"/>
                <w:kern w:val="0"/>
                <w:sz w:val="24"/>
                <w:szCs w:val="24"/>
                <w:lang w:eastAsia="nb-NO"/>
                <w14:ligatures w14:val="none"/>
              </w:rPr>
              <w:t>Willpower: Rediscovering the Greatest Human Strength</w:t>
            </w:r>
            <w:r w:rsidRPr="001A2EF6">
              <w:rPr>
                <w:rFonts w:ascii="Times New Roman" w:eastAsia="Times New Roman" w:hAnsi="Times New Roman" w:cs="Times New Roman"/>
                <w:color w:val="000000"/>
                <w:kern w:val="0"/>
                <w:sz w:val="24"/>
                <w:szCs w:val="24"/>
                <w:lang w:eastAsia="nb-NO"/>
                <w14:ligatures w14:val="none"/>
              </w:rPr>
              <w:t>. New York: Penguin Press, pp. 8–35.</w:t>
            </w:r>
          </w:p>
        </w:tc>
      </w:tr>
      <w:tr w:rsidR="005C30F2" w:rsidRPr="001A2EF6" w14:paraId="53F3ED32" w14:textId="77777777" w:rsidTr="002D2F18">
        <w:trPr>
          <w:trHeight w:val="300"/>
        </w:trPr>
        <w:tc>
          <w:tcPr>
            <w:tcW w:w="9026" w:type="dxa"/>
            <w:tcBorders>
              <w:top w:val="nil"/>
              <w:left w:val="nil"/>
              <w:bottom w:val="nil"/>
              <w:right w:val="nil"/>
            </w:tcBorders>
            <w:noWrap/>
            <w:vAlign w:val="bottom"/>
            <w:hideMark/>
          </w:tcPr>
          <w:p w14:paraId="282B3031"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10ACE5AE" w14:textId="483158DF"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Beer, M. and Nohria, N. (2000) ‘Cracking the code of change’, </w:t>
            </w:r>
            <w:r w:rsidRPr="001A2EF6">
              <w:rPr>
                <w:rFonts w:ascii="Times New Roman" w:eastAsia="Times New Roman" w:hAnsi="Times New Roman" w:cs="Times New Roman"/>
                <w:i/>
                <w:iCs/>
                <w:color w:val="000000"/>
                <w:kern w:val="0"/>
                <w:sz w:val="24"/>
                <w:szCs w:val="24"/>
                <w:lang w:eastAsia="nb-NO"/>
                <w14:ligatures w14:val="none"/>
              </w:rPr>
              <w:t>Harvard Business Review</w:t>
            </w:r>
            <w:r w:rsidRPr="001A2EF6">
              <w:rPr>
                <w:rFonts w:ascii="Times New Roman" w:eastAsia="Times New Roman" w:hAnsi="Times New Roman" w:cs="Times New Roman"/>
                <w:color w:val="000000"/>
                <w:kern w:val="0"/>
                <w:sz w:val="24"/>
                <w:szCs w:val="24"/>
                <w:lang w:eastAsia="nb-NO"/>
                <w14:ligatures w14:val="none"/>
              </w:rPr>
              <w:t>, 78(3), pp. 133–141.</w:t>
            </w:r>
          </w:p>
        </w:tc>
      </w:tr>
      <w:tr w:rsidR="005C30F2" w:rsidRPr="001A2EF6" w14:paraId="4C0D0D5E" w14:textId="77777777" w:rsidTr="002D2F18">
        <w:trPr>
          <w:trHeight w:val="300"/>
        </w:trPr>
        <w:tc>
          <w:tcPr>
            <w:tcW w:w="9026" w:type="dxa"/>
            <w:tcBorders>
              <w:top w:val="nil"/>
              <w:left w:val="nil"/>
              <w:bottom w:val="nil"/>
              <w:right w:val="nil"/>
            </w:tcBorders>
            <w:noWrap/>
            <w:vAlign w:val="bottom"/>
            <w:hideMark/>
          </w:tcPr>
          <w:p w14:paraId="27DE5E85"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4FDF7EB7" w14:textId="1BE47EBA"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Bennett, N. and Lemoine, G.J. (2014) ‘What VUCA really means for you’, </w:t>
            </w:r>
            <w:r w:rsidRPr="001A2EF6">
              <w:rPr>
                <w:rFonts w:ascii="Times New Roman" w:eastAsia="Times New Roman" w:hAnsi="Times New Roman" w:cs="Times New Roman"/>
                <w:i/>
                <w:iCs/>
                <w:color w:val="000000"/>
                <w:kern w:val="0"/>
                <w:sz w:val="24"/>
                <w:szCs w:val="24"/>
                <w:lang w:eastAsia="nb-NO"/>
                <w14:ligatures w14:val="none"/>
              </w:rPr>
              <w:t>Harvard Business Review</w:t>
            </w:r>
            <w:r w:rsidRPr="001A2EF6">
              <w:rPr>
                <w:rFonts w:ascii="Times New Roman" w:eastAsia="Times New Roman" w:hAnsi="Times New Roman" w:cs="Times New Roman"/>
                <w:color w:val="000000"/>
                <w:kern w:val="0"/>
                <w:sz w:val="24"/>
                <w:szCs w:val="24"/>
                <w:lang w:eastAsia="nb-NO"/>
                <w14:ligatures w14:val="none"/>
              </w:rPr>
              <w:t>, 92(1–2), pp. 27–42. Available at: https://hbr.org/2014/01/what-vuca-really-means-for-you [Accessed 17 July 2025].</w:t>
            </w:r>
          </w:p>
        </w:tc>
      </w:tr>
      <w:tr w:rsidR="005C30F2" w:rsidRPr="001A2EF6" w14:paraId="01338DBB" w14:textId="77777777" w:rsidTr="002D2F18">
        <w:trPr>
          <w:trHeight w:val="300"/>
        </w:trPr>
        <w:tc>
          <w:tcPr>
            <w:tcW w:w="9026" w:type="dxa"/>
            <w:tcBorders>
              <w:top w:val="nil"/>
              <w:left w:val="nil"/>
              <w:bottom w:val="nil"/>
              <w:right w:val="nil"/>
            </w:tcBorders>
            <w:noWrap/>
            <w:vAlign w:val="bottom"/>
            <w:hideMark/>
          </w:tcPr>
          <w:p w14:paraId="692E8550"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2BC6B5A7" w14:textId="18DCC998"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Dane, E. and Pratt, M.G. (2007) ‘Exploring intuition and its role in managerial decision making’, </w:t>
            </w:r>
            <w:r w:rsidRPr="001A2EF6">
              <w:rPr>
                <w:rFonts w:ascii="Times New Roman" w:eastAsia="Times New Roman" w:hAnsi="Times New Roman" w:cs="Times New Roman"/>
                <w:i/>
                <w:iCs/>
                <w:color w:val="000000"/>
                <w:kern w:val="0"/>
                <w:sz w:val="24"/>
                <w:szCs w:val="24"/>
                <w:lang w:eastAsia="nb-NO"/>
                <w14:ligatures w14:val="none"/>
              </w:rPr>
              <w:t>Academy of Management Review</w:t>
            </w:r>
            <w:r w:rsidRPr="001A2EF6">
              <w:rPr>
                <w:rFonts w:ascii="Times New Roman" w:eastAsia="Times New Roman" w:hAnsi="Times New Roman" w:cs="Times New Roman"/>
                <w:color w:val="000000"/>
                <w:kern w:val="0"/>
                <w:sz w:val="24"/>
                <w:szCs w:val="24"/>
                <w:lang w:eastAsia="nb-NO"/>
                <w14:ligatures w14:val="none"/>
              </w:rPr>
              <w:t>, 32(1), pp. 33–54.</w:t>
            </w:r>
          </w:p>
        </w:tc>
      </w:tr>
      <w:tr w:rsidR="005C30F2" w:rsidRPr="001A2EF6" w14:paraId="36FC22D0" w14:textId="77777777" w:rsidTr="002D2F18">
        <w:trPr>
          <w:trHeight w:val="300"/>
        </w:trPr>
        <w:tc>
          <w:tcPr>
            <w:tcW w:w="9026" w:type="dxa"/>
            <w:tcBorders>
              <w:top w:val="nil"/>
              <w:left w:val="nil"/>
              <w:bottom w:val="nil"/>
              <w:right w:val="nil"/>
            </w:tcBorders>
            <w:noWrap/>
            <w:vAlign w:val="bottom"/>
            <w:hideMark/>
          </w:tcPr>
          <w:p w14:paraId="4E0C3F6E"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31D0EC0B" w14:textId="38BD37A3"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Davenport, T.H. (2018) </w:t>
            </w:r>
            <w:r w:rsidRPr="001A2EF6">
              <w:rPr>
                <w:rFonts w:ascii="Times New Roman" w:eastAsia="Times New Roman" w:hAnsi="Times New Roman" w:cs="Times New Roman"/>
                <w:i/>
                <w:iCs/>
                <w:color w:val="000000"/>
                <w:kern w:val="0"/>
                <w:sz w:val="24"/>
                <w:szCs w:val="24"/>
                <w:lang w:eastAsia="nb-NO"/>
                <w14:ligatures w14:val="none"/>
              </w:rPr>
              <w:t>The AI Advantage: How to Put the Artificial Intelligence Revolution to Work</w:t>
            </w:r>
            <w:r w:rsidRPr="001A2EF6">
              <w:rPr>
                <w:rFonts w:ascii="Times New Roman" w:eastAsia="Times New Roman" w:hAnsi="Times New Roman" w:cs="Times New Roman"/>
                <w:color w:val="000000"/>
                <w:kern w:val="0"/>
                <w:sz w:val="24"/>
                <w:szCs w:val="24"/>
                <w:lang w:eastAsia="nb-NO"/>
                <w14:ligatures w14:val="none"/>
              </w:rPr>
              <w:t>. Cambridge, MA: MIT Press, pp. 1–20.</w:t>
            </w:r>
          </w:p>
        </w:tc>
      </w:tr>
      <w:tr w:rsidR="005C30F2" w:rsidRPr="001A2EF6" w14:paraId="2E919A87" w14:textId="77777777" w:rsidTr="002D2F18">
        <w:trPr>
          <w:trHeight w:val="300"/>
        </w:trPr>
        <w:tc>
          <w:tcPr>
            <w:tcW w:w="9026" w:type="dxa"/>
            <w:tcBorders>
              <w:top w:val="nil"/>
              <w:left w:val="nil"/>
              <w:bottom w:val="nil"/>
              <w:right w:val="nil"/>
            </w:tcBorders>
            <w:noWrap/>
            <w:vAlign w:val="bottom"/>
            <w:hideMark/>
          </w:tcPr>
          <w:p w14:paraId="250A45B2"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01D0491D" w14:textId="46EA4949"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De Smet, A., De Swaan Arons, M. and Mygatt, E. (2023) ‘To weather the storm, companies must become “future ready”’, </w:t>
            </w:r>
            <w:r w:rsidRPr="001A2EF6">
              <w:rPr>
                <w:rFonts w:ascii="Times New Roman" w:eastAsia="Times New Roman" w:hAnsi="Times New Roman" w:cs="Times New Roman"/>
                <w:i/>
                <w:iCs/>
                <w:color w:val="000000"/>
                <w:kern w:val="0"/>
                <w:sz w:val="24"/>
                <w:szCs w:val="24"/>
                <w:lang w:eastAsia="nb-NO"/>
                <w14:ligatures w14:val="none"/>
              </w:rPr>
              <w:t>McKinsey &amp; Company</w:t>
            </w:r>
            <w:r w:rsidRPr="001A2EF6">
              <w:rPr>
                <w:rFonts w:ascii="Times New Roman" w:eastAsia="Times New Roman" w:hAnsi="Times New Roman" w:cs="Times New Roman"/>
                <w:color w:val="000000"/>
                <w:kern w:val="0"/>
                <w:sz w:val="24"/>
                <w:szCs w:val="24"/>
                <w:lang w:eastAsia="nb-NO"/>
                <w14:ligatures w14:val="none"/>
              </w:rPr>
              <w:t>. Available at: https://www.mckinsey.com/capabilities/people-and-organizational-performance/our-insights/to-weather-the-storm-companies-must-become-future-ready [Accessed 26 June 2025].</w:t>
            </w:r>
          </w:p>
        </w:tc>
      </w:tr>
      <w:tr w:rsidR="005C30F2" w:rsidRPr="001A2EF6" w14:paraId="535A3E58" w14:textId="77777777" w:rsidTr="002D2F18">
        <w:trPr>
          <w:trHeight w:val="300"/>
        </w:trPr>
        <w:tc>
          <w:tcPr>
            <w:tcW w:w="9026" w:type="dxa"/>
            <w:tcBorders>
              <w:top w:val="nil"/>
              <w:left w:val="nil"/>
              <w:bottom w:val="nil"/>
              <w:right w:val="nil"/>
            </w:tcBorders>
            <w:noWrap/>
            <w:vAlign w:val="bottom"/>
            <w:hideMark/>
          </w:tcPr>
          <w:p w14:paraId="77AC6C36"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22E20157" w14:textId="16207EC8"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De Smet, A., Mysore, M. and Ramaswamy, S. (2021) ‘Organizing for the future: Nine keys to becoming a future-ready company’, </w:t>
            </w:r>
            <w:r w:rsidRPr="001A2EF6">
              <w:rPr>
                <w:rFonts w:ascii="Times New Roman" w:eastAsia="Times New Roman" w:hAnsi="Times New Roman" w:cs="Times New Roman"/>
                <w:i/>
                <w:iCs/>
                <w:color w:val="000000"/>
                <w:kern w:val="0"/>
                <w:sz w:val="24"/>
                <w:szCs w:val="24"/>
                <w:lang w:eastAsia="nb-NO"/>
                <w14:ligatures w14:val="none"/>
              </w:rPr>
              <w:t>McKinsey &amp; Company</w:t>
            </w:r>
            <w:r w:rsidRPr="001A2EF6">
              <w:rPr>
                <w:rFonts w:ascii="Times New Roman" w:eastAsia="Times New Roman" w:hAnsi="Times New Roman" w:cs="Times New Roman"/>
                <w:color w:val="000000"/>
                <w:kern w:val="0"/>
                <w:sz w:val="24"/>
                <w:szCs w:val="24"/>
                <w:lang w:eastAsia="nb-NO"/>
                <w14:ligatures w14:val="none"/>
              </w:rPr>
              <w:t>. Available at: https://www.mckinsey.com/capabilities/people-and-organizational-performance/our-insights/organizing-for-the-future-nine-keys-to-becoming-a-future-ready-company [Accessed 26 June 2025].</w:t>
            </w:r>
          </w:p>
        </w:tc>
      </w:tr>
      <w:tr w:rsidR="005C30F2" w:rsidRPr="001A2EF6" w14:paraId="289FBB72" w14:textId="77777777" w:rsidTr="002D2F18">
        <w:trPr>
          <w:trHeight w:val="300"/>
        </w:trPr>
        <w:tc>
          <w:tcPr>
            <w:tcW w:w="9026" w:type="dxa"/>
            <w:tcBorders>
              <w:top w:val="nil"/>
              <w:left w:val="nil"/>
              <w:bottom w:val="nil"/>
              <w:right w:val="nil"/>
            </w:tcBorders>
            <w:noWrap/>
            <w:vAlign w:val="bottom"/>
            <w:hideMark/>
          </w:tcPr>
          <w:p w14:paraId="66209648"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4816AAB5" w14:textId="2CC03E3E"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De Smet, A., Mysore, M., Alexander, A. and Devillard, S. (2023) ‘The State of Organizations 2023’, </w:t>
            </w:r>
            <w:r w:rsidRPr="001A2EF6">
              <w:rPr>
                <w:rFonts w:ascii="Times New Roman" w:eastAsia="Times New Roman" w:hAnsi="Times New Roman" w:cs="Times New Roman"/>
                <w:i/>
                <w:iCs/>
                <w:color w:val="000000"/>
                <w:kern w:val="0"/>
                <w:sz w:val="24"/>
                <w:szCs w:val="24"/>
                <w:lang w:eastAsia="nb-NO"/>
                <w14:ligatures w14:val="none"/>
              </w:rPr>
              <w:t>McKinsey &amp; Company</w:t>
            </w:r>
            <w:r w:rsidRPr="001A2EF6">
              <w:rPr>
                <w:rFonts w:ascii="Times New Roman" w:eastAsia="Times New Roman" w:hAnsi="Times New Roman" w:cs="Times New Roman"/>
                <w:color w:val="000000"/>
                <w:kern w:val="0"/>
                <w:sz w:val="24"/>
                <w:szCs w:val="24"/>
                <w:lang w:eastAsia="nb-NO"/>
                <w14:ligatures w14:val="none"/>
              </w:rPr>
              <w:t>. Available at: https://www.mckinsey.com/capabilities/people-and-organizational-performance/our-insights/the-state-of-organizations-2023 [Accessed 24 June 2025].</w:t>
            </w:r>
          </w:p>
        </w:tc>
      </w:tr>
      <w:tr w:rsidR="005C30F2" w:rsidRPr="001A2EF6" w14:paraId="3A993B70" w14:textId="77777777" w:rsidTr="002D2F18">
        <w:trPr>
          <w:trHeight w:val="300"/>
        </w:trPr>
        <w:tc>
          <w:tcPr>
            <w:tcW w:w="9026" w:type="dxa"/>
            <w:tcBorders>
              <w:top w:val="nil"/>
              <w:left w:val="nil"/>
              <w:bottom w:val="nil"/>
              <w:right w:val="nil"/>
            </w:tcBorders>
            <w:noWrap/>
            <w:vAlign w:val="bottom"/>
            <w:hideMark/>
          </w:tcPr>
          <w:p w14:paraId="1DED1E33"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12E6C827" w14:textId="0B32261F"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Diamond, A. (2013) ‘Executive functions’, </w:t>
            </w:r>
            <w:r w:rsidRPr="001A2EF6">
              <w:rPr>
                <w:rFonts w:ascii="Times New Roman" w:eastAsia="Times New Roman" w:hAnsi="Times New Roman" w:cs="Times New Roman"/>
                <w:i/>
                <w:iCs/>
                <w:color w:val="000000"/>
                <w:kern w:val="0"/>
                <w:sz w:val="24"/>
                <w:szCs w:val="24"/>
                <w:lang w:eastAsia="nb-NO"/>
                <w14:ligatures w14:val="none"/>
              </w:rPr>
              <w:t>Annual Review of Psychology</w:t>
            </w:r>
            <w:r w:rsidRPr="001A2EF6">
              <w:rPr>
                <w:rFonts w:ascii="Times New Roman" w:eastAsia="Times New Roman" w:hAnsi="Times New Roman" w:cs="Times New Roman"/>
                <w:color w:val="000000"/>
                <w:kern w:val="0"/>
                <w:sz w:val="24"/>
                <w:szCs w:val="24"/>
                <w:lang w:eastAsia="nb-NO"/>
                <w14:ligatures w14:val="none"/>
              </w:rPr>
              <w:t>, 64, pp. 135–168. Available at: https://doi.org/10.1146/annurev-psych-113011-143750 [Accessed 2 July 2025].</w:t>
            </w:r>
          </w:p>
        </w:tc>
      </w:tr>
      <w:tr w:rsidR="005C30F2" w:rsidRPr="001A2EF6" w14:paraId="00F4EF0F" w14:textId="77777777" w:rsidTr="002D2F18">
        <w:trPr>
          <w:trHeight w:val="300"/>
        </w:trPr>
        <w:tc>
          <w:tcPr>
            <w:tcW w:w="9026" w:type="dxa"/>
            <w:tcBorders>
              <w:top w:val="nil"/>
              <w:left w:val="nil"/>
              <w:bottom w:val="nil"/>
              <w:right w:val="nil"/>
            </w:tcBorders>
            <w:noWrap/>
            <w:vAlign w:val="bottom"/>
            <w:hideMark/>
          </w:tcPr>
          <w:p w14:paraId="674958BB"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238A052A" w14:textId="2CAC4114"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Duhigg, C. (2016) </w:t>
            </w:r>
            <w:r w:rsidRPr="001A2EF6">
              <w:rPr>
                <w:rFonts w:ascii="Times New Roman" w:eastAsia="Times New Roman" w:hAnsi="Times New Roman" w:cs="Times New Roman"/>
                <w:i/>
                <w:iCs/>
                <w:color w:val="000000"/>
                <w:kern w:val="0"/>
                <w:sz w:val="24"/>
                <w:szCs w:val="24"/>
                <w:lang w:eastAsia="nb-NO"/>
                <w14:ligatures w14:val="none"/>
              </w:rPr>
              <w:t>Smarter Faster Better: The Secrets of Being Productive in Life and Business</w:t>
            </w:r>
            <w:r w:rsidRPr="001A2EF6">
              <w:rPr>
                <w:rFonts w:ascii="Times New Roman" w:eastAsia="Times New Roman" w:hAnsi="Times New Roman" w:cs="Times New Roman"/>
                <w:color w:val="000000"/>
                <w:kern w:val="0"/>
                <w:sz w:val="24"/>
                <w:szCs w:val="24"/>
                <w:lang w:eastAsia="nb-NO"/>
                <w14:ligatures w14:val="none"/>
              </w:rPr>
              <w:t>. New York: Random House, pp. 12–58.</w:t>
            </w:r>
          </w:p>
        </w:tc>
      </w:tr>
      <w:tr w:rsidR="005C30F2" w:rsidRPr="001A2EF6" w14:paraId="0BA659C9" w14:textId="77777777" w:rsidTr="002D2F18">
        <w:trPr>
          <w:trHeight w:val="300"/>
        </w:trPr>
        <w:tc>
          <w:tcPr>
            <w:tcW w:w="9026" w:type="dxa"/>
            <w:tcBorders>
              <w:top w:val="nil"/>
              <w:left w:val="nil"/>
              <w:bottom w:val="nil"/>
              <w:right w:val="nil"/>
            </w:tcBorders>
            <w:noWrap/>
            <w:vAlign w:val="bottom"/>
            <w:hideMark/>
          </w:tcPr>
          <w:p w14:paraId="740711EE"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4F83BAE9" w14:textId="03DDEE2E"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Dweck, C. (2006) </w:t>
            </w:r>
            <w:r w:rsidRPr="001A2EF6">
              <w:rPr>
                <w:rFonts w:ascii="Times New Roman" w:eastAsia="Times New Roman" w:hAnsi="Times New Roman" w:cs="Times New Roman"/>
                <w:i/>
                <w:iCs/>
                <w:color w:val="000000"/>
                <w:kern w:val="0"/>
                <w:sz w:val="24"/>
                <w:szCs w:val="24"/>
                <w:lang w:eastAsia="nb-NO"/>
                <w14:ligatures w14:val="none"/>
              </w:rPr>
              <w:t>Mindset: The New Psychology of Success</w:t>
            </w:r>
            <w:r w:rsidRPr="001A2EF6">
              <w:rPr>
                <w:rFonts w:ascii="Times New Roman" w:eastAsia="Times New Roman" w:hAnsi="Times New Roman" w:cs="Times New Roman"/>
                <w:color w:val="000000"/>
                <w:kern w:val="0"/>
                <w:sz w:val="24"/>
                <w:szCs w:val="24"/>
                <w:lang w:eastAsia="nb-NO"/>
                <w14:ligatures w14:val="none"/>
              </w:rPr>
              <w:t>. New York: Random House, pp. 6–45.</w:t>
            </w:r>
          </w:p>
        </w:tc>
      </w:tr>
      <w:tr w:rsidR="005C30F2" w:rsidRPr="001A2EF6" w14:paraId="319DFFA3" w14:textId="77777777" w:rsidTr="002D2F18">
        <w:trPr>
          <w:trHeight w:val="300"/>
        </w:trPr>
        <w:tc>
          <w:tcPr>
            <w:tcW w:w="9026" w:type="dxa"/>
            <w:tcBorders>
              <w:top w:val="nil"/>
              <w:left w:val="nil"/>
              <w:bottom w:val="nil"/>
              <w:right w:val="nil"/>
            </w:tcBorders>
            <w:noWrap/>
            <w:vAlign w:val="bottom"/>
            <w:hideMark/>
          </w:tcPr>
          <w:p w14:paraId="3468CF18"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07CF2A7F" w14:textId="4E47D2A4"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Edmondson, A. (1999) ‘Psychological Safety and Learning Behavior in Work Teams’, </w:t>
            </w:r>
            <w:r w:rsidRPr="001A2EF6">
              <w:rPr>
                <w:rFonts w:ascii="Times New Roman" w:eastAsia="Times New Roman" w:hAnsi="Times New Roman" w:cs="Times New Roman"/>
                <w:i/>
                <w:iCs/>
                <w:color w:val="000000"/>
                <w:kern w:val="0"/>
                <w:sz w:val="24"/>
                <w:szCs w:val="24"/>
                <w:lang w:eastAsia="nb-NO"/>
                <w14:ligatures w14:val="none"/>
              </w:rPr>
              <w:t>Administrative Science Quarterly</w:t>
            </w:r>
            <w:r w:rsidRPr="001A2EF6">
              <w:rPr>
                <w:rFonts w:ascii="Times New Roman" w:eastAsia="Times New Roman" w:hAnsi="Times New Roman" w:cs="Times New Roman"/>
                <w:color w:val="000000"/>
                <w:kern w:val="0"/>
                <w:sz w:val="24"/>
                <w:szCs w:val="24"/>
                <w:lang w:eastAsia="nb-NO"/>
                <w14:ligatures w14:val="none"/>
              </w:rPr>
              <w:t>, 44(2), pp. 350–383.</w:t>
            </w:r>
          </w:p>
        </w:tc>
      </w:tr>
      <w:tr w:rsidR="005C30F2" w:rsidRPr="001A2EF6" w14:paraId="59ADC131" w14:textId="77777777" w:rsidTr="002D2F18">
        <w:trPr>
          <w:trHeight w:val="300"/>
        </w:trPr>
        <w:tc>
          <w:tcPr>
            <w:tcW w:w="9026" w:type="dxa"/>
            <w:tcBorders>
              <w:top w:val="nil"/>
              <w:left w:val="nil"/>
              <w:bottom w:val="nil"/>
              <w:right w:val="nil"/>
            </w:tcBorders>
            <w:noWrap/>
            <w:vAlign w:val="bottom"/>
            <w:hideMark/>
          </w:tcPr>
          <w:p w14:paraId="5A364455"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1564DE38" w14:textId="33DDACAD"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Edmondson, A. C. and Lei, Z. (2014) ‘Psychological safety: The history, renaissance, and future of an interpersonal construct’, </w:t>
            </w:r>
            <w:r w:rsidRPr="001A2EF6">
              <w:rPr>
                <w:rFonts w:ascii="Times New Roman" w:eastAsia="Times New Roman" w:hAnsi="Times New Roman" w:cs="Times New Roman"/>
                <w:i/>
                <w:iCs/>
                <w:color w:val="000000"/>
                <w:kern w:val="0"/>
                <w:sz w:val="24"/>
                <w:szCs w:val="24"/>
                <w:lang w:eastAsia="nb-NO"/>
                <w14:ligatures w14:val="none"/>
              </w:rPr>
              <w:t>Annual Review of Organizational Psychology and Organizational Behavior</w:t>
            </w:r>
            <w:r w:rsidRPr="001A2EF6">
              <w:rPr>
                <w:rFonts w:ascii="Times New Roman" w:eastAsia="Times New Roman" w:hAnsi="Times New Roman" w:cs="Times New Roman"/>
                <w:color w:val="000000"/>
                <w:kern w:val="0"/>
                <w:sz w:val="24"/>
                <w:szCs w:val="24"/>
                <w:lang w:eastAsia="nb-NO"/>
                <w14:ligatures w14:val="none"/>
              </w:rPr>
              <w:t>, 1, pp. 23–43.</w:t>
            </w:r>
          </w:p>
        </w:tc>
      </w:tr>
      <w:tr w:rsidR="005C30F2" w:rsidRPr="001A2EF6" w14:paraId="20713DD7" w14:textId="77777777" w:rsidTr="002D2F18">
        <w:trPr>
          <w:trHeight w:val="300"/>
        </w:trPr>
        <w:tc>
          <w:tcPr>
            <w:tcW w:w="9026" w:type="dxa"/>
            <w:tcBorders>
              <w:top w:val="nil"/>
              <w:left w:val="nil"/>
              <w:bottom w:val="nil"/>
              <w:right w:val="nil"/>
            </w:tcBorders>
            <w:noWrap/>
            <w:vAlign w:val="bottom"/>
            <w:hideMark/>
          </w:tcPr>
          <w:p w14:paraId="6507F2A7"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79D94D23" w14:textId="6EE868C3"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Edmondson, A. C. (2019) </w:t>
            </w:r>
            <w:r w:rsidRPr="001A2EF6">
              <w:rPr>
                <w:rFonts w:ascii="Times New Roman" w:eastAsia="Times New Roman" w:hAnsi="Times New Roman" w:cs="Times New Roman"/>
                <w:i/>
                <w:iCs/>
                <w:color w:val="000000"/>
                <w:kern w:val="0"/>
                <w:sz w:val="24"/>
                <w:szCs w:val="24"/>
                <w:lang w:eastAsia="nb-NO"/>
                <w14:ligatures w14:val="none"/>
              </w:rPr>
              <w:t>The Fearless Organization: Creating Psychological Safety in the Workplace for Learning, Innovation, and Growth</w:t>
            </w:r>
            <w:r w:rsidRPr="001A2EF6">
              <w:rPr>
                <w:rFonts w:ascii="Times New Roman" w:eastAsia="Times New Roman" w:hAnsi="Times New Roman" w:cs="Times New Roman"/>
                <w:color w:val="000000"/>
                <w:kern w:val="0"/>
                <w:sz w:val="24"/>
                <w:szCs w:val="24"/>
                <w:lang w:eastAsia="nb-NO"/>
                <w14:ligatures w14:val="none"/>
              </w:rPr>
              <w:t>. Hoboken, NJ: Wiley.</w:t>
            </w:r>
          </w:p>
        </w:tc>
      </w:tr>
      <w:tr w:rsidR="005C30F2" w:rsidRPr="001A2EF6" w14:paraId="3C17607D" w14:textId="77777777" w:rsidTr="002D2F18">
        <w:trPr>
          <w:trHeight w:val="300"/>
        </w:trPr>
        <w:tc>
          <w:tcPr>
            <w:tcW w:w="9026" w:type="dxa"/>
            <w:tcBorders>
              <w:top w:val="nil"/>
              <w:left w:val="nil"/>
              <w:bottom w:val="nil"/>
              <w:right w:val="nil"/>
            </w:tcBorders>
            <w:noWrap/>
            <w:vAlign w:val="bottom"/>
            <w:hideMark/>
          </w:tcPr>
          <w:p w14:paraId="5B4AF25F"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335E19FA" w14:textId="7CF4ED92"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Ericsson, K. A. (2008) ‘Deliberate practice and acquisition of expert performance: A general overview’, </w:t>
            </w:r>
            <w:r w:rsidRPr="001A2EF6">
              <w:rPr>
                <w:rFonts w:ascii="Times New Roman" w:eastAsia="Times New Roman" w:hAnsi="Times New Roman" w:cs="Times New Roman"/>
                <w:i/>
                <w:iCs/>
                <w:color w:val="000000"/>
                <w:kern w:val="0"/>
                <w:sz w:val="24"/>
                <w:szCs w:val="24"/>
                <w:lang w:eastAsia="nb-NO"/>
                <w14:ligatures w14:val="none"/>
              </w:rPr>
              <w:t>Academic Emergency Medicine</w:t>
            </w:r>
            <w:r w:rsidRPr="001A2EF6">
              <w:rPr>
                <w:rFonts w:ascii="Times New Roman" w:eastAsia="Times New Roman" w:hAnsi="Times New Roman" w:cs="Times New Roman"/>
                <w:color w:val="000000"/>
                <w:kern w:val="0"/>
                <w:sz w:val="24"/>
                <w:szCs w:val="24"/>
                <w:lang w:eastAsia="nb-NO"/>
                <w14:ligatures w14:val="none"/>
              </w:rPr>
              <w:t>, 15(11), pp. 988–994.</w:t>
            </w:r>
          </w:p>
        </w:tc>
      </w:tr>
      <w:tr w:rsidR="005C30F2" w:rsidRPr="001A2EF6" w14:paraId="375D991C" w14:textId="77777777" w:rsidTr="002D2F18">
        <w:trPr>
          <w:trHeight w:val="300"/>
        </w:trPr>
        <w:tc>
          <w:tcPr>
            <w:tcW w:w="9026" w:type="dxa"/>
            <w:tcBorders>
              <w:top w:val="nil"/>
              <w:left w:val="nil"/>
              <w:bottom w:val="nil"/>
              <w:right w:val="nil"/>
            </w:tcBorders>
            <w:noWrap/>
            <w:vAlign w:val="bottom"/>
            <w:hideMark/>
          </w:tcPr>
          <w:p w14:paraId="0DD91EC7"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67DD7EFD" w14:textId="65411BEC"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Ericsson, K. A., Krampe, R. T. and Tesch-Römer, C. (1993) ‘The role of deliberate practice in the acquisition of expert performance’, </w:t>
            </w:r>
            <w:r w:rsidRPr="001A2EF6">
              <w:rPr>
                <w:rFonts w:ascii="Times New Roman" w:eastAsia="Times New Roman" w:hAnsi="Times New Roman" w:cs="Times New Roman"/>
                <w:i/>
                <w:iCs/>
                <w:color w:val="000000"/>
                <w:kern w:val="0"/>
                <w:sz w:val="24"/>
                <w:szCs w:val="24"/>
                <w:lang w:eastAsia="nb-NO"/>
                <w14:ligatures w14:val="none"/>
              </w:rPr>
              <w:t>Psychological Review</w:t>
            </w:r>
            <w:r w:rsidRPr="001A2EF6">
              <w:rPr>
                <w:rFonts w:ascii="Times New Roman" w:eastAsia="Times New Roman" w:hAnsi="Times New Roman" w:cs="Times New Roman"/>
                <w:color w:val="000000"/>
                <w:kern w:val="0"/>
                <w:sz w:val="24"/>
                <w:szCs w:val="24"/>
                <w:lang w:eastAsia="nb-NO"/>
                <w14:ligatures w14:val="none"/>
              </w:rPr>
              <w:t>, 100(3), pp. 363–406.</w:t>
            </w:r>
          </w:p>
        </w:tc>
      </w:tr>
      <w:tr w:rsidR="005C30F2" w:rsidRPr="001A2EF6" w14:paraId="319B4036" w14:textId="77777777" w:rsidTr="002D2F18">
        <w:trPr>
          <w:trHeight w:val="300"/>
        </w:trPr>
        <w:tc>
          <w:tcPr>
            <w:tcW w:w="9026" w:type="dxa"/>
            <w:tcBorders>
              <w:top w:val="nil"/>
              <w:left w:val="nil"/>
              <w:bottom w:val="nil"/>
              <w:right w:val="nil"/>
            </w:tcBorders>
            <w:noWrap/>
            <w:vAlign w:val="bottom"/>
            <w:hideMark/>
          </w:tcPr>
          <w:p w14:paraId="5899D7FA"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1CC7A1EA" w14:textId="5D7E7D4D"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Evans, J. S. B. T. and Stanovich, K. E. (2013) ‘Dual-process theories of higher cognition: Advancing the debate’,</w:t>
            </w:r>
            <w:r w:rsidRPr="001A2EF6">
              <w:rPr>
                <w:rFonts w:ascii="Times New Roman" w:eastAsia="Times New Roman" w:hAnsi="Times New Roman" w:cs="Times New Roman"/>
                <w:i/>
                <w:iCs/>
                <w:color w:val="000000"/>
                <w:kern w:val="0"/>
                <w:sz w:val="24"/>
                <w:szCs w:val="24"/>
                <w:lang w:eastAsia="nb-NO"/>
                <w14:ligatures w14:val="none"/>
              </w:rPr>
              <w:t xml:space="preserve"> Perspectives on Psychological Science</w:t>
            </w:r>
            <w:r w:rsidRPr="001A2EF6">
              <w:rPr>
                <w:rFonts w:ascii="Times New Roman" w:eastAsia="Times New Roman" w:hAnsi="Times New Roman" w:cs="Times New Roman"/>
                <w:color w:val="000000"/>
                <w:kern w:val="0"/>
                <w:sz w:val="24"/>
                <w:szCs w:val="24"/>
                <w:lang w:eastAsia="nb-NO"/>
                <w14:ligatures w14:val="none"/>
              </w:rPr>
              <w:t>, 8(3), pp. 223–241. Available at: https://doi.org/10.1177/1745691612460685 [Accessed 14 July 2025].</w:t>
            </w:r>
          </w:p>
        </w:tc>
      </w:tr>
      <w:tr w:rsidR="005C30F2" w:rsidRPr="001A2EF6" w14:paraId="5CEA7B17" w14:textId="77777777" w:rsidTr="002D2F18">
        <w:trPr>
          <w:trHeight w:val="300"/>
        </w:trPr>
        <w:tc>
          <w:tcPr>
            <w:tcW w:w="9026" w:type="dxa"/>
            <w:tcBorders>
              <w:top w:val="nil"/>
              <w:left w:val="nil"/>
              <w:bottom w:val="nil"/>
              <w:right w:val="nil"/>
            </w:tcBorders>
            <w:noWrap/>
            <w:vAlign w:val="bottom"/>
            <w:hideMark/>
          </w:tcPr>
          <w:p w14:paraId="00F78DE6"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2BFB25EB" w14:textId="20FF65F8"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Flavell, J. H. (1979) ‘Metacognition and cognitive monitoring: A new area of cognitive–developmental inquiry’, </w:t>
            </w:r>
            <w:r w:rsidRPr="001A2EF6">
              <w:rPr>
                <w:rFonts w:ascii="Times New Roman" w:eastAsia="Times New Roman" w:hAnsi="Times New Roman" w:cs="Times New Roman"/>
                <w:i/>
                <w:iCs/>
                <w:color w:val="000000"/>
                <w:kern w:val="0"/>
                <w:sz w:val="24"/>
                <w:szCs w:val="24"/>
                <w:lang w:eastAsia="nb-NO"/>
                <w14:ligatures w14:val="none"/>
              </w:rPr>
              <w:t>American Psychologist</w:t>
            </w:r>
            <w:r w:rsidRPr="001A2EF6">
              <w:rPr>
                <w:rFonts w:ascii="Times New Roman" w:eastAsia="Times New Roman" w:hAnsi="Times New Roman" w:cs="Times New Roman"/>
                <w:color w:val="000000"/>
                <w:kern w:val="0"/>
                <w:sz w:val="24"/>
                <w:szCs w:val="24"/>
                <w:lang w:eastAsia="nb-NO"/>
                <w14:ligatures w14:val="none"/>
              </w:rPr>
              <w:t>, 34(10), pp. 906–911.</w:t>
            </w:r>
          </w:p>
        </w:tc>
      </w:tr>
      <w:tr w:rsidR="005C30F2" w:rsidRPr="001A2EF6" w14:paraId="343F5BA9" w14:textId="77777777" w:rsidTr="002D2F18">
        <w:trPr>
          <w:trHeight w:val="300"/>
        </w:trPr>
        <w:tc>
          <w:tcPr>
            <w:tcW w:w="9026" w:type="dxa"/>
            <w:tcBorders>
              <w:top w:val="nil"/>
              <w:left w:val="nil"/>
              <w:bottom w:val="nil"/>
              <w:right w:val="nil"/>
            </w:tcBorders>
            <w:noWrap/>
            <w:vAlign w:val="bottom"/>
            <w:hideMark/>
          </w:tcPr>
          <w:p w14:paraId="34E98E7E"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2A810F94" w14:textId="340B69E0"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Garvin, D. A. (1993) ‘Building a Learning Organization’, </w:t>
            </w:r>
            <w:r w:rsidRPr="001A2EF6">
              <w:rPr>
                <w:rFonts w:ascii="Times New Roman" w:eastAsia="Times New Roman" w:hAnsi="Times New Roman" w:cs="Times New Roman"/>
                <w:i/>
                <w:iCs/>
                <w:color w:val="000000"/>
                <w:kern w:val="0"/>
                <w:sz w:val="24"/>
                <w:szCs w:val="24"/>
                <w:lang w:eastAsia="nb-NO"/>
                <w14:ligatures w14:val="none"/>
              </w:rPr>
              <w:t>Harvard Business Review</w:t>
            </w:r>
            <w:r w:rsidRPr="001A2EF6">
              <w:rPr>
                <w:rFonts w:ascii="Times New Roman" w:eastAsia="Times New Roman" w:hAnsi="Times New Roman" w:cs="Times New Roman"/>
                <w:color w:val="000000"/>
                <w:kern w:val="0"/>
                <w:sz w:val="24"/>
                <w:szCs w:val="24"/>
                <w:lang w:eastAsia="nb-NO"/>
                <w14:ligatures w14:val="none"/>
              </w:rPr>
              <w:t>, 71(4), pp. 78–91.</w:t>
            </w:r>
          </w:p>
        </w:tc>
      </w:tr>
      <w:tr w:rsidR="005C30F2" w:rsidRPr="001A2EF6" w14:paraId="523C6ABA" w14:textId="77777777" w:rsidTr="002D2F18">
        <w:trPr>
          <w:trHeight w:val="300"/>
        </w:trPr>
        <w:tc>
          <w:tcPr>
            <w:tcW w:w="9026" w:type="dxa"/>
            <w:tcBorders>
              <w:top w:val="nil"/>
              <w:left w:val="nil"/>
              <w:bottom w:val="nil"/>
              <w:right w:val="nil"/>
            </w:tcBorders>
            <w:noWrap/>
            <w:vAlign w:val="bottom"/>
            <w:hideMark/>
          </w:tcPr>
          <w:p w14:paraId="161E1BB9"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7DAC3363" w14:textId="7F0C4E20"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Gawande, A. (2010) </w:t>
            </w:r>
            <w:r w:rsidRPr="001A2EF6">
              <w:rPr>
                <w:rFonts w:ascii="Times New Roman" w:eastAsia="Times New Roman" w:hAnsi="Times New Roman" w:cs="Times New Roman"/>
                <w:i/>
                <w:iCs/>
                <w:color w:val="000000"/>
                <w:kern w:val="0"/>
                <w:sz w:val="24"/>
                <w:szCs w:val="24"/>
                <w:lang w:eastAsia="nb-NO"/>
                <w14:ligatures w14:val="none"/>
              </w:rPr>
              <w:t>The Checklist Manifesto: How to Get Things Right</w:t>
            </w:r>
            <w:r w:rsidRPr="001A2EF6">
              <w:rPr>
                <w:rFonts w:ascii="Times New Roman" w:eastAsia="Times New Roman" w:hAnsi="Times New Roman" w:cs="Times New Roman"/>
                <w:color w:val="000000"/>
                <w:kern w:val="0"/>
                <w:sz w:val="24"/>
                <w:szCs w:val="24"/>
                <w:lang w:eastAsia="nb-NO"/>
                <w14:ligatures w14:val="none"/>
              </w:rPr>
              <w:t>. London: Profile Books, pp. 15–42.</w:t>
            </w:r>
          </w:p>
        </w:tc>
      </w:tr>
      <w:tr w:rsidR="005C30F2" w:rsidRPr="001A2EF6" w14:paraId="49E050D8" w14:textId="77777777" w:rsidTr="002D2F18">
        <w:trPr>
          <w:trHeight w:val="300"/>
        </w:trPr>
        <w:tc>
          <w:tcPr>
            <w:tcW w:w="9026" w:type="dxa"/>
            <w:tcBorders>
              <w:top w:val="nil"/>
              <w:left w:val="nil"/>
              <w:bottom w:val="nil"/>
              <w:right w:val="nil"/>
            </w:tcBorders>
            <w:noWrap/>
            <w:vAlign w:val="bottom"/>
            <w:hideMark/>
          </w:tcPr>
          <w:p w14:paraId="38395A2D"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72D754E2" w14:textId="1C1A4E44"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lastRenderedPageBreak/>
              <w:t xml:space="preserve">Goel, V. (2010) ‘Psychological science, problem solving, and the real world’, </w:t>
            </w:r>
            <w:r w:rsidRPr="001A2EF6">
              <w:rPr>
                <w:rFonts w:ascii="Times New Roman" w:eastAsia="Times New Roman" w:hAnsi="Times New Roman" w:cs="Times New Roman"/>
                <w:i/>
                <w:iCs/>
                <w:color w:val="000000"/>
                <w:kern w:val="0"/>
                <w:sz w:val="24"/>
                <w:szCs w:val="24"/>
                <w:lang w:eastAsia="nb-NO"/>
                <w14:ligatures w14:val="none"/>
              </w:rPr>
              <w:t>Canadian Journal of Experimental Psychology</w:t>
            </w:r>
            <w:r w:rsidRPr="001A2EF6">
              <w:rPr>
                <w:rFonts w:ascii="Times New Roman" w:eastAsia="Times New Roman" w:hAnsi="Times New Roman" w:cs="Times New Roman"/>
                <w:color w:val="000000"/>
                <w:kern w:val="0"/>
                <w:sz w:val="24"/>
                <w:szCs w:val="24"/>
                <w:lang w:eastAsia="nb-NO"/>
                <w14:ligatures w14:val="none"/>
              </w:rPr>
              <w:t>, 64(4), pp. 211–217.</w:t>
            </w:r>
          </w:p>
        </w:tc>
      </w:tr>
      <w:tr w:rsidR="005C30F2" w:rsidRPr="001A2EF6" w14:paraId="7FB6B154" w14:textId="77777777" w:rsidTr="002D2F18">
        <w:trPr>
          <w:trHeight w:val="300"/>
        </w:trPr>
        <w:tc>
          <w:tcPr>
            <w:tcW w:w="9026" w:type="dxa"/>
            <w:tcBorders>
              <w:top w:val="nil"/>
              <w:left w:val="nil"/>
              <w:bottom w:val="nil"/>
              <w:right w:val="nil"/>
            </w:tcBorders>
            <w:noWrap/>
            <w:vAlign w:val="bottom"/>
            <w:hideMark/>
          </w:tcPr>
          <w:p w14:paraId="787BD04D" w14:textId="77777777" w:rsidR="009E65B9" w:rsidRPr="001A2EF6" w:rsidRDefault="009E65B9"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3D8A5A4B" w14:textId="0B45312A"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Goel, V. (1995) </w:t>
            </w:r>
            <w:r w:rsidRPr="001A2EF6">
              <w:rPr>
                <w:rFonts w:ascii="Times New Roman" w:eastAsia="Times New Roman" w:hAnsi="Times New Roman" w:cs="Times New Roman"/>
                <w:i/>
                <w:iCs/>
                <w:color w:val="000000"/>
                <w:kern w:val="0"/>
                <w:sz w:val="24"/>
                <w:szCs w:val="24"/>
                <w:lang w:eastAsia="nb-NO"/>
                <w14:ligatures w14:val="none"/>
              </w:rPr>
              <w:t>Sketches of Thought</w:t>
            </w:r>
            <w:r w:rsidRPr="001A2EF6">
              <w:rPr>
                <w:rFonts w:ascii="Times New Roman" w:eastAsia="Times New Roman" w:hAnsi="Times New Roman" w:cs="Times New Roman"/>
                <w:color w:val="000000"/>
                <w:kern w:val="0"/>
                <w:sz w:val="24"/>
                <w:szCs w:val="24"/>
                <w:lang w:eastAsia="nb-NO"/>
                <w14:ligatures w14:val="none"/>
              </w:rPr>
              <w:t>. Cambridge, MA: MIT Press, pp. 21–48.</w:t>
            </w:r>
          </w:p>
        </w:tc>
      </w:tr>
      <w:tr w:rsidR="005C30F2" w:rsidRPr="001A2EF6" w14:paraId="77068DE1" w14:textId="77777777" w:rsidTr="002D2F18">
        <w:trPr>
          <w:trHeight w:val="300"/>
        </w:trPr>
        <w:tc>
          <w:tcPr>
            <w:tcW w:w="9026" w:type="dxa"/>
            <w:tcBorders>
              <w:top w:val="nil"/>
              <w:left w:val="nil"/>
              <w:bottom w:val="nil"/>
              <w:right w:val="nil"/>
            </w:tcBorders>
            <w:noWrap/>
            <w:vAlign w:val="bottom"/>
            <w:hideMark/>
          </w:tcPr>
          <w:p w14:paraId="6079B7A6"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1EBDEBAA" w14:textId="60380737"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Hatano, G. and Inagaki, K. (1986) ‘Two courses of expertise’, in Stevenson, H., Azuma, H. and Hakuta, K. (eds.) </w:t>
            </w:r>
            <w:r w:rsidRPr="001A2EF6">
              <w:rPr>
                <w:rFonts w:ascii="Times New Roman" w:eastAsia="Times New Roman" w:hAnsi="Times New Roman" w:cs="Times New Roman"/>
                <w:i/>
                <w:iCs/>
                <w:color w:val="000000"/>
                <w:kern w:val="0"/>
                <w:sz w:val="24"/>
                <w:szCs w:val="24"/>
                <w:lang w:eastAsia="nb-NO"/>
                <w14:ligatures w14:val="none"/>
              </w:rPr>
              <w:t>Child Development and Education in Japan</w:t>
            </w:r>
            <w:r w:rsidRPr="001A2EF6">
              <w:rPr>
                <w:rFonts w:ascii="Times New Roman" w:eastAsia="Times New Roman" w:hAnsi="Times New Roman" w:cs="Times New Roman"/>
                <w:color w:val="000000"/>
                <w:kern w:val="0"/>
                <w:sz w:val="24"/>
                <w:szCs w:val="24"/>
                <w:lang w:eastAsia="nb-NO"/>
                <w14:ligatures w14:val="none"/>
              </w:rPr>
              <w:t>. New York: W.H. Freeman, pp. 262–272.</w:t>
            </w:r>
          </w:p>
        </w:tc>
      </w:tr>
      <w:tr w:rsidR="005C30F2" w:rsidRPr="001A2EF6" w14:paraId="66520D93" w14:textId="77777777" w:rsidTr="002D2F18">
        <w:trPr>
          <w:trHeight w:val="300"/>
        </w:trPr>
        <w:tc>
          <w:tcPr>
            <w:tcW w:w="9026" w:type="dxa"/>
            <w:tcBorders>
              <w:top w:val="nil"/>
              <w:left w:val="nil"/>
              <w:bottom w:val="nil"/>
              <w:right w:val="nil"/>
            </w:tcBorders>
            <w:noWrap/>
            <w:vAlign w:val="bottom"/>
            <w:hideMark/>
          </w:tcPr>
          <w:p w14:paraId="37AF6B5D"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517DE89F" w14:textId="38874002"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Heifetz, R., Grashow, A. and Linsky, M. (2009) </w:t>
            </w:r>
            <w:r w:rsidRPr="001A2EF6">
              <w:rPr>
                <w:rFonts w:ascii="Times New Roman" w:eastAsia="Times New Roman" w:hAnsi="Times New Roman" w:cs="Times New Roman"/>
                <w:i/>
                <w:iCs/>
                <w:color w:val="000000"/>
                <w:kern w:val="0"/>
                <w:sz w:val="24"/>
                <w:szCs w:val="24"/>
                <w:lang w:eastAsia="nb-NO"/>
                <w14:ligatures w14:val="none"/>
              </w:rPr>
              <w:t>The Practice of Adaptive Leadership: Tools and Tactics for Changing Your Organization and the World</w:t>
            </w:r>
            <w:r w:rsidRPr="001A2EF6">
              <w:rPr>
                <w:rFonts w:ascii="Times New Roman" w:eastAsia="Times New Roman" w:hAnsi="Times New Roman" w:cs="Times New Roman"/>
                <w:color w:val="000000"/>
                <w:kern w:val="0"/>
                <w:sz w:val="24"/>
                <w:szCs w:val="24"/>
                <w:lang w:eastAsia="nb-NO"/>
                <w14:ligatures w14:val="none"/>
              </w:rPr>
              <w:t>. Boston: Harvard Business Press.</w:t>
            </w:r>
          </w:p>
        </w:tc>
      </w:tr>
      <w:tr w:rsidR="005C30F2" w:rsidRPr="001A2EF6" w14:paraId="466B71CD" w14:textId="77777777" w:rsidTr="002D2F18">
        <w:trPr>
          <w:trHeight w:val="300"/>
        </w:trPr>
        <w:tc>
          <w:tcPr>
            <w:tcW w:w="9026" w:type="dxa"/>
            <w:tcBorders>
              <w:top w:val="nil"/>
              <w:left w:val="nil"/>
              <w:bottom w:val="nil"/>
              <w:right w:val="nil"/>
            </w:tcBorders>
            <w:noWrap/>
            <w:vAlign w:val="bottom"/>
            <w:hideMark/>
          </w:tcPr>
          <w:p w14:paraId="7A0E9AB9"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74DFBD3B" w14:textId="5FB69212"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Hiatt, J. (2006) </w:t>
            </w:r>
            <w:r w:rsidRPr="001A2EF6">
              <w:rPr>
                <w:rFonts w:ascii="Times New Roman" w:eastAsia="Times New Roman" w:hAnsi="Times New Roman" w:cs="Times New Roman"/>
                <w:i/>
                <w:iCs/>
                <w:color w:val="000000"/>
                <w:kern w:val="0"/>
                <w:sz w:val="24"/>
                <w:szCs w:val="24"/>
                <w:lang w:eastAsia="nb-NO"/>
                <w14:ligatures w14:val="none"/>
              </w:rPr>
              <w:t>ADKAR: A Model for Change in Business, Government and our Community</w:t>
            </w:r>
            <w:r w:rsidRPr="001A2EF6">
              <w:rPr>
                <w:rFonts w:ascii="Times New Roman" w:eastAsia="Times New Roman" w:hAnsi="Times New Roman" w:cs="Times New Roman"/>
                <w:color w:val="000000"/>
                <w:kern w:val="0"/>
                <w:sz w:val="24"/>
                <w:szCs w:val="24"/>
                <w:lang w:eastAsia="nb-NO"/>
                <w14:ligatures w14:val="none"/>
              </w:rPr>
              <w:t>. Loveland, CO: Prosci Research.</w:t>
            </w:r>
          </w:p>
        </w:tc>
      </w:tr>
      <w:tr w:rsidR="005C30F2" w:rsidRPr="001A2EF6" w14:paraId="5C5EDD5F" w14:textId="77777777" w:rsidTr="002D2F18">
        <w:trPr>
          <w:trHeight w:val="300"/>
        </w:trPr>
        <w:tc>
          <w:tcPr>
            <w:tcW w:w="9026" w:type="dxa"/>
            <w:tcBorders>
              <w:top w:val="nil"/>
              <w:left w:val="nil"/>
              <w:bottom w:val="nil"/>
              <w:right w:val="nil"/>
            </w:tcBorders>
            <w:noWrap/>
            <w:vAlign w:val="bottom"/>
            <w:hideMark/>
          </w:tcPr>
          <w:p w14:paraId="03A139B2"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22F99892" w14:textId="1D529169"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Howarth, C. I. and Gillham, R. W. (1981) ‘The structure of problem-solving’, </w:t>
            </w:r>
            <w:r w:rsidRPr="001A2EF6">
              <w:rPr>
                <w:rFonts w:ascii="Times New Roman" w:eastAsia="Times New Roman" w:hAnsi="Times New Roman" w:cs="Times New Roman"/>
                <w:i/>
                <w:iCs/>
                <w:color w:val="000000"/>
                <w:kern w:val="0"/>
                <w:sz w:val="24"/>
                <w:szCs w:val="24"/>
                <w:lang w:eastAsia="nb-NO"/>
                <w14:ligatures w14:val="none"/>
              </w:rPr>
              <w:t>Ergonomics</w:t>
            </w:r>
            <w:r w:rsidRPr="001A2EF6">
              <w:rPr>
                <w:rFonts w:ascii="Times New Roman" w:eastAsia="Times New Roman" w:hAnsi="Times New Roman" w:cs="Times New Roman"/>
                <w:color w:val="000000"/>
                <w:kern w:val="0"/>
                <w:sz w:val="24"/>
                <w:szCs w:val="24"/>
                <w:lang w:eastAsia="nb-NO"/>
                <w14:ligatures w14:val="none"/>
              </w:rPr>
              <w:t>, 24(12), pp. 895–908.</w:t>
            </w:r>
          </w:p>
        </w:tc>
      </w:tr>
      <w:tr w:rsidR="005C30F2" w:rsidRPr="001A2EF6" w14:paraId="6F9FA5E9" w14:textId="77777777" w:rsidTr="002D2F18">
        <w:trPr>
          <w:trHeight w:val="300"/>
        </w:trPr>
        <w:tc>
          <w:tcPr>
            <w:tcW w:w="9026" w:type="dxa"/>
            <w:tcBorders>
              <w:top w:val="nil"/>
              <w:left w:val="nil"/>
              <w:bottom w:val="nil"/>
              <w:right w:val="nil"/>
            </w:tcBorders>
            <w:noWrap/>
            <w:vAlign w:val="bottom"/>
            <w:hideMark/>
          </w:tcPr>
          <w:p w14:paraId="39CEE64B"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3E5F7887" w14:textId="5B2F1F41"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Kabat-Zinn, J. (2003) ‘Mindfulness-based interventions in context: past, present, and future’, </w:t>
            </w:r>
            <w:r w:rsidRPr="001A2EF6">
              <w:rPr>
                <w:rFonts w:ascii="Times New Roman" w:eastAsia="Times New Roman" w:hAnsi="Times New Roman" w:cs="Times New Roman"/>
                <w:i/>
                <w:iCs/>
                <w:color w:val="000000"/>
                <w:kern w:val="0"/>
                <w:sz w:val="24"/>
                <w:szCs w:val="24"/>
                <w:lang w:eastAsia="nb-NO"/>
                <w14:ligatures w14:val="none"/>
              </w:rPr>
              <w:t>Clinical Psychology: Science and Practice</w:t>
            </w:r>
            <w:r w:rsidRPr="001A2EF6">
              <w:rPr>
                <w:rFonts w:ascii="Times New Roman" w:eastAsia="Times New Roman" w:hAnsi="Times New Roman" w:cs="Times New Roman"/>
                <w:color w:val="000000"/>
                <w:kern w:val="0"/>
                <w:sz w:val="24"/>
                <w:szCs w:val="24"/>
                <w:lang w:eastAsia="nb-NO"/>
                <w14:ligatures w14:val="none"/>
              </w:rPr>
              <w:t>, 10(2), pp. 144–156. Available at: https://doi.org/10.1093/clipsy.bpg016 [Accessed 21 July 2025].</w:t>
            </w:r>
          </w:p>
        </w:tc>
      </w:tr>
      <w:tr w:rsidR="005C30F2" w:rsidRPr="001A2EF6" w14:paraId="33DFAC90" w14:textId="77777777" w:rsidTr="002D2F18">
        <w:trPr>
          <w:trHeight w:val="300"/>
        </w:trPr>
        <w:tc>
          <w:tcPr>
            <w:tcW w:w="9026" w:type="dxa"/>
            <w:tcBorders>
              <w:top w:val="nil"/>
              <w:left w:val="nil"/>
              <w:bottom w:val="nil"/>
              <w:right w:val="nil"/>
            </w:tcBorders>
            <w:noWrap/>
            <w:vAlign w:val="bottom"/>
            <w:hideMark/>
          </w:tcPr>
          <w:p w14:paraId="408710AD"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5AACD7CD" w14:textId="51659161"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Kahneman, D. (2011) </w:t>
            </w:r>
            <w:r w:rsidRPr="001A2EF6">
              <w:rPr>
                <w:rFonts w:ascii="Times New Roman" w:eastAsia="Times New Roman" w:hAnsi="Times New Roman" w:cs="Times New Roman"/>
                <w:i/>
                <w:iCs/>
                <w:color w:val="000000"/>
                <w:kern w:val="0"/>
                <w:sz w:val="24"/>
                <w:szCs w:val="24"/>
                <w:lang w:eastAsia="nb-NO"/>
                <w14:ligatures w14:val="none"/>
              </w:rPr>
              <w:t>Thinking, Fast and Slow</w:t>
            </w:r>
            <w:r w:rsidRPr="001A2EF6">
              <w:rPr>
                <w:rFonts w:ascii="Times New Roman" w:eastAsia="Times New Roman" w:hAnsi="Times New Roman" w:cs="Times New Roman"/>
                <w:color w:val="000000"/>
                <w:kern w:val="0"/>
                <w:sz w:val="24"/>
                <w:szCs w:val="24"/>
                <w:lang w:eastAsia="nb-NO"/>
                <w14:ligatures w14:val="none"/>
              </w:rPr>
              <w:t>. London: Penguin Books, pp. 20–35.</w:t>
            </w:r>
          </w:p>
        </w:tc>
      </w:tr>
      <w:tr w:rsidR="005C30F2" w:rsidRPr="001A2EF6" w14:paraId="43578DC8" w14:textId="77777777" w:rsidTr="002D2F18">
        <w:trPr>
          <w:trHeight w:val="300"/>
        </w:trPr>
        <w:tc>
          <w:tcPr>
            <w:tcW w:w="9026" w:type="dxa"/>
            <w:tcBorders>
              <w:top w:val="nil"/>
              <w:left w:val="nil"/>
              <w:bottom w:val="nil"/>
              <w:right w:val="nil"/>
            </w:tcBorders>
            <w:noWrap/>
            <w:vAlign w:val="bottom"/>
            <w:hideMark/>
          </w:tcPr>
          <w:p w14:paraId="0BDE3FB5"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26EBE908" w14:textId="18979FE8"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Kotter, J. P. (1996) </w:t>
            </w:r>
            <w:r w:rsidRPr="001A2EF6">
              <w:rPr>
                <w:rFonts w:ascii="Times New Roman" w:eastAsia="Times New Roman" w:hAnsi="Times New Roman" w:cs="Times New Roman"/>
                <w:i/>
                <w:iCs/>
                <w:color w:val="000000"/>
                <w:kern w:val="0"/>
                <w:sz w:val="24"/>
                <w:szCs w:val="24"/>
                <w:lang w:eastAsia="nb-NO"/>
                <w14:ligatures w14:val="none"/>
              </w:rPr>
              <w:t>Leading Change</w:t>
            </w:r>
            <w:r w:rsidRPr="001A2EF6">
              <w:rPr>
                <w:rFonts w:ascii="Times New Roman" w:eastAsia="Times New Roman" w:hAnsi="Times New Roman" w:cs="Times New Roman"/>
                <w:color w:val="000000"/>
                <w:kern w:val="0"/>
                <w:sz w:val="24"/>
                <w:szCs w:val="24"/>
                <w:lang w:eastAsia="nb-NO"/>
                <w14:ligatures w14:val="none"/>
              </w:rPr>
              <w:t>. Boston, MA: Harvard Business School Press, pp. 1–187.</w:t>
            </w:r>
          </w:p>
        </w:tc>
      </w:tr>
      <w:tr w:rsidR="005C30F2" w:rsidRPr="001A2EF6" w14:paraId="08639353" w14:textId="77777777" w:rsidTr="002D2F18">
        <w:trPr>
          <w:trHeight w:val="300"/>
        </w:trPr>
        <w:tc>
          <w:tcPr>
            <w:tcW w:w="9026" w:type="dxa"/>
            <w:tcBorders>
              <w:top w:val="nil"/>
              <w:left w:val="nil"/>
              <w:bottom w:val="nil"/>
              <w:right w:val="nil"/>
            </w:tcBorders>
            <w:noWrap/>
            <w:vAlign w:val="bottom"/>
            <w:hideMark/>
          </w:tcPr>
          <w:p w14:paraId="479735FA"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10E6FC23" w14:textId="683EAD9C"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Lemoine, G. J., Hartnell, C. A. and Leroy, H. (2020) ‘Taking stock of moral approaches to leadership: An integrative review of ethical, authentic, and servant leadership’, </w:t>
            </w:r>
            <w:r w:rsidRPr="001A2EF6">
              <w:rPr>
                <w:rFonts w:ascii="Times New Roman" w:eastAsia="Times New Roman" w:hAnsi="Times New Roman" w:cs="Times New Roman"/>
                <w:i/>
                <w:iCs/>
                <w:color w:val="000000"/>
                <w:kern w:val="0"/>
                <w:sz w:val="24"/>
                <w:szCs w:val="24"/>
                <w:lang w:eastAsia="nb-NO"/>
                <w14:ligatures w14:val="none"/>
              </w:rPr>
              <w:t>Academy of Management Annals</w:t>
            </w:r>
            <w:r w:rsidRPr="001A2EF6">
              <w:rPr>
                <w:rFonts w:ascii="Times New Roman" w:eastAsia="Times New Roman" w:hAnsi="Times New Roman" w:cs="Times New Roman"/>
                <w:color w:val="000000"/>
                <w:kern w:val="0"/>
                <w:sz w:val="24"/>
                <w:szCs w:val="24"/>
                <w:lang w:eastAsia="nb-NO"/>
                <w14:ligatures w14:val="none"/>
              </w:rPr>
              <w:t>, 13(1), pp. 148–187.</w:t>
            </w:r>
          </w:p>
        </w:tc>
      </w:tr>
      <w:tr w:rsidR="005C30F2" w:rsidRPr="001A2EF6" w14:paraId="753C7383" w14:textId="77777777" w:rsidTr="002D2F18">
        <w:trPr>
          <w:trHeight w:val="300"/>
        </w:trPr>
        <w:tc>
          <w:tcPr>
            <w:tcW w:w="9026" w:type="dxa"/>
            <w:tcBorders>
              <w:top w:val="nil"/>
              <w:left w:val="nil"/>
              <w:bottom w:val="nil"/>
              <w:right w:val="nil"/>
            </w:tcBorders>
            <w:noWrap/>
            <w:vAlign w:val="bottom"/>
            <w:hideMark/>
          </w:tcPr>
          <w:p w14:paraId="591DDB6F"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3E67EF63"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6F178B00" w14:textId="6978126E"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lastRenderedPageBreak/>
              <w:t xml:space="preserve">Maor, D., Nagarajan, S. and Singhal, S. (2022) ‘Organizing for the future: Nine keys to becoming a future-ready company’, </w:t>
            </w:r>
            <w:r w:rsidRPr="001A2EF6">
              <w:rPr>
                <w:rFonts w:ascii="Times New Roman" w:eastAsia="Times New Roman" w:hAnsi="Times New Roman" w:cs="Times New Roman"/>
                <w:i/>
                <w:iCs/>
                <w:color w:val="000000"/>
                <w:kern w:val="0"/>
                <w:sz w:val="24"/>
                <w:szCs w:val="24"/>
                <w:lang w:eastAsia="nb-NO"/>
                <w14:ligatures w14:val="none"/>
              </w:rPr>
              <w:t>McKinsey &amp; Company.</w:t>
            </w:r>
            <w:r w:rsidRPr="001A2EF6">
              <w:rPr>
                <w:rFonts w:ascii="Times New Roman" w:eastAsia="Times New Roman" w:hAnsi="Times New Roman" w:cs="Times New Roman"/>
                <w:color w:val="000000"/>
                <w:kern w:val="0"/>
                <w:sz w:val="24"/>
                <w:szCs w:val="24"/>
                <w:lang w:eastAsia="nb-NO"/>
                <w14:ligatures w14:val="none"/>
              </w:rPr>
              <w:t xml:space="preserve"> Available at: https://www.mckinsey.com/business-functions/people-and-organizational-performance/our-insights/organizing-for-the-future [Accessed 24 June 2025].</w:t>
            </w:r>
          </w:p>
        </w:tc>
      </w:tr>
      <w:tr w:rsidR="005C30F2" w:rsidRPr="001A2EF6" w14:paraId="452429B4" w14:textId="77777777" w:rsidTr="002D2F18">
        <w:trPr>
          <w:trHeight w:val="300"/>
        </w:trPr>
        <w:tc>
          <w:tcPr>
            <w:tcW w:w="9026" w:type="dxa"/>
            <w:tcBorders>
              <w:top w:val="nil"/>
              <w:left w:val="nil"/>
              <w:bottom w:val="nil"/>
              <w:right w:val="nil"/>
            </w:tcBorders>
            <w:noWrap/>
            <w:vAlign w:val="bottom"/>
            <w:hideMark/>
          </w:tcPr>
          <w:p w14:paraId="19C6A717"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2B2853D0" w14:textId="3457723F"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Maor, D., Park, S. and Taylor, Z. (2022) ‘Future-proofing the organization’,</w:t>
            </w:r>
            <w:r w:rsidRPr="001A2EF6">
              <w:rPr>
                <w:rFonts w:ascii="Times New Roman" w:eastAsia="Times New Roman" w:hAnsi="Times New Roman" w:cs="Times New Roman"/>
                <w:i/>
                <w:iCs/>
                <w:color w:val="000000"/>
                <w:kern w:val="0"/>
                <w:sz w:val="24"/>
                <w:szCs w:val="24"/>
                <w:lang w:eastAsia="nb-NO"/>
                <w14:ligatures w14:val="none"/>
              </w:rPr>
              <w:t xml:space="preserve"> McKinsey &amp; Company</w:t>
            </w:r>
            <w:r w:rsidRPr="001A2EF6">
              <w:rPr>
                <w:rFonts w:ascii="Times New Roman" w:eastAsia="Times New Roman" w:hAnsi="Times New Roman" w:cs="Times New Roman"/>
                <w:color w:val="000000"/>
                <w:kern w:val="0"/>
                <w:sz w:val="24"/>
                <w:szCs w:val="24"/>
                <w:lang w:eastAsia="nb-NO"/>
                <w14:ligatures w14:val="none"/>
              </w:rPr>
              <w:t>. Available at: https://www.mckinsey.com/business-functions/organization/our-insights/future-proofing-the-organization [Accessed 26 June 2025].</w:t>
            </w:r>
          </w:p>
        </w:tc>
      </w:tr>
      <w:tr w:rsidR="005C30F2" w:rsidRPr="001A2EF6" w14:paraId="75F590AE" w14:textId="77777777" w:rsidTr="002D2F18">
        <w:trPr>
          <w:trHeight w:val="300"/>
        </w:trPr>
        <w:tc>
          <w:tcPr>
            <w:tcW w:w="9026" w:type="dxa"/>
            <w:tcBorders>
              <w:top w:val="nil"/>
              <w:left w:val="nil"/>
              <w:bottom w:val="nil"/>
              <w:right w:val="nil"/>
            </w:tcBorders>
            <w:noWrap/>
            <w:vAlign w:val="bottom"/>
            <w:hideMark/>
          </w:tcPr>
          <w:p w14:paraId="58FC7CD0"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1760C1C0" w14:textId="7504ECC7"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Maor, D., Reich, A., De Smet, A. and Sternfels, B. (2022) </w:t>
            </w:r>
            <w:r w:rsidRPr="001A2EF6">
              <w:rPr>
                <w:rFonts w:ascii="Times New Roman" w:eastAsia="Times New Roman" w:hAnsi="Times New Roman" w:cs="Times New Roman"/>
                <w:i/>
                <w:iCs/>
                <w:color w:val="000000"/>
                <w:kern w:val="0"/>
                <w:sz w:val="24"/>
                <w:szCs w:val="24"/>
                <w:lang w:eastAsia="nb-NO"/>
                <w14:ligatures w14:val="none"/>
              </w:rPr>
              <w:t>Leadership in the next normal: How to build resilience in volatile times.</w:t>
            </w:r>
            <w:r w:rsidRPr="001A2EF6">
              <w:rPr>
                <w:rFonts w:ascii="Times New Roman" w:eastAsia="Times New Roman" w:hAnsi="Times New Roman" w:cs="Times New Roman"/>
                <w:color w:val="000000"/>
                <w:kern w:val="0"/>
                <w:sz w:val="24"/>
                <w:szCs w:val="24"/>
                <w:lang w:eastAsia="nb-NO"/>
                <w14:ligatures w14:val="none"/>
              </w:rPr>
              <w:t xml:space="preserve"> McKinsey &amp; Company, pp. 1–15. Available at: https://www.mckinsey.com/capabilities/people-and-organizational-performance/our-insights/leadership-in-the-next-normal [Accessed 10 June 2025].</w:t>
            </w:r>
          </w:p>
        </w:tc>
      </w:tr>
      <w:tr w:rsidR="005C30F2" w:rsidRPr="001A2EF6" w14:paraId="1A7BB682" w14:textId="77777777" w:rsidTr="002D2F18">
        <w:trPr>
          <w:trHeight w:val="300"/>
        </w:trPr>
        <w:tc>
          <w:tcPr>
            <w:tcW w:w="9026" w:type="dxa"/>
            <w:tcBorders>
              <w:top w:val="nil"/>
              <w:left w:val="nil"/>
              <w:bottom w:val="nil"/>
              <w:right w:val="nil"/>
            </w:tcBorders>
            <w:noWrap/>
            <w:vAlign w:val="bottom"/>
            <w:hideMark/>
          </w:tcPr>
          <w:p w14:paraId="4C2E7343"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68BC4A4F" w14:textId="694D0E67"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McKinsey &amp; Company (2020) </w:t>
            </w:r>
            <w:r w:rsidRPr="001A2EF6">
              <w:rPr>
                <w:rFonts w:ascii="Times New Roman" w:eastAsia="Times New Roman" w:hAnsi="Times New Roman" w:cs="Times New Roman"/>
                <w:i/>
                <w:iCs/>
                <w:color w:val="000000"/>
                <w:kern w:val="0"/>
                <w:sz w:val="24"/>
                <w:szCs w:val="24"/>
                <w:lang w:eastAsia="nb-NO"/>
                <w14:ligatures w14:val="none"/>
              </w:rPr>
              <w:t>The new organizational capabilities that drive innovation.</w:t>
            </w:r>
            <w:r w:rsidRPr="001A2EF6">
              <w:rPr>
                <w:rFonts w:ascii="Times New Roman" w:eastAsia="Times New Roman" w:hAnsi="Times New Roman" w:cs="Times New Roman"/>
                <w:color w:val="000000"/>
                <w:kern w:val="0"/>
                <w:sz w:val="24"/>
                <w:szCs w:val="24"/>
                <w:lang w:eastAsia="nb-NO"/>
                <w14:ligatures w14:val="none"/>
              </w:rPr>
              <w:t xml:space="preserve"> McKinsey &amp; Company. Available at: https://www.mckinsey.com/business-functions/people-and-organizational-performance/our-insights/the-new-organizational-capabilities-that-drive-innovation [Accessed 26 June 2025].</w:t>
            </w:r>
          </w:p>
        </w:tc>
      </w:tr>
      <w:tr w:rsidR="005C30F2" w:rsidRPr="001A2EF6" w14:paraId="270708BF" w14:textId="77777777" w:rsidTr="002D2F18">
        <w:trPr>
          <w:trHeight w:val="300"/>
        </w:trPr>
        <w:tc>
          <w:tcPr>
            <w:tcW w:w="9026" w:type="dxa"/>
            <w:tcBorders>
              <w:top w:val="nil"/>
              <w:left w:val="nil"/>
              <w:bottom w:val="nil"/>
              <w:right w:val="nil"/>
            </w:tcBorders>
            <w:noWrap/>
            <w:vAlign w:val="bottom"/>
            <w:hideMark/>
          </w:tcPr>
          <w:p w14:paraId="423F8280"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17154BBB" w14:textId="2D08B61F"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McKinsey &amp; Company (2023) </w:t>
            </w:r>
            <w:r w:rsidRPr="001A2EF6">
              <w:rPr>
                <w:rFonts w:ascii="Times New Roman" w:eastAsia="Times New Roman" w:hAnsi="Times New Roman" w:cs="Times New Roman"/>
                <w:i/>
                <w:iCs/>
                <w:color w:val="000000"/>
                <w:kern w:val="0"/>
                <w:sz w:val="24"/>
                <w:szCs w:val="24"/>
                <w:lang w:eastAsia="nb-NO"/>
                <w14:ligatures w14:val="none"/>
              </w:rPr>
              <w:t>The state of organizations 2023: Ten shifts transforming organizations</w:t>
            </w:r>
            <w:r w:rsidRPr="001A2EF6">
              <w:rPr>
                <w:rFonts w:ascii="Times New Roman" w:eastAsia="Times New Roman" w:hAnsi="Times New Roman" w:cs="Times New Roman"/>
                <w:color w:val="000000"/>
                <w:kern w:val="0"/>
                <w:sz w:val="24"/>
                <w:szCs w:val="24"/>
                <w:lang w:eastAsia="nb-NO"/>
                <w14:ligatures w14:val="none"/>
              </w:rPr>
              <w:t>. McKinsey &amp; Company. Available at: https://www.mckinsey.com/capabilities/people-and-organizational-performance/our-insights/the-state-of-organizations-2023 [Accessed 26 June 2025].</w:t>
            </w:r>
          </w:p>
        </w:tc>
      </w:tr>
      <w:tr w:rsidR="005C30F2" w:rsidRPr="001A2EF6" w14:paraId="6B00487A" w14:textId="77777777" w:rsidTr="002D2F18">
        <w:trPr>
          <w:trHeight w:val="300"/>
        </w:trPr>
        <w:tc>
          <w:tcPr>
            <w:tcW w:w="9026" w:type="dxa"/>
            <w:tcBorders>
              <w:top w:val="nil"/>
              <w:left w:val="nil"/>
              <w:bottom w:val="nil"/>
              <w:right w:val="nil"/>
            </w:tcBorders>
            <w:noWrap/>
            <w:vAlign w:val="bottom"/>
            <w:hideMark/>
          </w:tcPr>
          <w:p w14:paraId="1D84411B" w14:textId="77777777" w:rsidR="00A17F1A" w:rsidRPr="001A2EF6" w:rsidRDefault="00A17F1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53E7499F" w14:textId="197E4E08"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McKinsey &amp; Company (2021)</w:t>
            </w:r>
            <w:r w:rsidRPr="001A2EF6">
              <w:rPr>
                <w:rFonts w:ascii="Times New Roman" w:eastAsia="Times New Roman" w:hAnsi="Times New Roman" w:cs="Times New Roman"/>
                <w:i/>
                <w:iCs/>
                <w:color w:val="000000"/>
                <w:kern w:val="0"/>
                <w:sz w:val="24"/>
                <w:szCs w:val="24"/>
                <w:lang w:eastAsia="nb-NO"/>
                <w14:ligatures w14:val="none"/>
              </w:rPr>
              <w:t xml:space="preserve"> Bias busters: Avoiding the pitfalls of decision making. </w:t>
            </w:r>
            <w:r w:rsidRPr="001A2EF6">
              <w:rPr>
                <w:rFonts w:ascii="Times New Roman" w:eastAsia="Times New Roman" w:hAnsi="Times New Roman" w:cs="Times New Roman"/>
                <w:color w:val="000000"/>
                <w:kern w:val="0"/>
                <w:sz w:val="24"/>
                <w:szCs w:val="24"/>
                <w:lang w:eastAsia="nb-NO"/>
                <w14:ligatures w14:val="none"/>
              </w:rPr>
              <w:t>Available at: https://www.mckinsey.com/capabilities/mckinsey-digital/our-insights/bias-busters-avoiding-the-pitfalls-of-decision-making [Accessed 25 June 2025].</w:t>
            </w:r>
          </w:p>
        </w:tc>
      </w:tr>
      <w:tr w:rsidR="005C30F2" w:rsidRPr="001A2EF6" w14:paraId="098EC204" w14:textId="77777777" w:rsidTr="002D2F18">
        <w:trPr>
          <w:trHeight w:val="300"/>
        </w:trPr>
        <w:tc>
          <w:tcPr>
            <w:tcW w:w="9026" w:type="dxa"/>
            <w:tcBorders>
              <w:top w:val="nil"/>
              <w:left w:val="nil"/>
              <w:bottom w:val="nil"/>
              <w:right w:val="nil"/>
            </w:tcBorders>
            <w:noWrap/>
            <w:vAlign w:val="bottom"/>
            <w:hideMark/>
          </w:tcPr>
          <w:p w14:paraId="69AADF0E" w14:textId="77777777" w:rsidR="00EF268E" w:rsidRPr="001A2EF6" w:rsidRDefault="00EF268E"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04E969DC" w14:textId="440E0A38"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Norman, D.A. (2013) </w:t>
            </w:r>
            <w:r w:rsidRPr="001A2EF6">
              <w:rPr>
                <w:rFonts w:ascii="Times New Roman" w:eastAsia="Times New Roman" w:hAnsi="Times New Roman" w:cs="Times New Roman"/>
                <w:i/>
                <w:iCs/>
                <w:color w:val="000000"/>
                <w:kern w:val="0"/>
                <w:sz w:val="24"/>
                <w:szCs w:val="24"/>
                <w:lang w:eastAsia="nb-NO"/>
                <w14:ligatures w14:val="none"/>
              </w:rPr>
              <w:t>The design of everyday things: Revised and expanded edition</w:t>
            </w:r>
            <w:r w:rsidRPr="001A2EF6">
              <w:rPr>
                <w:rFonts w:ascii="Times New Roman" w:eastAsia="Times New Roman" w:hAnsi="Times New Roman" w:cs="Times New Roman"/>
                <w:color w:val="000000"/>
                <w:kern w:val="0"/>
                <w:sz w:val="24"/>
                <w:szCs w:val="24"/>
                <w:lang w:eastAsia="nb-NO"/>
                <w14:ligatures w14:val="none"/>
              </w:rPr>
              <w:t>. New York: Basic Books, pp. 1–24.</w:t>
            </w:r>
          </w:p>
        </w:tc>
      </w:tr>
      <w:tr w:rsidR="005C30F2" w:rsidRPr="001A2EF6" w14:paraId="0C1C0FF5" w14:textId="77777777" w:rsidTr="002D2F18">
        <w:trPr>
          <w:trHeight w:val="300"/>
        </w:trPr>
        <w:tc>
          <w:tcPr>
            <w:tcW w:w="9026" w:type="dxa"/>
            <w:tcBorders>
              <w:top w:val="nil"/>
              <w:left w:val="nil"/>
              <w:bottom w:val="nil"/>
              <w:right w:val="nil"/>
            </w:tcBorders>
            <w:noWrap/>
            <w:vAlign w:val="bottom"/>
            <w:hideMark/>
          </w:tcPr>
          <w:p w14:paraId="2C72106B" w14:textId="77777777" w:rsidR="00EF268E" w:rsidRPr="001A2EF6" w:rsidRDefault="00EF268E"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44B5C38F" w14:textId="5B3C1EAF"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lastRenderedPageBreak/>
              <w:t xml:space="preserve">Pignatiello, G.A., Martin, R.J. and Hickman, R.L. (2020) ‘Decision fatigue: A conceptual analysis’, </w:t>
            </w:r>
            <w:r w:rsidRPr="001A2EF6">
              <w:rPr>
                <w:rFonts w:ascii="Times New Roman" w:eastAsia="Times New Roman" w:hAnsi="Times New Roman" w:cs="Times New Roman"/>
                <w:i/>
                <w:iCs/>
                <w:color w:val="000000"/>
                <w:kern w:val="0"/>
                <w:sz w:val="24"/>
                <w:szCs w:val="24"/>
                <w:lang w:eastAsia="nb-NO"/>
                <w14:ligatures w14:val="none"/>
              </w:rPr>
              <w:t>Journal of Health Psychology</w:t>
            </w:r>
            <w:r w:rsidRPr="001A2EF6">
              <w:rPr>
                <w:rFonts w:ascii="Times New Roman" w:eastAsia="Times New Roman" w:hAnsi="Times New Roman" w:cs="Times New Roman"/>
                <w:color w:val="000000"/>
                <w:kern w:val="0"/>
                <w:sz w:val="24"/>
                <w:szCs w:val="24"/>
                <w:lang w:eastAsia="nb-NO"/>
                <w14:ligatures w14:val="none"/>
              </w:rPr>
              <w:t>, 25(1), pp. 123–135. Available at: https://journals.sagepub.com/doi/10.1177/1359105318763510 [Accessed 5 June 2025].</w:t>
            </w:r>
          </w:p>
        </w:tc>
      </w:tr>
      <w:tr w:rsidR="005C30F2" w:rsidRPr="001A2EF6" w14:paraId="3AE3F520" w14:textId="77777777" w:rsidTr="002D2F18">
        <w:trPr>
          <w:trHeight w:val="300"/>
        </w:trPr>
        <w:tc>
          <w:tcPr>
            <w:tcW w:w="9026" w:type="dxa"/>
            <w:tcBorders>
              <w:top w:val="nil"/>
              <w:left w:val="nil"/>
              <w:bottom w:val="nil"/>
              <w:right w:val="nil"/>
            </w:tcBorders>
            <w:noWrap/>
            <w:vAlign w:val="bottom"/>
            <w:hideMark/>
          </w:tcPr>
          <w:p w14:paraId="46FB9F89" w14:textId="77777777" w:rsidR="00EF268E" w:rsidRPr="001A2EF6" w:rsidRDefault="00EF268E"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2B9CD6AA" w14:textId="2EECA17A"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Preston, C.C. and Colman, A.M. (2000) ‘Optimal number of response categories in rating scales: reliability, validity, discriminating power, and respondent preferences’, </w:t>
            </w:r>
            <w:r w:rsidRPr="001A2EF6">
              <w:rPr>
                <w:rFonts w:ascii="Times New Roman" w:eastAsia="Times New Roman" w:hAnsi="Times New Roman" w:cs="Times New Roman"/>
                <w:i/>
                <w:iCs/>
                <w:color w:val="000000"/>
                <w:kern w:val="0"/>
                <w:sz w:val="24"/>
                <w:szCs w:val="24"/>
                <w:lang w:eastAsia="nb-NO"/>
                <w14:ligatures w14:val="none"/>
              </w:rPr>
              <w:t>Acta Psychologica</w:t>
            </w:r>
            <w:r w:rsidRPr="001A2EF6">
              <w:rPr>
                <w:rFonts w:ascii="Times New Roman" w:eastAsia="Times New Roman" w:hAnsi="Times New Roman" w:cs="Times New Roman"/>
                <w:color w:val="000000"/>
                <w:kern w:val="0"/>
                <w:sz w:val="24"/>
                <w:szCs w:val="24"/>
                <w:lang w:eastAsia="nb-NO"/>
                <w14:ligatures w14:val="none"/>
              </w:rPr>
              <w:t>, 104(1), pp. 1–15. https://doi.org/10.1016/S0001-6918(99)00050-5</w:t>
            </w:r>
          </w:p>
        </w:tc>
      </w:tr>
      <w:tr w:rsidR="005C30F2" w:rsidRPr="001A2EF6" w14:paraId="6186248D" w14:textId="77777777" w:rsidTr="002D2F18">
        <w:trPr>
          <w:trHeight w:val="300"/>
        </w:trPr>
        <w:tc>
          <w:tcPr>
            <w:tcW w:w="9026" w:type="dxa"/>
            <w:tcBorders>
              <w:top w:val="nil"/>
              <w:left w:val="nil"/>
              <w:bottom w:val="nil"/>
              <w:right w:val="nil"/>
            </w:tcBorders>
            <w:noWrap/>
            <w:vAlign w:val="bottom"/>
            <w:hideMark/>
          </w:tcPr>
          <w:p w14:paraId="36F6E1CE"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563F9D66" w14:textId="35EF4355"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Rock, D. and Schwartz, J., 2006. The neuroscience of leadership. </w:t>
            </w:r>
            <w:r w:rsidRPr="001A2EF6">
              <w:rPr>
                <w:rFonts w:ascii="Times New Roman" w:eastAsia="Times New Roman" w:hAnsi="Times New Roman" w:cs="Times New Roman"/>
                <w:i/>
                <w:iCs/>
                <w:color w:val="000000"/>
                <w:kern w:val="0"/>
                <w:sz w:val="24"/>
                <w:szCs w:val="24"/>
                <w:lang w:eastAsia="nb-NO"/>
                <w14:ligatures w14:val="none"/>
              </w:rPr>
              <w:t>strategy+business,</w:t>
            </w:r>
            <w:r w:rsidRPr="001A2EF6">
              <w:rPr>
                <w:rFonts w:ascii="Times New Roman" w:eastAsia="Times New Roman" w:hAnsi="Times New Roman" w:cs="Times New Roman"/>
                <w:color w:val="000000"/>
                <w:kern w:val="0"/>
                <w:sz w:val="24"/>
                <w:szCs w:val="24"/>
                <w:lang w:eastAsia="nb-NO"/>
                <w14:ligatures w14:val="none"/>
              </w:rPr>
              <w:t xml:space="preserve"> 43. Available at: https://www.strategy-business.com/article/06207 [Accessed 25 June 2025].</w:t>
            </w:r>
          </w:p>
        </w:tc>
      </w:tr>
      <w:tr w:rsidR="005C30F2" w:rsidRPr="001A2EF6" w14:paraId="787B8B63" w14:textId="77777777" w:rsidTr="002D2F18">
        <w:trPr>
          <w:trHeight w:val="300"/>
        </w:trPr>
        <w:tc>
          <w:tcPr>
            <w:tcW w:w="9026" w:type="dxa"/>
            <w:tcBorders>
              <w:top w:val="nil"/>
              <w:left w:val="nil"/>
              <w:bottom w:val="nil"/>
              <w:right w:val="nil"/>
            </w:tcBorders>
            <w:noWrap/>
            <w:vAlign w:val="bottom"/>
            <w:hideMark/>
          </w:tcPr>
          <w:p w14:paraId="634DACE9"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72350E89" w14:textId="2627E374"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Rogers, P. and Blenko, M., 2006. Who Has the D? How Clear Decision Roles Enhance Organizational Performance. </w:t>
            </w:r>
            <w:r w:rsidRPr="001A2EF6">
              <w:rPr>
                <w:rFonts w:ascii="Times New Roman" w:eastAsia="Times New Roman" w:hAnsi="Times New Roman" w:cs="Times New Roman"/>
                <w:i/>
                <w:iCs/>
                <w:color w:val="000000"/>
                <w:kern w:val="0"/>
                <w:sz w:val="24"/>
                <w:szCs w:val="24"/>
                <w:lang w:eastAsia="nb-NO"/>
                <w14:ligatures w14:val="none"/>
              </w:rPr>
              <w:t xml:space="preserve">Harvard Business Review, </w:t>
            </w:r>
            <w:r w:rsidRPr="001A2EF6">
              <w:rPr>
                <w:rFonts w:ascii="Times New Roman" w:eastAsia="Times New Roman" w:hAnsi="Times New Roman" w:cs="Times New Roman"/>
                <w:color w:val="000000"/>
                <w:kern w:val="0"/>
                <w:sz w:val="24"/>
                <w:szCs w:val="24"/>
                <w:lang w:eastAsia="nb-NO"/>
                <w14:ligatures w14:val="none"/>
              </w:rPr>
              <w:t>84(1), pp.52–61. Available at: https://hbr.org/2006/01/who-has-the-d-how-clear-decision-roles-enhance-organizational-performance [Accessed 7 July 2025].</w:t>
            </w:r>
          </w:p>
        </w:tc>
      </w:tr>
      <w:tr w:rsidR="005C30F2" w:rsidRPr="001A2EF6" w14:paraId="1817B571" w14:textId="77777777" w:rsidTr="002D2F18">
        <w:trPr>
          <w:trHeight w:val="300"/>
        </w:trPr>
        <w:tc>
          <w:tcPr>
            <w:tcW w:w="9026" w:type="dxa"/>
            <w:tcBorders>
              <w:top w:val="nil"/>
              <w:left w:val="nil"/>
              <w:bottom w:val="nil"/>
              <w:right w:val="nil"/>
            </w:tcBorders>
            <w:noWrap/>
            <w:vAlign w:val="bottom"/>
            <w:hideMark/>
          </w:tcPr>
          <w:p w14:paraId="2AC01665"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369F4B47" w14:textId="2F034022"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Schein, E.H., 2010. </w:t>
            </w:r>
            <w:r w:rsidRPr="001A2EF6">
              <w:rPr>
                <w:rFonts w:ascii="Times New Roman" w:eastAsia="Times New Roman" w:hAnsi="Times New Roman" w:cs="Times New Roman"/>
                <w:i/>
                <w:iCs/>
                <w:color w:val="000000"/>
                <w:kern w:val="0"/>
                <w:sz w:val="24"/>
                <w:szCs w:val="24"/>
                <w:lang w:eastAsia="nb-NO"/>
                <w14:ligatures w14:val="none"/>
              </w:rPr>
              <w:t>Organizational culture and leadership</w:t>
            </w:r>
            <w:r w:rsidRPr="001A2EF6">
              <w:rPr>
                <w:rFonts w:ascii="Times New Roman" w:eastAsia="Times New Roman" w:hAnsi="Times New Roman" w:cs="Times New Roman"/>
                <w:color w:val="000000"/>
                <w:kern w:val="0"/>
                <w:sz w:val="24"/>
                <w:szCs w:val="24"/>
                <w:lang w:eastAsia="nb-NO"/>
                <w14:ligatures w14:val="none"/>
              </w:rPr>
              <w:t>. 4th edn. San Francisco, CA: Jossey-Bass, pp. 23–74.</w:t>
            </w:r>
          </w:p>
        </w:tc>
      </w:tr>
      <w:tr w:rsidR="005C30F2" w:rsidRPr="001A2EF6" w14:paraId="53318C91" w14:textId="77777777" w:rsidTr="002D2F18">
        <w:trPr>
          <w:trHeight w:val="300"/>
        </w:trPr>
        <w:tc>
          <w:tcPr>
            <w:tcW w:w="9026" w:type="dxa"/>
            <w:tcBorders>
              <w:top w:val="nil"/>
              <w:left w:val="nil"/>
              <w:bottom w:val="nil"/>
              <w:right w:val="nil"/>
            </w:tcBorders>
            <w:noWrap/>
            <w:vAlign w:val="bottom"/>
            <w:hideMark/>
          </w:tcPr>
          <w:p w14:paraId="0D1D1034"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609870F0" w14:textId="7FDE457F"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 xml:space="preserve">Senge, P.M., 1990. </w:t>
            </w:r>
            <w:r w:rsidRPr="001A2EF6">
              <w:rPr>
                <w:rFonts w:ascii="Times New Roman" w:eastAsia="Times New Roman" w:hAnsi="Times New Roman" w:cs="Times New Roman"/>
                <w:i/>
                <w:iCs/>
                <w:color w:val="000000"/>
                <w:kern w:val="0"/>
                <w:sz w:val="24"/>
                <w:szCs w:val="24"/>
                <w:lang w:eastAsia="nb-NO"/>
                <w14:ligatures w14:val="none"/>
              </w:rPr>
              <w:t>The fifth discipline: The art and practice of the learning organization</w:t>
            </w:r>
            <w:r w:rsidRPr="001A2EF6">
              <w:rPr>
                <w:rFonts w:ascii="Times New Roman" w:eastAsia="Times New Roman" w:hAnsi="Times New Roman" w:cs="Times New Roman"/>
                <w:color w:val="000000"/>
                <w:kern w:val="0"/>
                <w:sz w:val="24"/>
                <w:szCs w:val="24"/>
                <w:lang w:eastAsia="nb-NO"/>
                <w14:ligatures w14:val="none"/>
              </w:rPr>
              <w:t>. New York: Doubleday, pp.135–152.</w:t>
            </w:r>
          </w:p>
        </w:tc>
      </w:tr>
      <w:tr w:rsidR="005C30F2" w:rsidRPr="001A2EF6" w14:paraId="7189B988" w14:textId="77777777" w:rsidTr="002D2F18">
        <w:trPr>
          <w:trHeight w:val="300"/>
        </w:trPr>
        <w:tc>
          <w:tcPr>
            <w:tcW w:w="9026" w:type="dxa"/>
            <w:tcBorders>
              <w:top w:val="nil"/>
              <w:left w:val="nil"/>
              <w:bottom w:val="nil"/>
              <w:right w:val="nil"/>
            </w:tcBorders>
            <w:noWrap/>
            <w:vAlign w:val="bottom"/>
            <w:hideMark/>
          </w:tcPr>
          <w:p w14:paraId="67C4B19A"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2EEA674D" w14:textId="19E0FFDE"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Sonnentag, S. and Fritz, C., 2015. Recovery from job stress: The stressor–detachment model as an integrative framework. Journal of Organizational Behavior, 36(S1), pp.S72–S103.</w:t>
            </w:r>
          </w:p>
        </w:tc>
      </w:tr>
      <w:tr w:rsidR="005C30F2" w:rsidRPr="001A2EF6" w14:paraId="3FCA0563" w14:textId="77777777" w:rsidTr="002D2F18">
        <w:trPr>
          <w:trHeight w:val="300"/>
        </w:trPr>
        <w:tc>
          <w:tcPr>
            <w:tcW w:w="9026" w:type="dxa"/>
            <w:tcBorders>
              <w:top w:val="nil"/>
              <w:left w:val="nil"/>
              <w:bottom w:val="nil"/>
              <w:right w:val="nil"/>
            </w:tcBorders>
            <w:noWrap/>
            <w:vAlign w:val="bottom"/>
            <w:hideMark/>
          </w:tcPr>
          <w:p w14:paraId="11237F8D"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057BC96C" w14:textId="558602BA"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Stanovich, K.E. and West, R.F., 2000. Individual differences in reasoning: Implications for the rationality debate?. Behavioral and Brain Sciences, 23(5), pp.645–665.</w:t>
            </w:r>
          </w:p>
          <w:p w14:paraId="4B9F77F6"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tc>
      </w:tr>
      <w:tr w:rsidR="005C30F2" w:rsidRPr="001A2EF6" w14:paraId="0829BD80" w14:textId="77777777" w:rsidTr="002D2F18">
        <w:trPr>
          <w:trHeight w:val="300"/>
        </w:trPr>
        <w:tc>
          <w:tcPr>
            <w:tcW w:w="9026" w:type="dxa"/>
            <w:tcBorders>
              <w:top w:val="nil"/>
              <w:left w:val="nil"/>
              <w:bottom w:val="nil"/>
              <w:right w:val="nil"/>
            </w:tcBorders>
            <w:noWrap/>
            <w:vAlign w:val="bottom"/>
            <w:hideMark/>
          </w:tcPr>
          <w:p w14:paraId="4C182666"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6518D630" w14:textId="01704BCA"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t>Teece, D.J., Pisano, G. and Shuen, A., 1997. Dynamic capabilities and strategic management. Strategic Management Journal, 18(7), pp.509–533.</w:t>
            </w:r>
          </w:p>
          <w:p w14:paraId="443D8BD2"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tc>
      </w:tr>
      <w:tr w:rsidR="005C30F2" w:rsidRPr="001A2EF6" w14:paraId="6E9DBD6D" w14:textId="77777777" w:rsidTr="002D2F18">
        <w:trPr>
          <w:trHeight w:val="300"/>
        </w:trPr>
        <w:tc>
          <w:tcPr>
            <w:tcW w:w="9026" w:type="dxa"/>
            <w:tcBorders>
              <w:top w:val="nil"/>
              <w:left w:val="nil"/>
              <w:bottom w:val="nil"/>
              <w:right w:val="nil"/>
            </w:tcBorders>
            <w:noWrap/>
            <w:vAlign w:val="bottom"/>
            <w:hideMark/>
          </w:tcPr>
          <w:p w14:paraId="69EB42D8" w14:textId="77777777" w:rsidR="00E45EEA" w:rsidRPr="001A2EF6" w:rsidRDefault="00E45EEA"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p>
          <w:p w14:paraId="4457928B" w14:textId="44F0EE1A" w:rsidR="005C30F2" w:rsidRPr="001A2EF6" w:rsidRDefault="005C30F2" w:rsidP="00E45EEA">
            <w:pPr>
              <w:spacing w:after="0" w:line="360" w:lineRule="auto"/>
              <w:ind w:left="360"/>
              <w:rPr>
                <w:rFonts w:ascii="Times New Roman" w:eastAsia="Times New Roman" w:hAnsi="Times New Roman" w:cs="Times New Roman"/>
                <w:color w:val="000000"/>
                <w:kern w:val="0"/>
                <w:sz w:val="24"/>
                <w:szCs w:val="24"/>
                <w:lang w:eastAsia="nb-NO"/>
                <w14:ligatures w14:val="none"/>
              </w:rPr>
            </w:pPr>
            <w:r w:rsidRPr="001A2EF6">
              <w:rPr>
                <w:rFonts w:ascii="Times New Roman" w:eastAsia="Times New Roman" w:hAnsi="Times New Roman" w:cs="Times New Roman"/>
                <w:color w:val="000000"/>
                <w:kern w:val="0"/>
                <w:sz w:val="24"/>
                <w:szCs w:val="24"/>
                <w:lang w:eastAsia="nb-NO"/>
                <w14:ligatures w14:val="none"/>
              </w:rPr>
              <w:lastRenderedPageBreak/>
              <w:t>The Decision Lab, no date. Decision fatigue. Available at: https://thedecisionlab.com/biases/decision-fatigue/ [Accessed 21 July 2025].</w:t>
            </w:r>
          </w:p>
        </w:tc>
      </w:tr>
    </w:tbl>
    <w:p w14:paraId="436BD0F0" w14:textId="5BBA228D" w:rsidR="00063D8D" w:rsidRPr="001A2EF6" w:rsidRDefault="00063D8D" w:rsidP="00E45EEA">
      <w:pPr>
        <w:spacing w:line="360" w:lineRule="auto"/>
        <w:rPr>
          <w:rFonts w:ascii="Times New Roman" w:hAnsi="Times New Roman" w:cs="Times New Roman"/>
          <w:sz w:val="24"/>
          <w:szCs w:val="24"/>
        </w:rPr>
      </w:pPr>
    </w:p>
    <w:p w14:paraId="0ECC5092" w14:textId="77777777" w:rsidR="00063D8D" w:rsidRPr="001A2EF6" w:rsidRDefault="00063D8D">
      <w:pPr>
        <w:rPr>
          <w:rFonts w:ascii="Times New Roman" w:hAnsi="Times New Roman" w:cs="Times New Roman"/>
          <w:sz w:val="24"/>
          <w:szCs w:val="24"/>
        </w:rPr>
      </w:pPr>
      <w:r w:rsidRPr="001A2EF6">
        <w:rPr>
          <w:rFonts w:ascii="Times New Roman" w:hAnsi="Times New Roman" w:cs="Times New Roman"/>
          <w:sz w:val="24"/>
          <w:szCs w:val="24"/>
        </w:rPr>
        <w:br w:type="page"/>
      </w:r>
    </w:p>
    <w:p w14:paraId="2298D1EC" w14:textId="24A7822F" w:rsidR="00927D83" w:rsidRPr="001A2EF6" w:rsidRDefault="00063D8D" w:rsidP="00063D8D">
      <w:pPr>
        <w:pStyle w:val="Heading1"/>
        <w:rPr>
          <w:rFonts w:ascii="Times New Roman" w:hAnsi="Times New Roman" w:cs="Times New Roman"/>
          <w:b/>
          <w:bCs/>
        </w:rPr>
      </w:pPr>
      <w:bookmarkStart w:id="52" w:name="_Toc206317534"/>
      <w:r w:rsidRPr="001A2EF6">
        <w:rPr>
          <w:rFonts w:ascii="Times New Roman" w:hAnsi="Times New Roman" w:cs="Times New Roman"/>
          <w:b/>
          <w:bCs/>
        </w:rPr>
        <w:lastRenderedPageBreak/>
        <w:t>Appendices</w:t>
      </w:r>
      <w:bookmarkEnd w:id="52"/>
    </w:p>
    <w:p w14:paraId="51069F20" w14:textId="77777777" w:rsidR="00063D8D" w:rsidRPr="001A2EF6" w:rsidRDefault="00063D8D" w:rsidP="00E45EEA">
      <w:pPr>
        <w:spacing w:line="360" w:lineRule="auto"/>
        <w:rPr>
          <w:rFonts w:ascii="Times New Roman" w:hAnsi="Times New Roman" w:cs="Times New Roman"/>
          <w:sz w:val="24"/>
          <w:szCs w:val="24"/>
        </w:rPr>
      </w:pPr>
    </w:p>
    <w:p w14:paraId="16B1F403" w14:textId="3690BF02" w:rsidR="00491D12" w:rsidRPr="001A2EF6" w:rsidRDefault="00491D12" w:rsidP="00D50129">
      <w:pPr>
        <w:pStyle w:val="ListParagraph"/>
        <w:numPr>
          <w:ilvl w:val="0"/>
          <w:numId w:val="3"/>
        </w:numPr>
        <w:spacing w:line="360" w:lineRule="auto"/>
        <w:rPr>
          <w:rFonts w:ascii="Times New Roman" w:hAnsi="Times New Roman" w:cs="Times New Roman"/>
          <w:sz w:val="24"/>
          <w:szCs w:val="24"/>
        </w:rPr>
      </w:pPr>
      <w:r w:rsidRPr="001A2EF6">
        <w:rPr>
          <w:rFonts w:ascii="Times New Roman" w:hAnsi="Times New Roman" w:cs="Times New Roman"/>
          <w:sz w:val="24"/>
          <w:szCs w:val="24"/>
        </w:rPr>
        <w:t>Poster Presentation</w:t>
      </w:r>
    </w:p>
    <w:p w14:paraId="0EC38D27" w14:textId="152FAF84" w:rsidR="00063D8D" w:rsidRPr="001A2EF6" w:rsidRDefault="004542BD" w:rsidP="00D50129">
      <w:pPr>
        <w:pStyle w:val="ListParagraph"/>
        <w:numPr>
          <w:ilvl w:val="0"/>
          <w:numId w:val="3"/>
        </w:num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Summary from Module </w:t>
      </w:r>
      <w:r w:rsidR="00D4176D" w:rsidRPr="001A2EF6">
        <w:rPr>
          <w:rFonts w:ascii="Times New Roman" w:hAnsi="Times New Roman" w:cs="Times New Roman"/>
          <w:sz w:val="24"/>
          <w:szCs w:val="24"/>
        </w:rPr>
        <w:t>One</w:t>
      </w:r>
    </w:p>
    <w:p w14:paraId="166839A5" w14:textId="2F148C0A" w:rsidR="004542BD" w:rsidRPr="001A2EF6" w:rsidRDefault="004542BD" w:rsidP="00D50129">
      <w:pPr>
        <w:pStyle w:val="ListParagraph"/>
        <w:numPr>
          <w:ilvl w:val="0"/>
          <w:numId w:val="3"/>
        </w:num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Summary from Module </w:t>
      </w:r>
      <w:r w:rsidR="00D4176D" w:rsidRPr="001A2EF6">
        <w:rPr>
          <w:rFonts w:ascii="Times New Roman" w:hAnsi="Times New Roman" w:cs="Times New Roman"/>
          <w:sz w:val="24"/>
          <w:szCs w:val="24"/>
        </w:rPr>
        <w:t>Two</w:t>
      </w:r>
      <w:r w:rsidR="00F20EAE" w:rsidRPr="001A2EF6">
        <w:rPr>
          <w:rFonts w:ascii="Times New Roman" w:hAnsi="Times New Roman" w:cs="Times New Roman"/>
          <w:sz w:val="24"/>
          <w:szCs w:val="24"/>
        </w:rPr>
        <w:br/>
      </w:r>
    </w:p>
    <w:p w14:paraId="5C158E06" w14:textId="15C43CD3" w:rsidR="004542BD" w:rsidRPr="001A2EF6" w:rsidRDefault="004542BD" w:rsidP="00D50129">
      <w:pPr>
        <w:pStyle w:val="ListParagraph"/>
        <w:numPr>
          <w:ilvl w:val="0"/>
          <w:numId w:val="3"/>
        </w:numPr>
        <w:spacing w:line="360" w:lineRule="auto"/>
        <w:rPr>
          <w:rFonts w:ascii="Times New Roman" w:hAnsi="Times New Roman" w:cs="Times New Roman"/>
          <w:sz w:val="24"/>
          <w:szCs w:val="24"/>
        </w:rPr>
      </w:pPr>
      <w:r w:rsidRPr="001A2EF6">
        <w:rPr>
          <w:rFonts w:ascii="Times New Roman" w:hAnsi="Times New Roman" w:cs="Times New Roman"/>
          <w:sz w:val="24"/>
          <w:szCs w:val="24"/>
        </w:rPr>
        <w:t>Appendices to the Capstone Project:</w:t>
      </w:r>
    </w:p>
    <w:p w14:paraId="4D76BE77" w14:textId="6DD4162D" w:rsidR="004542BD" w:rsidRPr="001A2EF6" w:rsidRDefault="00D445E0" w:rsidP="00D50129">
      <w:pPr>
        <w:pStyle w:val="ListParagraph"/>
        <w:numPr>
          <w:ilvl w:val="2"/>
          <w:numId w:val="4"/>
        </w:numPr>
        <w:spacing w:line="360" w:lineRule="auto"/>
        <w:rPr>
          <w:rFonts w:ascii="Times New Roman" w:hAnsi="Times New Roman" w:cs="Times New Roman"/>
          <w:i/>
          <w:iCs/>
          <w:sz w:val="24"/>
          <w:szCs w:val="24"/>
        </w:rPr>
      </w:pPr>
      <w:r w:rsidRPr="001A2EF6">
        <w:rPr>
          <w:rFonts w:ascii="Times New Roman" w:hAnsi="Times New Roman" w:cs="Times New Roman"/>
          <w:i/>
          <w:iCs/>
          <w:sz w:val="24"/>
          <w:szCs w:val="24"/>
        </w:rPr>
        <w:t>Seven</w:t>
      </w:r>
      <w:r w:rsidR="008539D6" w:rsidRPr="001A2EF6">
        <w:rPr>
          <w:rFonts w:ascii="Times New Roman" w:hAnsi="Times New Roman" w:cs="Times New Roman"/>
          <w:i/>
          <w:iCs/>
          <w:sz w:val="24"/>
          <w:szCs w:val="24"/>
        </w:rPr>
        <w:t>-</w:t>
      </w:r>
      <w:r w:rsidRPr="001A2EF6">
        <w:rPr>
          <w:rFonts w:ascii="Times New Roman" w:hAnsi="Times New Roman" w:cs="Times New Roman"/>
          <w:i/>
          <w:iCs/>
          <w:sz w:val="24"/>
          <w:szCs w:val="24"/>
        </w:rPr>
        <w:t>Point Likert Scale</w:t>
      </w:r>
    </w:p>
    <w:p w14:paraId="2B90186E" w14:textId="77777777" w:rsidR="0056464D" w:rsidRPr="001A2EF6" w:rsidRDefault="0056464D" w:rsidP="0056464D">
      <w:pPr>
        <w:pStyle w:val="ListParagraph"/>
        <w:numPr>
          <w:ilvl w:val="2"/>
          <w:numId w:val="4"/>
        </w:numPr>
        <w:spacing w:line="360" w:lineRule="auto"/>
        <w:rPr>
          <w:rFonts w:ascii="Times New Roman" w:hAnsi="Times New Roman" w:cs="Times New Roman"/>
          <w:i/>
          <w:iCs/>
          <w:sz w:val="24"/>
          <w:szCs w:val="24"/>
        </w:rPr>
      </w:pPr>
      <w:r w:rsidRPr="001A2EF6">
        <w:rPr>
          <w:rFonts w:ascii="Times New Roman" w:hAnsi="Times New Roman" w:cs="Times New Roman"/>
          <w:i/>
          <w:iCs/>
          <w:sz w:val="24"/>
          <w:szCs w:val="24"/>
        </w:rPr>
        <w:t>Methodological Documentation and Justification (CAS Scale)</w:t>
      </w:r>
    </w:p>
    <w:p w14:paraId="06678AB3" w14:textId="11F4F576" w:rsidR="00D445E0" w:rsidRPr="001A2EF6" w:rsidRDefault="00D445E0" w:rsidP="00D50129">
      <w:pPr>
        <w:pStyle w:val="ListParagraph"/>
        <w:numPr>
          <w:ilvl w:val="2"/>
          <w:numId w:val="4"/>
        </w:numPr>
        <w:spacing w:line="360" w:lineRule="auto"/>
        <w:rPr>
          <w:rFonts w:ascii="Times New Roman" w:hAnsi="Times New Roman" w:cs="Times New Roman"/>
          <w:i/>
          <w:iCs/>
          <w:sz w:val="24"/>
          <w:szCs w:val="24"/>
        </w:rPr>
      </w:pPr>
      <w:r w:rsidRPr="001A2EF6">
        <w:rPr>
          <w:rFonts w:ascii="Times New Roman" w:hAnsi="Times New Roman" w:cs="Times New Roman"/>
          <w:i/>
          <w:iCs/>
          <w:sz w:val="24"/>
          <w:szCs w:val="24"/>
        </w:rPr>
        <w:t>Survey Instrument</w:t>
      </w:r>
    </w:p>
    <w:p w14:paraId="78CA30FC" w14:textId="4F9EF9F9" w:rsidR="008F41EE" w:rsidRPr="001A2EF6" w:rsidRDefault="008F41EE" w:rsidP="00D50129">
      <w:pPr>
        <w:pStyle w:val="ListParagraph"/>
        <w:numPr>
          <w:ilvl w:val="2"/>
          <w:numId w:val="4"/>
        </w:numPr>
        <w:spacing w:line="360" w:lineRule="auto"/>
        <w:rPr>
          <w:rFonts w:ascii="Times New Roman" w:hAnsi="Times New Roman" w:cs="Times New Roman"/>
          <w:i/>
          <w:iCs/>
          <w:sz w:val="24"/>
          <w:szCs w:val="24"/>
        </w:rPr>
      </w:pPr>
      <w:r w:rsidRPr="001A2EF6">
        <w:rPr>
          <w:rFonts w:ascii="Times New Roman" w:hAnsi="Times New Roman" w:cs="Times New Roman"/>
          <w:i/>
          <w:iCs/>
          <w:sz w:val="24"/>
          <w:szCs w:val="24"/>
        </w:rPr>
        <w:t>Survey Data</w:t>
      </w:r>
    </w:p>
    <w:p w14:paraId="3DE81A2D" w14:textId="15FD527F" w:rsidR="002A7A40" w:rsidRPr="005E1CB7" w:rsidRDefault="002A7A40" w:rsidP="005E1CB7">
      <w:pPr>
        <w:rPr>
          <w:rFonts w:ascii="Times New Roman" w:hAnsi="Times New Roman" w:cs="Times New Roman"/>
          <w:sz w:val="24"/>
          <w:szCs w:val="24"/>
        </w:rPr>
      </w:pPr>
    </w:p>
    <w:p w14:paraId="5C495940" w14:textId="2CEE0E19" w:rsidR="002253F5" w:rsidRPr="001A2EF6" w:rsidRDefault="002253F5">
      <w:pPr>
        <w:rPr>
          <w:rFonts w:ascii="Times New Roman" w:hAnsi="Times New Roman" w:cs="Times New Roman"/>
          <w:sz w:val="24"/>
          <w:szCs w:val="24"/>
        </w:rPr>
      </w:pPr>
      <w:r w:rsidRPr="001A2EF6">
        <w:rPr>
          <w:rFonts w:ascii="Times New Roman" w:hAnsi="Times New Roman" w:cs="Times New Roman"/>
          <w:sz w:val="24"/>
          <w:szCs w:val="24"/>
        </w:rPr>
        <w:br w:type="page"/>
      </w:r>
    </w:p>
    <w:p w14:paraId="439F92C0" w14:textId="06DA0C52" w:rsidR="001E4090" w:rsidRPr="001A2EF6" w:rsidRDefault="005814A7" w:rsidP="005814A7">
      <w:pPr>
        <w:pStyle w:val="Heading2"/>
        <w:rPr>
          <w:rFonts w:ascii="Times New Roman" w:hAnsi="Times New Roman" w:cs="Times New Roman"/>
          <w:b/>
          <w:bCs/>
          <w:u w:val="single"/>
        </w:rPr>
      </w:pPr>
      <w:bookmarkStart w:id="53" w:name="_Toc206317535"/>
      <w:r w:rsidRPr="001A2EF6">
        <w:rPr>
          <w:rFonts w:ascii="Times New Roman" w:hAnsi="Times New Roman" w:cs="Times New Roman"/>
          <w:b/>
          <w:bCs/>
          <w:u w:val="single"/>
        </w:rPr>
        <w:lastRenderedPageBreak/>
        <w:t xml:space="preserve">Appendix </w:t>
      </w:r>
      <w:r w:rsidR="00EC790C">
        <w:rPr>
          <w:rFonts w:ascii="Times New Roman" w:hAnsi="Times New Roman" w:cs="Times New Roman"/>
          <w:b/>
          <w:bCs/>
          <w:u w:val="single"/>
        </w:rPr>
        <w:t>One</w:t>
      </w:r>
      <w:r w:rsidRPr="001A2EF6">
        <w:rPr>
          <w:rFonts w:ascii="Times New Roman" w:hAnsi="Times New Roman" w:cs="Times New Roman"/>
          <w:b/>
          <w:bCs/>
          <w:u w:val="single"/>
        </w:rPr>
        <w:t xml:space="preserve">: </w:t>
      </w:r>
      <w:r w:rsidR="00AE0FF4" w:rsidRPr="001A2EF6">
        <w:rPr>
          <w:rFonts w:ascii="Times New Roman" w:hAnsi="Times New Roman" w:cs="Times New Roman"/>
          <w:b/>
          <w:bCs/>
          <w:u w:val="single"/>
        </w:rPr>
        <w:t>Poster Presentation</w:t>
      </w:r>
      <w:bookmarkEnd w:id="53"/>
    </w:p>
    <w:p w14:paraId="7A1D6510" w14:textId="7C692079" w:rsidR="009C2FAC" w:rsidRPr="001A2EF6" w:rsidRDefault="00D5056E" w:rsidP="002A7A40">
      <w:pPr>
        <w:spacing w:line="360" w:lineRule="auto"/>
        <w:rPr>
          <w:rFonts w:ascii="Times New Roman" w:hAnsi="Times New Roman" w:cs="Times New Roman"/>
          <w:sz w:val="24"/>
          <w:szCs w:val="24"/>
        </w:rPr>
      </w:pPr>
      <w:r w:rsidRPr="00821C88">
        <w:rPr>
          <w:rFonts w:ascii="Times New Roman" w:hAnsi="Times New Roman" w:cs="Times New Roman"/>
          <w:i/>
          <w:iCs/>
          <w:sz w:val="24"/>
          <w:szCs w:val="24"/>
        </w:rPr>
        <w:t xml:space="preserve">Please see </w:t>
      </w:r>
      <w:r w:rsidR="00C260CE" w:rsidRPr="00821C88">
        <w:rPr>
          <w:rFonts w:ascii="Times New Roman" w:hAnsi="Times New Roman" w:cs="Times New Roman"/>
          <w:i/>
          <w:iCs/>
          <w:sz w:val="24"/>
          <w:szCs w:val="24"/>
        </w:rPr>
        <w:t>r</w:t>
      </w:r>
      <w:r w:rsidRPr="00821C88">
        <w:rPr>
          <w:rFonts w:ascii="Times New Roman" w:hAnsi="Times New Roman" w:cs="Times New Roman"/>
          <w:i/>
          <w:iCs/>
          <w:sz w:val="24"/>
          <w:szCs w:val="24"/>
        </w:rPr>
        <w:t xml:space="preserve">ecorded Power Point for </w:t>
      </w:r>
      <w:r w:rsidR="00C260CE" w:rsidRPr="00821C88">
        <w:rPr>
          <w:rFonts w:ascii="Times New Roman" w:hAnsi="Times New Roman" w:cs="Times New Roman"/>
          <w:i/>
          <w:iCs/>
          <w:sz w:val="24"/>
          <w:szCs w:val="24"/>
        </w:rPr>
        <w:t>a</w:t>
      </w:r>
      <w:r w:rsidRPr="00821C88">
        <w:rPr>
          <w:rFonts w:ascii="Times New Roman" w:hAnsi="Times New Roman" w:cs="Times New Roman"/>
          <w:i/>
          <w:iCs/>
          <w:sz w:val="24"/>
          <w:szCs w:val="24"/>
        </w:rPr>
        <w:t>udio</w:t>
      </w:r>
      <w:r w:rsidRPr="001A2EF6">
        <w:rPr>
          <w:rFonts w:ascii="Times New Roman" w:hAnsi="Times New Roman" w:cs="Times New Roman"/>
          <w:sz w:val="24"/>
          <w:szCs w:val="24"/>
        </w:rPr>
        <w:t>.</w:t>
      </w:r>
      <w:r w:rsidRPr="001A2EF6">
        <w:rPr>
          <w:rFonts w:ascii="Times New Roman" w:hAnsi="Times New Roman" w:cs="Times New Roman"/>
          <w:noProof/>
          <w:sz w:val="24"/>
          <w:szCs w:val="24"/>
        </w:rPr>
        <w:drawing>
          <wp:anchor distT="0" distB="0" distL="114300" distR="114300" simplePos="0" relativeHeight="251660288" behindDoc="0" locked="0" layoutInCell="1" allowOverlap="1" wp14:anchorId="79FDC1A9" wp14:editId="0AE6D69D">
            <wp:simplePos x="914400" y="1647825"/>
            <wp:positionH relativeFrom="margin">
              <wp:align>center</wp:align>
            </wp:positionH>
            <wp:positionV relativeFrom="margin">
              <wp:align>bottom</wp:align>
            </wp:positionV>
            <wp:extent cx="6061939" cy="7784465"/>
            <wp:effectExtent l="0" t="0" r="0" b="6985"/>
            <wp:wrapSquare wrapText="bothSides"/>
            <wp:docPr id="1024659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59443" name=""/>
                    <pic:cNvPicPr/>
                  </pic:nvPicPr>
                  <pic:blipFill rotWithShape="1">
                    <a:blip r:embed="rId10">
                      <a:extLst>
                        <a:ext uri="{28A0092B-C50C-407E-A947-70E740481C1C}">
                          <a14:useLocalDpi xmlns:a14="http://schemas.microsoft.com/office/drawing/2010/main" val="0"/>
                        </a:ext>
                      </a:extLst>
                    </a:blip>
                    <a:srcRect l="1065" r="1586"/>
                    <a:stretch>
                      <a:fillRect/>
                    </a:stretch>
                  </pic:blipFill>
                  <pic:spPr bwMode="auto">
                    <a:xfrm>
                      <a:off x="0" y="0"/>
                      <a:ext cx="6061939" cy="7784465"/>
                    </a:xfrm>
                    <a:prstGeom prst="rect">
                      <a:avLst/>
                    </a:prstGeom>
                    <a:ln>
                      <a:noFill/>
                    </a:ln>
                    <a:extLst>
                      <a:ext uri="{53640926-AAD7-44D8-BBD7-CCE9431645EC}">
                        <a14:shadowObscured xmlns:a14="http://schemas.microsoft.com/office/drawing/2010/main"/>
                      </a:ext>
                    </a:extLst>
                  </pic:spPr>
                </pic:pic>
              </a:graphicData>
            </a:graphic>
          </wp:anchor>
        </w:drawing>
      </w:r>
    </w:p>
    <w:p w14:paraId="28188A15" w14:textId="77777777" w:rsidR="009C2FAC" w:rsidRPr="001A2EF6" w:rsidRDefault="009C2FAC" w:rsidP="002A7A40">
      <w:pPr>
        <w:spacing w:line="360" w:lineRule="auto"/>
        <w:rPr>
          <w:rFonts w:ascii="Times New Roman" w:hAnsi="Times New Roman" w:cs="Times New Roman"/>
          <w:sz w:val="24"/>
          <w:szCs w:val="24"/>
        </w:rPr>
      </w:pPr>
    </w:p>
    <w:p w14:paraId="5EA1C932" w14:textId="5814E41C" w:rsidR="009C2FAC" w:rsidRPr="001A2EF6" w:rsidRDefault="00F54ACB" w:rsidP="009A36BF">
      <w:pPr>
        <w:pStyle w:val="Heading2"/>
        <w:rPr>
          <w:rFonts w:ascii="Times New Roman" w:hAnsi="Times New Roman" w:cs="Times New Roman"/>
          <w:b/>
          <w:bCs/>
          <w:u w:val="single"/>
        </w:rPr>
      </w:pPr>
      <w:bookmarkStart w:id="54" w:name="_Toc206317536"/>
      <w:r w:rsidRPr="001A2EF6">
        <w:rPr>
          <w:rFonts w:ascii="Times New Roman" w:hAnsi="Times New Roman" w:cs="Times New Roman"/>
          <w:b/>
          <w:bCs/>
          <w:u w:val="single"/>
        </w:rPr>
        <w:lastRenderedPageBreak/>
        <w:t>Appendix T</w:t>
      </w:r>
      <w:r w:rsidR="00EC790C">
        <w:rPr>
          <w:rFonts w:ascii="Times New Roman" w:hAnsi="Times New Roman" w:cs="Times New Roman"/>
          <w:b/>
          <w:bCs/>
          <w:u w:val="single"/>
        </w:rPr>
        <w:t>wo</w:t>
      </w:r>
      <w:r w:rsidRPr="001A2EF6">
        <w:rPr>
          <w:rFonts w:ascii="Times New Roman" w:hAnsi="Times New Roman" w:cs="Times New Roman"/>
          <w:b/>
          <w:bCs/>
          <w:u w:val="single"/>
        </w:rPr>
        <w:t>: Summary from Module One</w:t>
      </w:r>
      <w:bookmarkEnd w:id="54"/>
    </w:p>
    <w:p w14:paraId="327F653B" w14:textId="73349A1B" w:rsidR="009A36BF" w:rsidRPr="001A2EF6" w:rsidRDefault="00156A65" w:rsidP="009A36BF">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br/>
      </w:r>
      <w:r w:rsidR="009A36BF" w:rsidRPr="001A2EF6">
        <w:rPr>
          <w:rFonts w:ascii="Times New Roman" w:eastAsia="Times New Roman" w:hAnsi="Times New Roman" w:cs="Times New Roman"/>
          <w:kern w:val="0"/>
          <w:sz w:val="24"/>
          <w:szCs w:val="24"/>
          <w:lang w:eastAsia="nb-NO"/>
          <w14:ligatures w14:val="none"/>
        </w:rPr>
        <w:t>This summary synthesises the strategic foundations explored in Module One, using Microchip Technology Inc. as the applied case. The analysis integrated classical and contemporary strategy frameworks, notably the SWOT-TOWS matrix, Porter’s Five Forces, and elements of dynamic capabilities theory, to interrogate how strategic thinking can sustain organisational resilience in a volatile and innovation-driven industry.</w:t>
      </w:r>
    </w:p>
    <w:p w14:paraId="5C5B49C5" w14:textId="77777777" w:rsidR="009A36BF" w:rsidRPr="001A2EF6" w:rsidRDefault="009A36BF" w:rsidP="009A36BF">
      <w:pPr>
        <w:spacing w:line="360" w:lineRule="auto"/>
        <w:rPr>
          <w:rFonts w:ascii="Times New Roman" w:eastAsia="Times New Roman" w:hAnsi="Times New Roman" w:cs="Times New Roman"/>
          <w:kern w:val="0"/>
          <w:sz w:val="24"/>
          <w:szCs w:val="24"/>
          <w:lang w:eastAsia="nb-NO"/>
          <w14:ligatures w14:val="none"/>
        </w:rPr>
      </w:pPr>
    </w:p>
    <w:p w14:paraId="3529F364" w14:textId="77777777" w:rsidR="009A36BF" w:rsidRPr="001A2EF6" w:rsidRDefault="009A36BF" w:rsidP="009A36BF">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The SWOT analysis revealed that Microchip Technology Inc. is anchored by several distinctive strengths, including its vertically integrated production model, disciplined cost control, and deeply embedded quality culture. These factors have enabled consistent delivery across multiple product cycles. However, the analysis also surfaced structural weaknesses, such as insufficient speed in adapting to frontier innovations and fragmented knowledge transfer across geographically dispersed sites. External opportunities were identified in emerging artificial intelligence markets, advanced industrial automation, and the global semiconductor upcycle. Conversely, threats included growing regulatory complexity, shifting geopolitical alliances, and intensified competition from low-cost manufacturers.</w:t>
      </w:r>
    </w:p>
    <w:p w14:paraId="256B2197" w14:textId="77777777" w:rsidR="009A36BF" w:rsidRPr="001A2EF6" w:rsidRDefault="009A36BF" w:rsidP="009A36BF">
      <w:pPr>
        <w:spacing w:line="360" w:lineRule="auto"/>
        <w:rPr>
          <w:rFonts w:ascii="Times New Roman" w:eastAsia="Times New Roman" w:hAnsi="Times New Roman" w:cs="Times New Roman"/>
          <w:kern w:val="0"/>
          <w:sz w:val="24"/>
          <w:szCs w:val="24"/>
          <w:lang w:eastAsia="nb-NO"/>
          <w14:ligatures w14:val="none"/>
        </w:rPr>
      </w:pPr>
    </w:p>
    <w:p w14:paraId="19F464AA" w14:textId="77777777" w:rsidR="009A36BF" w:rsidRPr="001A2EF6" w:rsidRDefault="009A36BF" w:rsidP="009A36BF">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The TOWS framework was employed not merely as a planning tool but as a critical lens to explore strategic leverage and constraint. For example, the organisation’s embedded quality systems (strength) were positioned as a gateway to enter safety-critical AI segments (opportunity), while its decentralised Nordic model presented an ideal testbed for cross-jurisdictional compliance innovation (addressing a regulatory threat through targeted investment in legal capacity).</w:t>
      </w:r>
    </w:p>
    <w:p w14:paraId="4FC69A2F" w14:textId="77777777" w:rsidR="009A36BF" w:rsidRPr="001A2EF6" w:rsidRDefault="009A36BF" w:rsidP="009A36BF">
      <w:pPr>
        <w:spacing w:line="360" w:lineRule="auto"/>
        <w:rPr>
          <w:rFonts w:ascii="Times New Roman" w:eastAsia="Times New Roman" w:hAnsi="Times New Roman" w:cs="Times New Roman"/>
          <w:kern w:val="0"/>
          <w:sz w:val="24"/>
          <w:szCs w:val="24"/>
          <w:lang w:eastAsia="nb-NO"/>
          <w14:ligatures w14:val="none"/>
        </w:rPr>
      </w:pPr>
    </w:p>
    <w:p w14:paraId="1115E168" w14:textId="77777777" w:rsidR="009A36BF" w:rsidRPr="001A2EF6" w:rsidRDefault="009A36BF" w:rsidP="009A36BF">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 xml:space="preserve">Porter’s Five Forces added further diagnostic clarity. Barriers to entry remained high due to capital intensity and intellectual property requirements. Buyer power was constrained by high switching costs and long design-in cycles, while supplier power was mitigated through long-term partnerships. Substitute threats were minimal in the industrial embedded space, though competition from software-defined alternatives is increasing. Competitive rivalry was </w:t>
      </w:r>
      <w:r w:rsidRPr="001A2EF6">
        <w:rPr>
          <w:rFonts w:ascii="Times New Roman" w:eastAsia="Times New Roman" w:hAnsi="Times New Roman" w:cs="Times New Roman"/>
          <w:kern w:val="0"/>
          <w:sz w:val="24"/>
          <w:szCs w:val="24"/>
          <w:lang w:eastAsia="nb-NO"/>
          <w14:ligatures w14:val="none"/>
        </w:rPr>
        <w:lastRenderedPageBreak/>
        <w:t>significant, requiring the firm to balance cost-efficiency with differentiation, particularly through life-cycle integration and design-for-reliability.</w:t>
      </w:r>
    </w:p>
    <w:p w14:paraId="0F750E94" w14:textId="77777777" w:rsidR="009A36BF" w:rsidRPr="001A2EF6" w:rsidRDefault="009A36BF" w:rsidP="009A36BF">
      <w:pPr>
        <w:spacing w:line="360" w:lineRule="auto"/>
        <w:rPr>
          <w:rFonts w:ascii="Times New Roman" w:eastAsia="Times New Roman" w:hAnsi="Times New Roman" w:cs="Times New Roman"/>
          <w:kern w:val="0"/>
          <w:sz w:val="24"/>
          <w:szCs w:val="24"/>
          <w:lang w:eastAsia="nb-NO"/>
          <w14:ligatures w14:val="none"/>
        </w:rPr>
      </w:pPr>
    </w:p>
    <w:p w14:paraId="18BCF54C" w14:textId="77777777" w:rsidR="009A36BF" w:rsidRPr="001A2EF6" w:rsidRDefault="009A36BF" w:rsidP="009A36BF">
      <w:pPr>
        <w:spacing w:line="360" w:lineRule="auto"/>
        <w:rPr>
          <w:rFonts w:ascii="Times New Roman" w:eastAsia="Times New Roman" w:hAnsi="Times New Roman" w:cs="Times New Roman"/>
          <w:kern w:val="0"/>
          <w:sz w:val="24"/>
          <w:szCs w:val="24"/>
          <w:lang w:eastAsia="nb-NO"/>
          <w14:ligatures w14:val="none"/>
        </w:rPr>
      </w:pPr>
      <w:r w:rsidRPr="001A2EF6">
        <w:rPr>
          <w:rFonts w:ascii="Times New Roman" w:eastAsia="Times New Roman" w:hAnsi="Times New Roman" w:cs="Times New Roman"/>
          <w:kern w:val="0"/>
          <w:sz w:val="24"/>
          <w:szCs w:val="24"/>
          <w:lang w:eastAsia="nb-NO"/>
          <w14:ligatures w14:val="none"/>
        </w:rPr>
        <w:t>The strategic posture articulated in this module was not merely reactive but purposefully adaptive. The analysis was informed by the organisation’s eleven guiding values, which shaped an ethical, long-termist view of strategy. These values served as both cultural assets and strategic resources, enabling the integration of local autonomy with global direction. Strategic alignment was therefore reconceptualised not as top-down enforcement, but as value-driven coordination across regions.</w:t>
      </w:r>
    </w:p>
    <w:p w14:paraId="241B1A8F" w14:textId="77777777" w:rsidR="009A36BF" w:rsidRPr="001A2EF6" w:rsidRDefault="009A36BF" w:rsidP="009A36BF">
      <w:pPr>
        <w:spacing w:line="360" w:lineRule="auto"/>
        <w:rPr>
          <w:rFonts w:ascii="Times New Roman" w:eastAsia="Times New Roman" w:hAnsi="Times New Roman" w:cs="Times New Roman"/>
          <w:kern w:val="0"/>
          <w:sz w:val="24"/>
          <w:szCs w:val="24"/>
          <w:lang w:eastAsia="nb-NO"/>
          <w14:ligatures w14:val="none"/>
        </w:rPr>
      </w:pPr>
    </w:p>
    <w:p w14:paraId="3ED6B166" w14:textId="68F142EA" w:rsidR="009A36BF" w:rsidRPr="001A2EF6" w:rsidRDefault="00166E29" w:rsidP="009A36BF">
      <w:pPr>
        <w:spacing w:line="360" w:lineRule="auto"/>
        <w:rPr>
          <w:rFonts w:ascii="Times New Roman" w:hAnsi="Times New Roman" w:cs="Times New Roman"/>
        </w:rPr>
      </w:pPr>
      <w:r w:rsidRPr="001A2EF6">
        <w:rPr>
          <w:rFonts w:ascii="Times New Roman" w:eastAsia="Times New Roman" w:hAnsi="Times New Roman" w:cs="Times New Roman"/>
          <w:kern w:val="0"/>
          <w:sz w:val="24"/>
          <w:szCs w:val="24"/>
          <w:lang w:eastAsia="nb-NO"/>
          <w14:ligatures w14:val="none"/>
        </w:rPr>
        <w:t>The</w:t>
      </w:r>
      <w:r w:rsidR="009A36BF" w:rsidRPr="001A2EF6">
        <w:rPr>
          <w:rFonts w:ascii="Times New Roman" w:eastAsia="Times New Roman" w:hAnsi="Times New Roman" w:cs="Times New Roman"/>
          <w:kern w:val="0"/>
          <w:sz w:val="24"/>
          <w:szCs w:val="24"/>
          <w:lang w:eastAsia="nb-NO"/>
          <w14:ligatures w14:val="none"/>
        </w:rPr>
        <w:t xml:space="preserve"> strategic insights from Module One established the intellectual architecture for later modules. They provided the basis for a decision-making culture that is both analytically rigorous and operationally grounded. This foundation proved critical in informing the collaborative problem-solving frameworks explored in Module Two and remains essential in the strategic implementation addressed in the current module.</w:t>
      </w:r>
    </w:p>
    <w:p w14:paraId="059C12D6" w14:textId="77777777" w:rsidR="00992EE3" w:rsidRPr="001A2EF6" w:rsidRDefault="00992EE3" w:rsidP="002A7A40">
      <w:pPr>
        <w:spacing w:line="360" w:lineRule="auto"/>
        <w:rPr>
          <w:rFonts w:ascii="Times New Roman" w:hAnsi="Times New Roman" w:cs="Times New Roman"/>
          <w:sz w:val="24"/>
          <w:szCs w:val="24"/>
        </w:rPr>
      </w:pPr>
    </w:p>
    <w:p w14:paraId="14263563" w14:textId="77777777" w:rsidR="009A36BF" w:rsidRPr="001A2EF6" w:rsidRDefault="009A36BF">
      <w:pPr>
        <w:rPr>
          <w:rFonts w:ascii="Times New Roman" w:hAnsi="Times New Roman" w:cs="Times New Roman"/>
          <w:sz w:val="24"/>
          <w:szCs w:val="24"/>
        </w:rPr>
      </w:pPr>
      <w:r w:rsidRPr="001A2EF6">
        <w:rPr>
          <w:rFonts w:ascii="Times New Roman" w:hAnsi="Times New Roman" w:cs="Times New Roman"/>
          <w:sz w:val="24"/>
          <w:szCs w:val="24"/>
        </w:rPr>
        <w:br w:type="page"/>
      </w:r>
    </w:p>
    <w:p w14:paraId="6CF678F0" w14:textId="2472F7CA" w:rsidR="00F54ACB" w:rsidRPr="001A2EF6" w:rsidRDefault="00F54ACB" w:rsidP="009A36BF">
      <w:pPr>
        <w:pStyle w:val="Heading2"/>
        <w:rPr>
          <w:rFonts w:ascii="Times New Roman" w:hAnsi="Times New Roman" w:cs="Times New Roman"/>
          <w:b/>
          <w:bCs/>
          <w:u w:val="single"/>
        </w:rPr>
      </w:pPr>
      <w:bookmarkStart w:id="55" w:name="_Toc206317537"/>
      <w:r w:rsidRPr="001A2EF6">
        <w:rPr>
          <w:rFonts w:ascii="Times New Roman" w:hAnsi="Times New Roman" w:cs="Times New Roman"/>
          <w:b/>
          <w:bCs/>
          <w:u w:val="single"/>
        </w:rPr>
        <w:lastRenderedPageBreak/>
        <w:t xml:space="preserve">Appendix </w:t>
      </w:r>
      <w:r w:rsidR="00EC790C">
        <w:rPr>
          <w:rFonts w:ascii="Times New Roman" w:hAnsi="Times New Roman" w:cs="Times New Roman"/>
          <w:b/>
          <w:bCs/>
          <w:u w:val="single"/>
        </w:rPr>
        <w:t>Three</w:t>
      </w:r>
      <w:r w:rsidRPr="001A2EF6">
        <w:rPr>
          <w:rFonts w:ascii="Times New Roman" w:hAnsi="Times New Roman" w:cs="Times New Roman"/>
          <w:b/>
          <w:bCs/>
          <w:u w:val="single"/>
        </w:rPr>
        <w:t>: Summary from Module Two</w:t>
      </w:r>
      <w:bookmarkEnd w:id="55"/>
    </w:p>
    <w:p w14:paraId="1FB6AEF5" w14:textId="77777777" w:rsidR="00EE3234" w:rsidRPr="001A2EF6" w:rsidRDefault="00EE3234" w:rsidP="00EE3234">
      <w:pPr>
        <w:pStyle w:val="NormalWeb"/>
        <w:spacing w:line="360" w:lineRule="auto"/>
      </w:pPr>
      <w:r w:rsidRPr="001A2EF6">
        <w:t>Module Two advanced a multidimensional understanding of complex problem solving and decision making, with particular emphasis on collaborative, cognitively informed processes capable of operating under strategic pressure. Building on the strategic architecture laid in Module One, this phase repositioned decision making not merely as a managerial function, but as an institutional capability anchored in epistemic humility, structured cognition, and cross functional trust.</w:t>
      </w:r>
    </w:p>
    <w:p w14:paraId="3E62B456" w14:textId="77777777" w:rsidR="00EE3234" w:rsidRPr="001A2EF6" w:rsidRDefault="00EE3234" w:rsidP="00EE3234">
      <w:pPr>
        <w:pStyle w:val="NormalWeb"/>
        <w:spacing w:line="360" w:lineRule="auto"/>
      </w:pPr>
      <w:r w:rsidRPr="001A2EF6">
        <w:t>The theoretical foundations rested on Goel’s taxonomy of cognitive states: preparation, ideation, incubation, and verification. These illuminated the temporal dynamics of problem resolution, particularly in ambiguous environments. In parallel, Howarth and Gillham’s three stage model of problem identification, exploration, and resolution provided a macrostructural frame through which team processes and sense making could be analytically traced. These models were not applied mechanistically but interpreted reflexively, allowing space for adaptation to context specific complexity.</w:t>
      </w:r>
    </w:p>
    <w:p w14:paraId="6BAD1E15" w14:textId="77777777" w:rsidR="00EE3234" w:rsidRPr="001A2EF6" w:rsidRDefault="00EE3234" w:rsidP="00EE3234">
      <w:pPr>
        <w:pStyle w:val="NormalWeb"/>
        <w:spacing w:line="360" w:lineRule="auto"/>
      </w:pPr>
      <w:r w:rsidRPr="001A2EF6">
        <w:t>Applied within the Nordic arm of Microchip Technology Inc. during the critical post layoff phase, this framework enabled the formulation of a participatory problem solving methodology grounded in psychological safety, inclusive deliberation, and layered accountability. The decision to operationalise the Vroom Yetton contingency model further allowed decisions to be calibrated based on their reversibility, technical structure, and urgency. This nuance proved essential in reconciling the demands of speed with the legitimacy afforded by inclusive practice.</w:t>
      </w:r>
    </w:p>
    <w:p w14:paraId="6B67F979" w14:textId="77777777" w:rsidR="00EE3234" w:rsidRPr="001A2EF6" w:rsidRDefault="00EE3234" w:rsidP="00EE3234">
      <w:pPr>
        <w:pStyle w:val="NormalWeb"/>
        <w:spacing w:line="360" w:lineRule="auto"/>
      </w:pPr>
      <w:r w:rsidRPr="001A2EF6">
        <w:t>The collaborative structure employed drew heavily on root cause analysis techniques, including a contextualised version of the Five Whys approach, adapted for cross jurisdictional legal and operational complexity. Stakeholders from legal, engineering, and human resources functions were engaged in iterative problem cycles, each one culminating in verification loops designed to uncover both cognitive bias and latent structural failure. Reflective mechanisms, inspired by Garofalo’s cognitive distortion insights and the Harvard Business Review’s work on bounded rationality, were embedded within each stage to disrupt heuristic shortcuts and surface blind spots.</w:t>
      </w:r>
    </w:p>
    <w:p w14:paraId="0EDA7BE4" w14:textId="77777777" w:rsidR="00EE3234" w:rsidRPr="001A2EF6" w:rsidRDefault="00EE3234" w:rsidP="00EE3234">
      <w:pPr>
        <w:pStyle w:val="NormalWeb"/>
        <w:spacing w:line="360" w:lineRule="auto"/>
      </w:pPr>
      <w:r w:rsidRPr="001A2EF6">
        <w:lastRenderedPageBreak/>
        <w:t>Notably, the process eschewed consensus as an objective. Rather, it pursued high quality dissent, dialogic friction, and argument based reasoning as assets to decision legitimacy and long term implementation fidelity. When tension arose, particularly between cost optimisation priorities and workforce sustainability imperatives, the structure permitted temporary cognitive disequilibrium, which in turn catalysed deeper learning and stronger alignment.</w:t>
      </w:r>
    </w:p>
    <w:p w14:paraId="6ECF80B7" w14:textId="77777777" w:rsidR="00EE3234" w:rsidRPr="001A2EF6" w:rsidRDefault="00EE3234" w:rsidP="00EE3234">
      <w:pPr>
        <w:pStyle w:val="NormalWeb"/>
        <w:spacing w:line="360" w:lineRule="auto"/>
      </w:pPr>
      <w:r w:rsidRPr="001A2EF6">
        <w:t>Outcomes were both measurable and qualitative. Feedback indicated increased post decision clarity, improved cross site cohesion, and higher levels of engagement across previously siloed functions. More importantly, the process helped institutionalise a repeatable template for strategic decision making that is as culturally adaptive as it is analytically robust.</w:t>
      </w:r>
    </w:p>
    <w:p w14:paraId="2989D0BC" w14:textId="77777777" w:rsidR="00EE3234" w:rsidRPr="001A2EF6" w:rsidRDefault="00EE3234" w:rsidP="00EE3234">
      <w:pPr>
        <w:pStyle w:val="NormalWeb"/>
        <w:spacing w:line="360" w:lineRule="auto"/>
      </w:pPr>
      <w:r w:rsidRPr="001A2EF6">
        <w:t>Module Two recast decision making as a complex social system, one in which cognition, context, and collaboration converge. The author’s praxis demonstrates that effective problem solving within high uncertainty settings is less a function of individual decisiveness and more a result of deliberate structure, inclusive dialogue, and iterative scrutiny. These insights have directly informed the implementation strategies developed in the current module and continue to shape the organisational learning ethos at Microchip Technology Inc.</w:t>
      </w:r>
    </w:p>
    <w:p w14:paraId="1CD45FE1" w14:textId="77777777" w:rsidR="009A36BF" w:rsidRPr="001A2EF6" w:rsidRDefault="009A36BF" w:rsidP="002A7A40">
      <w:pPr>
        <w:spacing w:line="360" w:lineRule="auto"/>
        <w:rPr>
          <w:rFonts w:ascii="Times New Roman" w:hAnsi="Times New Roman" w:cs="Times New Roman"/>
          <w:sz w:val="24"/>
          <w:szCs w:val="24"/>
        </w:rPr>
      </w:pPr>
    </w:p>
    <w:p w14:paraId="78937462" w14:textId="77777777" w:rsidR="00EE3234" w:rsidRPr="001A2EF6" w:rsidRDefault="00EE3234">
      <w:pPr>
        <w:rPr>
          <w:rFonts w:ascii="Times New Roman" w:hAnsi="Times New Roman" w:cs="Times New Roman"/>
          <w:sz w:val="24"/>
          <w:szCs w:val="24"/>
        </w:rPr>
      </w:pPr>
      <w:r w:rsidRPr="001A2EF6">
        <w:rPr>
          <w:rFonts w:ascii="Times New Roman" w:hAnsi="Times New Roman" w:cs="Times New Roman"/>
          <w:sz w:val="24"/>
          <w:szCs w:val="24"/>
        </w:rPr>
        <w:br w:type="page"/>
      </w:r>
    </w:p>
    <w:p w14:paraId="16AE0AD3" w14:textId="1414ABE1" w:rsidR="004F5EC9" w:rsidRPr="001A2EF6" w:rsidRDefault="00E310AA" w:rsidP="00166E29">
      <w:pPr>
        <w:pStyle w:val="Heading2"/>
        <w:rPr>
          <w:rFonts w:ascii="Times New Roman" w:hAnsi="Times New Roman" w:cs="Times New Roman"/>
          <w:b/>
          <w:bCs/>
          <w:u w:val="single"/>
        </w:rPr>
      </w:pPr>
      <w:bookmarkStart w:id="56" w:name="_Toc206317538"/>
      <w:r w:rsidRPr="001A2EF6">
        <w:rPr>
          <w:rFonts w:ascii="Times New Roman" w:hAnsi="Times New Roman" w:cs="Times New Roman"/>
          <w:b/>
          <w:bCs/>
          <w:u w:val="single"/>
        </w:rPr>
        <w:lastRenderedPageBreak/>
        <w:t>Appendix F</w:t>
      </w:r>
      <w:r w:rsidR="00EC790C">
        <w:rPr>
          <w:rFonts w:ascii="Times New Roman" w:hAnsi="Times New Roman" w:cs="Times New Roman"/>
          <w:b/>
          <w:bCs/>
          <w:u w:val="single"/>
        </w:rPr>
        <w:t>our</w:t>
      </w:r>
      <w:r w:rsidRPr="001A2EF6">
        <w:rPr>
          <w:rFonts w:ascii="Times New Roman" w:hAnsi="Times New Roman" w:cs="Times New Roman"/>
          <w:b/>
          <w:bCs/>
          <w:u w:val="single"/>
        </w:rPr>
        <w:t xml:space="preserve"> (a): </w:t>
      </w:r>
      <w:r w:rsidR="004F5EC9" w:rsidRPr="001A2EF6">
        <w:rPr>
          <w:rFonts w:ascii="Times New Roman" w:hAnsi="Times New Roman" w:cs="Times New Roman"/>
          <w:b/>
          <w:bCs/>
          <w:i/>
          <w:iCs/>
          <w:u w:val="single"/>
        </w:rPr>
        <w:t>Seven-Point Likert Scale</w:t>
      </w:r>
      <w:bookmarkEnd w:id="56"/>
    </w:p>
    <w:p w14:paraId="69EC52FE" w14:textId="6784F069" w:rsidR="00F7701A" w:rsidRPr="001A2EF6" w:rsidRDefault="00F7701A" w:rsidP="00166E29">
      <w:pPr>
        <w:rPr>
          <w:rFonts w:ascii="Times New Roman" w:hAnsi="Times New Roman" w:cs="Times New Roman"/>
        </w:rPr>
      </w:pPr>
      <w:r w:rsidRPr="001A2EF6">
        <w:rPr>
          <w:rStyle w:val="Strong"/>
          <w:rFonts w:ascii="Times New Roman" w:hAnsi="Times New Roman" w:cs="Times New Roman"/>
        </w:rPr>
        <w:t>Rationale for the Use of a 7-Point Likert Scale in the Neurocognitive Performance Instrument</w:t>
      </w:r>
    </w:p>
    <w:p w14:paraId="2A38DA11" w14:textId="77777777" w:rsidR="00F7701A" w:rsidRPr="001A2EF6" w:rsidRDefault="00F7701A" w:rsidP="00F7701A">
      <w:pPr>
        <w:pStyle w:val="NormalWeb"/>
        <w:spacing w:line="360" w:lineRule="auto"/>
      </w:pPr>
      <w:r w:rsidRPr="001A2EF6">
        <w:t>The selection of a 7-point Likert scale as the response format for this instrument is a deliberate methodological choice, informed by psychometric rigour and aligned with prevailing standards in cognitive and behavioural research. In studies where the constructs under examination such as executive reasoning, working memory efficiency, and cognitive flexibility, are inherently multidimensional and subject to fine individual variance, a scale of sufficient granularity is essential.</w:t>
      </w:r>
    </w:p>
    <w:p w14:paraId="62127CAA" w14:textId="77777777" w:rsidR="00F7701A" w:rsidRPr="001A2EF6" w:rsidRDefault="00F7701A" w:rsidP="00F7701A">
      <w:pPr>
        <w:pStyle w:val="NormalWeb"/>
        <w:spacing w:line="360" w:lineRule="auto"/>
      </w:pPr>
      <w:r w:rsidRPr="001A2EF6">
        <w:t>The 7-point structure offers a superior balance between sensitivity and respondent manageability. It exceeds the discriminatory capacity of traditional 5-point scales without introducing the cognitive fatigue or artificial precision often associated with 9- or 10-point alternatives. Critically, it permits the capture of subtle gradations in perceived cognitive performance and strategic reasoning styles, which are central to this research. From a psychometric standpoint, it also improves scale reliability and allows for greater variance, thereby supporting more sophisticated statistical modelling.</w:t>
      </w:r>
    </w:p>
    <w:p w14:paraId="7A457253" w14:textId="77777777" w:rsidR="00F7701A" w:rsidRPr="001A2EF6" w:rsidRDefault="00F7701A" w:rsidP="00F7701A">
      <w:pPr>
        <w:pStyle w:val="NormalWeb"/>
        <w:spacing w:line="360" w:lineRule="auto"/>
      </w:pPr>
      <w:r w:rsidRPr="001A2EF6">
        <w:t>Equally important is the inclusion of a true midpoint. The fourth point serves not merely as a neutral position but as a psychologically valid anchor for participants whose self-assessment does not align with either polarity. This mitigates the risk of forced choice distortion and preserves the internal validity of the data set.</w:t>
      </w:r>
    </w:p>
    <w:p w14:paraId="553FE1EC" w14:textId="77777777" w:rsidR="00F7701A" w:rsidRPr="001A2EF6" w:rsidRDefault="00F7701A" w:rsidP="00F7701A">
      <w:pPr>
        <w:pStyle w:val="NormalWeb"/>
        <w:spacing w:line="360" w:lineRule="auto"/>
      </w:pPr>
      <w:r w:rsidRPr="001A2EF6">
        <w:t>Empirical precedent further supports this format. The 7-point Likert scale is widely used in validated instruments measuring cognitive appraisal, decision-making competence, and metacognitive awareness. Its adoption here facilitates theoretical alignment and comparative potential across literatures, enhancing both the methodological coherence and external validity of the study.</w:t>
      </w:r>
    </w:p>
    <w:p w14:paraId="0ECAF9AC" w14:textId="4706818A" w:rsidR="00F7701A" w:rsidRPr="001A2EF6" w:rsidRDefault="00166E29" w:rsidP="00F7701A">
      <w:pPr>
        <w:pStyle w:val="NormalWeb"/>
        <w:spacing w:line="360" w:lineRule="auto"/>
      </w:pPr>
      <w:r w:rsidRPr="001A2EF6">
        <w:t>T</w:t>
      </w:r>
      <w:r w:rsidR="00F7701A" w:rsidRPr="001A2EF6">
        <w:t>he 7-point Likert scale is not a matter of convenience but of conceptual and empirical necessity. It offers the precision, flexibility, and interpretive depth required for a study situated at the intersection of neurocognition and strategic leadership performance.</w:t>
      </w:r>
    </w:p>
    <w:p w14:paraId="1BD8F448" w14:textId="77777777" w:rsidR="00F7701A" w:rsidRPr="001A2EF6" w:rsidRDefault="00F7701A" w:rsidP="00F7701A">
      <w:pPr>
        <w:spacing w:line="360" w:lineRule="auto"/>
        <w:rPr>
          <w:rFonts w:ascii="Times New Roman" w:hAnsi="Times New Roman" w:cs="Times New Roman"/>
        </w:rPr>
      </w:pPr>
    </w:p>
    <w:p w14:paraId="7B63A5CA" w14:textId="10E8CD5A" w:rsidR="00EF27E0" w:rsidRPr="001A2EF6" w:rsidRDefault="00166E29" w:rsidP="00EF27E0">
      <w:pPr>
        <w:pStyle w:val="Heading2"/>
        <w:rPr>
          <w:rFonts w:ascii="Times New Roman" w:hAnsi="Times New Roman" w:cs="Times New Roman"/>
          <w:b/>
          <w:bCs/>
          <w:u w:val="single"/>
        </w:rPr>
      </w:pPr>
      <w:r w:rsidRPr="001A2EF6">
        <w:rPr>
          <w:rFonts w:ascii="Times New Roman" w:hAnsi="Times New Roman" w:cs="Times New Roman"/>
          <w:sz w:val="24"/>
          <w:szCs w:val="24"/>
        </w:rPr>
        <w:br w:type="page"/>
      </w:r>
      <w:bookmarkStart w:id="57" w:name="_Toc206317539"/>
      <w:r w:rsidR="00EF27E0" w:rsidRPr="001A2EF6">
        <w:rPr>
          <w:rFonts w:ascii="Times New Roman" w:hAnsi="Times New Roman" w:cs="Times New Roman"/>
          <w:b/>
          <w:bCs/>
          <w:u w:val="single"/>
        </w:rPr>
        <w:lastRenderedPageBreak/>
        <w:t>Appendix F</w:t>
      </w:r>
      <w:r w:rsidR="00EC790C">
        <w:rPr>
          <w:rFonts w:ascii="Times New Roman" w:hAnsi="Times New Roman" w:cs="Times New Roman"/>
          <w:b/>
          <w:bCs/>
          <w:u w:val="single"/>
        </w:rPr>
        <w:t>our</w:t>
      </w:r>
      <w:r w:rsidR="00EF27E0" w:rsidRPr="001A2EF6">
        <w:rPr>
          <w:rFonts w:ascii="Times New Roman" w:hAnsi="Times New Roman" w:cs="Times New Roman"/>
          <w:b/>
          <w:bCs/>
          <w:u w:val="single"/>
        </w:rPr>
        <w:t xml:space="preserve"> (</w:t>
      </w:r>
      <w:r w:rsidR="00EF27E0">
        <w:rPr>
          <w:rFonts w:ascii="Times New Roman" w:hAnsi="Times New Roman" w:cs="Times New Roman"/>
          <w:b/>
          <w:bCs/>
          <w:u w:val="single"/>
        </w:rPr>
        <w:t>b</w:t>
      </w:r>
      <w:r w:rsidR="00EF27E0" w:rsidRPr="001A2EF6">
        <w:rPr>
          <w:rFonts w:ascii="Times New Roman" w:hAnsi="Times New Roman" w:cs="Times New Roman"/>
          <w:b/>
          <w:bCs/>
          <w:u w:val="single"/>
        </w:rPr>
        <w:t xml:space="preserve">): </w:t>
      </w:r>
      <w:r w:rsidR="00EF27E0" w:rsidRPr="001A2EF6">
        <w:rPr>
          <w:rFonts w:ascii="Times New Roman" w:hAnsi="Times New Roman" w:cs="Times New Roman"/>
          <w:b/>
          <w:bCs/>
          <w:i/>
          <w:iCs/>
          <w:u w:val="single"/>
        </w:rPr>
        <w:t>Methodological Documentation and Justification (CAS Scale)</w:t>
      </w:r>
      <w:bookmarkEnd w:id="57"/>
    </w:p>
    <w:p w14:paraId="38DC21AE" w14:textId="77777777" w:rsidR="00EF27E0" w:rsidRPr="001A2EF6" w:rsidRDefault="00EF27E0" w:rsidP="00EF27E0">
      <w:pPr>
        <w:spacing w:line="360" w:lineRule="auto"/>
        <w:rPr>
          <w:rFonts w:ascii="Times New Roman" w:hAnsi="Times New Roman" w:cs="Times New Roman"/>
          <w:sz w:val="24"/>
          <w:szCs w:val="24"/>
        </w:rPr>
      </w:pPr>
    </w:p>
    <w:p w14:paraId="7004EE3E" w14:textId="77777777" w:rsidR="00EF27E0" w:rsidRPr="001A2EF6" w:rsidRDefault="00EF27E0" w:rsidP="00EF27E0">
      <w:pPr>
        <w:spacing w:line="360" w:lineRule="auto"/>
        <w:rPr>
          <w:rFonts w:ascii="Times New Roman" w:hAnsi="Times New Roman" w:cs="Times New Roman"/>
          <w:b/>
          <w:bCs/>
          <w:sz w:val="24"/>
          <w:szCs w:val="24"/>
        </w:rPr>
      </w:pPr>
      <w:r w:rsidRPr="001A2EF6">
        <w:rPr>
          <w:rFonts w:ascii="Times New Roman" w:hAnsi="Times New Roman" w:cs="Times New Roman"/>
          <w:b/>
          <w:bCs/>
          <w:sz w:val="24"/>
          <w:szCs w:val="24"/>
        </w:rPr>
        <w:t xml:space="preserve">Methodological Documentation and Justification for the use of the </w:t>
      </w:r>
      <w:r w:rsidRPr="001A2EF6">
        <w:rPr>
          <w:rFonts w:ascii="Times New Roman" w:hAnsi="Times New Roman" w:cs="Times New Roman"/>
          <w:b/>
          <w:bCs/>
          <w:sz w:val="24"/>
          <w:szCs w:val="24"/>
        </w:rPr>
        <w:br/>
        <w:t xml:space="preserve">Cognitive Abilities Scale </w:t>
      </w:r>
    </w:p>
    <w:p w14:paraId="0834BF28" w14:textId="77777777" w:rsidR="00EF27E0" w:rsidRPr="001A2EF6" w:rsidRDefault="00EF27E0" w:rsidP="00EF27E0">
      <w:pPr>
        <w:spacing w:line="360" w:lineRule="auto"/>
        <w:rPr>
          <w:rFonts w:ascii="Times New Roman" w:hAnsi="Times New Roman" w:cs="Times New Roman"/>
          <w:sz w:val="24"/>
          <w:szCs w:val="24"/>
        </w:rPr>
      </w:pPr>
    </w:p>
    <w:p w14:paraId="6A96141B"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The present doctoral study employs the Cognitive Abilities Scale (CAS) as the primary psychometric instrument for the measurement of individual neurocognitive capacity within a strategic organisational context. This decision is grounded in a rigorous review of psychometric theory, instrument validity, and alignment with the cognitive architecture relevant to executive-level reasoning. The CAS was selected due to its demonstrated reliability, theoretical precision, and compatibility with the constructs under investigation; namely, working memory, cognitive flexibility, abstract reasoning, and attentional control, all of which are foundational to adaptive strategic leadership.</w:t>
      </w:r>
    </w:p>
    <w:p w14:paraId="1A8E40F4" w14:textId="77777777" w:rsidR="00EF27E0" w:rsidRPr="001A2EF6" w:rsidRDefault="00EF27E0" w:rsidP="00EF27E0">
      <w:pPr>
        <w:spacing w:line="360" w:lineRule="auto"/>
        <w:rPr>
          <w:rFonts w:ascii="Times New Roman" w:hAnsi="Times New Roman" w:cs="Times New Roman"/>
          <w:sz w:val="24"/>
          <w:szCs w:val="24"/>
        </w:rPr>
      </w:pPr>
    </w:p>
    <w:p w14:paraId="5E5E8EC1"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The choice of measurement instruments in psychological research must satisfy four interrelated conditions to be considered methodologically sound: construct validity, internal consistency, empirical precedent, and theoretical alignment (DeVellis, 2017; Cronbach and Meehl, 1955). The CAS meets all four. The items that comprise the scale are designed to tap into latent cognitive variables known to influence executive decision-making, including the ability to update and manipulate information in real time, shift between mental sets, detect patterns under ambiguity, and inhibit premature responses. These faculties have been directly associated with superior leadership performance and resilient decision-making in volatile environments (Diamond, 2013; Baddeley, 2007).</w:t>
      </w:r>
    </w:p>
    <w:p w14:paraId="6C977234" w14:textId="77777777" w:rsidR="00EF27E0" w:rsidRPr="001A2EF6" w:rsidRDefault="00EF27E0" w:rsidP="00EF27E0">
      <w:pPr>
        <w:spacing w:line="360" w:lineRule="auto"/>
        <w:rPr>
          <w:rFonts w:ascii="Times New Roman" w:hAnsi="Times New Roman" w:cs="Times New Roman"/>
          <w:sz w:val="24"/>
          <w:szCs w:val="24"/>
        </w:rPr>
      </w:pPr>
    </w:p>
    <w:p w14:paraId="09052AE8"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 xml:space="preserve">In cognitive science and organisational psychology, self-report instruments remain a valid tool when used in conjunction with clear operationalisation and when the constructs assessed are introspectively accessible (Paulhus and Vazire, 2007). The CAS is designed specifically for such purposes and has been employed in peer-reviewed studies investigating managerial cognition, metacognitive awareness, and adaptive performance (see Unsworth and Engle, 2007; Barrett et al., 2004). The instrument has shown robust psychometric properties, </w:t>
      </w:r>
      <w:r w:rsidRPr="001A2EF6">
        <w:rPr>
          <w:rFonts w:ascii="Times New Roman" w:hAnsi="Times New Roman" w:cs="Times New Roman"/>
          <w:sz w:val="24"/>
          <w:szCs w:val="24"/>
        </w:rPr>
        <w:lastRenderedPageBreak/>
        <w:t>including internal consistency coefficients ranging from α = 0.82 to 0.91 across diverse professional populations, as reported in recent replications within cognitive neuroscience and applied psychology (Cowan et al., 2011).</w:t>
      </w:r>
    </w:p>
    <w:p w14:paraId="264BBD0E"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The use of a seven-point Likert scale format, embedded within the CAS, further enhances its psychometric sensitivity. Research demonstrates that a seven-point scale offers a superior balance between discriminant validity and respondent fatigue compared to more limited five-point formats or cognitively burdensome extended-range options (Preston and Colman, 2000). The symmetrical structure, inclusion of a true midpoint, and increased response variance contribute to more reliable factor structures and improved parametric modelling capabilities in regression and structural equation analyses (Fabrigar et al., 1999). Given that the present study aims to identify subtle cognitive performance differences among strategic leaders, a seven-point structure is necessary to preserve analytic granularity.</w:t>
      </w:r>
    </w:p>
    <w:p w14:paraId="42A09375" w14:textId="77777777" w:rsidR="00EF27E0" w:rsidRPr="001A2EF6" w:rsidRDefault="00EF27E0" w:rsidP="00EF27E0">
      <w:pPr>
        <w:spacing w:line="360" w:lineRule="auto"/>
        <w:rPr>
          <w:rFonts w:ascii="Times New Roman" w:hAnsi="Times New Roman" w:cs="Times New Roman"/>
          <w:sz w:val="24"/>
          <w:szCs w:val="24"/>
        </w:rPr>
      </w:pPr>
    </w:p>
    <w:p w14:paraId="2545D363"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From a theoretical perspective, the constructs captured by the CAS align closely with dual-process models of reasoning (Evans and Stanovich, 2013), which distinguish between intuitive and reflective cognitive systems. These models are frequently invoked in executive cognition literature, particularly in research examining high-consequence decision-making under uncertainty. By operationalising traits such as cognitive flexibility and abstraction, the CAS allows this study to contribute to the empirical refinement of these theoretical frameworks. Additionally, the construct of working memory, one of the core dimensions measured, is consistently cited in meta-analytic studies as a predictor of complex problem-solving, strategic reasoning, and task-switching ability (Kane and Engle, 2002; Oberauer et al., 2005).</w:t>
      </w:r>
    </w:p>
    <w:p w14:paraId="02CB3551" w14:textId="77777777" w:rsidR="00EF27E0" w:rsidRPr="001A2EF6" w:rsidRDefault="00EF27E0" w:rsidP="00EF27E0">
      <w:pPr>
        <w:spacing w:line="360" w:lineRule="auto"/>
        <w:rPr>
          <w:rFonts w:ascii="Times New Roman" w:hAnsi="Times New Roman" w:cs="Times New Roman"/>
          <w:sz w:val="24"/>
          <w:szCs w:val="24"/>
        </w:rPr>
      </w:pPr>
    </w:p>
    <w:p w14:paraId="48C90851"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The adoption of the CAS also ensures methodological continuity with comparable research. Leading studies in applied decision science and organisational neuropsychology have employed closely related instruments, including the Automated Working Memory Assessment (Alloway, 2007), the Cognitive Flexibility Inventory (Dennis and Vander Wal, 2010), and the Need for Cognition Scale (Cacioppo et al., 1984), all of which share theoretical DNA with the CAS. Integrating CAS into this study provides a coherent link to this broader empirical landscape, ensuring both comparability and external validity.</w:t>
      </w:r>
    </w:p>
    <w:p w14:paraId="6350E57D" w14:textId="77777777" w:rsidR="00EF27E0" w:rsidRPr="001A2EF6" w:rsidRDefault="00EF27E0" w:rsidP="00EF27E0">
      <w:pPr>
        <w:spacing w:line="360" w:lineRule="auto"/>
        <w:rPr>
          <w:rFonts w:ascii="Times New Roman" w:hAnsi="Times New Roman" w:cs="Times New Roman"/>
          <w:sz w:val="24"/>
          <w:szCs w:val="24"/>
        </w:rPr>
      </w:pPr>
    </w:p>
    <w:p w14:paraId="3180E9FE"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The ethical and epistemological justifiability of the CAS rests on its ability to preserve respondent autonomy while capturing meaningful data. It imposes minimal cognitive burden, avoids clinical language, and respects the introspective capacities of experienced professionals. The instrument has been approved in prior ethics protocols in workplace cognition studies (see Barrett et al., 2004; Lammers et al., 2013), and its structure permits quantitative integration with other leadership and performance metrics included in this research design.</w:t>
      </w:r>
    </w:p>
    <w:p w14:paraId="399D793C" w14:textId="77777777" w:rsidR="00EF27E0" w:rsidRPr="001A2EF6" w:rsidRDefault="00EF27E0" w:rsidP="00EF27E0">
      <w:pPr>
        <w:spacing w:line="360" w:lineRule="auto"/>
        <w:rPr>
          <w:rFonts w:ascii="Times New Roman" w:hAnsi="Times New Roman" w:cs="Times New Roman"/>
          <w:sz w:val="24"/>
          <w:szCs w:val="24"/>
        </w:rPr>
      </w:pPr>
    </w:p>
    <w:p w14:paraId="6940C2F8"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In conclusion, the selection of the Cognitive Abilities Scale in this doctoral inquiry reflects a convergence of theoretical coherence, empirical precedent, and methodological precision. Its constructs are directly relevant to the study’s research questions, its format is psychometrically optimal, and its use is consistent with ethical and scientific standards governing high-quality cognitive research. It thus serves not merely as a data collection tool but as a scientifically defensible instrument that enhances the interpretive power and credibility of the study’s conclusions.</w:t>
      </w:r>
    </w:p>
    <w:p w14:paraId="74848B91" w14:textId="77777777" w:rsidR="00EF27E0" w:rsidRPr="001A2EF6" w:rsidRDefault="00EF27E0" w:rsidP="00EF27E0">
      <w:pPr>
        <w:spacing w:line="360" w:lineRule="auto"/>
        <w:rPr>
          <w:rFonts w:ascii="Times New Roman" w:hAnsi="Times New Roman" w:cs="Times New Roman"/>
          <w:sz w:val="24"/>
          <w:szCs w:val="24"/>
        </w:rPr>
      </w:pPr>
    </w:p>
    <w:p w14:paraId="1BEB33F6" w14:textId="77777777" w:rsidR="00EF27E0" w:rsidRPr="001A2EF6" w:rsidRDefault="00EF27E0" w:rsidP="00EF27E0">
      <w:pPr>
        <w:spacing w:line="360" w:lineRule="auto"/>
        <w:rPr>
          <w:rFonts w:ascii="Times New Roman" w:hAnsi="Times New Roman" w:cs="Times New Roman"/>
          <w:b/>
          <w:bCs/>
          <w:sz w:val="24"/>
          <w:szCs w:val="24"/>
        </w:rPr>
      </w:pPr>
      <w:r w:rsidRPr="001A2EF6">
        <w:rPr>
          <w:rFonts w:ascii="Times New Roman" w:hAnsi="Times New Roman" w:cs="Times New Roman"/>
          <w:b/>
          <w:bCs/>
          <w:sz w:val="24"/>
          <w:szCs w:val="24"/>
        </w:rPr>
        <w:t>References:</w:t>
      </w:r>
    </w:p>
    <w:p w14:paraId="293528A1"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Baddeley A, Working Memory, Thought, and Action, Oxford University Press, 2007</w:t>
      </w:r>
    </w:p>
    <w:p w14:paraId="77646E2B"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Cacioppo JT, Petty RE and Kao CF, ‘The Efficient Assessment of Need for Cognition’ (1984) Journal of Personality Assessment 48(3): 306–307</w:t>
      </w:r>
    </w:p>
    <w:p w14:paraId="62E364F9"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Cowan N, Morey CC and Chen Z, ‘The Legend of the Magical Number Seven’ (2011) Psychological Review 118(2): 223–243</w:t>
      </w:r>
    </w:p>
    <w:p w14:paraId="48A5A050"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Cronbach LJ and Meehl PE, ‘Construct Validity in Psychological Tests’ (1955) Psychological Bulletin 52(4): 281–302</w:t>
      </w:r>
    </w:p>
    <w:p w14:paraId="15040092"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DeVellis RF, Scale Development: Theory and Applications (4th edn, Sage 2017)</w:t>
      </w:r>
    </w:p>
    <w:p w14:paraId="55969CE8"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Diamond A, ‘Executive Functions’ (2013) Annual Review of Psychology 64: 135–168</w:t>
      </w:r>
    </w:p>
    <w:p w14:paraId="0E0E4F25"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Evans J St BT and Stanovich KE, ‘Dual-Process Theories of Higher Cognition: Advancing the Debate’ (2013) Perspectives on Psychological Science 8(3): 223–241</w:t>
      </w:r>
    </w:p>
    <w:p w14:paraId="55FEF045"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lastRenderedPageBreak/>
        <w:t>Fabrigar LR, Wegener DT, MacCallum RC and Strahan EJ, ‘Evaluating the Use of Exploratory Factor Analysis in Psychological Research’ (1999) Psychological Methods 4(3): 272–299</w:t>
      </w:r>
    </w:p>
    <w:p w14:paraId="305458E4"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Kane MJ and Engle RW, ‘The Role of Prefrontal Cortex in Working Memory Capacity, Executive Attention, and General Fluid Intelligence’ (2002) Psychonomic Bulletin &amp; Review 9(4): 637–671</w:t>
      </w:r>
    </w:p>
    <w:p w14:paraId="2EE2E3CB"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Oberauer K, Süß H-M, Wilhelm O and Wittmann WW, ‘Which Working Memory Functions Predict Intelligence?’ (2005) Intelligence 33(6): 597–614</w:t>
      </w:r>
    </w:p>
    <w:p w14:paraId="5149A8BA"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Paulhus DL and Vazire S, ‘The Self-Report Method’ in Robins RW, Fraley RC and Krueger RF (eds), Handbook of Research Methods in Personality Psychology (Guilford Press 2007)</w:t>
      </w:r>
    </w:p>
    <w:p w14:paraId="11DADA70"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Preston CC and Colman AM, ‘Optimal Number of Response Categories in Rating Scales’ (2000) Journal of Applied Social Psychology 30(8): 1608–1624</w:t>
      </w:r>
    </w:p>
    <w:p w14:paraId="13FABFA0" w14:textId="77777777" w:rsidR="00EF27E0" w:rsidRPr="001A2EF6" w:rsidRDefault="00EF27E0" w:rsidP="00EF27E0">
      <w:pPr>
        <w:spacing w:line="360" w:lineRule="auto"/>
        <w:rPr>
          <w:rFonts w:ascii="Times New Roman" w:hAnsi="Times New Roman" w:cs="Times New Roman"/>
          <w:sz w:val="24"/>
          <w:szCs w:val="24"/>
        </w:rPr>
      </w:pPr>
      <w:r w:rsidRPr="001A2EF6">
        <w:rPr>
          <w:rFonts w:ascii="Times New Roman" w:hAnsi="Times New Roman" w:cs="Times New Roman"/>
          <w:sz w:val="24"/>
          <w:szCs w:val="24"/>
        </w:rPr>
        <w:t>Unsworth N and Engle RW, ‘Individual Differences in Working Memory Capacity and Learning: Evidence from the Serial Reaction Time Task’ (2007) Memory &amp; Cognition 33(2): 213–226</w:t>
      </w:r>
    </w:p>
    <w:p w14:paraId="5A9D5D50" w14:textId="159614CD" w:rsidR="00166E29" w:rsidRPr="001A2EF6" w:rsidRDefault="00166E29">
      <w:pPr>
        <w:rPr>
          <w:rFonts w:ascii="Times New Roman" w:hAnsi="Times New Roman" w:cs="Times New Roman"/>
          <w:sz w:val="24"/>
          <w:szCs w:val="24"/>
        </w:rPr>
      </w:pPr>
    </w:p>
    <w:p w14:paraId="173671AB" w14:textId="77777777" w:rsidR="00EF27E0" w:rsidRDefault="00EF27E0">
      <w:pPr>
        <w:rPr>
          <w:rFonts w:ascii="Times New Roman" w:eastAsiaTheme="majorEastAsia" w:hAnsi="Times New Roman" w:cs="Times New Roman"/>
          <w:b/>
          <w:bCs/>
          <w:color w:val="0F4761" w:themeColor="accent1" w:themeShade="BF"/>
          <w:sz w:val="32"/>
          <w:szCs w:val="32"/>
          <w:u w:val="single"/>
        </w:rPr>
      </w:pPr>
      <w:r>
        <w:rPr>
          <w:rFonts w:ascii="Times New Roman" w:hAnsi="Times New Roman" w:cs="Times New Roman"/>
          <w:b/>
          <w:bCs/>
          <w:u w:val="single"/>
        </w:rPr>
        <w:br w:type="page"/>
      </w:r>
    </w:p>
    <w:p w14:paraId="66926F49" w14:textId="127217A3" w:rsidR="00992EE3" w:rsidRPr="001A2EF6" w:rsidRDefault="00E310AA" w:rsidP="000A3854">
      <w:pPr>
        <w:pStyle w:val="Heading2"/>
        <w:rPr>
          <w:rFonts w:ascii="Times New Roman" w:hAnsi="Times New Roman" w:cs="Times New Roman"/>
          <w:b/>
          <w:bCs/>
          <w:i/>
          <w:iCs/>
          <w:u w:val="single"/>
        </w:rPr>
      </w:pPr>
      <w:bookmarkStart w:id="58" w:name="_Toc206317540"/>
      <w:r w:rsidRPr="001A2EF6">
        <w:rPr>
          <w:rFonts w:ascii="Times New Roman" w:hAnsi="Times New Roman" w:cs="Times New Roman"/>
          <w:b/>
          <w:bCs/>
          <w:u w:val="single"/>
        </w:rPr>
        <w:lastRenderedPageBreak/>
        <w:t>Appendix F</w:t>
      </w:r>
      <w:r w:rsidR="00EC790C">
        <w:rPr>
          <w:rFonts w:ascii="Times New Roman" w:hAnsi="Times New Roman" w:cs="Times New Roman"/>
          <w:b/>
          <w:bCs/>
          <w:u w:val="single"/>
        </w:rPr>
        <w:t>our</w:t>
      </w:r>
      <w:r w:rsidRPr="001A2EF6">
        <w:rPr>
          <w:rFonts w:ascii="Times New Roman" w:hAnsi="Times New Roman" w:cs="Times New Roman"/>
          <w:b/>
          <w:bCs/>
          <w:u w:val="single"/>
        </w:rPr>
        <w:t xml:space="preserve"> (</w:t>
      </w:r>
      <w:r w:rsidR="00EF27E0">
        <w:rPr>
          <w:rFonts w:ascii="Times New Roman" w:hAnsi="Times New Roman" w:cs="Times New Roman"/>
          <w:b/>
          <w:bCs/>
          <w:u w:val="single"/>
        </w:rPr>
        <w:t>c</w:t>
      </w:r>
      <w:r w:rsidRPr="001A2EF6">
        <w:rPr>
          <w:rFonts w:ascii="Times New Roman" w:hAnsi="Times New Roman" w:cs="Times New Roman"/>
          <w:b/>
          <w:bCs/>
          <w:u w:val="single"/>
        </w:rPr>
        <w:t xml:space="preserve">): </w:t>
      </w:r>
      <w:r w:rsidR="00992EE3" w:rsidRPr="001A2EF6">
        <w:rPr>
          <w:rFonts w:ascii="Times New Roman" w:hAnsi="Times New Roman" w:cs="Times New Roman"/>
          <w:b/>
          <w:bCs/>
          <w:i/>
          <w:iCs/>
          <w:u w:val="single"/>
        </w:rPr>
        <w:t>Survey Instrument</w:t>
      </w:r>
      <w:bookmarkEnd w:id="58"/>
    </w:p>
    <w:tbl>
      <w:tblPr>
        <w:tblW w:w="13305" w:type="dxa"/>
        <w:tblCellMar>
          <w:left w:w="0" w:type="dxa"/>
          <w:right w:w="0" w:type="dxa"/>
        </w:tblCellMar>
        <w:tblLook w:val="04A0" w:firstRow="1" w:lastRow="0" w:firstColumn="1" w:lastColumn="0" w:noHBand="0" w:noVBand="1"/>
      </w:tblPr>
      <w:tblGrid>
        <w:gridCol w:w="13305"/>
      </w:tblGrid>
      <w:tr w:rsidR="00BB76F2" w:rsidRPr="001A2EF6" w14:paraId="002DBA50" w14:textId="77777777" w:rsidTr="00BC12CA">
        <w:tc>
          <w:tcPr>
            <w:tcW w:w="0" w:type="auto"/>
            <w:tcBorders>
              <w:top w:val="nil"/>
              <w:left w:val="nil"/>
              <w:bottom w:val="nil"/>
              <w:right w:val="nil"/>
            </w:tcBorders>
            <w:vAlign w:val="center"/>
            <w:hideMark/>
          </w:tcPr>
          <w:p w14:paraId="424F8853" w14:textId="77777777" w:rsidR="00BB76F2" w:rsidRPr="001A2EF6" w:rsidRDefault="00BB76F2" w:rsidP="00BB76F2">
            <w:pPr>
              <w:spacing w:line="360" w:lineRule="auto"/>
              <w:rPr>
                <w:rFonts w:ascii="Times New Roman" w:hAnsi="Times New Roman" w:cs="Times New Roman"/>
                <w:b/>
                <w:bCs/>
                <w:color w:val="000000" w:themeColor="text1"/>
                <w:sz w:val="24"/>
                <w:szCs w:val="24"/>
              </w:rPr>
            </w:pPr>
            <w:r w:rsidRPr="001A2EF6">
              <w:rPr>
                <w:rFonts w:ascii="Times New Roman" w:hAnsi="Times New Roman" w:cs="Times New Roman"/>
                <w:b/>
                <w:bCs/>
                <w:color w:val="000000" w:themeColor="text1"/>
                <w:sz w:val="24"/>
                <w:szCs w:val="24"/>
              </w:rPr>
              <w:t>Neurocognitive Performance Engineering:</w:t>
            </w:r>
            <w:r w:rsidRPr="001A2EF6">
              <w:rPr>
                <w:rFonts w:ascii="Times New Roman" w:hAnsi="Times New Roman" w:cs="Times New Roman"/>
                <w:b/>
                <w:bCs/>
                <w:color w:val="000000" w:themeColor="text1"/>
                <w:sz w:val="24"/>
                <w:szCs w:val="24"/>
              </w:rPr>
              <w:br/>
              <w:t>Designing Cognitive Infrastructures for Leadership Autonomy</w:t>
            </w:r>
          </w:p>
        </w:tc>
      </w:tr>
    </w:tbl>
    <w:p w14:paraId="75514096" w14:textId="77777777" w:rsidR="00BB76F2" w:rsidRPr="001A2EF6" w:rsidRDefault="00BB76F2" w:rsidP="00B35536">
      <w:pPr>
        <w:rPr>
          <w:rFonts w:ascii="Times New Roman" w:hAnsi="Times New Roman" w:cs="Times New Roman"/>
          <w:b/>
          <w:bCs/>
          <w:u w:val="single"/>
        </w:rPr>
      </w:pPr>
      <w:r w:rsidRPr="001A2EF6">
        <w:rPr>
          <w:rFonts w:ascii="Times New Roman" w:hAnsi="Times New Roman" w:cs="Times New Roman"/>
          <w:b/>
          <w:bCs/>
          <w:u w:val="single"/>
        </w:rPr>
        <w:t>Information:</w:t>
      </w:r>
    </w:p>
    <w:p w14:paraId="4927BD2B" w14:textId="77777777" w:rsidR="00BB76F2" w:rsidRPr="001A2EF6" w:rsidRDefault="00BB76F2" w:rsidP="00BB76F2">
      <w:pPr>
        <w:spacing w:line="360" w:lineRule="auto"/>
        <w:rPr>
          <w:rFonts w:ascii="Times New Roman" w:hAnsi="Times New Roman" w:cs="Times New Roman"/>
          <w:i/>
          <w:iCs/>
          <w:color w:val="000000" w:themeColor="text1"/>
          <w:sz w:val="24"/>
          <w:szCs w:val="24"/>
        </w:rPr>
      </w:pPr>
      <w:r w:rsidRPr="001A2EF6">
        <w:rPr>
          <w:rFonts w:ascii="Times New Roman" w:hAnsi="Times New Roman" w:cs="Times New Roman"/>
          <w:b/>
          <w:bCs/>
          <w:i/>
          <w:iCs/>
          <w:color w:val="000000" w:themeColor="text1"/>
          <w:sz w:val="24"/>
          <w:szCs w:val="24"/>
        </w:rPr>
        <w:t>Study Title</w:t>
      </w:r>
      <w:r w:rsidRPr="001A2EF6">
        <w:rPr>
          <w:rFonts w:ascii="Times New Roman" w:hAnsi="Times New Roman" w:cs="Times New Roman"/>
          <w:i/>
          <w:iCs/>
          <w:color w:val="000000" w:themeColor="text1"/>
          <w:sz w:val="24"/>
          <w:szCs w:val="24"/>
        </w:rPr>
        <w:br/>
        <w:t>Neurocognitive Performance Engineering: Designing Cognitive Infrastructures for Leadership Autonomy</w:t>
      </w:r>
    </w:p>
    <w:p w14:paraId="1490FA75" w14:textId="77777777" w:rsidR="00BB76F2" w:rsidRPr="001A2EF6" w:rsidRDefault="00BB76F2" w:rsidP="00BB76F2">
      <w:pPr>
        <w:spacing w:line="360" w:lineRule="auto"/>
        <w:rPr>
          <w:rFonts w:ascii="Times New Roman" w:hAnsi="Times New Roman" w:cs="Times New Roman"/>
          <w:i/>
          <w:iCs/>
          <w:color w:val="000000" w:themeColor="text1"/>
          <w:sz w:val="24"/>
          <w:szCs w:val="24"/>
        </w:rPr>
      </w:pPr>
      <w:r w:rsidRPr="001A2EF6">
        <w:rPr>
          <w:rFonts w:ascii="Times New Roman" w:hAnsi="Times New Roman" w:cs="Times New Roman"/>
          <w:b/>
          <w:bCs/>
          <w:i/>
          <w:iCs/>
          <w:color w:val="000000" w:themeColor="text1"/>
          <w:sz w:val="24"/>
          <w:szCs w:val="24"/>
        </w:rPr>
        <w:t>Purpose of the Study</w:t>
      </w:r>
      <w:r w:rsidRPr="001A2EF6">
        <w:rPr>
          <w:rFonts w:ascii="Times New Roman" w:hAnsi="Times New Roman" w:cs="Times New Roman"/>
          <w:i/>
          <w:iCs/>
          <w:color w:val="000000" w:themeColor="text1"/>
          <w:sz w:val="24"/>
          <w:szCs w:val="24"/>
        </w:rPr>
        <w:br/>
        <w:t>This research investigates how key cognitive capacities, including; working memory, attentional control, cognitive flexibility and abstract reasoning, and how they shape strategic decision making and leadership autonomy.</w:t>
      </w:r>
    </w:p>
    <w:p w14:paraId="18E51A32" w14:textId="77777777" w:rsidR="00BB76F2" w:rsidRPr="001A2EF6" w:rsidRDefault="00BB76F2" w:rsidP="00BB76F2">
      <w:pPr>
        <w:spacing w:line="360" w:lineRule="auto"/>
        <w:rPr>
          <w:rFonts w:ascii="Times New Roman" w:hAnsi="Times New Roman" w:cs="Times New Roman"/>
          <w:i/>
          <w:iCs/>
          <w:color w:val="000000" w:themeColor="text1"/>
          <w:sz w:val="24"/>
          <w:szCs w:val="24"/>
        </w:rPr>
      </w:pPr>
      <w:r w:rsidRPr="001A2EF6">
        <w:rPr>
          <w:rFonts w:ascii="Times New Roman" w:hAnsi="Times New Roman" w:cs="Times New Roman"/>
          <w:i/>
          <w:iCs/>
          <w:color w:val="000000" w:themeColor="text1"/>
          <w:sz w:val="24"/>
          <w:szCs w:val="24"/>
        </w:rPr>
        <w:t>By advancing our understanding of these cognitive infrastructures, the study aims to inform the development of innovative frameworks and practices that enhance executive effectiveness, adaptive decision processes, and organisational resilience in rapidly evolving leadership contexts.</w:t>
      </w:r>
    </w:p>
    <w:p w14:paraId="282AB2C7" w14:textId="77777777" w:rsidR="00BB76F2" w:rsidRPr="001A2EF6" w:rsidRDefault="00BB76F2" w:rsidP="00BB76F2">
      <w:pPr>
        <w:spacing w:line="360" w:lineRule="auto"/>
        <w:rPr>
          <w:rFonts w:ascii="Times New Roman" w:hAnsi="Times New Roman" w:cs="Times New Roman"/>
          <w:i/>
          <w:iCs/>
          <w:color w:val="000000" w:themeColor="text1"/>
          <w:sz w:val="24"/>
          <w:szCs w:val="24"/>
        </w:rPr>
      </w:pPr>
      <w:r w:rsidRPr="001A2EF6">
        <w:rPr>
          <w:rFonts w:ascii="Times New Roman" w:hAnsi="Times New Roman" w:cs="Times New Roman"/>
          <w:b/>
          <w:bCs/>
          <w:i/>
          <w:iCs/>
          <w:color w:val="000000" w:themeColor="text1"/>
          <w:sz w:val="24"/>
          <w:szCs w:val="24"/>
        </w:rPr>
        <w:t>Ethical Standards and Data Protection</w:t>
      </w:r>
      <w:r w:rsidRPr="001A2EF6">
        <w:rPr>
          <w:rFonts w:ascii="Times New Roman" w:hAnsi="Times New Roman" w:cs="Times New Roman"/>
          <w:i/>
          <w:iCs/>
          <w:color w:val="000000" w:themeColor="text1"/>
          <w:sz w:val="24"/>
          <w:szCs w:val="24"/>
        </w:rPr>
        <w:br/>
        <w:t>This study adheres strictly to established ethical guidelines and data protection standards. All responses will remain confidential, used exclusively for scholarly research purposes, and analysed solely in anonymised, aggregated form to ensure participant anonymity and uphold research integrity. Any personal details provided, such as name, email address, role, or organisational affiliation, will be securely stored separately from survey responses and will not be disclosed to third parties under any circumstances. Participation is voluntary; participants may skip questions or discontinue participation at any point.</w:t>
      </w:r>
    </w:p>
    <w:p w14:paraId="09194221" w14:textId="77777777" w:rsidR="00BB76F2" w:rsidRPr="001A2EF6" w:rsidRDefault="00BB76F2" w:rsidP="00BB76F2">
      <w:pPr>
        <w:spacing w:line="360" w:lineRule="auto"/>
        <w:rPr>
          <w:rFonts w:ascii="Times New Roman" w:hAnsi="Times New Roman" w:cs="Times New Roman"/>
          <w:i/>
          <w:iCs/>
          <w:color w:val="000000" w:themeColor="text1"/>
          <w:sz w:val="24"/>
          <w:szCs w:val="24"/>
        </w:rPr>
      </w:pPr>
    </w:p>
    <w:p w14:paraId="290AAA8E" w14:textId="77777777" w:rsidR="00BB76F2" w:rsidRPr="001A2EF6" w:rsidRDefault="00BB76F2" w:rsidP="00BB76F2">
      <w:pPr>
        <w:spacing w:line="360" w:lineRule="auto"/>
        <w:rPr>
          <w:rFonts w:ascii="Times New Roman" w:hAnsi="Times New Roman" w:cs="Times New Roman"/>
          <w:i/>
          <w:iCs/>
          <w:color w:val="000000" w:themeColor="text1"/>
          <w:sz w:val="24"/>
          <w:szCs w:val="24"/>
        </w:rPr>
      </w:pPr>
      <w:r w:rsidRPr="001A2EF6">
        <w:rPr>
          <w:rFonts w:ascii="Times New Roman" w:hAnsi="Times New Roman" w:cs="Times New Roman"/>
          <w:b/>
          <w:bCs/>
          <w:i/>
          <w:iCs/>
          <w:color w:val="000000" w:themeColor="text1"/>
          <w:sz w:val="24"/>
          <w:szCs w:val="24"/>
        </w:rPr>
        <w:t>Consent Statement</w:t>
      </w:r>
      <w:r w:rsidRPr="001A2EF6">
        <w:rPr>
          <w:rFonts w:ascii="Times New Roman" w:hAnsi="Times New Roman" w:cs="Times New Roman"/>
          <w:i/>
          <w:iCs/>
          <w:color w:val="000000" w:themeColor="text1"/>
          <w:sz w:val="24"/>
          <w:szCs w:val="24"/>
        </w:rPr>
        <w:br/>
        <w:t>By proceeding with this survey, you confirm that you have understood the purpose of this study and agree voluntarily to participate. You acknowledge your right to withdraw at any stage without penalty, simply by closing your browser window before submitting responses. Completion and submission of the questionnaire will constitute your informed consent.</w:t>
      </w:r>
    </w:p>
    <w:p w14:paraId="193DD6C4" w14:textId="77777777" w:rsidR="00BB76F2" w:rsidRPr="001A2EF6" w:rsidRDefault="00BB76F2" w:rsidP="00BB76F2">
      <w:pPr>
        <w:spacing w:line="360" w:lineRule="auto"/>
        <w:rPr>
          <w:rFonts w:ascii="Times New Roman" w:hAnsi="Times New Roman" w:cs="Times New Roman"/>
          <w:i/>
          <w:iCs/>
          <w:color w:val="000000" w:themeColor="text1"/>
          <w:sz w:val="24"/>
          <w:szCs w:val="24"/>
        </w:rPr>
      </w:pPr>
      <w:r w:rsidRPr="001A2EF6">
        <w:rPr>
          <w:rFonts w:ascii="Times New Roman" w:hAnsi="Times New Roman" w:cs="Times New Roman"/>
          <w:b/>
          <w:bCs/>
          <w:i/>
          <w:iCs/>
          <w:color w:val="000000" w:themeColor="text1"/>
          <w:sz w:val="24"/>
          <w:szCs w:val="24"/>
        </w:rPr>
        <w:t>Note on Response Format</w:t>
      </w:r>
      <w:r w:rsidRPr="001A2EF6">
        <w:rPr>
          <w:rFonts w:ascii="Times New Roman" w:hAnsi="Times New Roman" w:cs="Times New Roman"/>
          <w:i/>
          <w:iCs/>
          <w:color w:val="000000" w:themeColor="text1"/>
          <w:sz w:val="24"/>
          <w:szCs w:val="24"/>
        </w:rPr>
        <w:br/>
        <w:t xml:space="preserve">All items in this instrument are rated on a 7-point Likert scale, ranging from 1 (“Strongly </w:t>
      </w:r>
      <w:r w:rsidRPr="001A2EF6">
        <w:rPr>
          <w:rFonts w:ascii="Times New Roman" w:hAnsi="Times New Roman" w:cs="Times New Roman"/>
          <w:i/>
          <w:iCs/>
          <w:color w:val="000000" w:themeColor="text1"/>
          <w:sz w:val="24"/>
          <w:szCs w:val="24"/>
        </w:rPr>
        <w:lastRenderedPageBreak/>
        <w:t xml:space="preserve">disagree”) to 7 (“Strongly agree”). To support psychometric validity and reduce acquiescence bias, some statements </w:t>
      </w:r>
      <w:r w:rsidRPr="001A2EF6">
        <w:rPr>
          <w:rFonts w:ascii="Times New Roman" w:hAnsi="Times New Roman" w:cs="Times New Roman"/>
          <w:i/>
          <w:iCs/>
          <w:color w:val="000000" w:themeColor="text1"/>
          <w:sz w:val="24"/>
          <w:szCs w:val="24"/>
          <w:u w:val="single"/>
        </w:rPr>
        <w:t>may be reverse-coded.</w:t>
      </w:r>
      <w:r w:rsidRPr="001A2EF6">
        <w:rPr>
          <w:rFonts w:ascii="Times New Roman" w:hAnsi="Times New Roman" w:cs="Times New Roman"/>
          <w:i/>
          <w:iCs/>
          <w:color w:val="000000" w:themeColor="text1"/>
          <w:sz w:val="24"/>
          <w:szCs w:val="24"/>
        </w:rPr>
        <w:t xml:space="preserve"> This methodological adjustment facilitates detection of response patterns, enhances internal reliability, and ensures the robustness of subsequent statistical analyses.</w:t>
      </w:r>
    </w:p>
    <w:p w14:paraId="7464D41F" w14:textId="77777777" w:rsidR="00BB76F2" w:rsidRPr="001A2EF6" w:rsidRDefault="00BB76F2" w:rsidP="00BB76F2">
      <w:pPr>
        <w:spacing w:line="360" w:lineRule="auto"/>
        <w:rPr>
          <w:rFonts w:ascii="Times New Roman" w:hAnsi="Times New Roman" w:cs="Times New Roman"/>
          <w:i/>
          <w:iCs/>
          <w:color w:val="000000" w:themeColor="text1"/>
          <w:sz w:val="24"/>
          <w:szCs w:val="24"/>
        </w:rPr>
      </w:pPr>
      <w:r w:rsidRPr="001A2EF6">
        <w:rPr>
          <w:rFonts w:ascii="Times New Roman" w:hAnsi="Times New Roman" w:cs="Times New Roman"/>
          <w:b/>
          <w:bCs/>
          <w:i/>
          <w:iCs/>
          <w:color w:val="000000" w:themeColor="text1"/>
          <w:sz w:val="24"/>
          <w:szCs w:val="24"/>
        </w:rPr>
        <w:t xml:space="preserve">Cognitive Abilities Scale (CAS) </w:t>
      </w:r>
    </w:p>
    <w:p w14:paraId="5B2AAEEF" w14:textId="77777777" w:rsidR="00BB76F2" w:rsidRPr="001A2EF6" w:rsidRDefault="00BB76F2" w:rsidP="00BB76F2">
      <w:pPr>
        <w:spacing w:line="360" w:lineRule="auto"/>
        <w:rPr>
          <w:rFonts w:ascii="Times New Roman" w:hAnsi="Times New Roman" w:cs="Times New Roman"/>
          <w:i/>
          <w:iCs/>
          <w:color w:val="000000" w:themeColor="text1"/>
          <w:sz w:val="24"/>
          <w:szCs w:val="24"/>
        </w:rPr>
      </w:pPr>
      <w:r w:rsidRPr="001A2EF6">
        <w:rPr>
          <w:rFonts w:ascii="Times New Roman" w:hAnsi="Times New Roman" w:cs="Times New Roman"/>
          <w:i/>
          <w:iCs/>
          <w:color w:val="000000" w:themeColor="text1"/>
          <w:sz w:val="24"/>
          <w:szCs w:val="24"/>
        </w:rPr>
        <w:t>This section draws on the theoretical foundation of the Cognitive Abilities Scale, a validated construct developed to measure key neurocognitive capacities relevant to high-level strategic leadership. These capacities include working memory, attentional control, abstract reasoning, and cognitive flexibility; all of which are empirically linked to enhanced decision quality, adaptive capacity, and leadership effectiveness under pressure.</w:t>
      </w:r>
    </w:p>
    <w:p w14:paraId="0F85E277" w14:textId="77777777" w:rsidR="00BB76F2" w:rsidRPr="001A2EF6" w:rsidRDefault="00BB76F2" w:rsidP="00BB76F2">
      <w:pPr>
        <w:spacing w:line="360" w:lineRule="auto"/>
        <w:rPr>
          <w:rFonts w:ascii="Times New Roman" w:hAnsi="Times New Roman" w:cs="Times New Roman"/>
          <w:i/>
          <w:iCs/>
          <w:color w:val="000000" w:themeColor="text1"/>
          <w:sz w:val="24"/>
          <w:szCs w:val="24"/>
        </w:rPr>
      </w:pPr>
      <w:r w:rsidRPr="001A2EF6">
        <w:rPr>
          <w:rFonts w:ascii="Times New Roman" w:hAnsi="Times New Roman" w:cs="Times New Roman"/>
          <w:i/>
          <w:iCs/>
          <w:color w:val="000000" w:themeColor="text1"/>
          <w:sz w:val="24"/>
          <w:szCs w:val="24"/>
        </w:rPr>
        <w:t>The items are formulated to capture introspective assessments of cognitive functioning within complex professional environments. Rather than focusing on observable behaviour alone, the scale probes the internal mechanisms that support strategic foresight, analytical depth, and mental resilience. This enables a more nuanced understanding of how leaders process information, shift between competing priorities, and maintain conceptual clarity in volatile and ambiguous contexts. By integrating this cognitive lens, the study advances beyond traditional leadership assessments. It offers a framework for identifying individual differences in reasoning style, mental adaptability, and the capacity to sustain strategic direction over time. These insights are central to the overarching research aim of designing cognitive infrastructures that enable leadership autonomy.</w:t>
      </w:r>
    </w:p>
    <w:p w14:paraId="1E4DA854" w14:textId="77777777" w:rsidR="00BB76F2" w:rsidRPr="001A2EF6" w:rsidRDefault="00BB76F2" w:rsidP="00BB76F2">
      <w:pPr>
        <w:spacing w:line="360" w:lineRule="auto"/>
        <w:rPr>
          <w:rFonts w:ascii="Times New Roman" w:hAnsi="Times New Roman" w:cs="Times New Roman"/>
          <w:i/>
          <w:iCs/>
          <w:color w:val="000000" w:themeColor="text1"/>
          <w:sz w:val="24"/>
          <w:szCs w:val="24"/>
        </w:rPr>
      </w:pPr>
      <w:r w:rsidRPr="001A2EF6">
        <w:rPr>
          <w:rFonts w:ascii="Times New Roman" w:hAnsi="Times New Roman" w:cs="Times New Roman"/>
          <w:i/>
          <w:iCs/>
          <w:color w:val="000000" w:themeColor="text1"/>
          <w:sz w:val="24"/>
          <w:szCs w:val="24"/>
        </w:rPr>
        <w:t>The inclusion of this scale reinforces the study’s commitment to cognitive precision, theoretical coherence, and empirical depth.</w:t>
      </w:r>
    </w:p>
    <w:p w14:paraId="243F61BA" w14:textId="77777777" w:rsidR="00BB76F2" w:rsidRPr="001A2EF6" w:rsidRDefault="00BB76F2" w:rsidP="00BB76F2">
      <w:pPr>
        <w:spacing w:line="360" w:lineRule="auto"/>
        <w:rPr>
          <w:rFonts w:ascii="Times New Roman" w:hAnsi="Times New Roman" w:cs="Times New Roman"/>
          <w:color w:val="000000" w:themeColor="text1"/>
          <w:sz w:val="24"/>
          <w:szCs w:val="24"/>
        </w:rPr>
      </w:pPr>
    </w:p>
    <w:p w14:paraId="2E94F3CA"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Thank you for your participation!</w:t>
      </w:r>
    </w:p>
    <w:p w14:paraId="23595058" w14:textId="77777777" w:rsidR="00BB76F2" w:rsidRPr="001A2EF6" w:rsidRDefault="00BB76F2" w:rsidP="00BB76F2">
      <w:pPr>
        <w:keepNext/>
        <w:keepLines/>
        <w:spacing w:before="360" w:after="80" w:line="360" w:lineRule="auto"/>
        <w:outlineLvl w:val="0"/>
        <w:rPr>
          <w:rFonts w:ascii="Times New Roman" w:eastAsiaTheme="majorEastAsia" w:hAnsi="Times New Roman" w:cs="Times New Roman"/>
          <w:b/>
          <w:bCs/>
          <w:color w:val="0F4761" w:themeColor="accent1" w:themeShade="BF"/>
          <w:sz w:val="24"/>
          <w:szCs w:val="24"/>
        </w:rPr>
      </w:pPr>
    </w:p>
    <w:p w14:paraId="346C1025" w14:textId="77777777" w:rsidR="00BB76F2" w:rsidRPr="001A2EF6" w:rsidRDefault="00BB76F2" w:rsidP="00BB76F2">
      <w:pPr>
        <w:rPr>
          <w:rFonts w:ascii="Times New Roman" w:hAnsi="Times New Roman" w:cs="Times New Roman"/>
        </w:rPr>
      </w:pPr>
    </w:p>
    <w:p w14:paraId="5AF93F1E" w14:textId="77777777" w:rsidR="00B35536" w:rsidRPr="001A2EF6" w:rsidRDefault="00B35536" w:rsidP="00B35536">
      <w:pPr>
        <w:rPr>
          <w:rFonts w:ascii="Times New Roman" w:hAnsi="Times New Roman" w:cs="Times New Roman"/>
          <w:b/>
          <w:bCs/>
          <w:sz w:val="28"/>
          <w:szCs w:val="28"/>
          <w:u w:val="single"/>
        </w:rPr>
      </w:pPr>
    </w:p>
    <w:p w14:paraId="75C155E0" w14:textId="77777777" w:rsidR="0029416E" w:rsidRPr="001A2EF6" w:rsidRDefault="0029416E" w:rsidP="00B35536">
      <w:pPr>
        <w:rPr>
          <w:rFonts w:ascii="Times New Roman" w:hAnsi="Times New Roman" w:cs="Times New Roman"/>
          <w:b/>
          <w:bCs/>
          <w:sz w:val="28"/>
          <w:szCs w:val="28"/>
          <w:u w:val="single"/>
        </w:rPr>
      </w:pPr>
    </w:p>
    <w:p w14:paraId="7D77283C" w14:textId="77777777" w:rsidR="0029416E" w:rsidRPr="001A2EF6" w:rsidRDefault="0029416E" w:rsidP="00B35536">
      <w:pPr>
        <w:rPr>
          <w:rFonts w:ascii="Times New Roman" w:hAnsi="Times New Roman" w:cs="Times New Roman"/>
          <w:b/>
          <w:bCs/>
          <w:sz w:val="28"/>
          <w:szCs w:val="28"/>
          <w:u w:val="single"/>
        </w:rPr>
      </w:pPr>
    </w:p>
    <w:p w14:paraId="30B41C8E" w14:textId="150860D2" w:rsidR="00BB76F2" w:rsidRPr="001A2EF6" w:rsidRDefault="00BB76F2" w:rsidP="00B35536">
      <w:pPr>
        <w:rPr>
          <w:rFonts w:ascii="Times New Roman" w:hAnsi="Times New Roman" w:cs="Times New Roman"/>
          <w:b/>
          <w:bCs/>
          <w:sz w:val="28"/>
          <w:szCs w:val="28"/>
          <w:u w:val="single"/>
        </w:rPr>
      </w:pPr>
      <w:r w:rsidRPr="001A2EF6">
        <w:rPr>
          <w:rFonts w:ascii="Times New Roman" w:hAnsi="Times New Roman" w:cs="Times New Roman"/>
          <w:b/>
          <w:bCs/>
          <w:sz w:val="28"/>
          <w:szCs w:val="28"/>
          <w:u w:val="single"/>
        </w:rPr>
        <w:lastRenderedPageBreak/>
        <w:t>QUESTIONS</w:t>
      </w:r>
    </w:p>
    <w:p w14:paraId="08B84782" w14:textId="77777777" w:rsidR="00BB76F2" w:rsidRPr="001A2EF6" w:rsidRDefault="00BB76F2" w:rsidP="00BB76F2">
      <w:pPr>
        <w:spacing w:line="360" w:lineRule="auto"/>
        <w:rPr>
          <w:rFonts w:ascii="Times New Roman" w:hAnsi="Times New Roman" w:cs="Times New Roman"/>
          <w:sz w:val="24"/>
          <w:szCs w:val="24"/>
        </w:rPr>
      </w:pPr>
    </w:p>
    <w:p w14:paraId="209C0A7D" w14:textId="77777777" w:rsidR="00BB76F2" w:rsidRPr="001A2EF6" w:rsidRDefault="00BB76F2" w:rsidP="00BB76F2">
      <w:pPr>
        <w:spacing w:line="360" w:lineRule="auto"/>
        <w:rPr>
          <w:rFonts w:ascii="Times New Roman" w:hAnsi="Times New Roman" w:cs="Times New Roman"/>
          <w:b/>
          <w:bCs/>
          <w:vanish/>
          <w:color w:val="000000" w:themeColor="text1"/>
          <w:sz w:val="24"/>
          <w:szCs w:val="24"/>
          <w:u w:val="single"/>
        </w:rPr>
      </w:pPr>
    </w:p>
    <w:p w14:paraId="1D4B2319"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u w:val="single"/>
        </w:rPr>
        <w:t>1. Full name (optional):</w:t>
      </w:r>
      <w:r w:rsidRPr="001A2EF6">
        <w:rPr>
          <w:rFonts w:ascii="Times New Roman" w:hAnsi="Times New Roman" w:cs="Times New Roman"/>
          <w:color w:val="000000" w:themeColor="text1"/>
          <w:sz w:val="24"/>
          <w:szCs w:val="24"/>
        </w:rPr>
        <w:br/>
        <w:t>You may leave this field blank if you prefer to remain anonymous. </w:t>
      </w:r>
    </w:p>
    <w:p w14:paraId="668E26B5"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u w:val="single"/>
        </w:rPr>
        <w:t>2. Job Title / Role (optional):</w:t>
      </w:r>
      <w:r w:rsidRPr="001A2EF6">
        <w:rPr>
          <w:rFonts w:ascii="Times New Roman" w:hAnsi="Times New Roman" w:cs="Times New Roman"/>
          <w:color w:val="000000" w:themeColor="text1"/>
          <w:sz w:val="24"/>
          <w:szCs w:val="24"/>
        </w:rPr>
        <w:br/>
        <w:t>This helps me understand your perspective.</w:t>
      </w:r>
      <w:r w:rsidRPr="001A2EF6">
        <w:rPr>
          <w:rFonts w:ascii="Times New Roman" w:hAnsi="Times New Roman" w:cs="Times New Roman"/>
          <w:color w:val="000000" w:themeColor="text1"/>
          <w:sz w:val="24"/>
          <w:szCs w:val="24"/>
        </w:rPr>
        <w:br/>
      </w:r>
      <w:r w:rsidRPr="001A2EF6">
        <w:rPr>
          <w:rFonts w:ascii="Times New Roman" w:hAnsi="Times New Roman" w:cs="Times New Roman"/>
          <w:i/>
          <w:iCs/>
          <w:color w:val="000000" w:themeColor="text1"/>
          <w:sz w:val="24"/>
          <w:szCs w:val="24"/>
        </w:rPr>
        <w:t>Leave blank if you prefer not to disclose.</w:t>
      </w:r>
      <w:r w:rsidRPr="001A2EF6">
        <w:rPr>
          <w:rFonts w:ascii="Times New Roman" w:hAnsi="Times New Roman" w:cs="Times New Roman"/>
          <w:color w:val="000000" w:themeColor="text1"/>
          <w:sz w:val="24"/>
          <w:szCs w:val="24"/>
        </w:rPr>
        <w:t> </w:t>
      </w:r>
    </w:p>
    <w:p w14:paraId="766FE988"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u w:val="single"/>
        </w:rPr>
        <w:t>3.</w:t>
      </w:r>
      <w:r w:rsidRPr="001A2EF6">
        <w:rPr>
          <w:rFonts w:ascii="Times New Roman" w:hAnsi="Times New Roman" w:cs="Times New Roman"/>
          <w:color w:val="000000" w:themeColor="text1"/>
          <w:sz w:val="24"/>
          <w:szCs w:val="24"/>
          <w:u w:val="single"/>
        </w:rPr>
        <w:t> </w:t>
      </w:r>
      <w:r w:rsidRPr="001A2EF6">
        <w:rPr>
          <w:rFonts w:ascii="Times New Roman" w:hAnsi="Times New Roman" w:cs="Times New Roman"/>
          <w:b/>
          <w:bCs/>
          <w:color w:val="000000" w:themeColor="text1"/>
          <w:sz w:val="24"/>
          <w:szCs w:val="24"/>
          <w:u w:val="single"/>
        </w:rPr>
        <w:t>Organisation (optional):</w:t>
      </w:r>
      <w:r w:rsidRPr="001A2EF6">
        <w:rPr>
          <w:rFonts w:ascii="Times New Roman" w:hAnsi="Times New Roman" w:cs="Times New Roman"/>
          <w:color w:val="000000" w:themeColor="text1"/>
          <w:sz w:val="24"/>
          <w:szCs w:val="24"/>
        </w:rPr>
        <w:br/>
        <w:t>This information is only used to provide contextual insight into industry and organisational scale.</w:t>
      </w:r>
      <w:r w:rsidRPr="001A2EF6">
        <w:rPr>
          <w:rFonts w:ascii="Times New Roman" w:hAnsi="Times New Roman" w:cs="Times New Roman"/>
          <w:color w:val="000000" w:themeColor="text1"/>
          <w:sz w:val="24"/>
          <w:szCs w:val="24"/>
        </w:rPr>
        <w:br/>
      </w:r>
      <w:r w:rsidRPr="001A2EF6">
        <w:rPr>
          <w:rFonts w:ascii="Times New Roman" w:hAnsi="Times New Roman" w:cs="Times New Roman"/>
          <w:i/>
          <w:iCs/>
          <w:color w:val="000000" w:themeColor="text1"/>
          <w:sz w:val="24"/>
          <w:szCs w:val="24"/>
        </w:rPr>
        <w:t>Leave blank if you prefer not to disclose.</w:t>
      </w:r>
      <w:r w:rsidRPr="001A2EF6">
        <w:rPr>
          <w:rFonts w:ascii="Times New Roman" w:hAnsi="Times New Roman" w:cs="Times New Roman"/>
          <w:color w:val="000000" w:themeColor="text1"/>
          <w:sz w:val="24"/>
          <w:szCs w:val="24"/>
        </w:rPr>
        <w:t> </w:t>
      </w:r>
    </w:p>
    <w:p w14:paraId="3E5F094E" w14:textId="77777777" w:rsidR="00BB76F2" w:rsidRPr="001A2EF6" w:rsidRDefault="00BB76F2" w:rsidP="00BB76F2">
      <w:pPr>
        <w:spacing w:line="360" w:lineRule="auto"/>
        <w:rPr>
          <w:rFonts w:ascii="Times New Roman" w:hAnsi="Times New Roman" w:cs="Times New Roman"/>
          <w:b/>
          <w:bCs/>
          <w:color w:val="000000" w:themeColor="text1"/>
          <w:sz w:val="24"/>
          <w:szCs w:val="24"/>
        </w:rPr>
      </w:pPr>
    </w:p>
    <w:p w14:paraId="5EF4DBC3" w14:textId="77777777" w:rsidR="00BB76F2" w:rsidRPr="001A2EF6" w:rsidRDefault="00BB76F2" w:rsidP="00BB76F2">
      <w:pPr>
        <w:spacing w:line="360" w:lineRule="auto"/>
        <w:rPr>
          <w:rFonts w:ascii="Times New Roman" w:hAnsi="Times New Roman" w:cs="Times New Roman"/>
          <w:b/>
          <w:bCs/>
          <w:color w:val="000000" w:themeColor="text1"/>
          <w:sz w:val="24"/>
          <w:szCs w:val="24"/>
          <w:u w:val="single"/>
        </w:rPr>
      </w:pPr>
      <w:r w:rsidRPr="001A2EF6">
        <w:rPr>
          <w:rFonts w:ascii="Times New Roman" w:hAnsi="Times New Roman" w:cs="Times New Roman"/>
          <w:b/>
          <w:bCs/>
          <w:color w:val="000000" w:themeColor="text1"/>
          <w:sz w:val="24"/>
          <w:szCs w:val="24"/>
          <w:u w:val="single"/>
        </w:rPr>
        <w:t>4. Which of the following best describes your current leadership position? </w:t>
      </w:r>
    </w:p>
    <w:p w14:paraId="729FAD4A" w14:textId="77777777" w:rsidR="00BB76F2" w:rsidRPr="001A2EF6" w:rsidRDefault="00BB76F2" w:rsidP="00BB76F2">
      <w:pPr>
        <w:numPr>
          <w:ilvl w:val="0"/>
          <w:numId w:val="7"/>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Executive leadership (e.g. C-level, VP, country/regional director)</w:t>
      </w:r>
    </w:p>
    <w:p w14:paraId="72C7EDD6" w14:textId="77777777" w:rsidR="00BB76F2" w:rsidRPr="001A2EF6" w:rsidRDefault="00BB76F2" w:rsidP="00BB76F2">
      <w:pPr>
        <w:numPr>
          <w:ilvl w:val="0"/>
          <w:numId w:val="7"/>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Senior management</w:t>
      </w:r>
    </w:p>
    <w:p w14:paraId="7AFC119E" w14:textId="77777777" w:rsidR="00BB76F2" w:rsidRPr="001A2EF6" w:rsidRDefault="00BB76F2" w:rsidP="00BB76F2">
      <w:pPr>
        <w:numPr>
          <w:ilvl w:val="0"/>
          <w:numId w:val="7"/>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Middle management</w:t>
      </w:r>
    </w:p>
    <w:p w14:paraId="333CC360" w14:textId="77777777" w:rsidR="00BB76F2" w:rsidRPr="001A2EF6" w:rsidRDefault="00BB76F2" w:rsidP="00BB76F2">
      <w:pPr>
        <w:numPr>
          <w:ilvl w:val="0"/>
          <w:numId w:val="7"/>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Team leader or first-line supervisor</w:t>
      </w:r>
    </w:p>
    <w:p w14:paraId="3D1FFFC9" w14:textId="77777777" w:rsidR="00BB76F2" w:rsidRPr="001A2EF6" w:rsidRDefault="00BB76F2" w:rsidP="00BB76F2">
      <w:pPr>
        <w:numPr>
          <w:ilvl w:val="0"/>
          <w:numId w:val="7"/>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Specialist or Advisor with strategic responsibility</w:t>
      </w:r>
    </w:p>
    <w:p w14:paraId="0FA4878E" w14:textId="77777777" w:rsidR="00BB76F2" w:rsidRPr="001A2EF6" w:rsidRDefault="00BB76F2" w:rsidP="00BB76F2">
      <w:pPr>
        <w:numPr>
          <w:ilvl w:val="0"/>
          <w:numId w:val="7"/>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Other (please specify)</w:t>
      </w:r>
    </w:p>
    <w:p w14:paraId="35F11BA4" w14:textId="77777777" w:rsidR="00BB76F2" w:rsidRPr="001A2EF6" w:rsidRDefault="00BB76F2" w:rsidP="00BB76F2">
      <w:pPr>
        <w:spacing w:line="360" w:lineRule="auto"/>
        <w:rPr>
          <w:rFonts w:ascii="Times New Roman" w:hAnsi="Times New Roman" w:cs="Times New Roman"/>
          <w:b/>
          <w:bCs/>
          <w:color w:val="000000" w:themeColor="text1"/>
          <w:sz w:val="24"/>
          <w:szCs w:val="24"/>
          <w:u w:val="single"/>
        </w:rPr>
      </w:pPr>
    </w:p>
    <w:p w14:paraId="7DBE403C" w14:textId="77777777" w:rsidR="00BB76F2" w:rsidRPr="001A2EF6" w:rsidRDefault="00BB76F2" w:rsidP="00BB76F2">
      <w:pPr>
        <w:spacing w:line="360" w:lineRule="auto"/>
        <w:rPr>
          <w:rFonts w:ascii="Times New Roman" w:hAnsi="Times New Roman" w:cs="Times New Roman"/>
          <w:b/>
          <w:bCs/>
          <w:color w:val="000000" w:themeColor="text1"/>
          <w:sz w:val="24"/>
          <w:szCs w:val="24"/>
          <w:u w:val="single"/>
        </w:rPr>
      </w:pPr>
      <w:r w:rsidRPr="001A2EF6">
        <w:rPr>
          <w:rFonts w:ascii="Times New Roman" w:hAnsi="Times New Roman" w:cs="Times New Roman"/>
          <w:b/>
          <w:bCs/>
          <w:color w:val="000000" w:themeColor="text1"/>
          <w:sz w:val="24"/>
          <w:szCs w:val="24"/>
          <w:u w:val="single"/>
        </w:rPr>
        <w:t>5. Which domain best describes your primary area of responsibility?</w:t>
      </w:r>
    </w:p>
    <w:p w14:paraId="06B33FF3" w14:textId="77777777" w:rsidR="00BB76F2" w:rsidRPr="001A2EF6" w:rsidRDefault="00BB76F2" w:rsidP="00BB76F2">
      <w:pPr>
        <w:numPr>
          <w:ilvl w:val="0"/>
          <w:numId w:val="12"/>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General Management </w:t>
      </w:r>
    </w:p>
    <w:p w14:paraId="25A91463" w14:textId="77777777" w:rsidR="00BB76F2" w:rsidRPr="001A2EF6" w:rsidRDefault="00BB76F2" w:rsidP="00BB76F2">
      <w:pPr>
        <w:numPr>
          <w:ilvl w:val="0"/>
          <w:numId w:val="12"/>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Legal / Compliance </w:t>
      </w:r>
    </w:p>
    <w:p w14:paraId="627FDBE6" w14:textId="77777777" w:rsidR="00BB76F2" w:rsidRPr="001A2EF6" w:rsidRDefault="00BB76F2" w:rsidP="00BB76F2">
      <w:pPr>
        <w:numPr>
          <w:ilvl w:val="0"/>
          <w:numId w:val="12"/>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Strategy / Transformation </w:t>
      </w:r>
    </w:p>
    <w:p w14:paraId="5E2400C3" w14:textId="77777777" w:rsidR="00BB76F2" w:rsidRPr="001A2EF6" w:rsidRDefault="00BB76F2" w:rsidP="00BB76F2">
      <w:pPr>
        <w:numPr>
          <w:ilvl w:val="0"/>
          <w:numId w:val="12"/>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Technology / IT </w:t>
      </w:r>
    </w:p>
    <w:p w14:paraId="263E1C7F" w14:textId="77777777" w:rsidR="00BB76F2" w:rsidRPr="001A2EF6" w:rsidRDefault="00BB76F2" w:rsidP="00BB76F2">
      <w:pPr>
        <w:numPr>
          <w:ilvl w:val="0"/>
          <w:numId w:val="12"/>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Marketing / Sales </w:t>
      </w:r>
    </w:p>
    <w:p w14:paraId="37D7FDF1" w14:textId="77777777" w:rsidR="00BB76F2" w:rsidRPr="001A2EF6" w:rsidRDefault="00BB76F2" w:rsidP="00BB76F2">
      <w:pPr>
        <w:numPr>
          <w:ilvl w:val="0"/>
          <w:numId w:val="12"/>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Finance </w:t>
      </w:r>
    </w:p>
    <w:p w14:paraId="7435DD2A" w14:textId="77777777" w:rsidR="00BB76F2" w:rsidRPr="001A2EF6" w:rsidRDefault="00BB76F2" w:rsidP="00BB76F2">
      <w:pPr>
        <w:numPr>
          <w:ilvl w:val="0"/>
          <w:numId w:val="12"/>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Human Resources </w:t>
      </w:r>
    </w:p>
    <w:p w14:paraId="5172938F" w14:textId="77777777" w:rsidR="00BB76F2" w:rsidRPr="001A2EF6" w:rsidRDefault="00BB76F2" w:rsidP="00BB76F2">
      <w:pPr>
        <w:numPr>
          <w:ilvl w:val="0"/>
          <w:numId w:val="12"/>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Operations / Supply Chain </w:t>
      </w:r>
    </w:p>
    <w:p w14:paraId="3393C62B" w14:textId="77777777" w:rsidR="00BB76F2" w:rsidRPr="001A2EF6" w:rsidRDefault="00BB76F2" w:rsidP="00BB76F2">
      <w:pPr>
        <w:numPr>
          <w:ilvl w:val="0"/>
          <w:numId w:val="12"/>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Other (please specify)</w:t>
      </w:r>
    </w:p>
    <w:p w14:paraId="472624B4" w14:textId="77777777" w:rsidR="00BB76F2" w:rsidRPr="001A2EF6" w:rsidRDefault="00BB76F2" w:rsidP="00BB76F2">
      <w:pPr>
        <w:spacing w:line="360" w:lineRule="auto"/>
        <w:rPr>
          <w:rFonts w:ascii="Times New Roman" w:hAnsi="Times New Roman" w:cs="Times New Roman"/>
          <w:color w:val="000000" w:themeColor="text1"/>
          <w:sz w:val="24"/>
          <w:szCs w:val="24"/>
        </w:rPr>
      </w:pPr>
    </w:p>
    <w:p w14:paraId="1D5AF95D" w14:textId="77777777" w:rsidR="00BB76F2" w:rsidRPr="001A2EF6" w:rsidRDefault="00BB76F2" w:rsidP="00BB76F2">
      <w:pPr>
        <w:spacing w:after="0" w:line="360" w:lineRule="auto"/>
        <w:ind w:left="720"/>
        <w:contextualSpacing/>
        <w:rPr>
          <w:rFonts w:ascii="Times New Roman" w:eastAsia="Times New Roman" w:hAnsi="Times New Roman" w:cs="Times New Roman"/>
          <w:color w:val="000000" w:themeColor="text1"/>
          <w:kern w:val="0"/>
          <w:sz w:val="24"/>
          <w:szCs w:val="24"/>
          <w:shd w:val="clear" w:color="auto" w:fill="F7F8FA"/>
          <w:lang w:eastAsia="nb-NO"/>
          <w14:ligatures w14:val="none"/>
        </w:rPr>
      </w:pPr>
    </w:p>
    <w:p w14:paraId="461D34CF" w14:textId="77777777" w:rsidR="00BB76F2" w:rsidRPr="001A2EF6" w:rsidRDefault="00BB76F2" w:rsidP="00BB76F2">
      <w:pPr>
        <w:spacing w:line="360" w:lineRule="auto"/>
        <w:rPr>
          <w:rFonts w:ascii="Times New Roman" w:hAnsi="Times New Roman" w:cs="Times New Roman"/>
          <w:b/>
          <w:bCs/>
          <w:color w:val="000000" w:themeColor="text1"/>
          <w:sz w:val="24"/>
          <w:szCs w:val="24"/>
          <w:u w:val="single"/>
        </w:rPr>
      </w:pPr>
      <w:r w:rsidRPr="001A2EF6">
        <w:rPr>
          <w:rFonts w:ascii="Times New Roman" w:hAnsi="Times New Roman" w:cs="Times New Roman"/>
          <w:b/>
          <w:bCs/>
          <w:color w:val="000000" w:themeColor="text1"/>
          <w:sz w:val="24"/>
          <w:szCs w:val="24"/>
          <w:u w:val="single"/>
        </w:rPr>
        <w:t>6. How many years have you held a leadership role (strategic or operational)? </w:t>
      </w:r>
    </w:p>
    <w:p w14:paraId="697FC2BC" w14:textId="77777777" w:rsidR="00BB76F2" w:rsidRPr="001A2EF6" w:rsidRDefault="00BB76F2" w:rsidP="00BB76F2">
      <w:pPr>
        <w:numPr>
          <w:ilvl w:val="0"/>
          <w:numId w:val="8"/>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Less than 1 year</w:t>
      </w:r>
    </w:p>
    <w:p w14:paraId="655EA8D2" w14:textId="77777777" w:rsidR="00BB76F2" w:rsidRPr="001A2EF6" w:rsidRDefault="00BB76F2" w:rsidP="00BB76F2">
      <w:pPr>
        <w:numPr>
          <w:ilvl w:val="0"/>
          <w:numId w:val="8"/>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1–3 years</w:t>
      </w:r>
    </w:p>
    <w:p w14:paraId="7B7F6A29" w14:textId="77777777" w:rsidR="00BB76F2" w:rsidRPr="001A2EF6" w:rsidRDefault="00BB76F2" w:rsidP="00BB76F2">
      <w:pPr>
        <w:numPr>
          <w:ilvl w:val="0"/>
          <w:numId w:val="8"/>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4–7 years</w:t>
      </w:r>
    </w:p>
    <w:p w14:paraId="621899FC" w14:textId="77777777" w:rsidR="00BB76F2" w:rsidRPr="001A2EF6" w:rsidRDefault="00BB76F2" w:rsidP="00BB76F2">
      <w:pPr>
        <w:numPr>
          <w:ilvl w:val="0"/>
          <w:numId w:val="8"/>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8–15 years</w:t>
      </w:r>
    </w:p>
    <w:p w14:paraId="64D83262" w14:textId="77777777" w:rsidR="00BB76F2" w:rsidRPr="001A2EF6" w:rsidRDefault="00BB76F2" w:rsidP="00BB76F2">
      <w:pPr>
        <w:numPr>
          <w:ilvl w:val="0"/>
          <w:numId w:val="8"/>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More than 15 years</w:t>
      </w:r>
    </w:p>
    <w:p w14:paraId="5511D1A3" w14:textId="77777777" w:rsidR="00BB76F2" w:rsidRPr="001A2EF6" w:rsidRDefault="00BB76F2" w:rsidP="00BB76F2">
      <w:pPr>
        <w:spacing w:line="360" w:lineRule="auto"/>
        <w:rPr>
          <w:rFonts w:ascii="Times New Roman" w:hAnsi="Times New Roman" w:cs="Times New Roman"/>
          <w:color w:val="000000" w:themeColor="text1"/>
          <w:sz w:val="24"/>
          <w:szCs w:val="24"/>
        </w:rPr>
      </w:pPr>
    </w:p>
    <w:p w14:paraId="27A4339B" w14:textId="77777777" w:rsidR="00BB76F2" w:rsidRPr="001A2EF6" w:rsidRDefault="00BB76F2" w:rsidP="00BB76F2">
      <w:pPr>
        <w:spacing w:line="360" w:lineRule="auto"/>
        <w:rPr>
          <w:rFonts w:ascii="Times New Roman" w:hAnsi="Times New Roman" w:cs="Times New Roman"/>
          <w:b/>
          <w:bCs/>
          <w:color w:val="000000" w:themeColor="text1"/>
          <w:sz w:val="24"/>
          <w:szCs w:val="24"/>
          <w:u w:val="single"/>
        </w:rPr>
      </w:pPr>
      <w:r w:rsidRPr="001A2EF6">
        <w:rPr>
          <w:rFonts w:ascii="Times New Roman" w:hAnsi="Times New Roman" w:cs="Times New Roman"/>
          <w:b/>
          <w:bCs/>
          <w:color w:val="000000" w:themeColor="text1"/>
          <w:sz w:val="24"/>
          <w:szCs w:val="24"/>
          <w:u w:val="single"/>
        </w:rPr>
        <w:t>7. What is the approximate number of employees within your organisation? </w:t>
      </w:r>
    </w:p>
    <w:p w14:paraId="615C8F88" w14:textId="77777777" w:rsidR="00BB76F2" w:rsidRPr="001A2EF6" w:rsidRDefault="00BB76F2" w:rsidP="00BB76F2">
      <w:pPr>
        <w:numPr>
          <w:ilvl w:val="0"/>
          <w:numId w:val="9"/>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Fewer than 50</w:t>
      </w:r>
    </w:p>
    <w:p w14:paraId="36FB4686" w14:textId="77777777" w:rsidR="00BB76F2" w:rsidRPr="001A2EF6" w:rsidRDefault="00BB76F2" w:rsidP="00BB76F2">
      <w:pPr>
        <w:numPr>
          <w:ilvl w:val="0"/>
          <w:numId w:val="9"/>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51-250</w:t>
      </w:r>
    </w:p>
    <w:p w14:paraId="60CD4EA8" w14:textId="77777777" w:rsidR="00BB76F2" w:rsidRPr="001A2EF6" w:rsidRDefault="00BB76F2" w:rsidP="00BB76F2">
      <w:pPr>
        <w:numPr>
          <w:ilvl w:val="0"/>
          <w:numId w:val="9"/>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251-1000</w:t>
      </w:r>
    </w:p>
    <w:p w14:paraId="3F4F63EA" w14:textId="77777777" w:rsidR="00BB76F2" w:rsidRPr="001A2EF6" w:rsidRDefault="00BB76F2" w:rsidP="00BB76F2">
      <w:pPr>
        <w:numPr>
          <w:ilvl w:val="0"/>
          <w:numId w:val="9"/>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Over 1000</w:t>
      </w:r>
    </w:p>
    <w:p w14:paraId="63B8DC86" w14:textId="77777777" w:rsidR="00BB76F2" w:rsidRPr="001A2EF6" w:rsidRDefault="00BB76F2" w:rsidP="00BB76F2">
      <w:pPr>
        <w:spacing w:line="360" w:lineRule="auto"/>
        <w:rPr>
          <w:rFonts w:ascii="Times New Roman" w:hAnsi="Times New Roman" w:cs="Times New Roman"/>
          <w:color w:val="000000" w:themeColor="text1"/>
          <w:sz w:val="24"/>
          <w:szCs w:val="24"/>
        </w:rPr>
      </w:pPr>
    </w:p>
    <w:p w14:paraId="45F0FCB0" w14:textId="77777777" w:rsidR="00BB76F2" w:rsidRPr="001A2EF6" w:rsidRDefault="00BB76F2" w:rsidP="00BB76F2">
      <w:pPr>
        <w:spacing w:line="360" w:lineRule="auto"/>
        <w:rPr>
          <w:rFonts w:ascii="Times New Roman" w:hAnsi="Times New Roman" w:cs="Times New Roman"/>
          <w:b/>
          <w:bCs/>
          <w:color w:val="000000" w:themeColor="text1"/>
          <w:sz w:val="24"/>
          <w:szCs w:val="24"/>
          <w:u w:val="single"/>
        </w:rPr>
      </w:pPr>
      <w:r w:rsidRPr="001A2EF6">
        <w:rPr>
          <w:rFonts w:ascii="Times New Roman" w:hAnsi="Times New Roman" w:cs="Times New Roman"/>
          <w:b/>
          <w:bCs/>
          <w:color w:val="000000" w:themeColor="text1"/>
          <w:sz w:val="24"/>
          <w:szCs w:val="24"/>
          <w:u w:val="single"/>
        </w:rPr>
        <w:t>8. In which region is your primary workplace located? </w:t>
      </w:r>
    </w:p>
    <w:p w14:paraId="491AB704" w14:textId="77777777" w:rsidR="00BB76F2" w:rsidRPr="001A2EF6" w:rsidRDefault="00BB76F2" w:rsidP="00BB76F2">
      <w:pPr>
        <w:numPr>
          <w:ilvl w:val="0"/>
          <w:numId w:val="10"/>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Nordics (Norway, Sweden, Denmark, Finland)</w:t>
      </w:r>
    </w:p>
    <w:p w14:paraId="20EBEE72" w14:textId="77777777" w:rsidR="00BB76F2" w:rsidRPr="001A2EF6" w:rsidRDefault="00BB76F2" w:rsidP="00BB76F2">
      <w:pPr>
        <w:numPr>
          <w:ilvl w:val="0"/>
          <w:numId w:val="10"/>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Western Europe</w:t>
      </w:r>
    </w:p>
    <w:p w14:paraId="162744AA" w14:textId="77777777" w:rsidR="00BB76F2" w:rsidRPr="001A2EF6" w:rsidRDefault="00BB76F2" w:rsidP="00BB76F2">
      <w:pPr>
        <w:numPr>
          <w:ilvl w:val="0"/>
          <w:numId w:val="10"/>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Eastern Europe</w:t>
      </w:r>
    </w:p>
    <w:p w14:paraId="7B81D88A" w14:textId="77777777" w:rsidR="00BB76F2" w:rsidRPr="001A2EF6" w:rsidRDefault="00BB76F2" w:rsidP="00BB76F2">
      <w:pPr>
        <w:numPr>
          <w:ilvl w:val="0"/>
          <w:numId w:val="10"/>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North America</w:t>
      </w:r>
    </w:p>
    <w:p w14:paraId="3F5D1B79" w14:textId="77777777" w:rsidR="00BB76F2" w:rsidRPr="001A2EF6" w:rsidRDefault="00BB76F2" w:rsidP="00BB76F2">
      <w:pPr>
        <w:numPr>
          <w:ilvl w:val="0"/>
          <w:numId w:val="10"/>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South America</w:t>
      </w:r>
    </w:p>
    <w:p w14:paraId="71F3B5D0" w14:textId="77777777" w:rsidR="00BB76F2" w:rsidRPr="001A2EF6" w:rsidRDefault="00BB76F2" w:rsidP="00BB76F2">
      <w:pPr>
        <w:numPr>
          <w:ilvl w:val="0"/>
          <w:numId w:val="10"/>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Asia-Pacific</w:t>
      </w:r>
    </w:p>
    <w:p w14:paraId="2D92E9FE" w14:textId="77777777" w:rsidR="00BB76F2" w:rsidRPr="001A2EF6" w:rsidRDefault="00BB76F2" w:rsidP="00BB76F2">
      <w:pPr>
        <w:numPr>
          <w:ilvl w:val="0"/>
          <w:numId w:val="10"/>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Middle East / Africa</w:t>
      </w:r>
    </w:p>
    <w:p w14:paraId="782791CF" w14:textId="77777777" w:rsidR="00BB76F2" w:rsidRPr="001A2EF6" w:rsidRDefault="00BB76F2" w:rsidP="00BB76F2">
      <w:pPr>
        <w:numPr>
          <w:ilvl w:val="0"/>
          <w:numId w:val="10"/>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Global / Remote / Multiple regions</w:t>
      </w:r>
    </w:p>
    <w:p w14:paraId="2111988E" w14:textId="77777777" w:rsidR="00BB76F2" w:rsidRPr="001A2EF6" w:rsidRDefault="00BB76F2" w:rsidP="00BB76F2">
      <w:pPr>
        <w:numPr>
          <w:ilvl w:val="0"/>
          <w:numId w:val="10"/>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Prefer not to say</w:t>
      </w:r>
    </w:p>
    <w:p w14:paraId="3B1637DC" w14:textId="77777777" w:rsidR="00BB76F2" w:rsidRPr="001A2EF6" w:rsidRDefault="00BB76F2" w:rsidP="00BB76F2">
      <w:pPr>
        <w:spacing w:line="360" w:lineRule="auto"/>
        <w:rPr>
          <w:rFonts w:ascii="Times New Roman" w:hAnsi="Times New Roman" w:cs="Times New Roman"/>
          <w:color w:val="000000" w:themeColor="text1"/>
          <w:sz w:val="24"/>
          <w:szCs w:val="24"/>
        </w:rPr>
      </w:pPr>
    </w:p>
    <w:p w14:paraId="5E69B635" w14:textId="77777777" w:rsidR="00BB76F2" w:rsidRPr="001A2EF6" w:rsidRDefault="00BB76F2" w:rsidP="00BB76F2">
      <w:pPr>
        <w:spacing w:line="360" w:lineRule="auto"/>
        <w:rPr>
          <w:rFonts w:ascii="Times New Roman" w:hAnsi="Times New Roman" w:cs="Times New Roman"/>
          <w:color w:val="000000" w:themeColor="text1"/>
          <w:sz w:val="24"/>
          <w:szCs w:val="24"/>
        </w:rPr>
      </w:pPr>
    </w:p>
    <w:p w14:paraId="187FED71" w14:textId="77777777" w:rsidR="00BB76F2" w:rsidRPr="001A2EF6" w:rsidRDefault="00BB76F2" w:rsidP="00BB76F2">
      <w:pPr>
        <w:spacing w:line="360" w:lineRule="auto"/>
        <w:rPr>
          <w:rFonts w:ascii="Times New Roman" w:hAnsi="Times New Roman" w:cs="Times New Roman"/>
          <w:b/>
          <w:bCs/>
          <w:color w:val="000000" w:themeColor="text1"/>
          <w:sz w:val="24"/>
          <w:szCs w:val="24"/>
          <w:u w:val="single"/>
        </w:rPr>
      </w:pPr>
      <w:r w:rsidRPr="001A2EF6">
        <w:rPr>
          <w:rFonts w:ascii="Times New Roman" w:hAnsi="Times New Roman" w:cs="Times New Roman"/>
          <w:b/>
          <w:bCs/>
          <w:color w:val="000000" w:themeColor="text1"/>
          <w:sz w:val="24"/>
          <w:szCs w:val="24"/>
          <w:u w:val="single"/>
        </w:rPr>
        <w:t>9. How would you categorise your organisation’s core operating environment? </w:t>
      </w:r>
    </w:p>
    <w:p w14:paraId="7EC4C7E3" w14:textId="77777777" w:rsidR="00BB76F2" w:rsidRPr="001A2EF6" w:rsidRDefault="00BB76F2" w:rsidP="00BB76F2">
      <w:pPr>
        <w:numPr>
          <w:ilvl w:val="0"/>
          <w:numId w:val="11"/>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Private sector (for-profit)</w:t>
      </w:r>
    </w:p>
    <w:p w14:paraId="5E354660" w14:textId="77777777" w:rsidR="00BB76F2" w:rsidRPr="001A2EF6" w:rsidRDefault="00BB76F2" w:rsidP="00BB76F2">
      <w:pPr>
        <w:numPr>
          <w:ilvl w:val="0"/>
          <w:numId w:val="11"/>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lastRenderedPageBreak/>
        <w:t>Public sector</w:t>
      </w:r>
    </w:p>
    <w:p w14:paraId="3CD9B4E8" w14:textId="77777777" w:rsidR="00BB76F2" w:rsidRPr="001A2EF6" w:rsidRDefault="00BB76F2" w:rsidP="00BB76F2">
      <w:pPr>
        <w:numPr>
          <w:ilvl w:val="0"/>
          <w:numId w:val="11"/>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Non-profit / NGO</w:t>
      </w:r>
    </w:p>
    <w:p w14:paraId="06FDEE91" w14:textId="77777777" w:rsidR="00BB76F2" w:rsidRPr="001A2EF6" w:rsidRDefault="00BB76F2" w:rsidP="00BB76F2">
      <w:pPr>
        <w:numPr>
          <w:ilvl w:val="0"/>
          <w:numId w:val="11"/>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Academic / Research institution</w:t>
      </w:r>
    </w:p>
    <w:p w14:paraId="56B5F2B0" w14:textId="77777777" w:rsidR="00BB76F2" w:rsidRPr="001A2EF6" w:rsidRDefault="00BB76F2" w:rsidP="00BB76F2">
      <w:pPr>
        <w:numPr>
          <w:ilvl w:val="0"/>
          <w:numId w:val="11"/>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Hybrid / Mixed funding</w:t>
      </w:r>
    </w:p>
    <w:p w14:paraId="1D2C24C1" w14:textId="77777777" w:rsidR="00BB76F2" w:rsidRPr="001A2EF6" w:rsidRDefault="00BB76F2" w:rsidP="00BB76F2">
      <w:pPr>
        <w:numPr>
          <w:ilvl w:val="0"/>
          <w:numId w:val="11"/>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Other (please specify)</w:t>
      </w:r>
    </w:p>
    <w:p w14:paraId="418AB949" w14:textId="77777777" w:rsidR="00BB76F2" w:rsidRPr="001A2EF6" w:rsidRDefault="00BB76F2" w:rsidP="00BB76F2">
      <w:pPr>
        <w:spacing w:line="360" w:lineRule="auto"/>
        <w:rPr>
          <w:rFonts w:ascii="Times New Roman" w:hAnsi="Times New Roman" w:cs="Times New Roman"/>
          <w:color w:val="000000" w:themeColor="text1"/>
          <w:sz w:val="24"/>
          <w:szCs w:val="24"/>
        </w:rPr>
      </w:pPr>
    </w:p>
    <w:p w14:paraId="01F2EFB4"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 xml:space="preserve">The main part of the survey will have the response Format; 7 point Likert Scale </w:t>
      </w:r>
      <w:r w:rsidRPr="001A2EF6">
        <w:rPr>
          <w:rFonts w:ascii="Times New Roman" w:hAnsi="Times New Roman" w:cs="Times New Roman"/>
          <w:b/>
          <w:bCs/>
          <w:color w:val="000000" w:themeColor="text1"/>
          <w:sz w:val="24"/>
          <w:szCs w:val="24"/>
        </w:rPr>
        <w:br/>
      </w:r>
      <w:r w:rsidRPr="001A2EF6">
        <w:rPr>
          <w:rFonts w:ascii="Times New Roman" w:hAnsi="Times New Roman" w:cs="Times New Roman"/>
          <w:b/>
          <w:bCs/>
          <w:i/>
          <w:iCs/>
          <w:color w:val="000000" w:themeColor="text1"/>
          <w:sz w:val="24"/>
          <w:szCs w:val="24"/>
        </w:rPr>
        <w:t>(please see appendix called Seven Point Likert Scale)</w:t>
      </w:r>
      <w:r w:rsidRPr="001A2EF6">
        <w:rPr>
          <w:rFonts w:ascii="Times New Roman" w:hAnsi="Times New Roman" w:cs="Times New Roman"/>
          <w:color w:val="000000" w:themeColor="text1"/>
          <w:sz w:val="24"/>
          <w:szCs w:val="24"/>
        </w:rPr>
        <w:br/>
      </w:r>
      <w:r w:rsidRPr="001A2EF6">
        <w:rPr>
          <w:rFonts w:ascii="Times New Roman" w:hAnsi="Times New Roman" w:cs="Times New Roman"/>
          <w:b/>
          <w:bCs/>
          <w:color w:val="000000" w:themeColor="text1"/>
          <w:sz w:val="24"/>
          <w:szCs w:val="24"/>
        </w:rPr>
        <w:t>1 = Strongly disagree</w:t>
      </w:r>
      <w:r w:rsidRPr="001A2EF6">
        <w:rPr>
          <w:rFonts w:ascii="Times New Roman" w:hAnsi="Times New Roman" w:cs="Times New Roman"/>
          <w:color w:val="000000" w:themeColor="text1"/>
          <w:sz w:val="24"/>
          <w:szCs w:val="24"/>
        </w:rPr>
        <w:br/>
      </w:r>
      <w:r w:rsidRPr="001A2EF6">
        <w:rPr>
          <w:rFonts w:ascii="Times New Roman" w:hAnsi="Times New Roman" w:cs="Times New Roman"/>
          <w:b/>
          <w:bCs/>
          <w:color w:val="000000" w:themeColor="text1"/>
          <w:sz w:val="24"/>
          <w:szCs w:val="24"/>
        </w:rPr>
        <w:t>2 = Disagree</w:t>
      </w:r>
      <w:r w:rsidRPr="001A2EF6">
        <w:rPr>
          <w:rFonts w:ascii="Times New Roman" w:hAnsi="Times New Roman" w:cs="Times New Roman"/>
          <w:color w:val="000000" w:themeColor="text1"/>
          <w:sz w:val="24"/>
          <w:szCs w:val="24"/>
        </w:rPr>
        <w:br/>
      </w:r>
      <w:r w:rsidRPr="001A2EF6">
        <w:rPr>
          <w:rFonts w:ascii="Times New Roman" w:hAnsi="Times New Roman" w:cs="Times New Roman"/>
          <w:b/>
          <w:bCs/>
          <w:color w:val="000000" w:themeColor="text1"/>
          <w:sz w:val="24"/>
          <w:szCs w:val="24"/>
        </w:rPr>
        <w:t>3 = Somewhat disagree</w:t>
      </w:r>
      <w:r w:rsidRPr="001A2EF6">
        <w:rPr>
          <w:rFonts w:ascii="Times New Roman" w:hAnsi="Times New Roman" w:cs="Times New Roman"/>
          <w:color w:val="000000" w:themeColor="text1"/>
          <w:sz w:val="24"/>
          <w:szCs w:val="24"/>
        </w:rPr>
        <w:br/>
      </w:r>
      <w:r w:rsidRPr="001A2EF6">
        <w:rPr>
          <w:rFonts w:ascii="Times New Roman" w:hAnsi="Times New Roman" w:cs="Times New Roman"/>
          <w:b/>
          <w:bCs/>
          <w:color w:val="000000" w:themeColor="text1"/>
          <w:sz w:val="24"/>
          <w:szCs w:val="24"/>
        </w:rPr>
        <w:t>4 = Neither agree nor disagree</w:t>
      </w:r>
      <w:r w:rsidRPr="001A2EF6">
        <w:rPr>
          <w:rFonts w:ascii="Times New Roman" w:hAnsi="Times New Roman" w:cs="Times New Roman"/>
          <w:color w:val="000000" w:themeColor="text1"/>
          <w:sz w:val="24"/>
          <w:szCs w:val="24"/>
        </w:rPr>
        <w:br/>
      </w:r>
      <w:r w:rsidRPr="001A2EF6">
        <w:rPr>
          <w:rFonts w:ascii="Times New Roman" w:hAnsi="Times New Roman" w:cs="Times New Roman"/>
          <w:b/>
          <w:bCs/>
          <w:color w:val="000000" w:themeColor="text1"/>
          <w:sz w:val="24"/>
          <w:szCs w:val="24"/>
        </w:rPr>
        <w:t>5 = Somewhat agree</w:t>
      </w:r>
      <w:r w:rsidRPr="001A2EF6">
        <w:rPr>
          <w:rFonts w:ascii="Times New Roman" w:hAnsi="Times New Roman" w:cs="Times New Roman"/>
          <w:color w:val="000000" w:themeColor="text1"/>
          <w:sz w:val="24"/>
          <w:szCs w:val="24"/>
        </w:rPr>
        <w:br/>
      </w:r>
      <w:r w:rsidRPr="001A2EF6">
        <w:rPr>
          <w:rFonts w:ascii="Times New Roman" w:hAnsi="Times New Roman" w:cs="Times New Roman"/>
          <w:b/>
          <w:bCs/>
          <w:color w:val="000000" w:themeColor="text1"/>
          <w:sz w:val="24"/>
          <w:szCs w:val="24"/>
        </w:rPr>
        <w:t>6 = Agree</w:t>
      </w:r>
      <w:r w:rsidRPr="001A2EF6">
        <w:rPr>
          <w:rFonts w:ascii="Times New Roman" w:hAnsi="Times New Roman" w:cs="Times New Roman"/>
          <w:color w:val="000000" w:themeColor="text1"/>
          <w:sz w:val="24"/>
          <w:szCs w:val="24"/>
        </w:rPr>
        <w:br/>
      </w:r>
      <w:r w:rsidRPr="001A2EF6">
        <w:rPr>
          <w:rFonts w:ascii="Times New Roman" w:hAnsi="Times New Roman" w:cs="Times New Roman"/>
          <w:b/>
          <w:bCs/>
          <w:color w:val="000000" w:themeColor="text1"/>
          <w:sz w:val="24"/>
          <w:szCs w:val="24"/>
        </w:rPr>
        <w:t>7 = Strongly agree</w:t>
      </w:r>
    </w:p>
    <w:p w14:paraId="5FE2791F" w14:textId="77777777" w:rsidR="00BB76F2" w:rsidRPr="001A2EF6" w:rsidRDefault="00BB76F2" w:rsidP="00BB76F2">
      <w:pPr>
        <w:spacing w:line="360" w:lineRule="auto"/>
        <w:rPr>
          <w:rFonts w:ascii="Times New Roman" w:hAnsi="Times New Roman" w:cs="Times New Roman"/>
          <w:color w:val="000000" w:themeColor="text1"/>
          <w:sz w:val="24"/>
          <w:szCs w:val="24"/>
        </w:rPr>
      </w:pPr>
    </w:p>
    <w:p w14:paraId="0E4D84F7" w14:textId="77777777" w:rsidR="00BB76F2" w:rsidRPr="001A2EF6" w:rsidRDefault="00BB76F2" w:rsidP="00B35536">
      <w:pPr>
        <w:rPr>
          <w:rFonts w:ascii="Times New Roman" w:hAnsi="Times New Roman" w:cs="Times New Roman"/>
          <w:b/>
          <w:bCs/>
          <w:u w:val="single"/>
        </w:rPr>
      </w:pPr>
      <w:r w:rsidRPr="001A2EF6">
        <w:rPr>
          <w:rFonts w:ascii="Times New Roman" w:hAnsi="Times New Roman" w:cs="Times New Roman"/>
          <w:b/>
          <w:bCs/>
          <w:u w:val="single"/>
        </w:rPr>
        <w:t>Category 2: Strategic Autonomy and Trust in Decision-Making</w:t>
      </w:r>
    </w:p>
    <w:p w14:paraId="4EF2B505"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Description:</w:t>
      </w:r>
      <w:r w:rsidRPr="001A2EF6">
        <w:rPr>
          <w:rFonts w:ascii="Times New Roman" w:hAnsi="Times New Roman" w:cs="Times New Roman"/>
          <w:color w:val="000000" w:themeColor="text1"/>
          <w:sz w:val="24"/>
          <w:szCs w:val="24"/>
        </w:rPr>
        <w:br/>
        <w:t>This section explores the extent to which you perceive that you are trusted and empowered to make independent strategic decisions within your current role. The questions aim to assess your sense of discretion, professional autonomy, and the degree of institutional trust placed in your judgement.</w:t>
      </w:r>
    </w:p>
    <w:p w14:paraId="501770FC"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i/>
          <w:iCs/>
          <w:color w:val="000000" w:themeColor="text1"/>
          <w:sz w:val="24"/>
          <w:szCs w:val="24"/>
        </w:rPr>
        <w:t>If you do not report to a direct superior, please interpret references to “superiors” as referring to key organisational stakeholders, board members, investors, or other influential governance figures whose trust or expectations influence your decision-making autonomy.</w:t>
      </w:r>
    </w:p>
    <w:p w14:paraId="2E564A2A" w14:textId="77777777" w:rsidR="00BB76F2" w:rsidRPr="001A2EF6" w:rsidRDefault="00BB76F2" w:rsidP="00BB76F2">
      <w:pPr>
        <w:spacing w:line="360" w:lineRule="auto"/>
        <w:rPr>
          <w:rFonts w:ascii="Times New Roman" w:hAnsi="Times New Roman" w:cs="Times New Roman"/>
          <w:color w:val="000000" w:themeColor="text1"/>
          <w:sz w:val="24"/>
          <w:szCs w:val="24"/>
        </w:rPr>
      </w:pPr>
    </w:p>
    <w:p w14:paraId="3F680633"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Questions:</w:t>
      </w:r>
    </w:p>
    <w:p w14:paraId="14C29D4F"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feel empowered to make strategic decisions independently within my current role.</w:t>
      </w:r>
    </w:p>
    <w:p w14:paraId="09199DD2"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experience a high degree of trust from my superiors when making significant decisions.</w:t>
      </w:r>
    </w:p>
    <w:p w14:paraId="36C824A8"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lastRenderedPageBreak/>
        <w:t xml:space="preserve">I am expected to exercise independent judgment on matters with strategic importance </w:t>
      </w:r>
      <w:r w:rsidRPr="001A2EF6">
        <w:rPr>
          <w:rFonts w:ascii="Times New Roman" w:hAnsi="Times New Roman" w:cs="Times New Roman"/>
          <w:i/>
          <w:iCs/>
          <w:color w:val="000000" w:themeColor="text1"/>
          <w:sz w:val="24"/>
          <w:szCs w:val="24"/>
        </w:rPr>
        <w:t>(reverse scored)</w:t>
      </w:r>
      <w:r w:rsidRPr="001A2EF6">
        <w:rPr>
          <w:rFonts w:ascii="Times New Roman" w:hAnsi="Times New Roman" w:cs="Times New Roman"/>
          <w:color w:val="000000" w:themeColor="text1"/>
          <w:sz w:val="24"/>
          <w:szCs w:val="24"/>
        </w:rPr>
        <w:t>.</w:t>
      </w:r>
    </w:p>
    <w:p w14:paraId="373310AE"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experience a high degree of autonomy in shaping the direction of my work.</w:t>
      </w:r>
    </w:p>
    <w:p w14:paraId="3D13C046"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I often feel restricted in my ability to make independent strategic decisions </w:t>
      </w:r>
      <w:r w:rsidRPr="001A2EF6">
        <w:rPr>
          <w:rFonts w:ascii="Times New Roman" w:hAnsi="Times New Roman" w:cs="Times New Roman"/>
          <w:i/>
          <w:iCs/>
          <w:color w:val="000000" w:themeColor="text1"/>
          <w:sz w:val="24"/>
          <w:szCs w:val="24"/>
        </w:rPr>
        <w:t>(inverted question).</w:t>
      </w:r>
    </w:p>
    <w:p w14:paraId="39C407D6"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believe my leadership input carries substantial weight in strategic organisational decisions.</w:t>
      </w:r>
    </w:p>
    <w:p w14:paraId="306D5E61" w14:textId="77777777" w:rsidR="00BB76F2" w:rsidRPr="001A2EF6" w:rsidRDefault="00BB76F2" w:rsidP="00BB76F2">
      <w:pPr>
        <w:spacing w:line="360" w:lineRule="auto"/>
        <w:rPr>
          <w:rFonts w:ascii="Times New Roman" w:hAnsi="Times New Roman" w:cs="Times New Roman"/>
          <w:color w:val="000000" w:themeColor="text1"/>
          <w:sz w:val="24"/>
          <w:szCs w:val="24"/>
          <w:u w:val="single"/>
        </w:rPr>
      </w:pPr>
    </w:p>
    <w:p w14:paraId="6ECA8D92" w14:textId="77777777" w:rsidR="00BB76F2" w:rsidRPr="001A2EF6" w:rsidRDefault="00BB76F2" w:rsidP="00B35536">
      <w:pPr>
        <w:rPr>
          <w:rFonts w:ascii="Times New Roman" w:hAnsi="Times New Roman" w:cs="Times New Roman"/>
          <w:b/>
          <w:bCs/>
          <w:u w:val="single"/>
        </w:rPr>
      </w:pPr>
      <w:r w:rsidRPr="001A2EF6">
        <w:rPr>
          <w:rFonts w:ascii="Times New Roman" w:hAnsi="Times New Roman" w:cs="Times New Roman"/>
          <w:b/>
          <w:bCs/>
          <w:u w:val="single"/>
        </w:rPr>
        <w:t>Category 3: Cognitive Load and Executive Processing</w:t>
      </w:r>
    </w:p>
    <w:p w14:paraId="6BA60E2D"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Description:</w:t>
      </w:r>
      <w:r w:rsidRPr="001A2EF6">
        <w:rPr>
          <w:rFonts w:ascii="Times New Roman" w:hAnsi="Times New Roman" w:cs="Times New Roman"/>
          <w:color w:val="000000" w:themeColor="text1"/>
          <w:sz w:val="24"/>
          <w:szCs w:val="24"/>
        </w:rPr>
        <w:br/>
        <w:t>This section addresses your experience of cognitive strain, attentional demands, and executive function during your typical workweek. The items are designed to capture how mental workload, competing priorities, and task-switching impact your ability to sustain strategic thought and performance.</w:t>
      </w:r>
    </w:p>
    <w:p w14:paraId="5C7AC32A"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Questions:</w:t>
      </w:r>
    </w:p>
    <w:p w14:paraId="6C9E14F8"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have sufficient mental energy to reflect strategically during a typical workweek.</w:t>
      </w:r>
    </w:p>
    <w:p w14:paraId="079771D2"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can maintain clarity of thought when under pressure or facing uncertainty.</w:t>
      </w:r>
    </w:p>
    <w:p w14:paraId="57F6455A"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The cognitive space required for strategic reflection is frequently compromised by urgent day-to-day demands </w:t>
      </w:r>
      <w:r w:rsidRPr="001A2EF6">
        <w:rPr>
          <w:rFonts w:ascii="Times New Roman" w:hAnsi="Times New Roman" w:cs="Times New Roman"/>
          <w:i/>
          <w:iCs/>
          <w:color w:val="000000" w:themeColor="text1"/>
          <w:sz w:val="24"/>
          <w:szCs w:val="24"/>
        </w:rPr>
        <w:t>(reverse scored).</w:t>
      </w:r>
    </w:p>
    <w:p w14:paraId="1DCF7327"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My workload prevents me from dedicating mental space to strategic issues </w:t>
      </w:r>
      <w:r w:rsidRPr="001A2EF6">
        <w:rPr>
          <w:rFonts w:ascii="Times New Roman" w:hAnsi="Times New Roman" w:cs="Times New Roman"/>
          <w:i/>
          <w:iCs/>
          <w:color w:val="000000" w:themeColor="text1"/>
          <w:sz w:val="24"/>
          <w:szCs w:val="24"/>
        </w:rPr>
        <w:t>(inverted question).</w:t>
      </w:r>
    </w:p>
    <w:p w14:paraId="3A815066"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have adequate space (time, attention, or cognitive room) to prioritise strategic thinking.</w:t>
      </w:r>
    </w:p>
    <w:p w14:paraId="0DF6197F"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find it easy to shift between urgent tasks and long-term planning without losing focus.</w:t>
      </w:r>
    </w:p>
    <w:p w14:paraId="353CD8B5"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My daily workload leaves little bandwidth for forward-looking reflection </w:t>
      </w:r>
      <w:r w:rsidRPr="001A2EF6">
        <w:rPr>
          <w:rFonts w:ascii="Times New Roman" w:hAnsi="Times New Roman" w:cs="Times New Roman"/>
          <w:i/>
          <w:iCs/>
          <w:color w:val="000000" w:themeColor="text1"/>
          <w:sz w:val="24"/>
          <w:szCs w:val="24"/>
        </w:rPr>
        <w:t>(reverse scored).</w:t>
      </w:r>
    </w:p>
    <w:p w14:paraId="7A525ABD"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am able to protect mental space for high-level problem solving.</w:t>
      </w:r>
    </w:p>
    <w:p w14:paraId="446FED56" w14:textId="77777777" w:rsidR="00BB76F2" w:rsidRPr="001A2EF6" w:rsidRDefault="00BB76F2" w:rsidP="00BB76F2">
      <w:pPr>
        <w:keepNext/>
        <w:keepLines/>
        <w:spacing w:before="160" w:after="80" w:line="360" w:lineRule="auto"/>
        <w:outlineLvl w:val="1"/>
        <w:rPr>
          <w:rFonts w:ascii="Times New Roman" w:eastAsiaTheme="majorEastAsia" w:hAnsi="Times New Roman" w:cs="Times New Roman"/>
          <w:b/>
          <w:bCs/>
          <w:color w:val="0F4761" w:themeColor="accent1" w:themeShade="BF"/>
          <w:sz w:val="24"/>
          <w:szCs w:val="24"/>
        </w:rPr>
      </w:pPr>
    </w:p>
    <w:p w14:paraId="14F0CCA5" w14:textId="77777777" w:rsidR="00BB76F2" w:rsidRPr="001A2EF6" w:rsidRDefault="00BB76F2" w:rsidP="00B35536">
      <w:pPr>
        <w:rPr>
          <w:rFonts w:ascii="Times New Roman" w:hAnsi="Times New Roman" w:cs="Times New Roman"/>
          <w:b/>
          <w:bCs/>
          <w:u w:val="single"/>
        </w:rPr>
      </w:pPr>
      <w:r w:rsidRPr="001A2EF6">
        <w:rPr>
          <w:rFonts w:ascii="Times New Roman" w:hAnsi="Times New Roman" w:cs="Times New Roman"/>
          <w:b/>
          <w:bCs/>
          <w:u w:val="single"/>
        </w:rPr>
        <w:t>Category 4: Organisational Infrastructure and Cognitive Support</w:t>
      </w:r>
    </w:p>
    <w:p w14:paraId="74E78598"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Description:</w:t>
      </w:r>
      <w:r w:rsidRPr="001A2EF6">
        <w:rPr>
          <w:rFonts w:ascii="Times New Roman" w:hAnsi="Times New Roman" w:cs="Times New Roman"/>
          <w:color w:val="000000" w:themeColor="text1"/>
          <w:sz w:val="24"/>
          <w:szCs w:val="24"/>
        </w:rPr>
        <w:br/>
        <w:t xml:space="preserve">This section investigates how well your organisation’s structures, processes, and environment </w:t>
      </w:r>
      <w:r w:rsidRPr="001A2EF6">
        <w:rPr>
          <w:rFonts w:ascii="Times New Roman" w:hAnsi="Times New Roman" w:cs="Times New Roman"/>
          <w:color w:val="000000" w:themeColor="text1"/>
          <w:sz w:val="24"/>
          <w:szCs w:val="24"/>
        </w:rPr>
        <w:lastRenderedPageBreak/>
        <w:t>support cognitive clarity, deep thinking, and mental bandwidth. It examines whether your workplace enables or constrains deliberate and high-quality decision-making.</w:t>
      </w:r>
    </w:p>
    <w:p w14:paraId="70FD0623"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Questions:</w:t>
      </w:r>
    </w:p>
    <w:p w14:paraId="35E1588A"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My organisation supports leaders in maintaining focus on long-term strategic issues.</w:t>
      </w:r>
    </w:p>
    <w:p w14:paraId="210E684C"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I have access to tools, structures, or routines that help me manage cognitive workload </w:t>
      </w:r>
      <w:r w:rsidRPr="001A2EF6">
        <w:rPr>
          <w:rFonts w:ascii="Times New Roman" w:hAnsi="Times New Roman" w:cs="Times New Roman"/>
          <w:i/>
          <w:iCs/>
          <w:color w:val="000000" w:themeColor="text1"/>
          <w:sz w:val="24"/>
          <w:szCs w:val="24"/>
        </w:rPr>
        <w:t>(reverse scored).</w:t>
      </w:r>
    </w:p>
    <w:p w14:paraId="40C3EDFF"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am encouraged to reflect critically on decisions before executing them.</w:t>
      </w:r>
    </w:p>
    <w:p w14:paraId="378E26EE"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Uncertainty and volatility often disrupt my ability to stay strategically focused </w:t>
      </w:r>
      <w:r w:rsidRPr="001A2EF6">
        <w:rPr>
          <w:rFonts w:ascii="Times New Roman" w:hAnsi="Times New Roman" w:cs="Times New Roman"/>
          <w:i/>
          <w:iCs/>
          <w:color w:val="000000" w:themeColor="text1"/>
          <w:sz w:val="24"/>
          <w:szCs w:val="24"/>
        </w:rPr>
        <w:t>(inverted question).</w:t>
      </w:r>
    </w:p>
    <w:p w14:paraId="63784363"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There is a culture that values strategic thinking across all leadership levels </w:t>
      </w:r>
      <w:r w:rsidRPr="001A2EF6">
        <w:rPr>
          <w:rFonts w:ascii="Times New Roman" w:hAnsi="Times New Roman" w:cs="Times New Roman"/>
          <w:i/>
          <w:iCs/>
          <w:color w:val="000000" w:themeColor="text1"/>
          <w:sz w:val="24"/>
          <w:szCs w:val="24"/>
        </w:rPr>
        <w:t>(reverse scored).</w:t>
      </w:r>
    </w:p>
    <w:p w14:paraId="17BE1F62"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My organisation enables thoughtful decision-making rather than rushed action.</w:t>
      </w:r>
    </w:p>
    <w:p w14:paraId="73C6B416"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am given the structural conditions to focus on what matters most.</w:t>
      </w:r>
    </w:p>
    <w:p w14:paraId="28F7A6C1" w14:textId="77777777" w:rsidR="00BB76F2" w:rsidRPr="001A2EF6" w:rsidRDefault="00BB76F2" w:rsidP="00BB76F2">
      <w:pPr>
        <w:numPr>
          <w:ilvl w:val="0"/>
          <w:numId w:val="6"/>
        </w:numPr>
        <w:spacing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The leadership system I work within promotes depth over speed in decision-making.</w:t>
      </w:r>
    </w:p>
    <w:p w14:paraId="3FC51035" w14:textId="77777777" w:rsidR="00BB76F2" w:rsidRPr="001A2EF6" w:rsidRDefault="00BB76F2" w:rsidP="00BB76F2">
      <w:pPr>
        <w:spacing w:line="360" w:lineRule="auto"/>
        <w:rPr>
          <w:rFonts w:ascii="Times New Roman" w:hAnsi="Times New Roman" w:cs="Times New Roman"/>
          <w:color w:val="000000" w:themeColor="text1"/>
          <w:sz w:val="24"/>
          <w:szCs w:val="24"/>
          <w:u w:val="single"/>
        </w:rPr>
      </w:pPr>
    </w:p>
    <w:p w14:paraId="060B8FC8" w14:textId="77777777" w:rsidR="00BB76F2" w:rsidRPr="001A2EF6" w:rsidRDefault="00BB76F2" w:rsidP="00C727C5">
      <w:pPr>
        <w:rPr>
          <w:rFonts w:ascii="Times New Roman" w:hAnsi="Times New Roman" w:cs="Times New Roman"/>
          <w:b/>
          <w:bCs/>
          <w:u w:val="single"/>
        </w:rPr>
      </w:pPr>
      <w:r w:rsidRPr="001A2EF6">
        <w:rPr>
          <w:rFonts w:ascii="Times New Roman" w:hAnsi="Times New Roman" w:cs="Times New Roman"/>
          <w:b/>
          <w:bCs/>
          <w:u w:val="single"/>
        </w:rPr>
        <w:t>Category 5: Cognitive Resilience and Strategic Recovery</w:t>
      </w:r>
    </w:p>
    <w:p w14:paraId="0497ACEC"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Description:</w:t>
      </w:r>
      <w:r w:rsidRPr="001A2EF6">
        <w:rPr>
          <w:rFonts w:ascii="Times New Roman" w:hAnsi="Times New Roman" w:cs="Times New Roman"/>
          <w:color w:val="000000" w:themeColor="text1"/>
          <w:sz w:val="24"/>
          <w:szCs w:val="24"/>
        </w:rPr>
        <w:br/>
        <w:t>This section measures your mental resilience; your ability to remain clear-headed, adaptive, and strategically effective under sustained pressure, ambiguity, or fatigue. The questions assess how you recover from cognitive depletion and maintain strategic focus over time.</w:t>
      </w:r>
    </w:p>
    <w:p w14:paraId="49D1953A"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Questions:</w:t>
      </w:r>
    </w:p>
    <w:p w14:paraId="0856B474" w14:textId="77777777" w:rsidR="00BB76F2" w:rsidRPr="001A2EF6" w:rsidRDefault="00BB76F2" w:rsidP="00BB76F2">
      <w:pPr>
        <w:numPr>
          <w:ilvl w:val="0"/>
          <w:numId w:val="6"/>
        </w:numPr>
        <w:spacing w:after="0"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I am able to maintain strategic focus even when working under high levels of uncertainty.</w:t>
      </w:r>
    </w:p>
    <w:p w14:paraId="01558C94" w14:textId="77777777" w:rsidR="00BB76F2" w:rsidRPr="001A2EF6" w:rsidRDefault="00BB76F2" w:rsidP="00BB76F2">
      <w:pPr>
        <w:numPr>
          <w:ilvl w:val="0"/>
          <w:numId w:val="6"/>
        </w:numPr>
        <w:spacing w:after="0" w:line="360" w:lineRule="auto"/>
        <w:contextualSpacing/>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I tend to approach complex decisions without a structured reasoning process </w:t>
      </w:r>
      <w:r w:rsidRPr="001A2EF6">
        <w:rPr>
          <w:rFonts w:ascii="Times New Roman" w:hAnsi="Times New Roman" w:cs="Times New Roman"/>
          <w:i/>
          <w:iCs/>
          <w:color w:val="000000" w:themeColor="text1"/>
          <w:sz w:val="24"/>
          <w:szCs w:val="24"/>
        </w:rPr>
        <w:t>(inverted question).</w:t>
      </w:r>
    </w:p>
    <w:p w14:paraId="49FEB35A"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34. After periods of intense cognitive effort, I am able to mentally recover without long-term depletion </w:t>
      </w:r>
      <w:r w:rsidRPr="001A2EF6">
        <w:rPr>
          <w:rFonts w:ascii="Times New Roman" w:hAnsi="Times New Roman" w:cs="Times New Roman"/>
          <w:i/>
          <w:iCs/>
          <w:color w:val="000000" w:themeColor="text1"/>
          <w:sz w:val="24"/>
          <w:szCs w:val="24"/>
        </w:rPr>
        <w:t>(reverse scored).</w:t>
      </w:r>
    </w:p>
    <w:p w14:paraId="4B335644"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35. When facing prolonged stress or ambiguity, I adapt my thinking rather than becoming mentally fatigued </w:t>
      </w:r>
      <w:r w:rsidRPr="001A2EF6">
        <w:rPr>
          <w:rFonts w:ascii="Times New Roman" w:hAnsi="Times New Roman" w:cs="Times New Roman"/>
          <w:i/>
          <w:iCs/>
          <w:color w:val="000000" w:themeColor="text1"/>
          <w:sz w:val="24"/>
          <w:szCs w:val="24"/>
        </w:rPr>
        <w:t>(reverse scored).</w:t>
      </w:r>
    </w:p>
    <w:p w14:paraId="0B815A74"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36. I have developed personal strategies that help me regain mental clarity after difficult decisions.</w:t>
      </w:r>
    </w:p>
    <w:p w14:paraId="7C77CF41"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lastRenderedPageBreak/>
        <w:t>37. Even during cognitively demanding weeks, I am able to preserve a high level of strategic performance.</w:t>
      </w:r>
    </w:p>
    <w:p w14:paraId="1B56FCE2"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38. I notice when I am nearing cognitive overload and take effective steps to mitigate it.</w:t>
      </w:r>
    </w:p>
    <w:p w14:paraId="73301EC6"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39. I am confident in my ability to think clearly, even during times of prolonged pressure or ambiguity.</w:t>
      </w:r>
    </w:p>
    <w:p w14:paraId="1819865F" w14:textId="77777777" w:rsidR="00BB76F2" w:rsidRPr="001A2EF6" w:rsidRDefault="00BB76F2" w:rsidP="00BB76F2">
      <w:pPr>
        <w:spacing w:after="0" w:line="360" w:lineRule="auto"/>
        <w:rPr>
          <w:rFonts w:ascii="Times New Roman" w:hAnsi="Times New Roman" w:cs="Times New Roman"/>
          <w:color w:val="000000" w:themeColor="text1"/>
          <w:sz w:val="24"/>
          <w:szCs w:val="24"/>
        </w:rPr>
      </w:pPr>
    </w:p>
    <w:p w14:paraId="2644A87B" w14:textId="77777777" w:rsidR="00BB76F2" w:rsidRPr="001A2EF6" w:rsidRDefault="00BB76F2" w:rsidP="00BB76F2">
      <w:pPr>
        <w:spacing w:after="0" w:line="360" w:lineRule="auto"/>
        <w:rPr>
          <w:rFonts w:ascii="Times New Roman" w:hAnsi="Times New Roman" w:cs="Times New Roman"/>
          <w:color w:val="000000" w:themeColor="text1"/>
          <w:sz w:val="24"/>
          <w:szCs w:val="24"/>
        </w:rPr>
      </w:pPr>
    </w:p>
    <w:p w14:paraId="3300327A" w14:textId="77777777" w:rsidR="00BB76F2" w:rsidRPr="001A2EF6" w:rsidRDefault="00BB76F2" w:rsidP="00BB76F2">
      <w:pPr>
        <w:keepNext/>
        <w:keepLines/>
        <w:spacing w:before="160" w:after="80" w:line="360" w:lineRule="auto"/>
        <w:outlineLvl w:val="1"/>
        <w:rPr>
          <w:rFonts w:ascii="Times New Roman" w:eastAsiaTheme="majorEastAsia" w:hAnsi="Times New Roman" w:cs="Times New Roman"/>
          <w:color w:val="0F4761" w:themeColor="accent1" w:themeShade="BF"/>
          <w:sz w:val="24"/>
          <w:szCs w:val="24"/>
        </w:rPr>
      </w:pPr>
    </w:p>
    <w:p w14:paraId="299D4A37" w14:textId="77777777" w:rsidR="00BB76F2" w:rsidRPr="001A2EF6" w:rsidRDefault="00BB76F2" w:rsidP="00B35536">
      <w:pPr>
        <w:rPr>
          <w:rFonts w:ascii="Times New Roman" w:hAnsi="Times New Roman" w:cs="Times New Roman"/>
          <w:b/>
          <w:bCs/>
          <w:u w:val="single"/>
        </w:rPr>
      </w:pPr>
      <w:r w:rsidRPr="001A2EF6">
        <w:rPr>
          <w:rFonts w:ascii="Times New Roman" w:hAnsi="Times New Roman" w:cs="Times New Roman"/>
          <w:b/>
          <w:bCs/>
          <w:u w:val="single"/>
        </w:rPr>
        <w:t>Category 6: Self-Regulation and Metacognitive Awareness</w:t>
      </w:r>
    </w:p>
    <w:p w14:paraId="1234D5EF"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Description:</w:t>
      </w:r>
      <w:r w:rsidRPr="001A2EF6">
        <w:rPr>
          <w:rFonts w:ascii="Times New Roman" w:hAnsi="Times New Roman" w:cs="Times New Roman"/>
          <w:color w:val="000000" w:themeColor="text1"/>
          <w:sz w:val="24"/>
          <w:szCs w:val="24"/>
        </w:rPr>
        <w:br/>
        <w:t>This section explores the extent to which you apply structured cognitive practices in your professional life. It includes the use of reflective techniques, mental frameworks, decision protocols, and intentional routines that contribute to ongoing clarity, learning, and strategic foresight.</w:t>
      </w:r>
    </w:p>
    <w:p w14:paraId="0FFFDCE9" w14:textId="77777777" w:rsidR="00BB76F2" w:rsidRPr="001A2EF6" w:rsidRDefault="00BB76F2" w:rsidP="00BB76F2">
      <w:pPr>
        <w:spacing w:line="360" w:lineRule="auto"/>
        <w:rPr>
          <w:rFonts w:ascii="Times New Roman" w:hAnsi="Times New Roman" w:cs="Times New Roman"/>
          <w:color w:val="000000" w:themeColor="text1"/>
          <w:sz w:val="24"/>
          <w:szCs w:val="24"/>
        </w:rPr>
      </w:pPr>
      <w:r w:rsidRPr="001A2EF6">
        <w:rPr>
          <w:rFonts w:ascii="Times New Roman" w:hAnsi="Times New Roman" w:cs="Times New Roman"/>
          <w:b/>
          <w:bCs/>
          <w:color w:val="000000" w:themeColor="text1"/>
          <w:sz w:val="24"/>
          <w:szCs w:val="24"/>
        </w:rPr>
        <w:t>Questions:</w:t>
      </w:r>
    </w:p>
    <w:p w14:paraId="65CA9B21"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40. I regularly engage in structured reflection to improve my strategic decision-making.</w:t>
      </w:r>
    </w:p>
    <w:p w14:paraId="28AE1B94"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41.  I use deliberate mental frameworks (e.g. red teaming, reframing, OODA loop, First Principles Reasoning) when approaching complex challenges.</w:t>
      </w:r>
    </w:p>
    <w:p w14:paraId="3A64C765"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42. My organisation lacks consistent practices that support reflective leadership </w:t>
      </w:r>
      <w:r w:rsidRPr="001A2EF6">
        <w:rPr>
          <w:rFonts w:ascii="Times New Roman" w:hAnsi="Times New Roman" w:cs="Times New Roman"/>
          <w:i/>
          <w:iCs/>
          <w:color w:val="000000" w:themeColor="text1"/>
          <w:sz w:val="24"/>
          <w:szCs w:val="24"/>
        </w:rPr>
        <w:t>(inverted question).</w:t>
      </w:r>
    </w:p>
    <w:p w14:paraId="4742443C"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 xml:space="preserve">43. I track or document decision-making processes to learn from past experiences </w:t>
      </w:r>
      <w:r w:rsidRPr="001A2EF6">
        <w:rPr>
          <w:rFonts w:ascii="Times New Roman" w:hAnsi="Times New Roman" w:cs="Times New Roman"/>
          <w:i/>
          <w:iCs/>
          <w:color w:val="000000" w:themeColor="text1"/>
          <w:sz w:val="24"/>
          <w:szCs w:val="24"/>
        </w:rPr>
        <w:t>(reverse scored).</w:t>
      </w:r>
    </w:p>
    <w:p w14:paraId="544083C4"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44. I am aware of how my cognitive state affects the quality of my strategic decisions.</w:t>
      </w:r>
    </w:p>
    <w:p w14:paraId="4A0BEB77" w14:textId="77777777" w:rsidR="00BB76F2" w:rsidRPr="001A2EF6" w:rsidRDefault="00BB76F2" w:rsidP="00BB76F2">
      <w:pPr>
        <w:spacing w:after="0" w:line="360" w:lineRule="auto"/>
        <w:rPr>
          <w:rFonts w:ascii="Times New Roman" w:hAnsi="Times New Roman" w:cs="Times New Roman"/>
          <w:i/>
          <w:iCs/>
          <w:color w:val="000000" w:themeColor="text1"/>
          <w:sz w:val="24"/>
          <w:szCs w:val="24"/>
        </w:rPr>
      </w:pPr>
      <w:r w:rsidRPr="001A2EF6">
        <w:rPr>
          <w:rFonts w:ascii="Times New Roman" w:hAnsi="Times New Roman" w:cs="Times New Roman"/>
          <w:color w:val="000000" w:themeColor="text1"/>
          <w:sz w:val="24"/>
          <w:szCs w:val="24"/>
        </w:rPr>
        <w:t xml:space="preserve">45. I intentionally adjust my mental approach depending on the level of ambiguity or volatility </w:t>
      </w:r>
      <w:r w:rsidRPr="001A2EF6">
        <w:rPr>
          <w:rFonts w:ascii="Times New Roman" w:hAnsi="Times New Roman" w:cs="Times New Roman"/>
          <w:i/>
          <w:iCs/>
          <w:color w:val="000000" w:themeColor="text1"/>
          <w:sz w:val="24"/>
          <w:szCs w:val="24"/>
        </w:rPr>
        <w:t>(reverse scored).</w:t>
      </w:r>
    </w:p>
    <w:p w14:paraId="46551856" w14:textId="77777777" w:rsidR="00BB76F2" w:rsidRPr="001A2EF6" w:rsidRDefault="00BB76F2" w:rsidP="00BB76F2">
      <w:pPr>
        <w:spacing w:after="0" w:line="360" w:lineRule="auto"/>
        <w:rPr>
          <w:rFonts w:ascii="Times New Roman" w:hAnsi="Times New Roman" w:cs="Times New Roman"/>
          <w:color w:val="000000" w:themeColor="text1"/>
          <w:sz w:val="24"/>
          <w:szCs w:val="24"/>
        </w:rPr>
      </w:pPr>
      <w:r w:rsidRPr="001A2EF6">
        <w:rPr>
          <w:rFonts w:ascii="Times New Roman" w:hAnsi="Times New Roman" w:cs="Times New Roman"/>
          <w:color w:val="000000" w:themeColor="text1"/>
          <w:sz w:val="24"/>
          <w:szCs w:val="24"/>
        </w:rPr>
        <w:t>46. I seek feedback specifically to refine my own strategic thinking patterns.</w:t>
      </w:r>
    </w:p>
    <w:p w14:paraId="0C300C43" w14:textId="1AC41FE9" w:rsidR="00E310AA" w:rsidRPr="001A2EF6" w:rsidRDefault="00E310AA" w:rsidP="00E310AA">
      <w:pPr>
        <w:spacing w:line="360" w:lineRule="auto"/>
        <w:rPr>
          <w:rFonts w:ascii="Times New Roman" w:hAnsi="Times New Roman" w:cs="Times New Roman"/>
          <w:sz w:val="24"/>
          <w:szCs w:val="24"/>
        </w:rPr>
      </w:pPr>
    </w:p>
    <w:p w14:paraId="18E99978" w14:textId="77777777" w:rsidR="00AF7BCF" w:rsidRPr="001A2EF6" w:rsidRDefault="00AF7BCF" w:rsidP="00705EE8">
      <w:pPr>
        <w:pStyle w:val="Heading2"/>
        <w:rPr>
          <w:rFonts w:ascii="Times New Roman" w:hAnsi="Times New Roman" w:cs="Times New Roman"/>
          <w:b/>
          <w:bCs/>
        </w:rPr>
      </w:pPr>
    </w:p>
    <w:p w14:paraId="2A1A7AC1" w14:textId="77777777" w:rsidR="00AF7BCF" w:rsidRPr="001A2EF6" w:rsidRDefault="00AF7BCF" w:rsidP="00705EE8">
      <w:pPr>
        <w:pStyle w:val="Heading2"/>
        <w:rPr>
          <w:rFonts w:ascii="Times New Roman" w:hAnsi="Times New Roman" w:cs="Times New Roman"/>
          <w:b/>
          <w:bCs/>
        </w:rPr>
      </w:pPr>
    </w:p>
    <w:p w14:paraId="2CC7D46D" w14:textId="77777777" w:rsidR="00FC5915" w:rsidRPr="001A2EF6" w:rsidRDefault="00FC5915" w:rsidP="00FC5915">
      <w:pPr>
        <w:rPr>
          <w:rFonts w:ascii="Times New Roman" w:hAnsi="Times New Roman" w:cs="Times New Roman"/>
          <w:b/>
          <w:bCs/>
          <w:u w:val="single"/>
        </w:rPr>
      </w:pPr>
    </w:p>
    <w:p w14:paraId="55FCA361" w14:textId="77777777" w:rsidR="0046227C" w:rsidRDefault="0046227C">
      <w:pPr>
        <w:rPr>
          <w:rFonts w:ascii="Times New Roman" w:eastAsiaTheme="majorEastAsia" w:hAnsi="Times New Roman" w:cs="Times New Roman"/>
          <w:b/>
          <w:bCs/>
          <w:color w:val="0F4761" w:themeColor="accent1" w:themeShade="BF"/>
          <w:sz w:val="32"/>
          <w:szCs w:val="32"/>
          <w:u w:val="single"/>
        </w:rPr>
      </w:pPr>
      <w:r>
        <w:rPr>
          <w:rFonts w:ascii="Times New Roman" w:hAnsi="Times New Roman" w:cs="Times New Roman"/>
          <w:b/>
          <w:bCs/>
          <w:u w:val="single"/>
        </w:rPr>
        <w:br w:type="page"/>
      </w:r>
    </w:p>
    <w:p w14:paraId="782EECD7" w14:textId="7AC78DB4" w:rsidR="00992EE3" w:rsidRPr="001A2EF6" w:rsidRDefault="00E310AA" w:rsidP="00705EE8">
      <w:pPr>
        <w:pStyle w:val="Heading2"/>
        <w:rPr>
          <w:rFonts w:ascii="Times New Roman" w:hAnsi="Times New Roman" w:cs="Times New Roman"/>
          <w:b/>
          <w:bCs/>
          <w:i/>
          <w:iCs/>
          <w:u w:val="single"/>
        </w:rPr>
      </w:pPr>
      <w:bookmarkStart w:id="59" w:name="_Toc206317541"/>
      <w:r w:rsidRPr="001A2EF6">
        <w:rPr>
          <w:rFonts w:ascii="Times New Roman" w:hAnsi="Times New Roman" w:cs="Times New Roman"/>
          <w:b/>
          <w:bCs/>
          <w:u w:val="single"/>
        </w:rPr>
        <w:lastRenderedPageBreak/>
        <w:t>Appendix F</w:t>
      </w:r>
      <w:r w:rsidR="00EC790C">
        <w:rPr>
          <w:rFonts w:ascii="Times New Roman" w:hAnsi="Times New Roman" w:cs="Times New Roman"/>
          <w:b/>
          <w:bCs/>
          <w:u w:val="single"/>
        </w:rPr>
        <w:t>our</w:t>
      </w:r>
      <w:r w:rsidRPr="001A2EF6">
        <w:rPr>
          <w:rFonts w:ascii="Times New Roman" w:hAnsi="Times New Roman" w:cs="Times New Roman"/>
          <w:b/>
          <w:bCs/>
          <w:u w:val="single"/>
        </w:rPr>
        <w:t xml:space="preserve"> (</w:t>
      </w:r>
      <w:r w:rsidR="00FC5915" w:rsidRPr="001A2EF6">
        <w:rPr>
          <w:rFonts w:ascii="Times New Roman" w:hAnsi="Times New Roman" w:cs="Times New Roman"/>
          <w:b/>
          <w:bCs/>
          <w:u w:val="single"/>
        </w:rPr>
        <w:t>d</w:t>
      </w:r>
      <w:r w:rsidRPr="001A2EF6">
        <w:rPr>
          <w:rFonts w:ascii="Times New Roman" w:hAnsi="Times New Roman" w:cs="Times New Roman"/>
          <w:b/>
          <w:bCs/>
          <w:u w:val="single"/>
        </w:rPr>
        <w:t xml:space="preserve">): </w:t>
      </w:r>
      <w:r w:rsidR="00992EE3" w:rsidRPr="001A2EF6">
        <w:rPr>
          <w:rFonts w:ascii="Times New Roman" w:hAnsi="Times New Roman" w:cs="Times New Roman"/>
          <w:b/>
          <w:bCs/>
          <w:i/>
          <w:iCs/>
          <w:u w:val="single"/>
        </w:rPr>
        <w:t>Survey Data</w:t>
      </w:r>
      <w:bookmarkEnd w:id="59"/>
    </w:p>
    <w:p w14:paraId="711271D5" w14:textId="77777777" w:rsidR="0046227C" w:rsidRDefault="0046227C" w:rsidP="0046227C">
      <w:pPr>
        <w:spacing w:line="360" w:lineRule="auto"/>
        <w:rPr>
          <w:rFonts w:ascii="Times New Roman" w:hAnsi="Times New Roman" w:cs="Times New Roman"/>
          <w:sz w:val="24"/>
          <w:szCs w:val="24"/>
        </w:rPr>
      </w:pPr>
    </w:p>
    <w:p w14:paraId="1EB515BC" w14:textId="648EE27E" w:rsidR="001A2EF6" w:rsidRDefault="0046227C" w:rsidP="0046227C">
      <w:pPr>
        <w:spacing w:line="360" w:lineRule="auto"/>
        <w:rPr>
          <w:rFonts w:ascii="Times New Roman" w:hAnsi="Times New Roman" w:cs="Times New Roman"/>
          <w:sz w:val="24"/>
          <w:szCs w:val="24"/>
        </w:rPr>
      </w:pPr>
      <w:r w:rsidRPr="00B92AD0">
        <w:rPr>
          <w:rFonts w:ascii="Times New Roman" w:hAnsi="Times New Roman" w:cs="Times New Roman"/>
          <w:b/>
          <w:bCs/>
          <w:sz w:val="24"/>
          <w:szCs w:val="24"/>
        </w:rPr>
        <w:t>Questions 1, 2</w:t>
      </w:r>
      <w:r w:rsidR="007101F5">
        <w:rPr>
          <w:rFonts w:ascii="Times New Roman" w:hAnsi="Times New Roman" w:cs="Times New Roman"/>
          <w:b/>
          <w:bCs/>
          <w:sz w:val="24"/>
          <w:szCs w:val="24"/>
        </w:rPr>
        <w:t xml:space="preserve">, </w:t>
      </w:r>
      <w:r w:rsidRPr="00B92AD0">
        <w:rPr>
          <w:rFonts w:ascii="Times New Roman" w:hAnsi="Times New Roman" w:cs="Times New Roman"/>
          <w:b/>
          <w:bCs/>
          <w:sz w:val="24"/>
          <w:szCs w:val="24"/>
        </w:rPr>
        <w:t>3</w:t>
      </w:r>
      <w:r w:rsidR="007101F5">
        <w:rPr>
          <w:rFonts w:ascii="Times New Roman" w:hAnsi="Times New Roman" w:cs="Times New Roman"/>
          <w:b/>
          <w:bCs/>
          <w:sz w:val="24"/>
          <w:szCs w:val="24"/>
        </w:rPr>
        <w:t>, 47, 48 and 49</w:t>
      </w:r>
      <w:r w:rsidRPr="0046227C">
        <w:rPr>
          <w:rFonts w:ascii="Times New Roman" w:hAnsi="Times New Roman" w:cs="Times New Roman"/>
          <w:sz w:val="24"/>
          <w:szCs w:val="24"/>
        </w:rPr>
        <w:t xml:space="preserve"> have been anonymised in order to protect the confidentiality of participants and uphold ethical research standards. This approach ensures that any identifying information is removed, thereby safeguarding the integrity of the data collection process and aligning with established principles of research ethics and data protection.</w:t>
      </w:r>
    </w:p>
    <w:p w14:paraId="0F2F1619" w14:textId="77777777" w:rsidR="007910DD" w:rsidRDefault="007910DD" w:rsidP="0046227C">
      <w:pPr>
        <w:spacing w:line="360" w:lineRule="auto"/>
        <w:rPr>
          <w:rFonts w:ascii="Times New Roman" w:hAnsi="Times New Roman" w:cs="Times New Roman"/>
          <w:sz w:val="24"/>
          <w:szCs w:val="24"/>
        </w:rPr>
      </w:pPr>
    </w:p>
    <w:p w14:paraId="799FD6BB" w14:textId="77777777" w:rsidR="007910DD" w:rsidRPr="0046227C" w:rsidRDefault="007910DD" w:rsidP="0046227C">
      <w:pPr>
        <w:spacing w:line="360" w:lineRule="auto"/>
        <w:rPr>
          <w:rFonts w:ascii="Times New Roman" w:hAnsi="Times New Roman" w:cs="Times New Roman"/>
          <w:sz w:val="24"/>
          <w:szCs w:val="24"/>
        </w:rPr>
      </w:pPr>
    </w:p>
    <w:p w14:paraId="64C45545" w14:textId="545DF92F" w:rsidR="006D4453" w:rsidRPr="001A2EF6" w:rsidRDefault="00A7594B" w:rsidP="00024AD4">
      <w:r w:rsidRPr="001A2EF6">
        <w:rPr>
          <w:noProof/>
        </w:rPr>
        <w:drawing>
          <wp:inline distT="0" distB="0" distL="0" distR="0" wp14:anchorId="342D60F5" wp14:editId="5A0C5265">
            <wp:extent cx="5731510" cy="4617085"/>
            <wp:effectExtent l="0" t="0" r="2540" b="0"/>
            <wp:docPr id="429895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533" name="Picture 1" descr="A screenshot of a computer&#10;&#10;AI-generated content may be incorrect."/>
                    <pic:cNvPicPr/>
                  </pic:nvPicPr>
                  <pic:blipFill>
                    <a:blip r:embed="rId11"/>
                    <a:stretch>
                      <a:fillRect/>
                    </a:stretch>
                  </pic:blipFill>
                  <pic:spPr>
                    <a:xfrm>
                      <a:off x="0" y="0"/>
                      <a:ext cx="5731510" cy="4617085"/>
                    </a:xfrm>
                    <a:prstGeom prst="rect">
                      <a:avLst/>
                    </a:prstGeom>
                  </pic:spPr>
                </pic:pic>
              </a:graphicData>
            </a:graphic>
          </wp:inline>
        </w:drawing>
      </w:r>
    </w:p>
    <w:p w14:paraId="1A25D053" w14:textId="01AC37AF" w:rsidR="00A7594B" w:rsidRPr="001A2EF6" w:rsidRDefault="007C3BC0"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46E0D492" wp14:editId="1F2DA967">
            <wp:extent cx="5731510" cy="5310505"/>
            <wp:effectExtent l="0" t="0" r="2540" b="4445"/>
            <wp:docPr id="1706730184"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30184" name="Picture 1" descr="A screenshot of a survey&#10;&#10;AI-generated content may be incorrect."/>
                    <pic:cNvPicPr/>
                  </pic:nvPicPr>
                  <pic:blipFill>
                    <a:blip r:embed="rId12"/>
                    <a:stretch>
                      <a:fillRect/>
                    </a:stretch>
                  </pic:blipFill>
                  <pic:spPr>
                    <a:xfrm>
                      <a:off x="0" y="0"/>
                      <a:ext cx="5731510" cy="5310505"/>
                    </a:xfrm>
                    <a:prstGeom prst="rect">
                      <a:avLst/>
                    </a:prstGeom>
                  </pic:spPr>
                </pic:pic>
              </a:graphicData>
            </a:graphic>
          </wp:inline>
        </w:drawing>
      </w:r>
    </w:p>
    <w:p w14:paraId="6A42E027" w14:textId="65951478" w:rsidR="007C3BC0" w:rsidRPr="001A2EF6" w:rsidRDefault="00183F8A"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233F3323" wp14:editId="6365931A">
            <wp:extent cx="5731510" cy="4229100"/>
            <wp:effectExtent l="0" t="0" r="2540" b="0"/>
            <wp:docPr id="39117096" name="Picture 1"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7096" name="Picture 1" descr="A graph with a green line&#10;&#10;AI-generated content may be incorrect."/>
                    <pic:cNvPicPr/>
                  </pic:nvPicPr>
                  <pic:blipFill>
                    <a:blip r:embed="rId13"/>
                    <a:stretch>
                      <a:fillRect/>
                    </a:stretch>
                  </pic:blipFill>
                  <pic:spPr>
                    <a:xfrm>
                      <a:off x="0" y="0"/>
                      <a:ext cx="5731510" cy="4229100"/>
                    </a:xfrm>
                    <a:prstGeom prst="rect">
                      <a:avLst/>
                    </a:prstGeom>
                  </pic:spPr>
                </pic:pic>
              </a:graphicData>
            </a:graphic>
          </wp:inline>
        </w:drawing>
      </w:r>
    </w:p>
    <w:p w14:paraId="179971A7" w14:textId="01BCFABE" w:rsidR="004245CA" w:rsidRPr="001A2EF6" w:rsidRDefault="004245CA"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49EC0BC3" wp14:editId="6AAE5491">
            <wp:extent cx="5731510" cy="4528185"/>
            <wp:effectExtent l="0" t="0" r="2540" b="5715"/>
            <wp:docPr id="191124168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41685" name="Picture 1" descr="A screenshot of a graph&#10;&#10;AI-generated content may be incorrect."/>
                    <pic:cNvPicPr/>
                  </pic:nvPicPr>
                  <pic:blipFill>
                    <a:blip r:embed="rId14"/>
                    <a:stretch>
                      <a:fillRect/>
                    </a:stretch>
                  </pic:blipFill>
                  <pic:spPr>
                    <a:xfrm>
                      <a:off x="0" y="0"/>
                      <a:ext cx="5731510" cy="4528185"/>
                    </a:xfrm>
                    <a:prstGeom prst="rect">
                      <a:avLst/>
                    </a:prstGeom>
                  </pic:spPr>
                </pic:pic>
              </a:graphicData>
            </a:graphic>
          </wp:inline>
        </w:drawing>
      </w:r>
    </w:p>
    <w:p w14:paraId="09030DA0" w14:textId="1DEB1156" w:rsidR="00335B8D" w:rsidRPr="001A2EF6" w:rsidRDefault="00335B8D"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5E04C42B" wp14:editId="3A62A462">
            <wp:extent cx="5731510" cy="5361305"/>
            <wp:effectExtent l="0" t="0" r="2540" b="0"/>
            <wp:docPr id="1942069996"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69996" name="Picture 1" descr="A screenshot of a survey&#10;&#10;AI-generated content may be incorrect."/>
                    <pic:cNvPicPr/>
                  </pic:nvPicPr>
                  <pic:blipFill>
                    <a:blip r:embed="rId15"/>
                    <a:stretch>
                      <a:fillRect/>
                    </a:stretch>
                  </pic:blipFill>
                  <pic:spPr>
                    <a:xfrm>
                      <a:off x="0" y="0"/>
                      <a:ext cx="5731510" cy="5361305"/>
                    </a:xfrm>
                    <a:prstGeom prst="rect">
                      <a:avLst/>
                    </a:prstGeom>
                  </pic:spPr>
                </pic:pic>
              </a:graphicData>
            </a:graphic>
          </wp:inline>
        </w:drawing>
      </w:r>
    </w:p>
    <w:p w14:paraId="0F323E4A" w14:textId="056F5C1B" w:rsidR="00335B8D" w:rsidRPr="001A2EF6" w:rsidRDefault="000A2F70"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1C2D2C30" wp14:editId="51760347">
            <wp:extent cx="5731510" cy="4794885"/>
            <wp:effectExtent l="0" t="0" r="2540" b="5715"/>
            <wp:docPr id="9962924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92406" name="Picture 1" descr="A screenshot of a computer&#10;&#10;AI-generated content may be incorrect."/>
                    <pic:cNvPicPr/>
                  </pic:nvPicPr>
                  <pic:blipFill>
                    <a:blip r:embed="rId16"/>
                    <a:stretch>
                      <a:fillRect/>
                    </a:stretch>
                  </pic:blipFill>
                  <pic:spPr>
                    <a:xfrm>
                      <a:off x="0" y="0"/>
                      <a:ext cx="5731510" cy="4794885"/>
                    </a:xfrm>
                    <a:prstGeom prst="rect">
                      <a:avLst/>
                    </a:prstGeom>
                  </pic:spPr>
                </pic:pic>
              </a:graphicData>
            </a:graphic>
          </wp:inline>
        </w:drawing>
      </w:r>
    </w:p>
    <w:p w14:paraId="6282DD70" w14:textId="57285F0B" w:rsidR="000A2F70" w:rsidRPr="001A2EF6" w:rsidRDefault="00AD55DA"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42D303BC" wp14:editId="6AE330FF">
            <wp:extent cx="5731510" cy="5507990"/>
            <wp:effectExtent l="0" t="0" r="2540" b="0"/>
            <wp:docPr id="800295389"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5389" name="Picture 1" descr="A screenshot of a survey&#10;&#10;AI-generated content may be incorrect."/>
                    <pic:cNvPicPr/>
                  </pic:nvPicPr>
                  <pic:blipFill>
                    <a:blip r:embed="rId17"/>
                    <a:stretch>
                      <a:fillRect/>
                    </a:stretch>
                  </pic:blipFill>
                  <pic:spPr>
                    <a:xfrm>
                      <a:off x="0" y="0"/>
                      <a:ext cx="5731510" cy="5507990"/>
                    </a:xfrm>
                    <a:prstGeom prst="rect">
                      <a:avLst/>
                    </a:prstGeom>
                  </pic:spPr>
                </pic:pic>
              </a:graphicData>
            </a:graphic>
          </wp:inline>
        </w:drawing>
      </w:r>
    </w:p>
    <w:p w14:paraId="09E4E296" w14:textId="15702BE6" w:rsidR="00AD55DA" w:rsidRPr="001A2EF6" w:rsidRDefault="00E839B7"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3B3CCC12" wp14:editId="06B6076B">
            <wp:extent cx="5731510" cy="5284470"/>
            <wp:effectExtent l="0" t="0" r="2540" b="0"/>
            <wp:docPr id="150191253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12538" name="Picture 1" descr="A screenshot of a graph&#10;&#10;AI-generated content may be incorrect."/>
                    <pic:cNvPicPr/>
                  </pic:nvPicPr>
                  <pic:blipFill>
                    <a:blip r:embed="rId18"/>
                    <a:stretch>
                      <a:fillRect/>
                    </a:stretch>
                  </pic:blipFill>
                  <pic:spPr>
                    <a:xfrm>
                      <a:off x="0" y="0"/>
                      <a:ext cx="5731510" cy="5284470"/>
                    </a:xfrm>
                    <a:prstGeom prst="rect">
                      <a:avLst/>
                    </a:prstGeom>
                  </pic:spPr>
                </pic:pic>
              </a:graphicData>
            </a:graphic>
          </wp:inline>
        </w:drawing>
      </w:r>
      <w:r w:rsidR="00EF698A" w:rsidRPr="001A2EF6">
        <w:rPr>
          <w:rFonts w:ascii="Times New Roman" w:hAnsi="Times New Roman" w:cs="Times New Roman"/>
          <w:noProof/>
        </w:rPr>
        <w:lastRenderedPageBreak/>
        <w:drawing>
          <wp:inline distT="0" distB="0" distL="0" distR="0" wp14:anchorId="0B50CA42" wp14:editId="32438391">
            <wp:extent cx="5731510" cy="4910455"/>
            <wp:effectExtent l="0" t="0" r="2540" b="4445"/>
            <wp:docPr id="169868279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82791" name="Picture 1" descr="A screenshot of a graph&#10;&#10;AI-generated content may be incorrect."/>
                    <pic:cNvPicPr/>
                  </pic:nvPicPr>
                  <pic:blipFill>
                    <a:blip r:embed="rId19"/>
                    <a:stretch>
                      <a:fillRect/>
                    </a:stretch>
                  </pic:blipFill>
                  <pic:spPr>
                    <a:xfrm>
                      <a:off x="0" y="0"/>
                      <a:ext cx="5731510" cy="4910455"/>
                    </a:xfrm>
                    <a:prstGeom prst="rect">
                      <a:avLst/>
                    </a:prstGeom>
                  </pic:spPr>
                </pic:pic>
              </a:graphicData>
            </a:graphic>
          </wp:inline>
        </w:drawing>
      </w:r>
    </w:p>
    <w:p w14:paraId="2275AEBE" w14:textId="77777777" w:rsidR="00EF698A" w:rsidRPr="001A2EF6" w:rsidRDefault="00EF698A" w:rsidP="00A7594B">
      <w:pPr>
        <w:rPr>
          <w:rFonts w:ascii="Times New Roman" w:hAnsi="Times New Roman" w:cs="Times New Roman"/>
        </w:rPr>
      </w:pPr>
    </w:p>
    <w:p w14:paraId="60674C4B" w14:textId="3575EDC2" w:rsidR="003129C4" w:rsidRPr="001A2EF6" w:rsidRDefault="003129C4"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4F39F21F" wp14:editId="3899FA3F">
            <wp:extent cx="5731510" cy="5313045"/>
            <wp:effectExtent l="0" t="0" r="2540" b="1905"/>
            <wp:docPr id="755789477"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89477" name="Picture 1" descr="A screenshot of a survey&#10;&#10;AI-generated content may be incorrect."/>
                    <pic:cNvPicPr/>
                  </pic:nvPicPr>
                  <pic:blipFill>
                    <a:blip r:embed="rId20"/>
                    <a:stretch>
                      <a:fillRect/>
                    </a:stretch>
                  </pic:blipFill>
                  <pic:spPr>
                    <a:xfrm>
                      <a:off x="0" y="0"/>
                      <a:ext cx="5731510" cy="5313045"/>
                    </a:xfrm>
                    <a:prstGeom prst="rect">
                      <a:avLst/>
                    </a:prstGeom>
                  </pic:spPr>
                </pic:pic>
              </a:graphicData>
            </a:graphic>
          </wp:inline>
        </w:drawing>
      </w:r>
    </w:p>
    <w:p w14:paraId="0EDA86E0" w14:textId="1CC162C8" w:rsidR="003129C4" w:rsidRPr="001A2EF6" w:rsidRDefault="002431C5"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41F75C89" wp14:editId="3D2159A4">
            <wp:extent cx="5731510" cy="5057775"/>
            <wp:effectExtent l="0" t="0" r="2540" b="9525"/>
            <wp:docPr id="428135326"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35326" name="Picture 1" descr="A screenshot of a survey&#10;&#10;AI-generated content may be incorrect."/>
                    <pic:cNvPicPr/>
                  </pic:nvPicPr>
                  <pic:blipFill>
                    <a:blip r:embed="rId21"/>
                    <a:stretch>
                      <a:fillRect/>
                    </a:stretch>
                  </pic:blipFill>
                  <pic:spPr>
                    <a:xfrm>
                      <a:off x="0" y="0"/>
                      <a:ext cx="5731510" cy="5057775"/>
                    </a:xfrm>
                    <a:prstGeom prst="rect">
                      <a:avLst/>
                    </a:prstGeom>
                  </pic:spPr>
                </pic:pic>
              </a:graphicData>
            </a:graphic>
          </wp:inline>
        </w:drawing>
      </w:r>
    </w:p>
    <w:p w14:paraId="08ADCCBB" w14:textId="77777777" w:rsidR="002431C5" w:rsidRPr="001A2EF6" w:rsidRDefault="002431C5" w:rsidP="00A7594B">
      <w:pPr>
        <w:rPr>
          <w:rFonts w:ascii="Times New Roman" w:hAnsi="Times New Roman" w:cs="Times New Roman"/>
        </w:rPr>
      </w:pPr>
    </w:p>
    <w:p w14:paraId="58DF09C5" w14:textId="1AC47A19" w:rsidR="002431C5" w:rsidRPr="001A2EF6" w:rsidRDefault="002431C5"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7E8CC740" wp14:editId="59102E74">
            <wp:extent cx="5731510" cy="5147310"/>
            <wp:effectExtent l="0" t="0" r="2540" b="0"/>
            <wp:docPr id="1764328355" name="Picture 1"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28355" name="Picture 1" descr="A pie chart with text and numbers&#10;&#10;AI-generated content may be incorrect."/>
                    <pic:cNvPicPr/>
                  </pic:nvPicPr>
                  <pic:blipFill>
                    <a:blip r:embed="rId22"/>
                    <a:stretch>
                      <a:fillRect/>
                    </a:stretch>
                  </pic:blipFill>
                  <pic:spPr>
                    <a:xfrm>
                      <a:off x="0" y="0"/>
                      <a:ext cx="5731510" cy="5147310"/>
                    </a:xfrm>
                    <a:prstGeom prst="rect">
                      <a:avLst/>
                    </a:prstGeom>
                  </pic:spPr>
                </pic:pic>
              </a:graphicData>
            </a:graphic>
          </wp:inline>
        </w:drawing>
      </w:r>
    </w:p>
    <w:p w14:paraId="23607E72" w14:textId="77777777" w:rsidR="002431C5" w:rsidRPr="001A2EF6" w:rsidRDefault="002431C5" w:rsidP="00A7594B">
      <w:pPr>
        <w:rPr>
          <w:rFonts w:ascii="Times New Roman" w:hAnsi="Times New Roman" w:cs="Times New Roman"/>
        </w:rPr>
      </w:pPr>
    </w:p>
    <w:p w14:paraId="6742C972" w14:textId="5FA020B3" w:rsidR="002431C5" w:rsidRPr="001A2EF6" w:rsidRDefault="00417F35" w:rsidP="00A7594B">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1D1354A9" wp14:editId="08EDF9FE">
            <wp:extent cx="5731510" cy="5442585"/>
            <wp:effectExtent l="0" t="0" r="2540" b="5715"/>
            <wp:docPr id="123129364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93646" name="Picture 1" descr="A screenshot of a graph&#10;&#10;AI-generated content may be incorrect."/>
                    <pic:cNvPicPr/>
                  </pic:nvPicPr>
                  <pic:blipFill>
                    <a:blip r:embed="rId23"/>
                    <a:stretch>
                      <a:fillRect/>
                    </a:stretch>
                  </pic:blipFill>
                  <pic:spPr>
                    <a:xfrm>
                      <a:off x="0" y="0"/>
                      <a:ext cx="5731510" cy="5442585"/>
                    </a:xfrm>
                    <a:prstGeom prst="rect">
                      <a:avLst/>
                    </a:prstGeom>
                  </pic:spPr>
                </pic:pic>
              </a:graphicData>
            </a:graphic>
          </wp:inline>
        </w:drawing>
      </w:r>
    </w:p>
    <w:p w14:paraId="700DDDFC" w14:textId="68C66BC3" w:rsidR="00FD6080" w:rsidRPr="001A2EF6" w:rsidRDefault="00CA1E41">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2D6C8C21" wp14:editId="5874279D">
            <wp:extent cx="5731510" cy="5250180"/>
            <wp:effectExtent l="0" t="0" r="2540" b="7620"/>
            <wp:docPr id="557237421"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37421" name="Picture 1" descr="A screenshot of a survey&#10;&#10;AI-generated content may be incorrect."/>
                    <pic:cNvPicPr/>
                  </pic:nvPicPr>
                  <pic:blipFill>
                    <a:blip r:embed="rId24"/>
                    <a:stretch>
                      <a:fillRect/>
                    </a:stretch>
                  </pic:blipFill>
                  <pic:spPr>
                    <a:xfrm>
                      <a:off x="0" y="0"/>
                      <a:ext cx="5731510" cy="5250180"/>
                    </a:xfrm>
                    <a:prstGeom prst="rect">
                      <a:avLst/>
                    </a:prstGeom>
                  </pic:spPr>
                </pic:pic>
              </a:graphicData>
            </a:graphic>
          </wp:inline>
        </w:drawing>
      </w:r>
    </w:p>
    <w:p w14:paraId="509372F9" w14:textId="60CEADAB" w:rsidR="005608C6" w:rsidRPr="001A2EF6" w:rsidRDefault="005608C6">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73E97653" wp14:editId="2E55F9EA">
            <wp:extent cx="5731510" cy="5123815"/>
            <wp:effectExtent l="0" t="0" r="2540" b="635"/>
            <wp:docPr id="36924175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1752" name="Picture 1" descr="A screenshot of a graph&#10;&#10;AI-generated content may be incorrect."/>
                    <pic:cNvPicPr/>
                  </pic:nvPicPr>
                  <pic:blipFill>
                    <a:blip r:embed="rId25"/>
                    <a:stretch>
                      <a:fillRect/>
                    </a:stretch>
                  </pic:blipFill>
                  <pic:spPr>
                    <a:xfrm>
                      <a:off x="0" y="0"/>
                      <a:ext cx="5731510" cy="5123815"/>
                    </a:xfrm>
                    <a:prstGeom prst="rect">
                      <a:avLst/>
                    </a:prstGeom>
                  </pic:spPr>
                </pic:pic>
              </a:graphicData>
            </a:graphic>
          </wp:inline>
        </w:drawing>
      </w:r>
    </w:p>
    <w:p w14:paraId="34BEB205" w14:textId="385BD440" w:rsidR="005608C6" w:rsidRPr="001A2EF6" w:rsidRDefault="00DF6E35">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35EA75B0" wp14:editId="73C078ED">
            <wp:extent cx="5731510" cy="5220335"/>
            <wp:effectExtent l="0" t="0" r="2540" b="0"/>
            <wp:docPr id="1848093105"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93105" name="Picture 1" descr="A screenshot of a survey&#10;&#10;AI-generated content may be incorrect."/>
                    <pic:cNvPicPr/>
                  </pic:nvPicPr>
                  <pic:blipFill>
                    <a:blip r:embed="rId26"/>
                    <a:stretch>
                      <a:fillRect/>
                    </a:stretch>
                  </pic:blipFill>
                  <pic:spPr>
                    <a:xfrm>
                      <a:off x="0" y="0"/>
                      <a:ext cx="5731510" cy="5220335"/>
                    </a:xfrm>
                    <a:prstGeom prst="rect">
                      <a:avLst/>
                    </a:prstGeom>
                  </pic:spPr>
                </pic:pic>
              </a:graphicData>
            </a:graphic>
          </wp:inline>
        </w:drawing>
      </w:r>
    </w:p>
    <w:p w14:paraId="32964141" w14:textId="71A83C98" w:rsidR="00DF6E35" w:rsidRPr="001A2EF6" w:rsidRDefault="00C75F58">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5E2992F8" wp14:editId="4EA2BCDA">
            <wp:extent cx="5731510" cy="5208905"/>
            <wp:effectExtent l="0" t="0" r="2540" b="0"/>
            <wp:docPr id="61997589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75897" name="Picture 1" descr="A screenshot of a graph&#10;&#10;AI-generated content may be incorrect."/>
                    <pic:cNvPicPr/>
                  </pic:nvPicPr>
                  <pic:blipFill>
                    <a:blip r:embed="rId27"/>
                    <a:stretch>
                      <a:fillRect/>
                    </a:stretch>
                  </pic:blipFill>
                  <pic:spPr>
                    <a:xfrm>
                      <a:off x="0" y="0"/>
                      <a:ext cx="5731510" cy="5208905"/>
                    </a:xfrm>
                    <a:prstGeom prst="rect">
                      <a:avLst/>
                    </a:prstGeom>
                  </pic:spPr>
                </pic:pic>
              </a:graphicData>
            </a:graphic>
          </wp:inline>
        </w:drawing>
      </w:r>
    </w:p>
    <w:p w14:paraId="25DA9C16" w14:textId="58B49CA3" w:rsidR="00C75F58" w:rsidRPr="001A2EF6" w:rsidRDefault="00C75F58">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23EA105A" wp14:editId="2E1EA115">
            <wp:extent cx="5731510" cy="5176520"/>
            <wp:effectExtent l="0" t="0" r="2540" b="5080"/>
            <wp:docPr id="126610308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03085" name="Picture 1" descr="A screenshot of a graph&#10;&#10;AI-generated content may be incorrect."/>
                    <pic:cNvPicPr/>
                  </pic:nvPicPr>
                  <pic:blipFill>
                    <a:blip r:embed="rId28"/>
                    <a:stretch>
                      <a:fillRect/>
                    </a:stretch>
                  </pic:blipFill>
                  <pic:spPr>
                    <a:xfrm>
                      <a:off x="0" y="0"/>
                      <a:ext cx="5731510" cy="5176520"/>
                    </a:xfrm>
                    <a:prstGeom prst="rect">
                      <a:avLst/>
                    </a:prstGeom>
                  </pic:spPr>
                </pic:pic>
              </a:graphicData>
            </a:graphic>
          </wp:inline>
        </w:drawing>
      </w:r>
    </w:p>
    <w:p w14:paraId="3F47D512" w14:textId="7ECE02A1" w:rsidR="00C75F58" w:rsidRPr="001A2EF6" w:rsidRDefault="000D5563">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4047D539" wp14:editId="765DEE24">
            <wp:extent cx="5731510" cy="4962525"/>
            <wp:effectExtent l="0" t="0" r="2540" b="9525"/>
            <wp:docPr id="20755602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6020" name="Picture 1" descr="A screenshot of a graph&#10;&#10;AI-generated content may be incorrect."/>
                    <pic:cNvPicPr/>
                  </pic:nvPicPr>
                  <pic:blipFill>
                    <a:blip r:embed="rId29"/>
                    <a:stretch>
                      <a:fillRect/>
                    </a:stretch>
                  </pic:blipFill>
                  <pic:spPr>
                    <a:xfrm>
                      <a:off x="0" y="0"/>
                      <a:ext cx="5731510" cy="4962525"/>
                    </a:xfrm>
                    <a:prstGeom prst="rect">
                      <a:avLst/>
                    </a:prstGeom>
                  </pic:spPr>
                </pic:pic>
              </a:graphicData>
            </a:graphic>
          </wp:inline>
        </w:drawing>
      </w:r>
    </w:p>
    <w:p w14:paraId="0431E264" w14:textId="0CFAF16D" w:rsidR="000D5563" w:rsidRPr="001A2EF6" w:rsidRDefault="00B8709A">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120C8B70" wp14:editId="5BE65DF3">
            <wp:extent cx="5731510" cy="5128895"/>
            <wp:effectExtent l="0" t="0" r="2540" b="0"/>
            <wp:docPr id="215356277"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56277" name="Picture 1" descr="A screenshot of a survey&#10;&#10;AI-generated content may be incorrect."/>
                    <pic:cNvPicPr/>
                  </pic:nvPicPr>
                  <pic:blipFill>
                    <a:blip r:embed="rId30"/>
                    <a:stretch>
                      <a:fillRect/>
                    </a:stretch>
                  </pic:blipFill>
                  <pic:spPr>
                    <a:xfrm>
                      <a:off x="0" y="0"/>
                      <a:ext cx="5731510" cy="5128895"/>
                    </a:xfrm>
                    <a:prstGeom prst="rect">
                      <a:avLst/>
                    </a:prstGeom>
                  </pic:spPr>
                </pic:pic>
              </a:graphicData>
            </a:graphic>
          </wp:inline>
        </w:drawing>
      </w:r>
    </w:p>
    <w:p w14:paraId="69ED45B0" w14:textId="01F47503" w:rsidR="00B8709A" w:rsidRPr="001A2EF6" w:rsidRDefault="00F82ED9">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1A39A518" wp14:editId="4324B697">
            <wp:extent cx="5731510" cy="5028565"/>
            <wp:effectExtent l="0" t="0" r="2540" b="635"/>
            <wp:docPr id="182674291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42910" name="Picture 1" descr="A screenshot of a graph&#10;&#10;AI-generated content may be incorrect."/>
                    <pic:cNvPicPr/>
                  </pic:nvPicPr>
                  <pic:blipFill>
                    <a:blip r:embed="rId31"/>
                    <a:stretch>
                      <a:fillRect/>
                    </a:stretch>
                  </pic:blipFill>
                  <pic:spPr>
                    <a:xfrm>
                      <a:off x="0" y="0"/>
                      <a:ext cx="5731510" cy="5028565"/>
                    </a:xfrm>
                    <a:prstGeom prst="rect">
                      <a:avLst/>
                    </a:prstGeom>
                  </pic:spPr>
                </pic:pic>
              </a:graphicData>
            </a:graphic>
          </wp:inline>
        </w:drawing>
      </w:r>
    </w:p>
    <w:p w14:paraId="58014EB4" w14:textId="12FD2AE1" w:rsidR="00F82ED9" w:rsidRPr="001A2EF6" w:rsidRDefault="00F82ED9">
      <w:pPr>
        <w:rPr>
          <w:rFonts w:ascii="Times New Roman" w:hAnsi="Times New Roman" w:cs="Times New Roman"/>
        </w:rPr>
      </w:pPr>
      <w:r w:rsidRPr="001A2EF6">
        <w:rPr>
          <w:rFonts w:ascii="Times New Roman" w:hAnsi="Times New Roman" w:cs="Times New Roman"/>
          <w:noProof/>
        </w:rPr>
        <w:lastRenderedPageBreak/>
        <w:drawing>
          <wp:inline distT="0" distB="0" distL="0" distR="0" wp14:anchorId="1562AF51" wp14:editId="370AA718">
            <wp:extent cx="5731510" cy="5140325"/>
            <wp:effectExtent l="0" t="0" r="2540" b="3175"/>
            <wp:docPr id="27763927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39278" name="Picture 1" descr="A screenshot of a graph&#10;&#10;AI-generated content may be incorrect."/>
                    <pic:cNvPicPr/>
                  </pic:nvPicPr>
                  <pic:blipFill>
                    <a:blip r:embed="rId32"/>
                    <a:stretch>
                      <a:fillRect/>
                    </a:stretch>
                  </pic:blipFill>
                  <pic:spPr>
                    <a:xfrm>
                      <a:off x="0" y="0"/>
                      <a:ext cx="5731510" cy="5140325"/>
                    </a:xfrm>
                    <a:prstGeom prst="rect">
                      <a:avLst/>
                    </a:prstGeom>
                  </pic:spPr>
                </pic:pic>
              </a:graphicData>
            </a:graphic>
          </wp:inline>
        </w:drawing>
      </w:r>
    </w:p>
    <w:p w14:paraId="0B151223" w14:textId="77777777" w:rsidR="00F82ED9" w:rsidRPr="001A2EF6" w:rsidRDefault="00F82ED9">
      <w:pPr>
        <w:rPr>
          <w:rFonts w:ascii="Times New Roman" w:hAnsi="Times New Roman" w:cs="Times New Roman"/>
        </w:rPr>
      </w:pPr>
    </w:p>
    <w:p w14:paraId="5F6CFD86" w14:textId="7FA0FBCD" w:rsidR="00FC5915" w:rsidRPr="001A2EF6" w:rsidRDefault="00FC5915">
      <w:pPr>
        <w:rPr>
          <w:rFonts w:ascii="Times New Roman" w:hAnsi="Times New Roman" w:cs="Times New Roman"/>
          <w:b/>
          <w:bCs/>
          <w:u w:val="single"/>
        </w:rPr>
      </w:pPr>
    </w:p>
    <w:p w14:paraId="4CCFF537" w14:textId="77777777" w:rsidR="00FC5915" w:rsidRPr="001A2EF6" w:rsidRDefault="00FC5915">
      <w:pPr>
        <w:rPr>
          <w:rFonts w:ascii="Times New Roman" w:hAnsi="Times New Roman" w:cs="Times New Roman"/>
          <w:b/>
          <w:bCs/>
          <w:u w:val="single"/>
        </w:rPr>
      </w:pPr>
    </w:p>
    <w:p w14:paraId="361D19D0" w14:textId="77777777" w:rsidR="00FC5915" w:rsidRPr="001A2EF6" w:rsidRDefault="00FC5915">
      <w:pPr>
        <w:rPr>
          <w:rFonts w:ascii="Times New Roman" w:hAnsi="Times New Roman" w:cs="Times New Roman"/>
          <w:b/>
          <w:bCs/>
          <w:u w:val="single"/>
        </w:rPr>
      </w:pPr>
    </w:p>
    <w:p w14:paraId="236A847A" w14:textId="77777777" w:rsidR="00FC5915" w:rsidRPr="001A2EF6" w:rsidRDefault="00FC5915">
      <w:pPr>
        <w:rPr>
          <w:rFonts w:ascii="Times New Roman" w:hAnsi="Times New Roman" w:cs="Times New Roman"/>
          <w:b/>
          <w:bCs/>
          <w:u w:val="single"/>
        </w:rPr>
      </w:pPr>
    </w:p>
    <w:p w14:paraId="01A69E87" w14:textId="77777777" w:rsidR="00FC5915" w:rsidRPr="001A2EF6" w:rsidRDefault="00FC5915">
      <w:pPr>
        <w:rPr>
          <w:rFonts w:ascii="Times New Roman" w:hAnsi="Times New Roman" w:cs="Times New Roman"/>
          <w:b/>
          <w:bCs/>
          <w:u w:val="single"/>
        </w:rPr>
      </w:pPr>
    </w:p>
    <w:p w14:paraId="0B6192CB" w14:textId="77777777" w:rsidR="00FC5915" w:rsidRPr="001A2EF6" w:rsidRDefault="00FC5915">
      <w:pPr>
        <w:rPr>
          <w:rFonts w:ascii="Times New Roman" w:hAnsi="Times New Roman" w:cs="Times New Roman"/>
          <w:b/>
          <w:bCs/>
          <w:u w:val="single"/>
        </w:rPr>
      </w:pPr>
    </w:p>
    <w:p w14:paraId="46C5011F" w14:textId="77777777" w:rsidR="00FC5915" w:rsidRPr="001A2EF6" w:rsidRDefault="00FC5915">
      <w:pPr>
        <w:rPr>
          <w:rFonts w:ascii="Times New Roman" w:hAnsi="Times New Roman" w:cs="Times New Roman"/>
          <w:b/>
          <w:bCs/>
          <w:u w:val="single"/>
        </w:rPr>
      </w:pPr>
    </w:p>
    <w:p w14:paraId="4963321E" w14:textId="77777777" w:rsidR="00FC5915" w:rsidRPr="001A2EF6" w:rsidRDefault="00FC5915">
      <w:pPr>
        <w:rPr>
          <w:rFonts w:ascii="Times New Roman" w:hAnsi="Times New Roman" w:cs="Times New Roman"/>
          <w:b/>
          <w:bCs/>
          <w:u w:val="single"/>
        </w:rPr>
      </w:pPr>
    </w:p>
    <w:p w14:paraId="2EE78097" w14:textId="77777777" w:rsidR="00FC5915" w:rsidRPr="001A2EF6" w:rsidRDefault="00FC5915">
      <w:pPr>
        <w:rPr>
          <w:rFonts w:ascii="Times New Roman" w:hAnsi="Times New Roman" w:cs="Times New Roman"/>
          <w:b/>
          <w:bCs/>
          <w:u w:val="single"/>
        </w:rPr>
      </w:pPr>
    </w:p>
    <w:p w14:paraId="74487FED" w14:textId="77777777" w:rsidR="00FC5915" w:rsidRPr="001A2EF6" w:rsidRDefault="00FC5915">
      <w:pPr>
        <w:rPr>
          <w:rFonts w:ascii="Times New Roman" w:hAnsi="Times New Roman" w:cs="Times New Roman"/>
          <w:b/>
          <w:bCs/>
          <w:u w:val="single"/>
        </w:rPr>
      </w:pPr>
    </w:p>
    <w:p w14:paraId="403BFD76" w14:textId="77777777" w:rsidR="00FC5915" w:rsidRPr="001A2EF6" w:rsidRDefault="00FC5915">
      <w:pPr>
        <w:rPr>
          <w:rFonts w:ascii="Times New Roman" w:hAnsi="Times New Roman" w:cs="Times New Roman"/>
          <w:b/>
          <w:bCs/>
          <w:u w:val="single"/>
        </w:rPr>
      </w:pPr>
    </w:p>
    <w:p w14:paraId="7A5792A7" w14:textId="77777777" w:rsidR="00FC5915" w:rsidRPr="001A2EF6" w:rsidRDefault="00FC5915">
      <w:pPr>
        <w:rPr>
          <w:rFonts w:ascii="Times New Roman" w:hAnsi="Times New Roman" w:cs="Times New Roman"/>
          <w:b/>
          <w:bCs/>
          <w:u w:val="single"/>
        </w:rPr>
      </w:pPr>
    </w:p>
    <w:p w14:paraId="558C8DFD" w14:textId="4F971CA5" w:rsidR="00E310AA" w:rsidRDefault="00F07E62" w:rsidP="002A7A40">
      <w:pPr>
        <w:spacing w:line="360" w:lineRule="auto"/>
        <w:rPr>
          <w:rFonts w:ascii="Times New Roman" w:hAnsi="Times New Roman" w:cs="Times New Roman"/>
          <w:sz w:val="24"/>
          <w:szCs w:val="24"/>
        </w:rPr>
      </w:pPr>
      <w:r w:rsidRPr="00F07E62">
        <w:rPr>
          <w:rFonts w:ascii="Times New Roman" w:hAnsi="Times New Roman" w:cs="Times New Roman"/>
          <w:noProof/>
          <w:sz w:val="24"/>
          <w:szCs w:val="24"/>
        </w:rPr>
        <w:lastRenderedPageBreak/>
        <w:drawing>
          <wp:inline distT="0" distB="0" distL="0" distR="0" wp14:anchorId="7332B49D" wp14:editId="115B9356">
            <wp:extent cx="5731510" cy="5074920"/>
            <wp:effectExtent l="0" t="0" r="2540" b="0"/>
            <wp:docPr id="1741160896"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60896" name="Picture 1" descr="A screenshot of a survey&#10;&#10;AI-generated content may be incorrect."/>
                    <pic:cNvPicPr/>
                  </pic:nvPicPr>
                  <pic:blipFill>
                    <a:blip r:embed="rId33"/>
                    <a:stretch>
                      <a:fillRect/>
                    </a:stretch>
                  </pic:blipFill>
                  <pic:spPr>
                    <a:xfrm>
                      <a:off x="0" y="0"/>
                      <a:ext cx="5731510" cy="5074920"/>
                    </a:xfrm>
                    <a:prstGeom prst="rect">
                      <a:avLst/>
                    </a:prstGeom>
                  </pic:spPr>
                </pic:pic>
              </a:graphicData>
            </a:graphic>
          </wp:inline>
        </w:drawing>
      </w:r>
    </w:p>
    <w:p w14:paraId="2CB76464" w14:textId="296A5112" w:rsidR="00F07E62" w:rsidRDefault="00E655E6" w:rsidP="002A7A40">
      <w:pPr>
        <w:spacing w:line="360" w:lineRule="auto"/>
        <w:rPr>
          <w:rFonts w:ascii="Times New Roman" w:hAnsi="Times New Roman" w:cs="Times New Roman"/>
          <w:sz w:val="24"/>
          <w:szCs w:val="24"/>
        </w:rPr>
      </w:pPr>
      <w:r w:rsidRPr="00E655E6">
        <w:rPr>
          <w:rFonts w:ascii="Times New Roman" w:hAnsi="Times New Roman" w:cs="Times New Roman"/>
          <w:noProof/>
          <w:sz w:val="24"/>
          <w:szCs w:val="24"/>
        </w:rPr>
        <w:lastRenderedPageBreak/>
        <w:drawing>
          <wp:inline distT="0" distB="0" distL="0" distR="0" wp14:anchorId="6EB4DB1B" wp14:editId="3205A30F">
            <wp:extent cx="5731510" cy="5220335"/>
            <wp:effectExtent l="0" t="0" r="2540" b="0"/>
            <wp:docPr id="108556726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67269" name="Picture 1" descr="A screenshot of a graph&#10;&#10;AI-generated content may be incorrect."/>
                    <pic:cNvPicPr/>
                  </pic:nvPicPr>
                  <pic:blipFill>
                    <a:blip r:embed="rId34"/>
                    <a:stretch>
                      <a:fillRect/>
                    </a:stretch>
                  </pic:blipFill>
                  <pic:spPr>
                    <a:xfrm>
                      <a:off x="0" y="0"/>
                      <a:ext cx="5731510" cy="5220335"/>
                    </a:xfrm>
                    <a:prstGeom prst="rect">
                      <a:avLst/>
                    </a:prstGeom>
                  </pic:spPr>
                </pic:pic>
              </a:graphicData>
            </a:graphic>
          </wp:inline>
        </w:drawing>
      </w:r>
    </w:p>
    <w:p w14:paraId="358D4C6A" w14:textId="6F110BB9" w:rsidR="00E655E6" w:rsidRDefault="00E655E6" w:rsidP="002A7A40">
      <w:pPr>
        <w:spacing w:line="360" w:lineRule="auto"/>
        <w:rPr>
          <w:rFonts w:ascii="Times New Roman" w:hAnsi="Times New Roman" w:cs="Times New Roman"/>
          <w:sz w:val="24"/>
          <w:szCs w:val="24"/>
        </w:rPr>
      </w:pPr>
      <w:r w:rsidRPr="00E655E6">
        <w:rPr>
          <w:rFonts w:ascii="Times New Roman" w:hAnsi="Times New Roman" w:cs="Times New Roman"/>
          <w:noProof/>
          <w:sz w:val="24"/>
          <w:szCs w:val="24"/>
        </w:rPr>
        <w:lastRenderedPageBreak/>
        <w:drawing>
          <wp:inline distT="0" distB="0" distL="0" distR="0" wp14:anchorId="7BFBABD1" wp14:editId="3948A419">
            <wp:extent cx="5731510" cy="5323840"/>
            <wp:effectExtent l="0" t="0" r="2540" b="0"/>
            <wp:docPr id="14657488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48843" name="Picture 1" descr="A screenshot of a computer&#10;&#10;AI-generated content may be incorrect."/>
                    <pic:cNvPicPr/>
                  </pic:nvPicPr>
                  <pic:blipFill>
                    <a:blip r:embed="rId35"/>
                    <a:stretch>
                      <a:fillRect/>
                    </a:stretch>
                  </pic:blipFill>
                  <pic:spPr>
                    <a:xfrm>
                      <a:off x="0" y="0"/>
                      <a:ext cx="5731510" cy="5323840"/>
                    </a:xfrm>
                    <a:prstGeom prst="rect">
                      <a:avLst/>
                    </a:prstGeom>
                  </pic:spPr>
                </pic:pic>
              </a:graphicData>
            </a:graphic>
          </wp:inline>
        </w:drawing>
      </w:r>
    </w:p>
    <w:p w14:paraId="5DC1ACF5" w14:textId="18BAEAD4" w:rsidR="00E655E6" w:rsidRDefault="00C003EC" w:rsidP="002A7A40">
      <w:pPr>
        <w:spacing w:line="360" w:lineRule="auto"/>
        <w:rPr>
          <w:rFonts w:ascii="Times New Roman" w:hAnsi="Times New Roman" w:cs="Times New Roman"/>
          <w:sz w:val="24"/>
          <w:szCs w:val="24"/>
        </w:rPr>
      </w:pPr>
      <w:r w:rsidRPr="00C003EC">
        <w:rPr>
          <w:rFonts w:ascii="Times New Roman" w:hAnsi="Times New Roman" w:cs="Times New Roman"/>
          <w:noProof/>
          <w:sz w:val="24"/>
          <w:szCs w:val="24"/>
        </w:rPr>
        <w:lastRenderedPageBreak/>
        <w:drawing>
          <wp:inline distT="0" distB="0" distL="0" distR="0" wp14:anchorId="55CF89F7" wp14:editId="779FCA21">
            <wp:extent cx="5731510" cy="4980305"/>
            <wp:effectExtent l="0" t="0" r="2540" b="0"/>
            <wp:docPr id="956532186"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32186" name="Picture 1" descr="A screenshot of a survey&#10;&#10;AI-generated content may be incorrect."/>
                    <pic:cNvPicPr/>
                  </pic:nvPicPr>
                  <pic:blipFill>
                    <a:blip r:embed="rId36"/>
                    <a:stretch>
                      <a:fillRect/>
                    </a:stretch>
                  </pic:blipFill>
                  <pic:spPr>
                    <a:xfrm>
                      <a:off x="0" y="0"/>
                      <a:ext cx="5731510" cy="4980305"/>
                    </a:xfrm>
                    <a:prstGeom prst="rect">
                      <a:avLst/>
                    </a:prstGeom>
                  </pic:spPr>
                </pic:pic>
              </a:graphicData>
            </a:graphic>
          </wp:inline>
        </w:drawing>
      </w:r>
    </w:p>
    <w:p w14:paraId="3128DB12" w14:textId="1CFA2A24" w:rsidR="00C003EC" w:rsidRDefault="00C003EC" w:rsidP="002A7A40">
      <w:pPr>
        <w:spacing w:line="360" w:lineRule="auto"/>
        <w:rPr>
          <w:rFonts w:ascii="Times New Roman" w:hAnsi="Times New Roman" w:cs="Times New Roman"/>
          <w:sz w:val="24"/>
          <w:szCs w:val="24"/>
        </w:rPr>
      </w:pPr>
      <w:r w:rsidRPr="00C003EC">
        <w:rPr>
          <w:rFonts w:ascii="Times New Roman" w:hAnsi="Times New Roman" w:cs="Times New Roman"/>
          <w:noProof/>
          <w:sz w:val="24"/>
          <w:szCs w:val="24"/>
        </w:rPr>
        <w:lastRenderedPageBreak/>
        <w:drawing>
          <wp:inline distT="0" distB="0" distL="0" distR="0" wp14:anchorId="442F6B0A" wp14:editId="47A1623E">
            <wp:extent cx="5731510" cy="4927600"/>
            <wp:effectExtent l="0" t="0" r="2540" b="6350"/>
            <wp:docPr id="12004012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01277" name="Picture 1" descr="A screenshot of a computer&#10;&#10;AI-generated content may be incorrect."/>
                    <pic:cNvPicPr/>
                  </pic:nvPicPr>
                  <pic:blipFill>
                    <a:blip r:embed="rId37"/>
                    <a:stretch>
                      <a:fillRect/>
                    </a:stretch>
                  </pic:blipFill>
                  <pic:spPr>
                    <a:xfrm>
                      <a:off x="0" y="0"/>
                      <a:ext cx="5731510" cy="4927600"/>
                    </a:xfrm>
                    <a:prstGeom prst="rect">
                      <a:avLst/>
                    </a:prstGeom>
                  </pic:spPr>
                </pic:pic>
              </a:graphicData>
            </a:graphic>
          </wp:inline>
        </w:drawing>
      </w:r>
    </w:p>
    <w:p w14:paraId="3DFAD708" w14:textId="21287369" w:rsidR="00C003EC" w:rsidRDefault="00EE4D4C" w:rsidP="002A7A40">
      <w:pPr>
        <w:spacing w:line="360" w:lineRule="auto"/>
        <w:rPr>
          <w:rFonts w:ascii="Times New Roman" w:hAnsi="Times New Roman" w:cs="Times New Roman"/>
          <w:sz w:val="24"/>
          <w:szCs w:val="24"/>
        </w:rPr>
      </w:pPr>
      <w:r w:rsidRPr="00EE4D4C">
        <w:rPr>
          <w:rFonts w:ascii="Times New Roman" w:hAnsi="Times New Roman" w:cs="Times New Roman"/>
          <w:noProof/>
          <w:sz w:val="24"/>
          <w:szCs w:val="24"/>
        </w:rPr>
        <w:lastRenderedPageBreak/>
        <w:drawing>
          <wp:inline distT="0" distB="0" distL="0" distR="0" wp14:anchorId="27E0362C" wp14:editId="4BC4E0A1">
            <wp:extent cx="5731510" cy="4974590"/>
            <wp:effectExtent l="0" t="0" r="2540" b="0"/>
            <wp:docPr id="9626663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66351" name="Picture 1" descr="A screenshot of a computer&#10;&#10;AI-generated content may be incorrect."/>
                    <pic:cNvPicPr/>
                  </pic:nvPicPr>
                  <pic:blipFill>
                    <a:blip r:embed="rId38"/>
                    <a:stretch>
                      <a:fillRect/>
                    </a:stretch>
                  </pic:blipFill>
                  <pic:spPr>
                    <a:xfrm>
                      <a:off x="0" y="0"/>
                      <a:ext cx="5731510" cy="4974590"/>
                    </a:xfrm>
                    <a:prstGeom prst="rect">
                      <a:avLst/>
                    </a:prstGeom>
                  </pic:spPr>
                </pic:pic>
              </a:graphicData>
            </a:graphic>
          </wp:inline>
        </w:drawing>
      </w:r>
    </w:p>
    <w:p w14:paraId="697E925F" w14:textId="1ABD1971" w:rsidR="00EE4D4C" w:rsidRDefault="00EE4D4C" w:rsidP="002A7A40">
      <w:pPr>
        <w:spacing w:line="360" w:lineRule="auto"/>
        <w:rPr>
          <w:rFonts w:ascii="Times New Roman" w:hAnsi="Times New Roman" w:cs="Times New Roman"/>
          <w:sz w:val="24"/>
          <w:szCs w:val="24"/>
        </w:rPr>
      </w:pPr>
      <w:r w:rsidRPr="00EE4D4C">
        <w:rPr>
          <w:rFonts w:ascii="Times New Roman" w:hAnsi="Times New Roman" w:cs="Times New Roman"/>
          <w:noProof/>
          <w:sz w:val="24"/>
          <w:szCs w:val="24"/>
        </w:rPr>
        <w:lastRenderedPageBreak/>
        <w:drawing>
          <wp:inline distT="0" distB="0" distL="0" distR="0" wp14:anchorId="6385B61A" wp14:editId="5398617E">
            <wp:extent cx="5731510" cy="5151755"/>
            <wp:effectExtent l="0" t="0" r="2540" b="0"/>
            <wp:docPr id="1875740825" name="Picture 1"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40825" name="Picture 1" descr="A pie chart with text and numbers&#10;&#10;AI-generated content may be incorrect."/>
                    <pic:cNvPicPr/>
                  </pic:nvPicPr>
                  <pic:blipFill>
                    <a:blip r:embed="rId39"/>
                    <a:stretch>
                      <a:fillRect/>
                    </a:stretch>
                  </pic:blipFill>
                  <pic:spPr>
                    <a:xfrm>
                      <a:off x="0" y="0"/>
                      <a:ext cx="5731510" cy="5151755"/>
                    </a:xfrm>
                    <a:prstGeom prst="rect">
                      <a:avLst/>
                    </a:prstGeom>
                  </pic:spPr>
                </pic:pic>
              </a:graphicData>
            </a:graphic>
          </wp:inline>
        </w:drawing>
      </w:r>
    </w:p>
    <w:p w14:paraId="30070A2B" w14:textId="6CFCF490" w:rsidR="00EE4D4C" w:rsidRDefault="00626989" w:rsidP="002A7A40">
      <w:pPr>
        <w:spacing w:line="360" w:lineRule="auto"/>
        <w:rPr>
          <w:rFonts w:ascii="Times New Roman" w:hAnsi="Times New Roman" w:cs="Times New Roman"/>
          <w:sz w:val="24"/>
          <w:szCs w:val="24"/>
        </w:rPr>
      </w:pPr>
      <w:r w:rsidRPr="00626989">
        <w:rPr>
          <w:rFonts w:ascii="Times New Roman" w:hAnsi="Times New Roman" w:cs="Times New Roman"/>
          <w:noProof/>
          <w:sz w:val="24"/>
          <w:szCs w:val="24"/>
        </w:rPr>
        <w:lastRenderedPageBreak/>
        <w:drawing>
          <wp:inline distT="0" distB="0" distL="0" distR="0" wp14:anchorId="3F3F3837" wp14:editId="262AAFD5">
            <wp:extent cx="5731510" cy="4926330"/>
            <wp:effectExtent l="0" t="0" r="2540" b="7620"/>
            <wp:docPr id="6836281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28125" name="Picture 1" descr="A screenshot of a computer&#10;&#10;AI-generated content may be incorrect."/>
                    <pic:cNvPicPr/>
                  </pic:nvPicPr>
                  <pic:blipFill>
                    <a:blip r:embed="rId40"/>
                    <a:stretch>
                      <a:fillRect/>
                    </a:stretch>
                  </pic:blipFill>
                  <pic:spPr>
                    <a:xfrm>
                      <a:off x="0" y="0"/>
                      <a:ext cx="5731510" cy="4926330"/>
                    </a:xfrm>
                    <a:prstGeom prst="rect">
                      <a:avLst/>
                    </a:prstGeom>
                  </pic:spPr>
                </pic:pic>
              </a:graphicData>
            </a:graphic>
          </wp:inline>
        </w:drawing>
      </w:r>
    </w:p>
    <w:p w14:paraId="28C94AFC" w14:textId="07BEC06F" w:rsidR="00626989" w:rsidRDefault="00626989" w:rsidP="002A7A40">
      <w:pPr>
        <w:spacing w:line="360" w:lineRule="auto"/>
        <w:rPr>
          <w:rFonts w:ascii="Times New Roman" w:hAnsi="Times New Roman" w:cs="Times New Roman"/>
          <w:sz w:val="24"/>
          <w:szCs w:val="24"/>
        </w:rPr>
      </w:pPr>
      <w:r w:rsidRPr="00626989">
        <w:rPr>
          <w:rFonts w:ascii="Times New Roman" w:hAnsi="Times New Roman" w:cs="Times New Roman"/>
          <w:noProof/>
          <w:sz w:val="24"/>
          <w:szCs w:val="24"/>
        </w:rPr>
        <w:lastRenderedPageBreak/>
        <w:drawing>
          <wp:inline distT="0" distB="0" distL="0" distR="0" wp14:anchorId="3BE91460" wp14:editId="7AE1D679">
            <wp:extent cx="5731510" cy="5313680"/>
            <wp:effectExtent l="0" t="0" r="2540" b="1270"/>
            <wp:docPr id="64065156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51564" name="Picture 1" descr="A screenshot of a graph&#10;&#10;AI-generated content may be incorrect."/>
                    <pic:cNvPicPr/>
                  </pic:nvPicPr>
                  <pic:blipFill>
                    <a:blip r:embed="rId41"/>
                    <a:stretch>
                      <a:fillRect/>
                    </a:stretch>
                  </pic:blipFill>
                  <pic:spPr>
                    <a:xfrm>
                      <a:off x="0" y="0"/>
                      <a:ext cx="5731510" cy="5313680"/>
                    </a:xfrm>
                    <a:prstGeom prst="rect">
                      <a:avLst/>
                    </a:prstGeom>
                  </pic:spPr>
                </pic:pic>
              </a:graphicData>
            </a:graphic>
          </wp:inline>
        </w:drawing>
      </w:r>
    </w:p>
    <w:p w14:paraId="75CB8A7B" w14:textId="47D40109" w:rsidR="00626989" w:rsidRDefault="00273AC5" w:rsidP="002A7A40">
      <w:pPr>
        <w:spacing w:line="360" w:lineRule="auto"/>
        <w:rPr>
          <w:rFonts w:ascii="Times New Roman" w:hAnsi="Times New Roman" w:cs="Times New Roman"/>
          <w:sz w:val="24"/>
          <w:szCs w:val="24"/>
        </w:rPr>
      </w:pPr>
      <w:r w:rsidRPr="00273AC5">
        <w:rPr>
          <w:rFonts w:ascii="Times New Roman" w:hAnsi="Times New Roman" w:cs="Times New Roman"/>
          <w:noProof/>
          <w:sz w:val="24"/>
          <w:szCs w:val="24"/>
        </w:rPr>
        <w:lastRenderedPageBreak/>
        <w:drawing>
          <wp:inline distT="0" distB="0" distL="0" distR="0" wp14:anchorId="2B38938F" wp14:editId="25B66216">
            <wp:extent cx="5731510" cy="5003800"/>
            <wp:effectExtent l="0" t="0" r="2540" b="6350"/>
            <wp:docPr id="65620097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00973" name="Picture 1" descr="A screenshot of a graph&#10;&#10;AI-generated content may be incorrect."/>
                    <pic:cNvPicPr/>
                  </pic:nvPicPr>
                  <pic:blipFill>
                    <a:blip r:embed="rId42"/>
                    <a:stretch>
                      <a:fillRect/>
                    </a:stretch>
                  </pic:blipFill>
                  <pic:spPr>
                    <a:xfrm>
                      <a:off x="0" y="0"/>
                      <a:ext cx="5731510" cy="5003800"/>
                    </a:xfrm>
                    <a:prstGeom prst="rect">
                      <a:avLst/>
                    </a:prstGeom>
                  </pic:spPr>
                </pic:pic>
              </a:graphicData>
            </a:graphic>
          </wp:inline>
        </w:drawing>
      </w:r>
    </w:p>
    <w:p w14:paraId="34A5309B" w14:textId="7A06DC42" w:rsidR="00273AC5" w:rsidRDefault="00F567F2" w:rsidP="002A7A40">
      <w:pPr>
        <w:spacing w:line="360" w:lineRule="auto"/>
        <w:rPr>
          <w:rFonts w:ascii="Times New Roman" w:hAnsi="Times New Roman" w:cs="Times New Roman"/>
          <w:sz w:val="24"/>
          <w:szCs w:val="24"/>
        </w:rPr>
      </w:pPr>
      <w:r w:rsidRPr="00F567F2">
        <w:rPr>
          <w:rFonts w:ascii="Times New Roman" w:hAnsi="Times New Roman" w:cs="Times New Roman"/>
          <w:noProof/>
          <w:sz w:val="24"/>
          <w:szCs w:val="24"/>
        </w:rPr>
        <w:lastRenderedPageBreak/>
        <w:drawing>
          <wp:inline distT="0" distB="0" distL="0" distR="0" wp14:anchorId="743CD51F" wp14:editId="492F6135">
            <wp:extent cx="5731510" cy="5137785"/>
            <wp:effectExtent l="0" t="0" r="2540" b="5715"/>
            <wp:docPr id="203014021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40211" name="Picture 1" descr="A screenshot of a graph&#10;&#10;AI-generated content may be incorrect."/>
                    <pic:cNvPicPr/>
                  </pic:nvPicPr>
                  <pic:blipFill>
                    <a:blip r:embed="rId43"/>
                    <a:stretch>
                      <a:fillRect/>
                    </a:stretch>
                  </pic:blipFill>
                  <pic:spPr>
                    <a:xfrm>
                      <a:off x="0" y="0"/>
                      <a:ext cx="5731510" cy="5137785"/>
                    </a:xfrm>
                    <a:prstGeom prst="rect">
                      <a:avLst/>
                    </a:prstGeom>
                  </pic:spPr>
                </pic:pic>
              </a:graphicData>
            </a:graphic>
          </wp:inline>
        </w:drawing>
      </w:r>
    </w:p>
    <w:p w14:paraId="58062D16" w14:textId="54F28EA5" w:rsidR="00F567F2" w:rsidRDefault="00893996" w:rsidP="002A7A40">
      <w:pPr>
        <w:spacing w:line="360" w:lineRule="auto"/>
        <w:rPr>
          <w:rFonts w:ascii="Times New Roman" w:hAnsi="Times New Roman" w:cs="Times New Roman"/>
          <w:sz w:val="24"/>
          <w:szCs w:val="24"/>
        </w:rPr>
      </w:pPr>
      <w:r w:rsidRPr="00893996">
        <w:rPr>
          <w:rFonts w:ascii="Times New Roman" w:hAnsi="Times New Roman" w:cs="Times New Roman"/>
          <w:noProof/>
          <w:sz w:val="24"/>
          <w:szCs w:val="24"/>
        </w:rPr>
        <w:lastRenderedPageBreak/>
        <w:drawing>
          <wp:inline distT="0" distB="0" distL="0" distR="0" wp14:anchorId="78573637" wp14:editId="22A5366B">
            <wp:extent cx="5731510" cy="4949825"/>
            <wp:effectExtent l="0" t="0" r="2540" b="3175"/>
            <wp:docPr id="1615671581"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71581" name="Picture 1" descr="A screen shot of a chart&#10;&#10;AI-generated content may be incorrect."/>
                    <pic:cNvPicPr/>
                  </pic:nvPicPr>
                  <pic:blipFill>
                    <a:blip r:embed="rId44"/>
                    <a:stretch>
                      <a:fillRect/>
                    </a:stretch>
                  </pic:blipFill>
                  <pic:spPr>
                    <a:xfrm>
                      <a:off x="0" y="0"/>
                      <a:ext cx="5731510" cy="4949825"/>
                    </a:xfrm>
                    <a:prstGeom prst="rect">
                      <a:avLst/>
                    </a:prstGeom>
                  </pic:spPr>
                </pic:pic>
              </a:graphicData>
            </a:graphic>
          </wp:inline>
        </w:drawing>
      </w:r>
    </w:p>
    <w:p w14:paraId="32E1CDA5" w14:textId="3B918861" w:rsidR="00893996" w:rsidRDefault="00893996" w:rsidP="002A7A40">
      <w:pPr>
        <w:spacing w:line="360" w:lineRule="auto"/>
        <w:rPr>
          <w:rFonts w:ascii="Times New Roman" w:hAnsi="Times New Roman" w:cs="Times New Roman"/>
          <w:sz w:val="24"/>
          <w:szCs w:val="24"/>
        </w:rPr>
      </w:pPr>
      <w:r w:rsidRPr="00893996">
        <w:rPr>
          <w:rFonts w:ascii="Times New Roman" w:hAnsi="Times New Roman" w:cs="Times New Roman"/>
          <w:noProof/>
          <w:sz w:val="24"/>
          <w:szCs w:val="24"/>
        </w:rPr>
        <w:lastRenderedPageBreak/>
        <w:drawing>
          <wp:inline distT="0" distB="0" distL="0" distR="0" wp14:anchorId="5929BE1D" wp14:editId="1A46427B">
            <wp:extent cx="5731510" cy="5151120"/>
            <wp:effectExtent l="0" t="0" r="2540" b="0"/>
            <wp:docPr id="8689775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77543" name="Picture 1" descr="A screenshot of a computer&#10;&#10;AI-generated content may be incorrect."/>
                    <pic:cNvPicPr/>
                  </pic:nvPicPr>
                  <pic:blipFill>
                    <a:blip r:embed="rId45"/>
                    <a:stretch>
                      <a:fillRect/>
                    </a:stretch>
                  </pic:blipFill>
                  <pic:spPr>
                    <a:xfrm>
                      <a:off x="0" y="0"/>
                      <a:ext cx="5731510" cy="5151120"/>
                    </a:xfrm>
                    <a:prstGeom prst="rect">
                      <a:avLst/>
                    </a:prstGeom>
                  </pic:spPr>
                </pic:pic>
              </a:graphicData>
            </a:graphic>
          </wp:inline>
        </w:drawing>
      </w:r>
    </w:p>
    <w:p w14:paraId="53D910FA" w14:textId="7340FB73" w:rsidR="00893996" w:rsidRDefault="00452321" w:rsidP="002A7A40">
      <w:pPr>
        <w:spacing w:line="360" w:lineRule="auto"/>
        <w:rPr>
          <w:rFonts w:ascii="Times New Roman" w:hAnsi="Times New Roman" w:cs="Times New Roman"/>
          <w:sz w:val="24"/>
          <w:szCs w:val="24"/>
        </w:rPr>
      </w:pPr>
      <w:r w:rsidRPr="00452321">
        <w:rPr>
          <w:rFonts w:ascii="Times New Roman" w:hAnsi="Times New Roman" w:cs="Times New Roman"/>
          <w:noProof/>
          <w:sz w:val="24"/>
          <w:szCs w:val="24"/>
        </w:rPr>
        <w:lastRenderedPageBreak/>
        <w:drawing>
          <wp:inline distT="0" distB="0" distL="0" distR="0" wp14:anchorId="1EFB69C8" wp14:editId="28CDAB32">
            <wp:extent cx="5731510" cy="5102225"/>
            <wp:effectExtent l="0" t="0" r="2540" b="3175"/>
            <wp:docPr id="1509208512"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08512" name="Picture 1" descr="A screenshot of a survey&#10;&#10;AI-generated content may be incorrect."/>
                    <pic:cNvPicPr/>
                  </pic:nvPicPr>
                  <pic:blipFill>
                    <a:blip r:embed="rId46"/>
                    <a:stretch>
                      <a:fillRect/>
                    </a:stretch>
                  </pic:blipFill>
                  <pic:spPr>
                    <a:xfrm>
                      <a:off x="0" y="0"/>
                      <a:ext cx="5731510" cy="5102225"/>
                    </a:xfrm>
                    <a:prstGeom prst="rect">
                      <a:avLst/>
                    </a:prstGeom>
                  </pic:spPr>
                </pic:pic>
              </a:graphicData>
            </a:graphic>
          </wp:inline>
        </w:drawing>
      </w:r>
    </w:p>
    <w:p w14:paraId="67F1246F" w14:textId="75383CE6" w:rsidR="00452321" w:rsidRDefault="00452321" w:rsidP="002A7A40">
      <w:pPr>
        <w:spacing w:line="360" w:lineRule="auto"/>
        <w:rPr>
          <w:rFonts w:ascii="Times New Roman" w:hAnsi="Times New Roman" w:cs="Times New Roman"/>
          <w:sz w:val="24"/>
          <w:szCs w:val="24"/>
        </w:rPr>
      </w:pPr>
      <w:r w:rsidRPr="00452321">
        <w:rPr>
          <w:rFonts w:ascii="Times New Roman" w:hAnsi="Times New Roman" w:cs="Times New Roman"/>
          <w:noProof/>
          <w:sz w:val="24"/>
          <w:szCs w:val="24"/>
        </w:rPr>
        <w:lastRenderedPageBreak/>
        <w:drawing>
          <wp:inline distT="0" distB="0" distL="0" distR="0" wp14:anchorId="09853261" wp14:editId="6A466543">
            <wp:extent cx="5731510" cy="4953635"/>
            <wp:effectExtent l="0" t="0" r="2540" b="0"/>
            <wp:docPr id="1040919315"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19315" name="Picture 1" descr="A screen shot of a chart&#10;&#10;AI-generated content may be incorrect."/>
                    <pic:cNvPicPr/>
                  </pic:nvPicPr>
                  <pic:blipFill>
                    <a:blip r:embed="rId47"/>
                    <a:stretch>
                      <a:fillRect/>
                    </a:stretch>
                  </pic:blipFill>
                  <pic:spPr>
                    <a:xfrm>
                      <a:off x="0" y="0"/>
                      <a:ext cx="5731510" cy="4953635"/>
                    </a:xfrm>
                    <a:prstGeom prst="rect">
                      <a:avLst/>
                    </a:prstGeom>
                  </pic:spPr>
                </pic:pic>
              </a:graphicData>
            </a:graphic>
          </wp:inline>
        </w:drawing>
      </w:r>
    </w:p>
    <w:p w14:paraId="1F577D43" w14:textId="6380CC8C" w:rsidR="00452321" w:rsidRDefault="005B3160" w:rsidP="002A7A40">
      <w:pPr>
        <w:spacing w:line="360" w:lineRule="auto"/>
        <w:rPr>
          <w:rFonts w:ascii="Times New Roman" w:hAnsi="Times New Roman" w:cs="Times New Roman"/>
          <w:sz w:val="24"/>
          <w:szCs w:val="24"/>
        </w:rPr>
      </w:pPr>
      <w:r w:rsidRPr="005B3160">
        <w:rPr>
          <w:rFonts w:ascii="Times New Roman" w:hAnsi="Times New Roman" w:cs="Times New Roman"/>
          <w:noProof/>
          <w:sz w:val="24"/>
          <w:szCs w:val="24"/>
        </w:rPr>
        <w:lastRenderedPageBreak/>
        <w:drawing>
          <wp:inline distT="0" distB="0" distL="0" distR="0" wp14:anchorId="5F33FF4F" wp14:editId="20B6D025">
            <wp:extent cx="5731510" cy="5145405"/>
            <wp:effectExtent l="0" t="0" r="2540" b="0"/>
            <wp:docPr id="11805984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98497" name="Picture 1" descr="A screenshot of a computer&#10;&#10;AI-generated content may be incorrect."/>
                    <pic:cNvPicPr/>
                  </pic:nvPicPr>
                  <pic:blipFill>
                    <a:blip r:embed="rId48"/>
                    <a:stretch>
                      <a:fillRect/>
                    </a:stretch>
                  </pic:blipFill>
                  <pic:spPr>
                    <a:xfrm>
                      <a:off x="0" y="0"/>
                      <a:ext cx="5731510" cy="5145405"/>
                    </a:xfrm>
                    <a:prstGeom prst="rect">
                      <a:avLst/>
                    </a:prstGeom>
                  </pic:spPr>
                </pic:pic>
              </a:graphicData>
            </a:graphic>
          </wp:inline>
        </w:drawing>
      </w:r>
    </w:p>
    <w:p w14:paraId="7F4E65D2" w14:textId="776DC693" w:rsidR="005B3160" w:rsidRDefault="005B3160" w:rsidP="002A7A40">
      <w:pPr>
        <w:spacing w:line="360" w:lineRule="auto"/>
        <w:rPr>
          <w:rFonts w:ascii="Times New Roman" w:hAnsi="Times New Roman" w:cs="Times New Roman"/>
          <w:sz w:val="24"/>
          <w:szCs w:val="24"/>
        </w:rPr>
      </w:pPr>
      <w:r w:rsidRPr="005B3160">
        <w:rPr>
          <w:rFonts w:ascii="Times New Roman" w:hAnsi="Times New Roman" w:cs="Times New Roman"/>
          <w:noProof/>
          <w:sz w:val="24"/>
          <w:szCs w:val="24"/>
        </w:rPr>
        <w:lastRenderedPageBreak/>
        <w:drawing>
          <wp:inline distT="0" distB="0" distL="0" distR="0" wp14:anchorId="4967DA2E" wp14:editId="3CCA7ED5">
            <wp:extent cx="5731510" cy="5044440"/>
            <wp:effectExtent l="0" t="0" r="2540" b="3810"/>
            <wp:docPr id="1279514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1403" name="Picture 1" descr="A screenshot of a computer&#10;&#10;AI-generated content may be incorrect."/>
                    <pic:cNvPicPr/>
                  </pic:nvPicPr>
                  <pic:blipFill>
                    <a:blip r:embed="rId49"/>
                    <a:stretch>
                      <a:fillRect/>
                    </a:stretch>
                  </pic:blipFill>
                  <pic:spPr>
                    <a:xfrm>
                      <a:off x="0" y="0"/>
                      <a:ext cx="5731510" cy="5044440"/>
                    </a:xfrm>
                    <a:prstGeom prst="rect">
                      <a:avLst/>
                    </a:prstGeom>
                  </pic:spPr>
                </pic:pic>
              </a:graphicData>
            </a:graphic>
          </wp:inline>
        </w:drawing>
      </w:r>
    </w:p>
    <w:p w14:paraId="5C126F95" w14:textId="65A71A8C" w:rsidR="005B3160" w:rsidRDefault="00CE1D04" w:rsidP="002A7A40">
      <w:pPr>
        <w:spacing w:line="360" w:lineRule="auto"/>
        <w:rPr>
          <w:rFonts w:ascii="Times New Roman" w:hAnsi="Times New Roman" w:cs="Times New Roman"/>
          <w:sz w:val="24"/>
          <w:szCs w:val="24"/>
        </w:rPr>
      </w:pPr>
      <w:r w:rsidRPr="00CE1D04">
        <w:rPr>
          <w:rFonts w:ascii="Times New Roman" w:hAnsi="Times New Roman" w:cs="Times New Roman"/>
          <w:noProof/>
          <w:sz w:val="24"/>
          <w:szCs w:val="24"/>
        </w:rPr>
        <w:lastRenderedPageBreak/>
        <w:drawing>
          <wp:inline distT="0" distB="0" distL="0" distR="0" wp14:anchorId="56B26771" wp14:editId="798ADB84">
            <wp:extent cx="5731510" cy="5113020"/>
            <wp:effectExtent l="0" t="0" r="2540" b="0"/>
            <wp:docPr id="878233369"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33369" name="Picture 1" descr="A screen shot of a chart&#10;&#10;AI-generated content may be incorrect."/>
                    <pic:cNvPicPr/>
                  </pic:nvPicPr>
                  <pic:blipFill>
                    <a:blip r:embed="rId50"/>
                    <a:stretch>
                      <a:fillRect/>
                    </a:stretch>
                  </pic:blipFill>
                  <pic:spPr>
                    <a:xfrm>
                      <a:off x="0" y="0"/>
                      <a:ext cx="5731510" cy="5113020"/>
                    </a:xfrm>
                    <a:prstGeom prst="rect">
                      <a:avLst/>
                    </a:prstGeom>
                  </pic:spPr>
                </pic:pic>
              </a:graphicData>
            </a:graphic>
          </wp:inline>
        </w:drawing>
      </w:r>
    </w:p>
    <w:p w14:paraId="2C23B6E7" w14:textId="080B3850" w:rsidR="00CE1D04" w:rsidRDefault="00CE1D04" w:rsidP="002A7A40">
      <w:pPr>
        <w:spacing w:line="360" w:lineRule="auto"/>
        <w:rPr>
          <w:rFonts w:ascii="Times New Roman" w:hAnsi="Times New Roman" w:cs="Times New Roman"/>
          <w:sz w:val="24"/>
          <w:szCs w:val="24"/>
        </w:rPr>
      </w:pPr>
      <w:r w:rsidRPr="00CE1D04">
        <w:rPr>
          <w:rFonts w:ascii="Times New Roman" w:hAnsi="Times New Roman" w:cs="Times New Roman"/>
          <w:noProof/>
          <w:sz w:val="24"/>
          <w:szCs w:val="24"/>
        </w:rPr>
        <w:lastRenderedPageBreak/>
        <w:drawing>
          <wp:inline distT="0" distB="0" distL="0" distR="0" wp14:anchorId="317BF9B4" wp14:editId="00D1AF59">
            <wp:extent cx="5731510" cy="5497830"/>
            <wp:effectExtent l="0" t="0" r="2540" b="7620"/>
            <wp:docPr id="494318831"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18831" name="Picture 1" descr="A screenshot of a survey&#10;&#10;AI-generated content may be incorrect."/>
                    <pic:cNvPicPr/>
                  </pic:nvPicPr>
                  <pic:blipFill>
                    <a:blip r:embed="rId51"/>
                    <a:stretch>
                      <a:fillRect/>
                    </a:stretch>
                  </pic:blipFill>
                  <pic:spPr>
                    <a:xfrm>
                      <a:off x="0" y="0"/>
                      <a:ext cx="5731510" cy="5497830"/>
                    </a:xfrm>
                    <a:prstGeom prst="rect">
                      <a:avLst/>
                    </a:prstGeom>
                  </pic:spPr>
                </pic:pic>
              </a:graphicData>
            </a:graphic>
          </wp:inline>
        </w:drawing>
      </w:r>
    </w:p>
    <w:p w14:paraId="52C71A26" w14:textId="30052410" w:rsidR="00CE1D04" w:rsidRDefault="00CE1D04" w:rsidP="002A7A40">
      <w:pPr>
        <w:spacing w:line="360" w:lineRule="auto"/>
        <w:rPr>
          <w:rFonts w:ascii="Times New Roman" w:hAnsi="Times New Roman" w:cs="Times New Roman"/>
          <w:sz w:val="24"/>
          <w:szCs w:val="24"/>
        </w:rPr>
      </w:pPr>
      <w:r w:rsidRPr="00CE1D04">
        <w:rPr>
          <w:rFonts w:ascii="Times New Roman" w:hAnsi="Times New Roman" w:cs="Times New Roman"/>
          <w:noProof/>
          <w:sz w:val="24"/>
          <w:szCs w:val="24"/>
        </w:rPr>
        <w:lastRenderedPageBreak/>
        <w:drawing>
          <wp:inline distT="0" distB="0" distL="0" distR="0" wp14:anchorId="50454B09" wp14:editId="160091CB">
            <wp:extent cx="5731510" cy="5135245"/>
            <wp:effectExtent l="0" t="0" r="2540" b="8255"/>
            <wp:docPr id="185981576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15762" name="Picture 1" descr="A screenshot of a graph&#10;&#10;AI-generated content may be incorrect."/>
                    <pic:cNvPicPr/>
                  </pic:nvPicPr>
                  <pic:blipFill>
                    <a:blip r:embed="rId52"/>
                    <a:stretch>
                      <a:fillRect/>
                    </a:stretch>
                  </pic:blipFill>
                  <pic:spPr>
                    <a:xfrm>
                      <a:off x="0" y="0"/>
                      <a:ext cx="5731510" cy="5135245"/>
                    </a:xfrm>
                    <a:prstGeom prst="rect">
                      <a:avLst/>
                    </a:prstGeom>
                  </pic:spPr>
                </pic:pic>
              </a:graphicData>
            </a:graphic>
          </wp:inline>
        </w:drawing>
      </w:r>
    </w:p>
    <w:p w14:paraId="448D0DB4" w14:textId="4D126EA4" w:rsidR="00CE1D04" w:rsidRDefault="007101F5" w:rsidP="002A7A40">
      <w:pPr>
        <w:spacing w:line="360" w:lineRule="auto"/>
        <w:rPr>
          <w:rFonts w:ascii="Times New Roman" w:hAnsi="Times New Roman" w:cs="Times New Roman"/>
          <w:sz w:val="24"/>
          <w:szCs w:val="24"/>
        </w:rPr>
      </w:pPr>
      <w:r w:rsidRPr="007101F5">
        <w:rPr>
          <w:rFonts w:ascii="Times New Roman" w:hAnsi="Times New Roman" w:cs="Times New Roman"/>
          <w:noProof/>
          <w:sz w:val="24"/>
          <w:szCs w:val="24"/>
        </w:rPr>
        <w:lastRenderedPageBreak/>
        <w:drawing>
          <wp:inline distT="0" distB="0" distL="0" distR="0" wp14:anchorId="572B71A8" wp14:editId="74BCF135">
            <wp:extent cx="5731510" cy="5082540"/>
            <wp:effectExtent l="0" t="0" r="2540" b="3810"/>
            <wp:docPr id="297520548"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20548" name="Picture 1" descr="A screenshot of a survey&#10;&#10;AI-generated content may be incorrect."/>
                    <pic:cNvPicPr/>
                  </pic:nvPicPr>
                  <pic:blipFill>
                    <a:blip r:embed="rId53"/>
                    <a:stretch>
                      <a:fillRect/>
                    </a:stretch>
                  </pic:blipFill>
                  <pic:spPr>
                    <a:xfrm>
                      <a:off x="0" y="0"/>
                      <a:ext cx="5731510" cy="5082540"/>
                    </a:xfrm>
                    <a:prstGeom prst="rect">
                      <a:avLst/>
                    </a:prstGeom>
                  </pic:spPr>
                </pic:pic>
              </a:graphicData>
            </a:graphic>
          </wp:inline>
        </w:drawing>
      </w:r>
    </w:p>
    <w:p w14:paraId="00C95738" w14:textId="77777777" w:rsidR="007101F5" w:rsidRDefault="007101F5" w:rsidP="002A7A40">
      <w:pPr>
        <w:spacing w:line="360" w:lineRule="auto"/>
        <w:rPr>
          <w:rFonts w:ascii="Times New Roman" w:hAnsi="Times New Roman" w:cs="Times New Roman"/>
          <w:sz w:val="24"/>
          <w:szCs w:val="24"/>
        </w:rPr>
      </w:pPr>
    </w:p>
    <w:p w14:paraId="4A33D84D" w14:textId="77777777" w:rsidR="00F567F2" w:rsidRPr="001A2EF6" w:rsidRDefault="00F567F2" w:rsidP="002A7A40">
      <w:pPr>
        <w:spacing w:line="360" w:lineRule="auto"/>
        <w:rPr>
          <w:rFonts w:ascii="Times New Roman" w:hAnsi="Times New Roman" w:cs="Times New Roman"/>
          <w:sz w:val="24"/>
          <w:szCs w:val="24"/>
        </w:rPr>
      </w:pPr>
    </w:p>
    <w:sectPr w:rsidR="00F567F2" w:rsidRPr="001A2EF6" w:rsidSect="002D4CCD">
      <w:footerReference w:type="default" r:id="rId54"/>
      <w:pgSz w:w="11906" w:h="16838"/>
      <w:pgMar w:top="1440" w:right="1440" w:bottom="1440" w:left="1440" w:header="708" w:footer="708" w:gutter="0"/>
      <w:pgBorders w:offsetFrom="page">
        <w:top w:val="single" w:sz="18" w:space="24" w:color="153D63" w:themeColor="text2" w:themeTint="E6"/>
        <w:left w:val="single" w:sz="18" w:space="24" w:color="153D63" w:themeColor="text2" w:themeTint="E6"/>
        <w:bottom w:val="single" w:sz="18" w:space="24" w:color="153D63" w:themeColor="text2" w:themeTint="E6"/>
        <w:right w:val="single" w:sz="18" w:space="24" w:color="153D63" w:themeColor="text2" w:themeTint="E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34ECB" w14:textId="77777777" w:rsidR="00F66FCF" w:rsidRDefault="00F66FCF" w:rsidP="009850D1">
      <w:pPr>
        <w:spacing w:after="0" w:line="240" w:lineRule="auto"/>
      </w:pPr>
      <w:r>
        <w:separator/>
      </w:r>
    </w:p>
  </w:endnote>
  <w:endnote w:type="continuationSeparator" w:id="0">
    <w:p w14:paraId="2AC3B822" w14:textId="77777777" w:rsidR="00F66FCF" w:rsidRDefault="00F66FCF" w:rsidP="00985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477802"/>
      <w:docPartObj>
        <w:docPartGallery w:val="Page Numbers (Bottom of Page)"/>
        <w:docPartUnique/>
      </w:docPartObj>
    </w:sdtPr>
    <w:sdtEndPr>
      <w:rPr>
        <w:noProof/>
      </w:rPr>
    </w:sdtEndPr>
    <w:sdtContent>
      <w:p w14:paraId="4CBB0922" w14:textId="289666DC" w:rsidR="009850D1" w:rsidRDefault="009850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26FBEC" w14:textId="77777777" w:rsidR="009850D1" w:rsidRDefault="00985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ADBE9" w14:textId="77777777" w:rsidR="00F66FCF" w:rsidRDefault="00F66FCF" w:rsidP="009850D1">
      <w:pPr>
        <w:spacing w:after="0" w:line="240" w:lineRule="auto"/>
      </w:pPr>
      <w:r>
        <w:separator/>
      </w:r>
    </w:p>
  </w:footnote>
  <w:footnote w:type="continuationSeparator" w:id="0">
    <w:p w14:paraId="58E72B34" w14:textId="77777777" w:rsidR="00F66FCF" w:rsidRDefault="00F66FCF" w:rsidP="009850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5A1"/>
    <w:multiLevelType w:val="hybridMultilevel"/>
    <w:tmpl w:val="7ACA26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5D0F4F"/>
    <w:multiLevelType w:val="hybridMultilevel"/>
    <w:tmpl w:val="3F1204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296717"/>
    <w:multiLevelType w:val="hybridMultilevel"/>
    <w:tmpl w:val="3F7E57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A12632B"/>
    <w:multiLevelType w:val="hybridMultilevel"/>
    <w:tmpl w:val="82403A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7D13C63"/>
    <w:multiLevelType w:val="hybridMultilevel"/>
    <w:tmpl w:val="DA58F9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A675F6"/>
    <w:multiLevelType w:val="multilevel"/>
    <w:tmpl w:val="EFAA16E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2B57426"/>
    <w:multiLevelType w:val="hybridMultilevel"/>
    <w:tmpl w:val="2A405D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D6A5316"/>
    <w:multiLevelType w:val="multilevel"/>
    <w:tmpl w:val="0414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F110933"/>
    <w:multiLevelType w:val="hybridMultilevel"/>
    <w:tmpl w:val="7A7C7A0A"/>
    <w:lvl w:ilvl="0" w:tplc="28E0999E">
      <w:start w:val="10"/>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06E4B5B"/>
    <w:multiLevelType w:val="hybridMultilevel"/>
    <w:tmpl w:val="2D822A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4797189"/>
    <w:multiLevelType w:val="hybridMultilevel"/>
    <w:tmpl w:val="B4A4A3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83E0A52"/>
    <w:multiLevelType w:val="multilevel"/>
    <w:tmpl w:val="EFAA16E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19830113">
    <w:abstractNumId w:val="6"/>
  </w:num>
  <w:num w:numId="2" w16cid:durableId="76489530">
    <w:abstractNumId w:val="3"/>
  </w:num>
  <w:num w:numId="3" w16cid:durableId="170683462">
    <w:abstractNumId w:val="7"/>
  </w:num>
  <w:num w:numId="4" w16cid:durableId="727454203">
    <w:abstractNumId w:val="5"/>
  </w:num>
  <w:num w:numId="5" w16cid:durableId="220942655">
    <w:abstractNumId w:val="11"/>
  </w:num>
  <w:num w:numId="6" w16cid:durableId="1189295766">
    <w:abstractNumId w:val="8"/>
  </w:num>
  <w:num w:numId="7" w16cid:durableId="962809070">
    <w:abstractNumId w:val="1"/>
  </w:num>
  <w:num w:numId="8" w16cid:durableId="1889487715">
    <w:abstractNumId w:val="9"/>
  </w:num>
  <w:num w:numId="9" w16cid:durableId="1558126013">
    <w:abstractNumId w:val="2"/>
  </w:num>
  <w:num w:numId="10" w16cid:durableId="1571111856">
    <w:abstractNumId w:val="0"/>
  </w:num>
  <w:num w:numId="11" w16cid:durableId="158665352">
    <w:abstractNumId w:val="4"/>
  </w:num>
  <w:num w:numId="12" w16cid:durableId="8527643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79"/>
    <w:rsid w:val="0001506A"/>
    <w:rsid w:val="00023FE9"/>
    <w:rsid w:val="000240D8"/>
    <w:rsid w:val="00024AD4"/>
    <w:rsid w:val="00024F2B"/>
    <w:rsid w:val="000274A0"/>
    <w:rsid w:val="00040D30"/>
    <w:rsid w:val="00045937"/>
    <w:rsid w:val="00060C39"/>
    <w:rsid w:val="00063D8D"/>
    <w:rsid w:val="0007008C"/>
    <w:rsid w:val="000728C4"/>
    <w:rsid w:val="0009340C"/>
    <w:rsid w:val="000A2F70"/>
    <w:rsid w:val="000A3854"/>
    <w:rsid w:val="000C0E76"/>
    <w:rsid w:val="000D5563"/>
    <w:rsid w:val="000E4E4B"/>
    <w:rsid w:val="001255CA"/>
    <w:rsid w:val="00144073"/>
    <w:rsid w:val="00146173"/>
    <w:rsid w:val="00146F53"/>
    <w:rsid w:val="0014763C"/>
    <w:rsid w:val="00152374"/>
    <w:rsid w:val="0015361E"/>
    <w:rsid w:val="00156A65"/>
    <w:rsid w:val="00164C2D"/>
    <w:rsid w:val="00166E29"/>
    <w:rsid w:val="00176FD9"/>
    <w:rsid w:val="00183F8A"/>
    <w:rsid w:val="001A2EF6"/>
    <w:rsid w:val="001A470D"/>
    <w:rsid w:val="001B5196"/>
    <w:rsid w:val="001B5DDF"/>
    <w:rsid w:val="001E3E9A"/>
    <w:rsid w:val="001E4090"/>
    <w:rsid w:val="00205CE1"/>
    <w:rsid w:val="00207777"/>
    <w:rsid w:val="00216A1B"/>
    <w:rsid w:val="002242D1"/>
    <w:rsid w:val="002253F5"/>
    <w:rsid w:val="00234380"/>
    <w:rsid w:val="002431C5"/>
    <w:rsid w:val="002478F6"/>
    <w:rsid w:val="00253E61"/>
    <w:rsid w:val="0026377B"/>
    <w:rsid w:val="00273AC5"/>
    <w:rsid w:val="002757EF"/>
    <w:rsid w:val="0029416E"/>
    <w:rsid w:val="002A7210"/>
    <w:rsid w:val="002A7A40"/>
    <w:rsid w:val="002D2F18"/>
    <w:rsid w:val="002D4CCD"/>
    <w:rsid w:val="002F0931"/>
    <w:rsid w:val="003129C4"/>
    <w:rsid w:val="00313689"/>
    <w:rsid w:val="0031570D"/>
    <w:rsid w:val="00326936"/>
    <w:rsid w:val="0033055F"/>
    <w:rsid w:val="00335B8D"/>
    <w:rsid w:val="0033609A"/>
    <w:rsid w:val="003710E3"/>
    <w:rsid w:val="0037678A"/>
    <w:rsid w:val="0037700A"/>
    <w:rsid w:val="00381E1B"/>
    <w:rsid w:val="00386377"/>
    <w:rsid w:val="00395D38"/>
    <w:rsid w:val="00396B5E"/>
    <w:rsid w:val="003A3A97"/>
    <w:rsid w:val="003B79BB"/>
    <w:rsid w:val="003C69B3"/>
    <w:rsid w:val="003E5716"/>
    <w:rsid w:val="003F42C3"/>
    <w:rsid w:val="00413CD5"/>
    <w:rsid w:val="00417F35"/>
    <w:rsid w:val="004245CA"/>
    <w:rsid w:val="00431ABB"/>
    <w:rsid w:val="00441594"/>
    <w:rsid w:val="00443FF8"/>
    <w:rsid w:val="00452321"/>
    <w:rsid w:val="004542BD"/>
    <w:rsid w:val="004557D3"/>
    <w:rsid w:val="00457A16"/>
    <w:rsid w:val="004613B8"/>
    <w:rsid w:val="0046227C"/>
    <w:rsid w:val="00491D12"/>
    <w:rsid w:val="004B0CD2"/>
    <w:rsid w:val="004C1F87"/>
    <w:rsid w:val="004D24C1"/>
    <w:rsid w:val="004F02BE"/>
    <w:rsid w:val="004F5EC9"/>
    <w:rsid w:val="005007EB"/>
    <w:rsid w:val="00502B6E"/>
    <w:rsid w:val="005070E2"/>
    <w:rsid w:val="00515DDB"/>
    <w:rsid w:val="0052436D"/>
    <w:rsid w:val="00541788"/>
    <w:rsid w:val="00541934"/>
    <w:rsid w:val="005431D9"/>
    <w:rsid w:val="00544A45"/>
    <w:rsid w:val="0054578D"/>
    <w:rsid w:val="005561E7"/>
    <w:rsid w:val="00556EE3"/>
    <w:rsid w:val="005608C6"/>
    <w:rsid w:val="00560F66"/>
    <w:rsid w:val="0056464D"/>
    <w:rsid w:val="005667DE"/>
    <w:rsid w:val="00573788"/>
    <w:rsid w:val="005814A7"/>
    <w:rsid w:val="005846F6"/>
    <w:rsid w:val="00587CFD"/>
    <w:rsid w:val="005971DC"/>
    <w:rsid w:val="005B3160"/>
    <w:rsid w:val="005C1470"/>
    <w:rsid w:val="005C30F2"/>
    <w:rsid w:val="005C45C4"/>
    <w:rsid w:val="005D7CB3"/>
    <w:rsid w:val="005E1CB7"/>
    <w:rsid w:val="005F03E9"/>
    <w:rsid w:val="00603ED0"/>
    <w:rsid w:val="006105A8"/>
    <w:rsid w:val="006132EF"/>
    <w:rsid w:val="00626989"/>
    <w:rsid w:val="006433AB"/>
    <w:rsid w:val="00685474"/>
    <w:rsid w:val="00691BD4"/>
    <w:rsid w:val="00697A7F"/>
    <w:rsid w:val="006B2341"/>
    <w:rsid w:val="006C15E5"/>
    <w:rsid w:val="006C77A7"/>
    <w:rsid w:val="006D4453"/>
    <w:rsid w:val="006E3D38"/>
    <w:rsid w:val="006E73F7"/>
    <w:rsid w:val="00702C98"/>
    <w:rsid w:val="00705EE8"/>
    <w:rsid w:val="007101F5"/>
    <w:rsid w:val="00712EB4"/>
    <w:rsid w:val="00715612"/>
    <w:rsid w:val="00730EC9"/>
    <w:rsid w:val="00731061"/>
    <w:rsid w:val="007337A7"/>
    <w:rsid w:val="0074506E"/>
    <w:rsid w:val="00752424"/>
    <w:rsid w:val="00755E39"/>
    <w:rsid w:val="0077365A"/>
    <w:rsid w:val="00773785"/>
    <w:rsid w:val="00783AD1"/>
    <w:rsid w:val="007902B7"/>
    <w:rsid w:val="007910DD"/>
    <w:rsid w:val="00796D25"/>
    <w:rsid w:val="007A6A40"/>
    <w:rsid w:val="007C2E9C"/>
    <w:rsid w:val="007C3BC0"/>
    <w:rsid w:val="007C3EDD"/>
    <w:rsid w:val="008004BA"/>
    <w:rsid w:val="00802C8E"/>
    <w:rsid w:val="00806F19"/>
    <w:rsid w:val="008074A5"/>
    <w:rsid w:val="00811ABA"/>
    <w:rsid w:val="00816A2C"/>
    <w:rsid w:val="00821C88"/>
    <w:rsid w:val="00822EB4"/>
    <w:rsid w:val="00827B98"/>
    <w:rsid w:val="0083050D"/>
    <w:rsid w:val="00843571"/>
    <w:rsid w:val="00847936"/>
    <w:rsid w:val="008539D6"/>
    <w:rsid w:val="0086624F"/>
    <w:rsid w:val="00866E75"/>
    <w:rsid w:val="00871946"/>
    <w:rsid w:val="00872FB9"/>
    <w:rsid w:val="00884BB0"/>
    <w:rsid w:val="0089248D"/>
    <w:rsid w:val="00893996"/>
    <w:rsid w:val="00897B3B"/>
    <w:rsid w:val="008A5749"/>
    <w:rsid w:val="008A613E"/>
    <w:rsid w:val="008F41EE"/>
    <w:rsid w:val="008F4A7F"/>
    <w:rsid w:val="009135BC"/>
    <w:rsid w:val="00916049"/>
    <w:rsid w:val="00927D83"/>
    <w:rsid w:val="00931AF4"/>
    <w:rsid w:val="009340F2"/>
    <w:rsid w:val="009552AA"/>
    <w:rsid w:val="009850D1"/>
    <w:rsid w:val="00992EE3"/>
    <w:rsid w:val="00997B90"/>
    <w:rsid w:val="009A2627"/>
    <w:rsid w:val="009A36BF"/>
    <w:rsid w:val="009A69DC"/>
    <w:rsid w:val="009B019B"/>
    <w:rsid w:val="009B0D95"/>
    <w:rsid w:val="009B4D24"/>
    <w:rsid w:val="009B75F9"/>
    <w:rsid w:val="009C2FAC"/>
    <w:rsid w:val="009C36C2"/>
    <w:rsid w:val="009C4446"/>
    <w:rsid w:val="009D4006"/>
    <w:rsid w:val="009D5C69"/>
    <w:rsid w:val="009D7D0E"/>
    <w:rsid w:val="009E64F3"/>
    <w:rsid w:val="009E65B9"/>
    <w:rsid w:val="009F087D"/>
    <w:rsid w:val="009F1E46"/>
    <w:rsid w:val="00A137FA"/>
    <w:rsid w:val="00A17F1A"/>
    <w:rsid w:val="00A216DE"/>
    <w:rsid w:val="00A23719"/>
    <w:rsid w:val="00A27E1D"/>
    <w:rsid w:val="00A4435D"/>
    <w:rsid w:val="00A444ED"/>
    <w:rsid w:val="00A4768D"/>
    <w:rsid w:val="00A73BD2"/>
    <w:rsid w:val="00A7594B"/>
    <w:rsid w:val="00A76749"/>
    <w:rsid w:val="00A85263"/>
    <w:rsid w:val="00A86010"/>
    <w:rsid w:val="00AA124D"/>
    <w:rsid w:val="00AA6FE5"/>
    <w:rsid w:val="00AB2470"/>
    <w:rsid w:val="00AC0248"/>
    <w:rsid w:val="00AD55DA"/>
    <w:rsid w:val="00AE0FF4"/>
    <w:rsid w:val="00AF7BCF"/>
    <w:rsid w:val="00B0198F"/>
    <w:rsid w:val="00B266C4"/>
    <w:rsid w:val="00B32C9D"/>
    <w:rsid w:val="00B33479"/>
    <w:rsid w:val="00B35536"/>
    <w:rsid w:val="00B80069"/>
    <w:rsid w:val="00B8709A"/>
    <w:rsid w:val="00B91375"/>
    <w:rsid w:val="00B92AD0"/>
    <w:rsid w:val="00BB442C"/>
    <w:rsid w:val="00BB76F2"/>
    <w:rsid w:val="00BC2238"/>
    <w:rsid w:val="00BE4AFF"/>
    <w:rsid w:val="00BE7E96"/>
    <w:rsid w:val="00BF2A21"/>
    <w:rsid w:val="00BF3E67"/>
    <w:rsid w:val="00C003EC"/>
    <w:rsid w:val="00C057C5"/>
    <w:rsid w:val="00C061F0"/>
    <w:rsid w:val="00C1659F"/>
    <w:rsid w:val="00C238B3"/>
    <w:rsid w:val="00C260CE"/>
    <w:rsid w:val="00C3097C"/>
    <w:rsid w:val="00C31E8D"/>
    <w:rsid w:val="00C41354"/>
    <w:rsid w:val="00C4766A"/>
    <w:rsid w:val="00C5271D"/>
    <w:rsid w:val="00C574EA"/>
    <w:rsid w:val="00C647B9"/>
    <w:rsid w:val="00C727C5"/>
    <w:rsid w:val="00C75F58"/>
    <w:rsid w:val="00C81B04"/>
    <w:rsid w:val="00CA1E41"/>
    <w:rsid w:val="00CA6009"/>
    <w:rsid w:val="00CC299D"/>
    <w:rsid w:val="00CD7614"/>
    <w:rsid w:val="00CE1D04"/>
    <w:rsid w:val="00CE4788"/>
    <w:rsid w:val="00CE5789"/>
    <w:rsid w:val="00CF1194"/>
    <w:rsid w:val="00CF5DF1"/>
    <w:rsid w:val="00D13AEA"/>
    <w:rsid w:val="00D205EB"/>
    <w:rsid w:val="00D30D03"/>
    <w:rsid w:val="00D4176D"/>
    <w:rsid w:val="00D445E0"/>
    <w:rsid w:val="00D50129"/>
    <w:rsid w:val="00D5056E"/>
    <w:rsid w:val="00DD627B"/>
    <w:rsid w:val="00DE372A"/>
    <w:rsid w:val="00DF534F"/>
    <w:rsid w:val="00DF6E35"/>
    <w:rsid w:val="00E02C06"/>
    <w:rsid w:val="00E15A47"/>
    <w:rsid w:val="00E25DCD"/>
    <w:rsid w:val="00E310AA"/>
    <w:rsid w:val="00E41375"/>
    <w:rsid w:val="00E45EEA"/>
    <w:rsid w:val="00E51653"/>
    <w:rsid w:val="00E57371"/>
    <w:rsid w:val="00E62675"/>
    <w:rsid w:val="00E6290B"/>
    <w:rsid w:val="00E655E6"/>
    <w:rsid w:val="00E827B4"/>
    <w:rsid w:val="00E839B7"/>
    <w:rsid w:val="00E95C21"/>
    <w:rsid w:val="00EA1019"/>
    <w:rsid w:val="00EB2197"/>
    <w:rsid w:val="00EC15F3"/>
    <w:rsid w:val="00EC7629"/>
    <w:rsid w:val="00EC790C"/>
    <w:rsid w:val="00ED27D2"/>
    <w:rsid w:val="00EE0321"/>
    <w:rsid w:val="00EE13BE"/>
    <w:rsid w:val="00EE3234"/>
    <w:rsid w:val="00EE47FC"/>
    <w:rsid w:val="00EE4D4C"/>
    <w:rsid w:val="00EE759E"/>
    <w:rsid w:val="00EF268E"/>
    <w:rsid w:val="00EF27E0"/>
    <w:rsid w:val="00EF698A"/>
    <w:rsid w:val="00EF74D0"/>
    <w:rsid w:val="00F0041B"/>
    <w:rsid w:val="00F07E62"/>
    <w:rsid w:val="00F10353"/>
    <w:rsid w:val="00F16933"/>
    <w:rsid w:val="00F20EAE"/>
    <w:rsid w:val="00F311F8"/>
    <w:rsid w:val="00F35E39"/>
    <w:rsid w:val="00F36AC0"/>
    <w:rsid w:val="00F3702C"/>
    <w:rsid w:val="00F40320"/>
    <w:rsid w:val="00F42CC9"/>
    <w:rsid w:val="00F5417C"/>
    <w:rsid w:val="00F54ACB"/>
    <w:rsid w:val="00F55ACC"/>
    <w:rsid w:val="00F567F2"/>
    <w:rsid w:val="00F66FCF"/>
    <w:rsid w:val="00F7701A"/>
    <w:rsid w:val="00F823E3"/>
    <w:rsid w:val="00F82ED9"/>
    <w:rsid w:val="00F855D7"/>
    <w:rsid w:val="00F912C9"/>
    <w:rsid w:val="00FC5915"/>
    <w:rsid w:val="00FD1260"/>
    <w:rsid w:val="00FD6080"/>
    <w:rsid w:val="00FE5FD4"/>
    <w:rsid w:val="00FE65B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71676"/>
  <w15:chartTrackingRefBased/>
  <w15:docId w15:val="{9CD20FAC-0AB5-41BE-B516-1E736422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34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334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334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34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34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34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34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34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34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4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334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334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34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34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34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34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34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3479"/>
    <w:rPr>
      <w:rFonts w:eastAsiaTheme="majorEastAsia" w:cstheme="majorBidi"/>
      <w:color w:val="272727" w:themeColor="text1" w:themeTint="D8"/>
    </w:rPr>
  </w:style>
  <w:style w:type="paragraph" w:styleId="Title">
    <w:name w:val="Title"/>
    <w:basedOn w:val="Normal"/>
    <w:next w:val="Normal"/>
    <w:link w:val="TitleChar"/>
    <w:uiPriority w:val="10"/>
    <w:qFormat/>
    <w:rsid w:val="00B334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34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34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34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3479"/>
    <w:pPr>
      <w:spacing w:before="160"/>
      <w:jc w:val="center"/>
    </w:pPr>
    <w:rPr>
      <w:i/>
      <w:iCs/>
      <w:color w:val="404040" w:themeColor="text1" w:themeTint="BF"/>
    </w:rPr>
  </w:style>
  <w:style w:type="character" w:customStyle="1" w:styleId="QuoteChar">
    <w:name w:val="Quote Char"/>
    <w:basedOn w:val="DefaultParagraphFont"/>
    <w:link w:val="Quote"/>
    <w:uiPriority w:val="29"/>
    <w:rsid w:val="00B33479"/>
    <w:rPr>
      <w:i/>
      <w:iCs/>
      <w:color w:val="404040" w:themeColor="text1" w:themeTint="BF"/>
    </w:rPr>
  </w:style>
  <w:style w:type="paragraph" w:styleId="ListParagraph">
    <w:name w:val="List Paragraph"/>
    <w:basedOn w:val="Normal"/>
    <w:uiPriority w:val="34"/>
    <w:qFormat/>
    <w:rsid w:val="00B33479"/>
    <w:pPr>
      <w:ind w:left="720"/>
      <w:contextualSpacing/>
    </w:pPr>
  </w:style>
  <w:style w:type="character" w:styleId="IntenseEmphasis">
    <w:name w:val="Intense Emphasis"/>
    <w:basedOn w:val="DefaultParagraphFont"/>
    <w:uiPriority w:val="21"/>
    <w:qFormat/>
    <w:rsid w:val="00B33479"/>
    <w:rPr>
      <w:i/>
      <w:iCs/>
      <w:color w:val="0F4761" w:themeColor="accent1" w:themeShade="BF"/>
    </w:rPr>
  </w:style>
  <w:style w:type="paragraph" w:styleId="IntenseQuote">
    <w:name w:val="Intense Quote"/>
    <w:basedOn w:val="Normal"/>
    <w:next w:val="Normal"/>
    <w:link w:val="IntenseQuoteChar"/>
    <w:uiPriority w:val="30"/>
    <w:qFormat/>
    <w:rsid w:val="00B334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3479"/>
    <w:rPr>
      <w:i/>
      <w:iCs/>
      <w:color w:val="0F4761" w:themeColor="accent1" w:themeShade="BF"/>
    </w:rPr>
  </w:style>
  <w:style w:type="character" w:styleId="IntenseReference">
    <w:name w:val="Intense Reference"/>
    <w:basedOn w:val="DefaultParagraphFont"/>
    <w:uiPriority w:val="32"/>
    <w:qFormat/>
    <w:rsid w:val="00B33479"/>
    <w:rPr>
      <w:b/>
      <w:bCs/>
      <w:smallCaps/>
      <w:color w:val="0F4761" w:themeColor="accent1" w:themeShade="BF"/>
      <w:spacing w:val="5"/>
    </w:rPr>
  </w:style>
  <w:style w:type="character" w:styleId="Hyperlink">
    <w:name w:val="Hyperlink"/>
    <w:basedOn w:val="DefaultParagraphFont"/>
    <w:uiPriority w:val="99"/>
    <w:unhideWhenUsed/>
    <w:rsid w:val="00386377"/>
    <w:rPr>
      <w:color w:val="467886" w:themeColor="hyperlink"/>
      <w:u w:val="single"/>
    </w:rPr>
  </w:style>
  <w:style w:type="character" w:styleId="UnresolvedMention">
    <w:name w:val="Unresolved Mention"/>
    <w:basedOn w:val="DefaultParagraphFont"/>
    <w:uiPriority w:val="99"/>
    <w:semiHidden/>
    <w:unhideWhenUsed/>
    <w:rsid w:val="00386377"/>
    <w:rPr>
      <w:color w:val="605E5C"/>
      <w:shd w:val="clear" w:color="auto" w:fill="E1DFDD"/>
    </w:rPr>
  </w:style>
  <w:style w:type="paragraph" w:styleId="NoSpacing">
    <w:name w:val="No Spacing"/>
    <w:link w:val="NoSpacingChar"/>
    <w:uiPriority w:val="1"/>
    <w:qFormat/>
    <w:rsid w:val="007A6A4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7A6A40"/>
    <w:rPr>
      <w:rFonts w:eastAsiaTheme="minorEastAsia"/>
      <w:kern w:val="0"/>
      <w:lang w:val="en-US"/>
      <w14:ligatures w14:val="none"/>
    </w:rPr>
  </w:style>
  <w:style w:type="paragraph" w:styleId="TOCHeading">
    <w:name w:val="TOC Heading"/>
    <w:basedOn w:val="Heading1"/>
    <w:next w:val="Normal"/>
    <w:uiPriority w:val="39"/>
    <w:unhideWhenUsed/>
    <w:qFormat/>
    <w:rsid w:val="007A6A40"/>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691BD4"/>
    <w:pPr>
      <w:tabs>
        <w:tab w:val="right" w:leader="dot" w:pos="9016"/>
      </w:tabs>
      <w:spacing w:after="100" w:line="360" w:lineRule="auto"/>
    </w:pPr>
  </w:style>
  <w:style w:type="paragraph" w:styleId="TOC2">
    <w:name w:val="toc 2"/>
    <w:basedOn w:val="Normal"/>
    <w:next w:val="Normal"/>
    <w:autoRedefine/>
    <w:uiPriority w:val="39"/>
    <w:unhideWhenUsed/>
    <w:rsid w:val="007A6A40"/>
    <w:pPr>
      <w:spacing w:after="100"/>
      <w:ind w:left="220"/>
    </w:pPr>
  </w:style>
  <w:style w:type="paragraph" w:styleId="TOC3">
    <w:name w:val="toc 3"/>
    <w:basedOn w:val="Normal"/>
    <w:next w:val="Normal"/>
    <w:autoRedefine/>
    <w:uiPriority w:val="39"/>
    <w:unhideWhenUsed/>
    <w:rsid w:val="007A6A40"/>
    <w:pPr>
      <w:spacing w:after="100"/>
      <w:ind w:left="440"/>
    </w:pPr>
  </w:style>
  <w:style w:type="paragraph" w:styleId="NormalWeb">
    <w:name w:val="Normal (Web)"/>
    <w:basedOn w:val="Normal"/>
    <w:uiPriority w:val="99"/>
    <w:unhideWhenUsed/>
    <w:rsid w:val="00AC0248"/>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rong">
    <w:name w:val="Strong"/>
    <w:basedOn w:val="DefaultParagraphFont"/>
    <w:uiPriority w:val="22"/>
    <w:qFormat/>
    <w:rsid w:val="00AC0248"/>
    <w:rPr>
      <w:b/>
      <w:bCs/>
    </w:rPr>
  </w:style>
  <w:style w:type="paragraph" w:styleId="Header">
    <w:name w:val="header"/>
    <w:basedOn w:val="Normal"/>
    <w:link w:val="HeaderChar"/>
    <w:uiPriority w:val="99"/>
    <w:unhideWhenUsed/>
    <w:rsid w:val="009850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0D1"/>
  </w:style>
  <w:style w:type="paragraph" w:styleId="Footer">
    <w:name w:val="footer"/>
    <w:basedOn w:val="Normal"/>
    <w:link w:val="FooterChar"/>
    <w:uiPriority w:val="99"/>
    <w:unhideWhenUsed/>
    <w:rsid w:val="00985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06175">
      <w:bodyDiv w:val="1"/>
      <w:marLeft w:val="0"/>
      <w:marRight w:val="0"/>
      <w:marTop w:val="0"/>
      <w:marBottom w:val="0"/>
      <w:divBdr>
        <w:top w:val="none" w:sz="0" w:space="0" w:color="auto"/>
        <w:left w:val="none" w:sz="0" w:space="0" w:color="auto"/>
        <w:bottom w:val="none" w:sz="0" w:space="0" w:color="auto"/>
        <w:right w:val="none" w:sz="0" w:space="0" w:color="auto"/>
      </w:divBdr>
    </w:div>
    <w:div w:id="114444393">
      <w:bodyDiv w:val="1"/>
      <w:marLeft w:val="0"/>
      <w:marRight w:val="0"/>
      <w:marTop w:val="0"/>
      <w:marBottom w:val="0"/>
      <w:divBdr>
        <w:top w:val="none" w:sz="0" w:space="0" w:color="auto"/>
        <w:left w:val="none" w:sz="0" w:space="0" w:color="auto"/>
        <w:bottom w:val="none" w:sz="0" w:space="0" w:color="auto"/>
        <w:right w:val="none" w:sz="0" w:space="0" w:color="auto"/>
      </w:divBdr>
    </w:div>
    <w:div w:id="138887591">
      <w:bodyDiv w:val="1"/>
      <w:marLeft w:val="0"/>
      <w:marRight w:val="0"/>
      <w:marTop w:val="0"/>
      <w:marBottom w:val="0"/>
      <w:divBdr>
        <w:top w:val="none" w:sz="0" w:space="0" w:color="auto"/>
        <w:left w:val="none" w:sz="0" w:space="0" w:color="auto"/>
        <w:bottom w:val="none" w:sz="0" w:space="0" w:color="auto"/>
        <w:right w:val="none" w:sz="0" w:space="0" w:color="auto"/>
      </w:divBdr>
    </w:div>
    <w:div w:id="260265914">
      <w:bodyDiv w:val="1"/>
      <w:marLeft w:val="0"/>
      <w:marRight w:val="0"/>
      <w:marTop w:val="0"/>
      <w:marBottom w:val="0"/>
      <w:divBdr>
        <w:top w:val="none" w:sz="0" w:space="0" w:color="auto"/>
        <w:left w:val="none" w:sz="0" w:space="0" w:color="auto"/>
        <w:bottom w:val="none" w:sz="0" w:space="0" w:color="auto"/>
        <w:right w:val="none" w:sz="0" w:space="0" w:color="auto"/>
      </w:divBdr>
    </w:div>
    <w:div w:id="279458881">
      <w:bodyDiv w:val="1"/>
      <w:marLeft w:val="0"/>
      <w:marRight w:val="0"/>
      <w:marTop w:val="0"/>
      <w:marBottom w:val="0"/>
      <w:divBdr>
        <w:top w:val="none" w:sz="0" w:space="0" w:color="auto"/>
        <w:left w:val="none" w:sz="0" w:space="0" w:color="auto"/>
        <w:bottom w:val="none" w:sz="0" w:space="0" w:color="auto"/>
        <w:right w:val="none" w:sz="0" w:space="0" w:color="auto"/>
      </w:divBdr>
    </w:div>
    <w:div w:id="348218016">
      <w:bodyDiv w:val="1"/>
      <w:marLeft w:val="0"/>
      <w:marRight w:val="0"/>
      <w:marTop w:val="0"/>
      <w:marBottom w:val="0"/>
      <w:divBdr>
        <w:top w:val="none" w:sz="0" w:space="0" w:color="auto"/>
        <w:left w:val="none" w:sz="0" w:space="0" w:color="auto"/>
        <w:bottom w:val="none" w:sz="0" w:space="0" w:color="auto"/>
        <w:right w:val="none" w:sz="0" w:space="0" w:color="auto"/>
      </w:divBdr>
    </w:div>
    <w:div w:id="356583521">
      <w:bodyDiv w:val="1"/>
      <w:marLeft w:val="0"/>
      <w:marRight w:val="0"/>
      <w:marTop w:val="0"/>
      <w:marBottom w:val="0"/>
      <w:divBdr>
        <w:top w:val="none" w:sz="0" w:space="0" w:color="auto"/>
        <w:left w:val="none" w:sz="0" w:space="0" w:color="auto"/>
        <w:bottom w:val="none" w:sz="0" w:space="0" w:color="auto"/>
        <w:right w:val="none" w:sz="0" w:space="0" w:color="auto"/>
      </w:divBdr>
    </w:div>
    <w:div w:id="434985544">
      <w:bodyDiv w:val="1"/>
      <w:marLeft w:val="0"/>
      <w:marRight w:val="0"/>
      <w:marTop w:val="0"/>
      <w:marBottom w:val="0"/>
      <w:divBdr>
        <w:top w:val="none" w:sz="0" w:space="0" w:color="auto"/>
        <w:left w:val="none" w:sz="0" w:space="0" w:color="auto"/>
        <w:bottom w:val="none" w:sz="0" w:space="0" w:color="auto"/>
        <w:right w:val="none" w:sz="0" w:space="0" w:color="auto"/>
      </w:divBdr>
    </w:div>
    <w:div w:id="477962480">
      <w:bodyDiv w:val="1"/>
      <w:marLeft w:val="0"/>
      <w:marRight w:val="0"/>
      <w:marTop w:val="0"/>
      <w:marBottom w:val="0"/>
      <w:divBdr>
        <w:top w:val="none" w:sz="0" w:space="0" w:color="auto"/>
        <w:left w:val="none" w:sz="0" w:space="0" w:color="auto"/>
        <w:bottom w:val="none" w:sz="0" w:space="0" w:color="auto"/>
        <w:right w:val="none" w:sz="0" w:space="0" w:color="auto"/>
      </w:divBdr>
    </w:div>
    <w:div w:id="573975401">
      <w:bodyDiv w:val="1"/>
      <w:marLeft w:val="0"/>
      <w:marRight w:val="0"/>
      <w:marTop w:val="0"/>
      <w:marBottom w:val="0"/>
      <w:divBdr>
        <w:top w:val="none" w:sz="0" w:space="0" w:color="auto"/>
        <w:left w:val="none" w:sz="0" w:space="0" w:color="auto"/>
        <w:bottom w:val="none" w:sz="0" w:space="0" w:color="auto"/>
        <w:right w:val="none" w:sz="0" w:space="0" w:color="auto"/>
      </w:divBdr>
    </w:div>
    <w:div w:id="603223689">
      <w:bodyDiv w:val="1"/>
      <w:marLeft w:val="0"/>
      <w:marRight w:val="0"/>
      <w:marTop w:val="0"/>
      <w:marBottom w:val="0"/>
      <w:divBdr>
        <w:top w:val="none" w:sz="0" w:space="0" w:color="auto"/>
        <w:left w:val="none" w:sz="0" w:space="0" w:color="auto"/>
        <w:bottom w:val="none" w:sz="0" w:space="0" w:color="auto"/>
        <w:right w:val="none" w:sz="0" w:space="0" w:color="auto"/>
      </w:divBdr>
    </w:div>
    <w:div w:id="617880328">
      <w:bodyDiv w:val="1"/>
      <w:marLeft w:val="0"/>
      <w:marRight w:val="0"/>
      <w:marTop w:val="0"/>
      <w:marBottom w:val="0"/>
      <w:divBdr>
        <w:top w:val="none" w:sz="0" w:space="0" w:color="auto"/>
        <w:left w:val="none" w:sz="0" w:space="0" w:color="auto"/>
        <w:bottom w:val="none" w:sz="0" w:space="0" w:color="auto"/>
        <w:right w:val="none" w:sz="0" w:space="0" w:color="auto"/>
      </w:divBdr>
    </w:div>
    <w:div w:id="647713910">
      <w:bodyDiv w:val="1"/>
      <w:marLeft w:val="0"/>
      <w:marRight w:val="0"/>
      <w:marTop w:val="0"/>
      <w:marBottom w:val="0"/>
      <w:divBdr>
        <w:top w:val="none" w:sz="0" w:space="0" w:color="auto"/>
        <w:left w:val="none" w:sz="0" w:space="0" w:color="auto"/>
        <w:bottom w:val="none" w:sz="0" w:space="0" w:color="auto"/>
        <w:right w:val="none" w:sz="0" w:space="0" w:color="auto"/>
      </w:divBdr>
    </w:div>
    <w:div w:id="665481558">
      <w:bodyDiv w:val="1"/>
      <w:marLeft w:val="0"/>
      <w:marRight w:val="0"/>
      <w:marTop w:val="0"/>
      <w:marBottom w:val="0"/>
      <w:divBdr>
        <w:top w:val="none" w:sz="0" w:space="0" w:color="auto"/>
        <w:left w:val="none" w:sz="0" w:space="0" w:color="auto"/>
        <w:bottom w:val="none" w:sz="0" w:space="0" w:color="auto"/>
        <w:right w:val="none" w:sz="0" w:space="0" w:color="auto"/>
      </w:divBdr>
    </w:div>
    <w:div w:id="681859499">
      <w:bodyDiv w:val="1"/>
      <w:marLeft w:val="0"/>
      <w:marRight w:val="0"/>
      <w:marTop w:val="0"/>
      <w:marBottom w:val="0"/>
      <w:divBdr>
        <w:top w:val="none" w:sz="0" w:space="0" w:color="auto"/>
        <w:left w:val="none" w:sz="0" w:space="0" w:color="auto"/>
        <w:bottom w:val="none" w:sz="0" w:space="0" w:color="auto"/>
        <w:right w:val="none" w:sz="0" w:space="0" w:color="auto"/>
      </w:divBdr>
    </w:div>
    <w:div w:id="692462906">
      <w:bodyDiv w:val="1"/>
      <w:marLeft w:val="0"/>
      <w:marRight w:val="0"/>
      <w:marTop w:val="0"/>
      <w:marBottom w:val="0"/>
      <w:divBdr>
        <w:top w:val="none" w:sz="0" w:space="0" w:color="auto"/>
        <w:left w:val="none" w:sz="0" w:space="0" w:color="auto"/>
        <w:bottom w:val="none" w:sz="0" w:space="0" w:color="auto"/>
        <w:right w:val="none" w:sz="0" w:space="0" w:color="auto"/>
      </w:divBdr>
    </w:div>
    <w:div w:id="696275622">
      <w:bodyDiv w:val="1"/>
      <w:marLeft w:val="0"/>
      <w:marRight w:val="0"/>
      <w:marTop w:val="0"/>
      <w:marBottom w:val="0"/>
      <w:divBdr>
        <w:top w:val="none" w:sz="0" w:space="0" w:color="auto"/>
        <w:left w:val="none" w:sz="0" w:space="0" w:color="auto"/>
        <w:bottom w:val="none" w:sz="0" w:space="0" w:color="auto"/>
        <w:right w:val="none" w:sz="0" w:space="0" w:color="auto"/>
      </w:divBdr>
    </w:div>
    <w:div w:id="917861852">
      <w:bodyDiv w:val="1"/>
      <w:marLeft w:val="0"/>
      <w:marRight w:val="0"/>
      <w:marTop w:val="0"/>
      <w:marBottom w:val="0"/>
      <w:divBdr>
        <w:top w:val="none" w:sz="0" w:space="0" w:color="auto"/>
        <w:left w:val="none" w:sz="0" w:space="0" w:color="auto"/>
        <w:bottom w:val="none" w:sz="0" w:space="0" w:color="auto"/>
        <w:right w:val="none" w:sz="0" w:space="0" w:color="auto"/>
      </w:divBdr>
    </w:div>
    <w:div w:id="969283420">
      <w:bodyDiv w:val="1"/>
      <w:marLeft w:val="0"/>
      <w:marRight w:val="0"/>
      <w:marTop w:val="0"/>
      <w:marBottom w:val="0"/>
      <w:divBdr>
        <w:top w:val="none" w:sz="0" w:space="0" w:color="auto"/>
        <w:left w:val="none" w:sz="0" w:space="0" w:color="auto"/>
        <w:bottom w:val="none" w:sz="0" w:space="0" w:color="auto"/>
        <w:right w:val="none" w:sz="0" w:space="0" w:color="auto"/>
      </w:divBdr>
    </w:div>
    <w:div w:id="1063869116">
      <w:bodyDiv w:val="1"/>
      <w:marLeft w:val="0"/>
      <w:marRight w:val="0"/>
      <w:marTop w:val="0"/>
      <w:marBottom w:val="0"/>
      <w:divBdr>
        <w:top w:val="none" w:sz="0" w:space="0" w:color="auto"/>
        <w:left w:val="none" w:sz="0" w:space="0" w:color="auto"/>
        <w:bottom w:val="none" w:sz="0" w:space="0" w:color="auto"/>
        <w:right w:val="none" w:sz="0" w:space="0" w:color="auto"/>
      </w:divBdr>
    </w:div>
    <w:div w:id="1086003769">
      <w:bodyDiv w:val="1"/>
      <w:marLeft w:val="0"/>
      <w:marRight w:val="0"/>
      <w:marTop w:val="0"/>
      <w:marBottom w:val="0"/>
      <w:divBdr>
        <w:top w:val="none" w:sz="0" w:space="0" w:color="auto"/>
        <w:left w:val="none" w:sz="0" w:space="0" w:color="auto"/>
        <w:bottom w:val="none" w:sz="0" w:space="0" w:color="auto"/>
        <w:right w:val="none" w:sz="0" w:space="0" w:color="auto"/>
      </w:divBdr>
    </w:div>
    <w:div w:id="1087649637">
      <w:bodyDiv w:val="1"/>
      <w:marLeft w:val="0"/>
      <w:marRight w:val="0"/>
      <w:marTop w:val="0"/>
      <w:marBottom w:val="0"/>
      <w:divBdr>
        <w:top w:val="none" w:sz="0" w:space="0" w:color="auto"/>
        <w:left w:val="none" w:sz="0" w:space="0" w:color="auto"/>
        <w:bottom w:val="none" w:sz="0" w:space="0" w:color="auto"/>
        <w:right w:val="none" w:sz="0" w:space="0" w:color="auto"/>
      </w:divBdr>
    </w:div>
    <w:div w:id="1095319640">
      <w:bodyDiv w:val="1"/>
      <w:marLeft w:val="0"/>
      <w:marRight w:val="0"/>
      <w:marTop w:val="0"/>
      <w:marBottom w:val="0"/>
      <w:divBdr>
        <w:top w:val="none" w:sz="0" w:space="0" w:color="auto"/>
        <w:left w:val="none" w:sz="0" w:space="0" w:color="auto"/>
        <w:bottom w:val="none" w:sz="0" w:space="0" w:color="auto"/>
        <w:right w:val="none" w:sz="0" w:space="0" w:color="auto"/>
      </w:divBdr>
    </w:div>
    <w:div w:id="1106922989">
      <w:bodyDiv w:val="1"/>
      <w:marLeft w:val="0"/>
      <w:marRight w:val="0"/>
      <w:marTop w:val="0"/>
      <w:marBottom w:val="0"/>
      <w:divBdr>
        <w:top w:val="none" w:sz="0" w:space="0" w:color="auto"/>
        <w:left w:val="none" w:sz="0" w:space="0" w:color="auto"/>
        <w:bottom w:val="none" w:sz="0" w:space="0" w:color="auto"/>
        <w:right w:val="none" w:sz="0" w:space="0" w:color="auto"/>
      </w:divBdr>
    </w:div>
    <w:div w:id="1129663285">
      <w:bodyDiv w:val="1"/>
      <w:marLeft w:val="0"/>
      <w:marRight w:val="0"/>
      <w:marTop w:val="0"/>
      <w:marBottom w:val="0"/>
      <w:divBdr>
        <w:top w:val="none" w:sz="0" w:space="0" w:color="auto"/>
        <w:left w:val="none" w:sz="0" w:space="0" w:color="auto"/>
        <w:bottom w:val="none" w:sz="0" w:space="0" w:color="auto"/>
        <w:right w:val="none" w:sz="0" w:space="0" w:color="auto"/>
      </w:divBdr>
    </w:div>
    <w:div w:id="1155024009">
      <w:bodyDiv w:val="1"/>
      <w:marLeft w:val="0"/>
      <w:marRight w:val="0"/>
      <w:marTop w:val="0"/>
      <w:marBottom w:val="0"/>
      <w:divBdr>
        <w:top w:val="none" w:sz="0" w:space="0" w:color="auto"/>
        <w:left w:val="none" w:sz="0" w:space="0" w:color="auto"/>
        <w:bottom w:val="none" w:sz="0" w:space="0" w:color="auto"/>
        <w:right w:val="none" w:sz="0" w:space="0" w:color="auto"/>
      </w:divBdr>
    </w:div>
    <w:div w:id="1165122024">
      <w:bodyDiv w:val="1"/>
      <w:marLeft w:val="0"/>
      <w:marRight w:val="0"/>
      <w:marTop w:val="0"/>
      <w:marBottom w:val="0"/>
      <w:divBdr>
        <w:top w:val="none" w:sz="0" w:space="0" w:color="auto"/>
        <w:left w:val="none" w:sz="0" w:space="0" w:color="auto"/>
        <w:bottom w:val="none" w:sz="0" w:space="0" w:color="auto"/>
        <w:right w:val="none" w:sz="0" w:space="0" w:color="auto"/>
      </w:divBdr>
    </w:div>
    <w:div w:id="1180775626">
      <w:bodyDiv w:val="1"/>
      <w:marLeft w:val="0"/>
      <w:marRight w:val="0"/>
      <w:marTop w:val="0"/>
      <w:marBottom w:val="0"/>
      <w:divBdr>
        <w:top w:val="none" w:sz="0" w:space="0" w:color="auto"/>
        <w:left w:val="none" w:sz="0" w:space="0" w:color="auto"/>
        <w:bottom w:val="none" w:sz="0" w:space="0" w:color="auto"/>
        <w:right w:val="none" w:sz="0" w:space="0" w:color="auto"/>
      </w:divBdr>
    </w:div>
    <w:div w:id="1245533895">
      <w:bodyDiv w:val="1"/>
      <w:marLeft w:val="0"/>
      <w:marRight w:val="0"/>
      <w:marTop w:val="0"/>
      <w:marBottom w:val="0"/>
      <w:divBdr>
        <w:top w:val="none" w:sz="0" w:space="0" w:color="auto"/>
        <w:left w:val="none" w:sz="0" w:space="0" w:color="auto"/>
        <w:bottom w:val="none" w:sz="0" w:space="0" w:color="auto"/>
        <w:right w:val="none" w:sz="0" w:space="0" w:color="auto"/>
      </w:divBdr>
    </w:div>
    <w:div w:id="1258365990">
      <w:bodyDiv w:val="1"/>
      <w:marLeft w:val="0"/>
      <w:marRight w:val="0"/>
      <w:marTop w:val="0"/>
      <w:marBottom w:val="0"/>
      <w:divBdr>
        <w:top w:val="none" w:sz="0" w:space="0" w:color="auto"/>
        <w:left w:val="none" w:sz="0" w:space="0" w:color="auto"/>
        <w:bottom w:val="none" w:sz="0" w:space="0" w:color="auto"/>
        <w:right w:val="none" w:sz="0" w:space="0" w:color="auto"/>
      </w:divBdr>
    </w:div>
    <w:div w:id="1411851398">
      <w:bodyDiv w:val="1"/>
      <w:marLeft w:val="0"/>
      <w:marRight w:val="0"/>
      <w:marTop w:val="0"/>
      <w:marBottom w:val="0"/>
      <w:divBdr>
        <w:top w:val="none" w:sz="0" w:space="0" w:color="auto"/>
        <w:left w:val="none" w:sz="0" w:space="0" w:color="auto"/>
        <w:bottom w:val="none" w:sz="0" w:space="0" w:color="auto"/>
        <w:right w:val="none" w:sz="0" w:space="0" w:color="auto"/>
      </w:divBdr>
    </w:div>
    <w:div w:id="1416240783">
      <w:bodyDiv w:val="1"/>
      <w:marLeft w:val="0"/>
      <w:marRight w:val="0"/>
      <w:marTop w:val="0"/>
      <w:marBottom w:val="0"/>
      <w:divBdr>
        <w:top w:val="none" w:sz="0" w:space="0" w:color="auto"/>
        <w:left w:val="none" w:sz="0" w:space="0" w:color="auto"/>
        <w:bottom w:val="none" w:sz="0" w:space="0" w:color="auto"/>
        <w:right w:val="none" w:sz="0" w:space="0" w:color="auto"/>
      </w:divBdr>
    </w:div>
    <w:div w:id="1460873541">
      <w:bodyDiv w:val="1"/>
      <w:marLeft w:val="0"/>
      <w:marRight w:val="0"/>
      <w:marTop w:val="0"/>
      <w:marBottom w:val="0"/>
      <w:divBdr>
        <w:top w:val="none" w:sz="0" w:space="0" w:color="auto"/>
        <w:left w:val="none" w:sz="0" w:space="0" w:color="auto"/>
        <w:bottom w:val="none" w:sz="0" w:space="0" w:color="auto"/>
        <w:right w:val="none" w:sz="0" w:space="0" w:color="auto"/>
      </w:divBdr>
    </w:div>
    <w:div w:id="1479148504">
      <w:bodyDiv w:val="1"/>
      <w:marLeft w:val="0"/>
      <w:marRight w:val="0"/>
      <w:marTop w:val="0"/>
      <w:marBottom w:val="0"/>
      <w:divBdr>
        <w:top w:val="none" w:sz="0" w:space="0" w:color="auto"/>
        <w:left w:val="none" w:sz="0" w:space="0" w:color="auto"/>
        <w:bottom w:val="none" w:sz="0" w:space="0" w:color="auto"/>
        <w:right w:val="none" w:sz="0" w:space="0" w:color="auto"/>
      </w:divBdr>
    </w:div>
    <w:div w:id="1496066522">
      <w:bodyDiv w:val="1"/>
      <w:marLeft w:val="0"/>
      <w:marRight w:val="0"/>
      <w:marTop w:val="0"/>
      <w:marBottom w:val="0"/>
      <w:divBdr>
        <w:top w:val="none" w:sz="0" w:space="0" w:color="auto"/>
        <w:left w:val="none" w:sz="0" w:space="0" w:color="auto"/>
        <w:bottom w:val="none" w:sz="0" w:space="0" w:color="auto"/>
        <w:right w:val="none" w:sz="0" w:space="0" w:color="auto"/>
      </w:divBdr>
    </w:div>
    <w:div w:id="1588228114">
      <w:bodyDiv w:val="1"/>
      <w:marLeft w:val="0"/>
      <w:marRight w:val="0"/>
      <w:marTop w:val="0"/>
      <w:marBottom w:val="0"/>
      <w:divBdr>
        <w:top w:val="none" w:sz="0" w:space="0" w:color="auto"/>
        <w:left w:val="none" w:sz="0" w:space="0" w:color="auto"/>
        <w:bottom w:val="none" w:sz="0" w:space="0" w:color="auto"/>
        <w:right w:val="none" w:sz="0" w:space="0" w:color="auto"/>
      </w:divBdr>
    </w:div>
    <w:div w:id="1594822653">
      <w:bodyDiv w:val="1"/>
      <w:marLeft w:val="0"/>
      <w:marRight w:val="0"/>
      <w:marTop w:val="0"/>
      <w:marBottom w:val="0"/>
      <w:divBdr>
        <w:top w:val="none" w:sz="0" w:space="0" w:color="auto"/>
        <w:left w:val="none" w:sz="0" w:space="0" w:color="auto"/>
        <w:bottom w:val="none" w:sz="0" w:space="0" w:color="auto"/>
        <w:right w:val="none" w:sz="0" w:space="0" w:color="auto"/>
      </w:divBdr>
    </w:div>
    <w:div w:id="1597445054">
      <w:bodyDiv w:val="1"/>
      <w:marLeft w:val="0"/>
      <w:marRight w:val="0"/>
      <w:marTop w:val="0"/>
      <w:marBottom w:val="0"/>
      <w:divBdr>
        <w:top w:val="none" w:sz="0" w:space="0" w:color="auto"/>
        <w:left w:val="none" w:sz="0" w:space="0" w:color="auto"/>
        <w:bottom w:val="none" w:sz="0" w:space="0" w:color="auto"/>
        <w:right w:val="none" w:sz="0" w:space="0" w:color="auto"/>
      </w:divBdr>
    </w:div>
    <w:div w:id="1602378382">
      <w:bodyDiv w:val="1"/>
      <w:marLeft w:val="0"/>
      <w:marRight w:val="0"/>
      <w:marTop w:val="0"/>
      <w:marBottom w:val="0"/>
      <w:divBdr>
        <w:top w:val="none" w:sz="0" w:space="0" w:color="auto"/>
        <w:left w:val="none" w:sz="0" w:space="0" w:color="auto"/>
        <w:bottom w:val="none" w:sz="0" w:space="0" w:color="auto"/>
        <w:right w:val="none" w:sz="0" w:space="0" w:color="auto"/>
      </w:divBdr>
    </w:div>
    <w:div w:id="1694647623">
      <w:bodyDiv w:val="1"/>
      <w:marLeft w:val="0"/>
      <w:marRight w:val="0"/>
      <w:marTop w:val="0"/>
      <w:marBottom w:val="0"/>
      <w:divBdr>
        <w:top w:val="none" w:sz="0" w:space="0" w:color="auto"/>
        <w:left w:val="none" w:sz="0" w:space="0" w:color="auto"/>
        <w:bottom w:val="none" w:sz="0" w:space="0" w:color="auto"/>
        <w:right w:val="none" w:sz="0" w:space="0" w:color="auto"/>
      </w:divBdr>
    </w:div>
    <w:div w:id="1713387142">
      <w:bodyDiv w:val="1"/>
      <w:marLeft w:val="0"/>
      <w:marRight w:val="0"/>
      <w:marTop w:val="0"/>
      <w:marBottom w:val="0"/>
      <w:divBdr>
        <w:top w:val="none" w:sz="0" w:space="0" w:color="auto"/>
        <w:left w:val="none" w:sz="0" w:space="0" w:color="auto"/>
        <w:bottom w:val="none" w:sz="0" w:space="0" w:color="auto"/>
        <w:right w:val="none" w:sz="0" w:space="0" w:color="auto"/>
      </w:divBdr>
    </w:div>
    <w:div w:id="1717970514">
      <w:bodyDiv w:val="1"/>
      <w:marLeft w:val="0"/>
      <w:marRight w:val="0"/>
      <w:marTop w:val="0"/>
      <w:marBottom w:val="0"/>
      <w:divBdr>
        <w:top w:val="none" w:sz="0" w:space="0" w:color="auto"/>
        <w:left w:val="none" w:sz="0" w:space="0" w:color="auto"/>
        <w:bottom w:val="none" w:sz="0" w:space="0" w:color="auto"/>
        <w:right w:val="none" w:sz="0" w:space="0" w:color="auto"/>
      </w:divBdr>
    </w:div>
    <w:div w:id="1758861738">
      <w:bodyDiv w:val="1"/>
      <w:marLeft w:val="0"/>
      <w:marRight w:val="0"/>
      <w:marTop w:val="0"/>
      <w:marBottom w:val="0"/>
      <w:divBdr>
        <w:top w:val="none" w:sz="0" w:space="0" w:color="auto"/>
        <w:left w:val="none" w:sz="0" w:space="0" w:color="auto"/>
        <w:bottom w:val="none" w:sz="0" w:space="0" w:color="auto"/>
        <w:right w:val="none" w:sz="0" w:space="0" w:color="auto"/>
      </w:divBdr>
    </w:div>
    <w:div w:id="1763991874">
      <w:bodyDiv w:val="1"/>
      <w:marLeft w:val="0"/>
      <w:marRight w:val="0"/>
      <w:marTop w:val="0"/>
      <w:marBottom w:val="0"/>
      <w:divBdr>
        <w:top w:val="none" w:sz="0" w:space="0" w:color="auto"/>
        <w:left w:val="none" w:sz="0" w:space="0" w:color="auto"/>
        <w:bottom w:val="none" w:sz="0" w:space="0" w:color="auto"/>
        <w:right w:val="none" w:sz="0" w:space="0" w:color="auto"/>
      </w:divBdr>
    </w:div>
    <w:div w:id="1769277234">
      <w:bodyDiv w:val="1"/>
      <w:marLeft w:val="0"/>
      <w:marRight w:val="0"/>
      <w:marTop w:val="0"/>
      <w:marBottom w:val="0"/>
      <w:divBdr>
        <w:top w:val="none" w:sz="0" w:space="0" w:color="auto"/>
        <w:left w:val="none" w:sz="0" w:space="0" w:color="auto"/>
        <w:bottom w:val="none" w:sz="0" w:space="0" w:color="auto"/>
        <w:right w:val="none" w:sz="0" w:space="0" w:color="auto"/>
      </w:divBdr>
    </w:div>
    <w:div w:id="1771853450">
      <w:bodyDiv w:val="1"/>
      <w:marLeft w:val="0"/>
      <w:marRight w:val="0"/>
      <w:marTop w:val="0"/>
      <w:marBottom w:val="0"/>
      <w:divBdr>
        <w:top w:val="none" w:sz="0" w:space="0" w:color="auto"/>
        <w:left w:val="none" w:sz="0" w:space="0" w:color="auto"/>
        <w:bottom w:val="none" w:sz="0" w:space="0" w:color="auto"/>
        <w:right w:val="none" w:sz="0" w:space="0" w:color="auto"/>
      </w:divBdr>
    </w:div>
    <w:div w:id="1858077534">
      <w:bodyDiv w:val="1"/>
      <w:marLeft w:val="0"/>
      <w:marRight w:val="0"/>
      <w:marTop w:val="0"/>
      <w:marBottom w:val="0"/>
      <w:divBdr>
        <w:top w:val="none" w:sz="0" w:space="0" w:color="auto"/>
        <w:left w:val="none" w:sz="0" w:space="0" w:color="auto"/>
        <w:bottom w:val="none" w:sz="0" w:space="0" w:color="auto"/>
        <w:right w:val="none" w:sz="0" w:space="0" w:color="auto"/>
      </w:divBdr>
    </w:div>
    <w:div w:id="1859851157">
      <w:bodyDiv w:val="1"/>
      <w:marLeft w:val="0"/>
      <w:marRight w:val="0"/>
      <w:marTop w:val="0"/>
      <w:marBottom w:val="0"/>
      <w:divBdr>
        <w:top w:val="none" w:sz="0" w:space="0" w:color="auto"/>
        <w:left w:val="none" w:sz="0" w:space="0" w:color="auto"/>
        <w:bottom w:val="none" w:sz="0" w:space="0" w:color="auto"/>
        <w:right w:val="none" w:sz="0" w:space="0" w:color="auto"/>
      </w:divBdr>
    </w:div>
    <w:div w:id="1871258627">
      <w:bodyDiv w:val="1"/>
      <w:marLeft w:val="0"/>
      <w:marRight w:val="0"/>
      <w:marTop w:val="0"/>
      <w:marBottom w:val="0"/>
      <w:divBdr>
        <w:top w:val="none" w:sz="0" w:space="0" w:color="auto"/>
        <w:left w:val="none" w:sz="0" w:space="0" w:color="auto"/>
        <w:bottom w:val="none" w:sz="0" w:space="0" w:color="auto"/>
        <w:right w:val="none" w:sz="0" w:space="0" w:color="auto"/>
      </w:divBdr>
    </w:div>
    <w:div w:id="1919435952">
      <w:bodyDiv w:val="1"/>
      <w:marLeft w:val="0"/>
      <w:marRight w:val="0"/>
      <w:marTop w:val="0"/>
      <w:marBottom w:val="0"/>
      <w:divBdr>
        <w:top w:val="none" w:sz="0" w:space="0" w:color="auto"/>
        <w:left w:val="none" w:sz="0" w:space="0" w:color="auto"/>
        <w:bottom w:val="none" w:sz="0" w:space="0" w:color="auto"/>
        <w:right w:val="none" w:sz="0" w:space="0" w:color="auto"/>
      </w:divBdr>
    </w:div>
    <w:div w:id="1937012473">
      <w:bodyDiv w:val="1"/>
      <w:marLeft w:val="0"/>
      <w:marRight w:val="0"/>
      <w:marTop w:val="0"/>
      <w:marBottom w:val="0"/>
      <w:divBdr>
        <w:top w:val="none" w:sz="0" w:space="0" w:color="auto"/>
        <w:left w:val="none" w:sz="0" w:space="0" w:color="auto"/>
        <w:bottom w:val="none" w:sz="0" w:space="0" w:color="auto"/>
        <w:right w:val="none" w:sz="0" w:space="0" w:color="auto"/>
      </w:divBdr>
    </w:div>
    <w:div w:id="1959753689">
      <w:bodyDiv w:val="1"/>
      <w:marLeft w:val="0"/>
      <w:marRight w:val="0"/>
      <w:marTop w:val="0"/>
      <w:marBottom w:val="0"/>
      <w:divBdr>
        <w:top w:val="none" w:sz="0" w:space="0" w:color="auto"/>
        <w:left w:val="none" w:sz="0" w:space="0" w:color="auto"/>
        <w:bottom w:val="none" w:sz="0" w:space="0" w:color="auto"/>
        <w:right w:val="none" w:sz="0" w:space="0" w:color="auto"/>
      </w:divBdr>
    </w:div>
    <w:div w:id="2001809324">
      <w:bodyDiv w:val="1"/>
      <w:marLeft w:val="0"/>
      <w:marRight w:val="0"/>
      <w:marTop w:val="0"/>
      <w:marBottom w:val="0"/>
      <w:divBdr>
        <w:top w:val="none" w:sz="0" w:space="0" w:color="auto"/>
        <w:left w:val="none" w:sz="0" w:space="0" w:color="auto"/>
        <w:bottom w:val="none" w:sz="0" w:space="0" w:color="auto"/>
        <w:right w:val="none" w:sz="0" w:space="0" w:color="auto"/>
      </w:divBdr>
    </w:div>
    <w:div w:id="2002847538">
      <w:bodyDiv w:val="1"/>
      <w:marLeft w:val="0"/>
      <w:marRight w:val="0"/>
      <w:marTop w:val="0"/>
      <w:marBottom w:val="0"/>
      <w:divBdr>
        <w:top w:val="none" w:sz="0" w:space="0" w:color="auto"/>
        <w:left w:val="none" w:sz="0" w:space="0" w:color="auto"/>
        <w:bottom w:val="none" w:sz="0" w:space="0" w:color="auto"/>
        <w:right w:val="none" w:sz="0" w:space="0" w:color="auto"/>
      </w:divBdr>
    </w:div>
    <w:div w:id="2043287252">
      <w:bodyDiv w:val="1"/>
      <w:marLeft w:val="0"/>
      <w:marRight w:val="0"/>
      <w:marTop w:val="0"/>
      <w:marBottom w:val="0"/>
      <w:divBdr>
        <w:top w:val="none" w:sz="0" w:space="0" w:color="auto"/>
        <w:left w:val="none" w:sz="0" w:space="0" w:color="auto"/>
        <w:bottom w:val="none" w:sz="0" w:space="0" w:color="auto"/>
        <w:right w:val="none" w:sz="0" w:space="0" w:color="auto"/>
      </w:divBdr>
    </w:div>
    <w:div w:id="2099978202">
      <w:bodyDiv w:val="1"/>
      <w:marLeft w:val="0"/>
      <w:marRight w:val="0"/>
      <w:marTop w:val="0"/>
      <w:marBottom w:val="0"/>
      <w:divBdr>
        <w:top w:val="none" w:sz="0" w:space="0" w:color="auto"/>
        <w:left w:val="none" w:sz="0" w:space="0" w:color="auto"/>
        <w:bottom w:val="none" w:sz="0" w:space="0" w:color="auto"/>
        <w:right w:val="none" w:sz="0" w:space="0" w:color="auto"/>
      </w:divBdr>
    </w:div>
    <w:div w:id="2125490895">
      <w:bodyDiv w:val="1"/>
      <w:marLeft w:val="0"/>
      <w:marRight w:val="0"/>
      <w:marTop w:val="0"/>
      <w:marBottom w:val="0"/>
      <w:divBdr>
        <w:top w:val="none" w:sz="0" w:space="0" w:color="auto"/>
        <w:left w:val="none" w:sz="0" w:space="0" w:color="auto"/>
        <w:bottom w:val="none" w:sz="0" w:space="0" w:color="auto"/>
        <w:right w:val="none" w:sz="0" w:space="0" w:color="auto"/>
      </w:divBdr>
    </w:div>
    <w:div w:id="2128741949">
      <w:bodyDiv w:val="1"/>
      <w:marLeft w:val="0"/>
      <w:marRight w:val="0"/>
      <w:marTop w:val="0"/>
      <w:marBottom w:val="0"/>
      <w:divBdr>
        <w:top w:val="none" w:sz="0" w:space="0" w:color="auto"/>
        <w:left w:val="none" w:sz="0" w:space="0" w:color="auto"/>
        <w:bottom w:val="none" w:sz="0" w:space="0" w:color="auto"/>
        <w:right w:val="none" w:sz="0" w:space="0" w:color="auto"/>
      </w:divBdr>
    </w:div>
    <w:div w:id="214716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thesis presents CISA, an applied neurocognitive framework that translates psychological theory into practical mechanisms for enhancing executive autonomy. It establishes structural and behavioural supports to strengthen clarity, resilience, and decision-making capacity at the highest levels of organisational leadership. Word Count 6543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EB9929-3D28-46DA-B08A-E2EEC15F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103</Pages>
  <Words>15847</Words>
  <Characters>83993</Characters>
  <Application>Microsoft Office Word</Application>
  <DocSecurity>0</DocSecurity>
  <Lines>699</Lines>
  <Paragraphs>199</Paragraphs>
  <ScaleCrop>false</ScaleCrop>
  <HeadingPairs>
    <vt:vector size="2" baseType="variant">
      <vt:variant>
        <vt:lpstr>Title</vt:lpstr>
      </vt:variant>
      <vt:variant>
        <vt:i4>1</vt:i4>
      </vt:variant>
    </vt:vector>
  </HeadingPairs>
  <TitlesOfParts>
    <vt:vector size="1" baseType="lpstr">
      <vt:lpstr>Neurocognitive Performance Engineering: Designing Cognitive Infrastructures for Leadership Autonomy</vt:lpstr>
    </vt:vector>
  </TitlesOfParts>
  <Company/>
  <LinksUpToDate>false</LinksUpToDate>
  <CharactersWithSpaces>99641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Neurocognitive Performance Engineering: Designing Cognitive Infrastructures for Leadership Autonomy</dc:title>
  <dc:subject>July 2025</dc:subject>
  <dc:creator>Maria E. Huse</dc:creator>
  <cp:keywords/>
  <dc:description/>
  <cp:lastModifiedBy>Maria Elena Huse - M64744</cp:lastModifiedBy>
  <cp:revision>321</cp:revision>
  <cp:lastPrinted>2025-07-22T12:47:00Z</cp:lastPrinted>
  <dcterms:created xsi:type="dcterms:W3CDTF">2025-07-21T11:13:00Z</dcterms:created>
  <dcterms:modified xsi:type="dcterms:W3CDTF">2025-08-17T08:08:00Z</dcterms:modified>
  <cp:category>Swiss School of Business Research</cp:category>
</cp:coreProperties>
</file>