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979CF" w14:textId="77777777" w:rsidR="00534C49" w:rsidRPr="000158B0" w:rsidRDefault="000140B5">
      <w:pPr>
        <w:jc w:val="center"/>
        <w:rPr>
          <w:b/>
          <w:bCs/>
          <w:sz w:val="24"/>
          <w:szCs w:val="24"/>
        </w:rPr>
      </w:pPr>
      <w:r w:rsidRPr="000158B0">
        <w:rPr>
          <w:b/>
          <w:bCs/>
          <w:sz w:val="24"/>
          <w:szCs w:val="24"/>
        </w:rPr>
        <w:t>Swiss School of Business Research (SSBR)</w:t>
      </w:r>
      <w:r w:rsidRPr="000158B0">
        <w:rPr>
          <w:b/>
          <w:bCs/>
          <w:sz w:val="24"/>
          <w:szCs w:val="24"/>
        </w:rPr>
        <w:br/>
      </w:r>
      <w:r w:rsidRPr="000158B0">
        <w:rPr>
          <w:b/>
          <w:bCs/>
          <w:sz w:val="24"/>
          <w:szCs w:val="24"/>
        </w:rPr>
        <w:br/>
        <w:t>Capstone Project</w:t>
      </w:r>
      <w:r w:rsidRPr="000158B0">
        <w:rPr>
          <w:b/>
          <w:bCs/>
          <w:sz w:val="24"/>
          <w:szCs w:val="24"/>
        </w:rPr>
        <w:br/>
      </w:r>
      <w:r w:rsidRPr="000158B0">
        <w:rPr>
          <w:b/>
          <w:bCs/>
          <w:sz w:val="24"/>
          <w:szCs w:val="24"/>
        </w:rPr>
        <w:br/>
      </w:r>
    </w:p>
    <w:p w14:paraId="7E12E8B7" w14:textId="77777777" w:rsidR="00534C49" w:rsidRPr="000158B0" w:rsidRDefault="000140B5">
      <w:pPr>
        <w:jc w:val="center"/>
        <w:rPr>
          <w:b/>
          <w:bCs/>
          <w:sz w:val="24"/>
          <w:szCs w:val="24"/>
        </w:rPr>
      </w:pPr>
      <w:r w:rsidRPr="000158B0">
        <w:rPr>
          <w:b/>
          <w:bCs/>
          <w:sz w:val="24"/>
          <w:szCs w:val="24"/>
        </w:rPr>
        <w:t>Humanizing Innovation: Expanding The Institute into the Middle East and Launching INSIGHTA — An AI-Enabled Coaching Platform Anchored in ICF Ethics</w:t>
      </w:r>
      <w:r w:rsidRPr="000158B0">
        <w:rPr>
          <w:b/>
          <w:bCs/>
          <w:sz w:val="24"/>
          <w:szCs w:val="24"/>
        </w:rPr>
        <w:br/>
      </w:r>
      <w:r w:rsidRPr="000158B0">
        <w:rPr>
          <w:b/>
          <w:bCs/>
          <w:sz w:val="24"/>
          <w:szCs w:val="24"/>
        </w:rPr>
        <w:br/>
      </w:r>
    </w:p>
    <w:p w14:paraId="3676B19D" w14:textId="77777777" w:rsidR="00534C49" w:rsidRPr="000158B0" w:rsidRDefault="000140B5">
      <w:pPr>
        <w:jc w:val="center"/>
        <w:rPr>
          <w:b/>
          <w:bCs/>
        </w:rPr>
      </w:pPr>
      <w:r w:rsidRPr="000158B0">
        <w:rPr>
          <w:b/>
          <w:bCs/>
        </w:rPr>
        <w:t>Submitted by: Ehab Hammad</w:t>
      </w:r>
      <w:r w:rsidRPr="000158B0">
        <w:rPr>
          <w:b/>
          <w:bCs/>
        </w:rPr>
        <w:br/>
        <w:t>Date: November 2025</w:t>
      </w:r>
      <w:r w:rsidRPr="000158B0">
        <w:rPr>
          <w:b/>
          <w:bCs/>
        </w:rPr>
        <w:br/>
      </w:r>
      <w:r w:rsidRPr="000158B0">
        <w:rPr>
          <w:b/>
          <w:bCs/>
        </w:rPr>
        <w:br/>
      </w:r>
    </w:p>
    <w:p w14:paraId="028894B4" w14:textId="77777777" w:rsidR="00534C49" w:rsidRDefault="000140B5">
      <w:r>
        <w:br/>
      </w:r>
    </w:p>
    <w:sdt>
      <w:sdtPr>
        <w:rPr>
          <w:rFonts w:asciiTheme="minorHAnsi" w:eastAsiaTheme="minorEastAsia" w:hAnsiTheme="minorHAnsi" w:cstheme="minorBidi"/>
          <w:b w:val="0"/>
          <w:bCs w:val="0"/>
          <w:color w:val="auto"/>
          <w:sz w:val="22"/>
          <w:szCs w:val="22"/>
        </w:rPr>
        <w:id w:val="-1613429284"/>
        <w:docPartObj>
          <w:docPartGallery w:val="Table of Contents"/>
          <w:docPartUnique/>
        </w:docPartObj>
      </w:sdtPr>
      <w:sdtEndPr>
        <w:rPr>
          <w:noProof/>
        </w:rPr>
      </w:sdtEndPr>
      <w:sdtContent>
        <w:p w14:paraId="4CBD6780" w14:textId="77777777" w:rsidR="005D607A" w:rsidRDefault="005D607A">
          <w:pPr>
            <w:pStyle w:val="TOCHeading"/>
          </w:pPr>
        </w:p>
        <w:p w14:paraId="1938767E" w14:textId="77777777" w:rsidR="005D607A" w:rsidRDefault="005D607A">
          <w:pPr>
            <w:rPr>
              <w:rFonts w:asciiTheme="majorHAnsi" w:eastAsiaTheme="majorEastAsia" w:hAnsiTheme="majorHAnsi" w:cstheme="majorBidi"/>
              <w:b/>
              <w:bCs/>
              <w:color w:val="365F91" w:themeColor="accent1" w:themeShade="BF"/>
              <w:sz w:val="28"/>
              <w:szCs w:val="28"/>
            </w:rPr>
          </w:pPr>
          <w:r>
            <w:br w:type="page"/>
          </w:r>
        </w:p>
        <w:p w14:paraId="262673DA" w14:textId="77777777" w:rsidR="001B6E20" w:rsidRPr="00613384" w:rsidRDefault="001B6E20">
          <w:pPr>
            <w:pStyle w:val="TOCHeading"/>
            <w:rPr>
              <w:color w:val="000000" w:themeColor="text1"/>
            </w:rPr>
          </w:pPr>
          <w:r w:rsidRPr="00613384">
            <w:rPr>
              <w:color w:val="000000" w:themeColor="text1"/>
            </w:rPr>
            <w:lastRenderedPageBreak/>
            <w:t>Contents</w:t>
          </w:r>
        </w:p>
        <w:p w14:paraId="2C372EE4" w14:textId="503D8A7D" w:rsidR="0024644B" w:rsidRDefault="001B6E20">
          <w:pPr>
            <w:pStyle w:val="TOC3"/>
            <w:tabs>
              <w:tab w:val="right" w:leader="dot" w:pos="9350"/>
            </w:tabs>
            <w:rPr>
              <w:noProof/>
              <w:kern w:val="2"/>
              <w:sz w:val="24"/>
              <w:szCs w:val="24"/>
              <w14:ligatures w14:val="standardContextual"/>
            </w:rPr>
          </w:pPr>
          <w:r>
            <w:fldChar w:fldCharType="begin"/>
          </w:r>
          <w:r>
            <w:instrText xml:space="preserve"> TOC \o "1-3" \h \z \u </w:instrText>
          </w:r>
          <w:r>
            <w:fldChar w:fldCharType="separate"/>
          </w:r>
          <w:hyperlink w:anchor="_Toc213589855" w:history="1">
            <w:r w:rsidR="0024644B" w:rsidRPr="00356FF8">
              <w:rPr>
                <w:rStyle w:val="Hyperlink"/>
                <w:noProof/>
              </w:rPr>
              <w:t>Executive Summary</w:t>
            </w:r>
            <w:r w:rsidR="0024644B">
              <w:rPr>
                <w:noProof/>
                <w:webHidden/>
              </w:rPr>
              <w:tab/>
            </w:r>
            <w:r w:rsidR="0024644B">
              <w:rPr>
                <w:noProof/>
                <w:webHidden/>
              </w:rPr>
              <w:fldChar w:fldCharType="begin"/>
            </w:r>
            <w:r w:rsidR="0024644B">
              <w:rPr>
                <w:noProof/>
                <w:webHidden/>
              </w:rPr>
              <w:instrText xml:space="preserve"> PAGEREF _Toc213589855 \h </w:instrText>
            </w:r>
            <w:r w:rsidR="0024644B">
              <w:rPr>
                <w:noProof/>
                <w:webHidden/>
              </w:rPr>
            </w:r>
            <w:r w:rsidR="0024644B">
              <w:rPr>
                <w:noProof/>
                <w:webHidden/>
              </w:rPr>
              <w:fldChar w:fldCharType="separate"/>
            </w:r>
            <w:r w:rsidR="000F5D25">
              <w:rPr>
                <w:noProof/>
                <w:webHidden/>
              </w:rPr>
              <w:t>4</w:t>
            </w:r>
            <w:r w:rsidR="0024644B">
              <w:rPr>
                <w:noProof/>
                <w:webHidden/>
              </w:rPr>
              <w:fldChar w:fldCharType="end"/>
            </w:r>
          </w:hyperlink>
        </w:p>
        <w:p w14:paraId="5C0E993F" w14:textId="12BD9731" w:rsidR="0024644B" w:rsidRDefault="0024644B">
          <w:pPr>
            <w:pStyle w:val="TOC2"/>
            <w:tabs>
              <w:tab w:val="right" w:leader="dot" w:pos="9350"/>
            </w:tabs>
            <w:rPr>
              <w:noProof/>
              <w:kern w:val="2"/>
              <w:sz w:val="24"/>
              <w:szCs w:val="24"/>
              <w14:ligatures w14:val="standardContextual"/>
            </w:rPr>
          </w:pPr>
          <w:hyperlink w:anchor="_Toc213589856" w:history="1">
            <w:r w:rsidRPr="00356FF8">
              <w:rPr>
                <w:rStyle w:val="Hyperlink"/>
                <w:noProof/>
              </w:rPr>
              <w:t>Chapter 1: Introduction and Strategic Context</w:t>
            </w:r>
            <w:r>
              <w:rPr>
                <w:noProof/>
                <w:webHidden/>
              </w:rPr>
              <w:tab/>
            </w:r>
            <w:r>
              <w:rPr>
                <w:noProof/>
                <w:webHidden/>
              </w:rPr>
              <w:fldChar w:fldCharType="begin"/>
            </w:r>
            <w:r>
              <w:rPr>
                <w:noProof/>
                <w:webHidden/>
              </w:rPr>
              <w:instrText xml:space="preserve"> PAGEREF _Toc213589856 \h </w:instrText>
            </w:r>
            <w:r>
              <w:rPr>
                <w:noProof/>
                <w:webHidden/>
              </w:rPr>
            </w:r>
            <w:r>
              <w:rPr>
                <w:noProof/>
                <w:webHidden/>
              </w:rPr>
              <w:fldChar w:fldCharType="separate"/>
            </w:r>
            <w:r w:rsidR="000F5D25">
              <w:rPr>
                <w:noProof/>
                <w:webHidden/>
              </w:rPr>
              <w:t>5</w:t>
            </w:r>
            <w:r>
              <w:rPr>
                <w:noProof/>
                <w:webHidden/>
              </w:rPr>
              <w:fldChar w:fldCharType="end"/>
            </w:r>
          </w:hyperlink>
        </w:p>
        <w:p w14:paraId="3719FD79" w14:textId="300BFD2C" w:rsidR="0024644B" w:rsidRDefault="0024644B">
          <w:pPr>
            <w:pStyle w:val="TOC3"/>
            <w:tabs>
              <w:tab w:val="right" w:leader="dot" w:pos="9350"/>
            </w:tabs>
            <w:rPr>
              <w:noProof/>
              <w:kern w:val="2"/>
              <w:sz w:val="24"/>
              <w:szCs w:val="24"/>
              <w14:ligatures w14:val="standardContextual"/>
            </w:rPr>
          </w:pPr>
          <w:hyperlink w:anchor="_Toc213589857" w:history="1">
            <w:r w:rsidRPr="00356FF8">
              <w:rPr>
                <w:rStyle w:val="Hyperlink"/>
                <w:noProof/>
              </w:rPr>
              <w:t>1.1 Link to Previous Learning Outcomes</w:t>
            </w:r>
            <w:r>
              <w:rPr>
                <w:noProof/>
                <w:webHidden/>
              </w:rPr>
              <w:tab/>
            </w:r>
            <w:r>
              <w:rPr>
                <w:noProof/>
                <w:webHidden/>
              </w:rPr>
              <w:fldChar w:fldCharType="begin"/>
            </w:r>
            <w:r>
              <w:rPr>
                <w:noProof/>
                <w:webHidden/>
              </w:rPr>
              <w:instrText xml:space="preserve"> PAGEREF _Toc213589857 \h </w:instrText>
            </w:r>
            <w:r>
              <w:rPr>
                <w:noProof/>
                <w:webHidden/>
              </w:rPr>
            </w:r>
            <w:r>
              <w:rPr>
                <w:noProof/>
                <w:webHidden/>
              </w:rPr>
              <w:fldChar w:fldCharType="separate"/>
            </w:r>
            <w:r w:rsidR="000F5D25">
              <w:rPr>
                <w:noProof/>
                <w:webHidden/>
              </w:rPr>
              <w:t>5</w:t>
            </w:r>
            <w:r>
              <w:rPr>
                <w:noProof/>
                <w:webHidden/>
              </w:rPr>
              <w:fldChar w:fldCharType="end"/>
            </w:r>
          </w:hyperlink>
        </w:p>
        <w:p w14:paraId="7B1DE0E6" w14:textId="3A939E92" w:rsidR="0024644B" w:rsidRDefault="0024644B">
          <w:pPr>
            <w:pStyle w:val="TOC3"/>
            <w:tabs>
              <w:tab w:val="right" w:leader="dot" w:pos="9350"/>
            </w:tabs>
            <w:rPr>
              <w:noProof/>
              <w:kern w:val="2"/>
              <w:sz w:val="24"/>
              <w:szCs w:val="24"/>
              <w14:ligatures w14:val="standardContextual"/>
            </w:rPr>
          </w:pPr>
          <w:hyperlink w:anchor="_Toc213589858" w:history="1">
            <w:r w:rsidRPr="00356FF8">
              <w:rPr>
                <w:rStyle w:val="Hyperlink"/>
                <w:noProof/>
              </w:rPr>
              <w:t>1.2 Strategic Rationale for Expansion</w:t>
            </w:r>
            <w:r>
              <w:rPr>
                <w:noProof/>
                <w:webHidden/>
              </w:rPr>
              <w:tab/>
            </w:r>
            <w:r>
              <w:rPr>
                <w:noProof/>
                <w:webHidden/>
              </w:rPr>
              <w:fldChar w:fldCharType="begin"/>
            </w:r>
            <w:r>
              <w:rPr>
                <w:noProof/>
                <w:webHidden/>
              </w:rPr>
              <w:instrText xml:space="preserve"> PAGEREF _Toc213589858 \h </w:instrText>
            </w:r>
            <w:r>
              <w:rPr>
                <w:noProof/>
                <w:webHidden/>
              </w:rPr>
            </w:r>
            <w:r>
              <w:rPr>
                <w:noProof/>
                <w:webHidden/>
              </w:rPr>
              <w:fldChar w:fldCharType="separate"/>
            </w:r>
            <w:r w:rsidR="000F5D25">
              <w:rPr>
                <w:noProof/>
                <w:webHidden/>
              </w:rPr>
              <w:t>6</w:t>
            </w:r>
            <w:r>
              <w:rPr>
                <w:noProof/>
                <w:webHidden/>
              </w:rPr>
              <w:fldChar w:fldCharType="end"/>
            </w:r>
          </w:hyperlink>
        </w:p>
        <w:p w14:paraId="4449BE82" w14:textId="70CC9717" w:rsidR="0024644B" w:rsidRDefault="0024644B">
          <w:pPr>
            <w:pStyle w:val="TOC3"/>
            <w:tabs>
              <w:tab w:val="right" w:leader="dot" w:pos="9350"/>
            </w:tabs>
            <w:rPr>
              <w:noProof/>
              <w:kern w:val="2"/>
              <w:sz w:val="24"/>
              <w:szCs w:val="24"/>
              <w14:ligatures w14:val="standardContextual"/>
            </w:rPr>
          </w:pPr>
          <w:hyperlink w:anchor="_Toc213589859" w:history="1">
            <w:r w:rsidRPr="00356FF8">
              <w:rPr>
                <w:rStyle w:val="Hyperlink"/>
                <w:noProof/>
              </w:rPr>
              <w:t>1.3 Problem Statement</w:t>
            </w:r>
            <w:r>
              <w:rPr>
                <w:noProof/>
                <w:webHidden/>
              </w:rPr>
              <w:tab/>
            </w:r>
            <w:r>
              <w:rPr>
                <w:noProof/>
                <w:webHidden/>
              </w:rPr>
              <w:fldChar w:fldCharType="begin"/>
            </w:r>
            <w:r>
              <w:rPr>
                <w:noProof/>
                <w:webHidden/>
              </w:rPr>
              <w:instrText xml:space="preserve"> PAGEREF _Toc213589859 \h </w:instrText>
            </w:r>
            <w:r>
              <w:rPr>
                <w:noProof/>
                <w:webHidden/>
              </w:rPr>
            </w:r>
            <w:r>
              <w:rPr>
                <w:noProof/>
                <w:webHidden/>
              </w:rPr>
              <w:fldChar w:fldCharType="separate"/>
            </w:r>
            <w:r w:rsidR="000F5D25">
              <w:rPr>
                <w:noProof/>
                <w:webHidden/>
              </w:rPr>
              <w:t>6</w:t>
            </w:r>
            <w:r>
              <w:rPr>
                <w:noProof/>
                <w:webHidden/>
              </w:rPr>
              <w:fldChar w:fldCharType="end"/>
            </w:r>
          </w:hyperlink>
        </w:p>
        <w:p w14:paraId="5C1E4AE1" w14:textId="35F196CA" w:rsidR="0024644B" w:rsidRDefault="0024644B">
          <w:pPr>
            <w:pStyle w:val="TOC3"/>
            <w:tabs>
              <w:tab w:val="right" w:leader="dot" w:pos="9350"/>
            </w:tabs>
            <w:rPr>
              <w:noProof/>
              <w:kern w:val="2"/>
              <w:sz w:val="24"/>
              <w:szCs w:val="24"/>
              <w14:ligatures w14:val="standardContextual"/>
            </w:rPr>
          </w:pPr>
          <w:hyperlink w:anchor="_Toc213589860" w:history="1">
            <w:r w:rsidRPr="00356FF8">
              <w:rPr>
                <w:rStyle w:val="Hyperlink"/>
                <w:noProof/>
              </w:rPr>
              <w:t>1.4 Purpose and Objectives</w:t>
            </w:r>
            <w:r>
              <w:rPr>
                <w:noProof/>
                <w:webHidden/>
              </w:rPr>
              <w:tab/>
            </w:r>
            <w:r>
              <w:rPr>
                <w:noProof/>
                <w:webHidden/>
              </w:rPr>
              <w:fldChar w:fldCharType="begin"/>
            </w:r>
            <w:r>
              <w:rPr>
                <w:noProof/>
                <w:webHidden/>
              </w:rPr>
              <w:instrText xml:space="preserve"> PAGEREF _Toc213589860 \h </w:instrText>
            </w:r>
            <w:r>
              <w:rPr>
                <w:noProof/>
                <w:webHidden/>
              </w:rPr>
            </w:r>
            <w:r>
              <w:rPr>
                <w:noProof/>
                <w:webHidden/>
              </w:rPr>
              <w:fldChar w:fldCharType="separate"/>
            </w:r>
            <w:r w:rsidR="000F5D25">
              <w:rPr>
                <w:noProof/>
                <w:webHidden/>
              </w:rPr>
              <w:t>6</w:t>
            </w:r>
            <w:r>
              <w:rPr>
                <w:noProof/>
                <w:webHidden/>
              </w:rPr>
              <w:fldChar w:fldCharType="end"/>
            </w:r>
          </w:hyperlink>
        </w:p>
        <w:p w14:paraId="112B88C9" w14:textId="0015DF74" w:rsidR="0024644B" w:rsidRDefault="0024644B">
          <w:pPr>
            <w:pStyle w:val="TOC3"/>
            <w:tabs>
              <w:tab w:val="right" w:leader="dot" w:pos="9350"/>
            </w:tabs>
            <w:rPr>
              <w:noProof/>
              <w:kern w:val="2"/>
              <w:sz w:val="24"/>
              <w:szCs w:val="24"/>
              <w14:ligatures w14:val="standardContextual"/>
            </w:rPr>
          </w:pPr>
          <w:hyperlink w:anchor="_Toc213589861" w:history="1">
            <w:r w:rsidRPr="00356FF8">
              <w:rPr>
                <w:rStyle w:val="Hyperlink"/>
                <w:noProof/>
              </w:rPr>
              <w:t>1.5 Significance and Innovation Context</w:t>
            </w:r>
            <w:r>
              <w:rPr>
                <w:noProof/>
                <w:webHidden/>
              </w:rPr>
              <w:tab/>
            </w:r>
            <w:r>
              <w:rPr>
                <w:noProof/>
                <w:webHidden/>
              </w:rPr>
              <w:fldChar w:fldCharType="begin"/>
            </w:r>
            <w:r>
              <w:rPr>
                <w:noProof/>
                <w:webHidden/>
              </w:rPr>
              <w:instrText xml:space="preserve"> PAGEREF _Toc213589861 \h </w:instrText>
            </w:r>
            <w:r>
              <w:rPr>
                <w:noProof/>
                <w:webHidden/>
              </w:rPr>
            </w:r>
            <w:r>
              <w:rPr>
                <w:noProof/>
                <w:webHidden/>
              </w:rPr>
              <w:fldChar w:fldCharType="separate"/>
            </w:r>
            <w:r w:rsidR="000F5D25">
              <w:rPr>
                <w:noProof/>
                <w:webHidden/>
              </w:rPr>
              <w:t>6</w:t>
            </w:r>
            <w:r>
              <w:rPr>
                <w:noProof/>
                <w:webHidden/>
              </w:rPr>
              <w:fldChar w:fldCharType="end"/>
            </w:r>
          </w:hyperlink>
        </w:p>
        <w:p w14:paraId="4E2B41D6" w14:textId="7E5EA285" w:rsidR="0024644B" w:rsidRDefault="0024644B">
          <w:pPr>
            <w:pStyle w:val="TOC2"/>
            <w:tabs>
              <w:tab w:val="right" w:leader="dot" w:pos="9350"/>
            </w:tabs>
            <w:rPr>
              <w:noProof/>
              <w:kern w:val="2"/>
              <w:sz w:val="24"/>
              <w:szCs w:val="24"/>
              <w14:ligatures w14:val="standardContextual"/>
            </w:rPr>
          </w:pPr>
          <w:hyperlink w:anchor="_Toc213589862" w:history="1">
            <w:r w:rsidRPr="00356FF8">
              <w:rPr>
                <w:rStyle w:val="Hyperlink"/>
                <w:rFonts w:ascii="Times New Roman" w:hAnsi="Times New Roman" w:cs="Times New Roman"/>
                <w:noProof/>
              </w:rPr>
              <w:t>Chapter 2: Literature Review and Theoretical Foundation</w:t>
            </w:r>
            <w:r>
              <w:rPr>
                <w:noProof/>
                <w:webHidden/>
              </w:rPr>
              <w:tab/>
            </w:r>
            <w:r>
              <w:rPr>
                <w:noProof/>
                <w:webHidden/>
              </w:rPr>
              <w:fldChar w:fldCharType="begin"/>
            </w:r>
            <w:r>
              <w:rPr>
                <w:noProof/>
                <w:webHidden/>
              </w:rPr>
              <w:instrText xml:space="preserve"> PAGEREF _Toc213589862 \h </w:instrText>
            </w:r>
            <w:r>
              <w:rPr>
                <w:noProof/>
                <w:webHidden/>
              </w:rPr>
            </w:r>
            <w:r>
              <w:rPr>
                <w:noProof/>
                <w:webHidden/>
              </w:rPr>
              <w:fldChar w:fldCharType="separate"/>
            </w:r>
            <w:r w:rsidR="000F5D25">
              <w:rPr>
                <w:noProof/>
                <w:webHidden/>
              </w:rPr>
              <w:t>8</w:t>
            </w:r>
            <w:r>
              <w:rPr>
                <w:noProof/>
                <w:webHidden/>
              </w:rPr>
              <w:fldChar w:fldCharType="end"/>
            </w:r>
          </w:hyperlink>
        </w:p>
        <w:p w14:paraId="6C899F22" w14:textId="40C6D967" w:rsidR="0024644B" w:rsidRDefault="0024644B">
          <w:pPr>
            <w:pStyle w:val="TOC3"/>
            <w:tabs>
              <w:tab w:val="right" w:leader="dot" w:pos="9350"/>
            </w:tabs>
            <w:rPr>
              <w:noProof/>
              <w:kern w:val="2"/>
              <w:sz w:val="24"/>
              <w:szCs w:val="24"/>
              <w14:ligatures w14:val="standardContextual"/>
            </w:rPr>
          </w:pPr>
          <w:hyperlink w:anchor="_Toc213589863" w:history="1">
            <w:r w:rsidRPr="00356FF8">
              <w:rPr>
                <w:rStyle w:val="Hyperlink"/>
                <w:rFonts w:ascii="Times New Roman" w:hAnsi="Times New Roman" w:cs="Times New Roman"/>
                <w:noProof/>
              </w:rPr>
              <w:t>2.1 Overview</w:t>
            </w:r>
            <w:r>
              <w:rPr>
                <w:noProof/>
                <w:webHidden/>
              </w:rPr>
              <w:tab/>
            </w:r>
            <w:r>
              <w:rPr>
                <w:noProof/>
                <w:webHidden/>
              </w:rPr>
              <w:fldChar w:fldCharType="begin"/>
            </w:r>
            <w:r>
              <w:rPr>
                <w:noProof/>
                <w:webHidden/>
              </w:rPr>
              <w:instrText xml:space="preserve"> PAGEREF _Toc213589863 \h </w:instrText>
            </w:r>
            <w:r>
              <w:rPr>
                <w:noProof/>
                <w:webHidden/>
              </w:rPr>
            </w:r>
            <w:r>
              <w:rPr>
                <w:noProof/>
                <w:webHidden/>
              </w:rPr>
              <w:fldChar w:fldCharType="separate"/>
            </w:r>
            <w:r w:rsidR="000F5D25">
              <w:rPr>
                <w:noProof/>
                <w:webHidden/>
              </w:rPr>
              <w:t>8</w:t>
            </w:r>
            <w:r>
              <w:rPr>
                <w:noProof/>
                <w:webHidden/>
              </w:rPr>
              <w:fldChar w:fldCharType="end"/>
            </w:r>
          </w:hyperlink>
        </w:p>
        <w:p w14:paraId="76AAC6DF" w14:textId="46A1709F" w:rsidR="0024644B" w:rsidRDefault="0024644B">
          <w:pPr>
            <w:pStyle w:val="TOC3"/>
            <w:tabs>
              <w:tab w:val="right" w:leader="dot" w:pos="9350"/>
            </w:tabs>
            <w:rPr>
              <w:noProof/>
              <w:kern w:val="2"/>
              <w:sz w:val="24"/>
              <w:szCs w:val="24"/>
              <w14:ligatures w14:val="standardContextual"/>
            </w:rPr>
          </w:pPr>
          <w:hyperlink w:anchor="_Toc213589864" w:history="1">
            <w:r w:rsidRPr="00356FF8">
              <w:rPr>
                <w:rStyle w:val="Hyperlink"/>
                <w:rFonts w:ascii="Times New Roman" w:hAnsi="Times New Roman" w:cs="Times New Roman"/>
                <w:noProof/>
              </w:rPr>
              <w:t>2.2 Organizational Reinvention and Strategic Ambidexterity</w:t>
            </w:r>
            <w:r>
              <w:rPr>
                <w:noProof/>
                <w:webHidden/>
              </w:rPr>
              <w:tab/>
            </w:r>
            <w:r>
              <w:rPr>
                <w:noProof/>
                <w:webHidden/>
              </w:rPr>
              <w:fldChar w:fldCharType="begin"/>
            </w:r>
            <w:r>
              <w:rPr>
                <w:noProof/>
                <w:webHidden/>
              </w:rPr>
              <w:instrText xml:space="preserve"> PAGEREF _Toc213589864 \h </w:instrText>
            </w:r>
            <w:r>
              <w:rPr>
                <w:noProof/>
                <w:webHidden/>
              </w:rPr>
            </w:r>
            <w:r>
              <w:rPr>
                <w:noProof/>
                <w:webHidden/>
              </w:rPr>
              <w:fldChar w:fldCharType="separate"/>
            </w:r>
            <w:r w:rsidR="000F5D25">
              <w:rPr>
                <w:noProof/>
                <w:webHidden/>
              </w:rPr>
              <w:t>8</w:t>
            </w:r>
            <w:r>
              <w:rPr>
                <w:noProof/>
                <w:webHidden/>
              </w:rPr>
              <w:fldChar w:fldCharType="end"/>
            </w:r>
          </w:hyperlink>
        </w:p>
        <w:p w14:paraId="109C4C08" w14:textId="68AADED0" w:rsidR="0024644B" w:rsidRDefault="0024644B">
          <w:pPr>
            <w:pStyle w:val="TOC3"/>
            <w:tabs>
              <w:tab w:val="right" w:leader="dot" w:pos="9350"/>
            </w:tabs>
            <w:rPr>
              <w:noProof/>
              <w:kern w:val="2"/>
              <w:sz w:val="24"/>
              <w:szCs w:val="24"/>
              <w14:ligatures w14:val="standardContextual"/>
            </w:rPr>
          </w:pPr>
          <w:hyperlink w:anchor="_Toc213589865" w:history="1">
            <w:r w:rsidRPr="00356FF8">
              <w:rPr>
                <w:rStyle w:val="Hyperlink"/>
                <w:rFonts w:ascii="Times New Roman" w:hAnsi="Times New Roman" w:cs="Times New Roman"/>
                <w:noProof/>
              </w:rPr>
              <w:t>2.3 Artificial Intelligence and Ethical Innovation</w:t>
            </w:r>
            <w:r>
              <w:rPr>
                <w:noProof/>
                <w:webHidden/>
              </w:rPr>
              <w:tab/>
            </w:r>
            <w:r>
              <w:rPr>
                <w:noProof/>
                <w:webHidden/>
              </w:rPr>
              <w:fldChar w:fldCharType="begin"/>
            </w:r>
            <w:r>
              <w:rPr>
                <w:noProof/>
                <w:webHidden/>
              </w:rPr>
              <w:instrText xml:space="preserve"> PAGEREF _Toc213589865 \h </w:instrText>
            </w:r>
            <w:r>
              <w:rPr>
                <w:noProof/>
                <w:webHidden/>
              </w:rPr>
            </w:r>
            <w:r>
              <w:rPr>
                <w:noProof/>
                <w:webHidden/>
              </w:rPr>
              <w:fldChar w:fldCharType="separate"/>
            </w:r>
            <w:r w:rsidR="000F5D25">
              <w:rPr>
                <w:noProof/>
                <w:webHidden/>
              </w:rPr>
              <w:t>8</w:t>
            </w:r>
            <w:r>
              <w:rPr>
                <w:noProof/>
                <w:webHidden/>
              </w:rPr>
              <w:fldChar w:fldCharType="end"/>
            </w:r>
          </w:hyperlink>
        </w:p>
        <w:p w14:paraId="571D7B7D" w14:textId="6C26EA37" w:rsidR="0024644B" w:rsidRDefault="0024644B">
          <w:pPr>
            <w:pStyle w:val="TOC3"/>
            <w:tabs>
              <w:tab w:val="right" w:leader="dot" w:pos="9350"/>
            </w:tabs>
            <w:rPr>
              <w:noProof/>
              <w:kern w:val="2"/>
              <w:sz w:val="24"/>
              <w:szCs w:val="24"/>
              <w14:ligatures w14:val="standardContextual"/>
            </w:rPr>
          </w:pPr>
          <w:hyperlink w:anchor="_Toc213589866" w:history="1">
            <w:r w:rsidRPr="00356FF8">
              <w:rPr>
                <w:rStyle w:val="Hyperlink"/>
                <w:rFonts w:ascii="Times New Roman" w:hAnsi="Times New Roman" w:cs="Times New Roman"/>
                <w:noProof/>
              </w:rPr>
              <w:t>2.4 Coaching Psychology and Human-Centered Development</w:t>
            </w:r>
            <w:r>
              <w:rPr>
                <w:noProof/>
                <w:webHidden/>
              </w:rPr>
              <w:tab/>
            </w:r>
            <w:r>
              <w:rPr>
                <w:noProof/>
                <w:webHidden/>
              </w:rPr>
              <w:fldChar w:fldCharType="begin"/>
            </w:r>
            <w:r>
              <w:rPr>
                <w:noProof/>
                <w:webHidden/>
              </w:rPr>
              <w:instrText xml:space="preserve"> PAGEREF _Toc213589866 \h </w:instrText>
            </w:r>
            <w:r>
              <w:rPr>
                <w:noProof/>
                <w:webHidden/>
              </w:rPr>
            </w:r>
            <w:r>
              <w:rPr>
                <w:noProof/>
                <w:webHidden/>
              </w:rPr>
              <w:fldChar w:fldCharType="separate"/>
            </w:r>
            <w:r w:rsidR="000F5D25">
              <w:rPr>
                <w:noProof/>
                <w:webHidden/>
              </w:rPr>
              <w:t>9</w:t>
            </w:r>
            <w:r>
              <w:rPr>
                <w:noProof/>
                <w:webHidden/>
              </w:rPr>
              <w:fldChar w:fldCharType="end"/>
            </w:r>
          </w:hyperlink>
        </w:p>
        <w:p w14:paraId="2117472C" w14:textId="24F7D5AE" w:rsidR="0024644B" w:rsidRDefault="0024644B">
          <w:pPr>
            <w:pStyle w:val="TOC3"/>
            <w:tabs>
              <w:tab w:val="right" w:leader="dot" w:pos="9350"/>
            </w:tabs>
            <w:rPr>
              <w:noProof/>
              <w:kern w:val="2"/>
              <w:sz w:val="24"/>
              <w:szCs w:val="24"/>
              <w14:ligatures w14:val="standardContextual"/>
            </w:rPr>
          </w:pPr>
          <w:hyperlink w:anchor="_Toc213589867" w:history="1">
            <w:r w:rsidRPr="00356FF8">
              <w:rPr>
                <w:rStyle w:val="Hyperlink"/>
                <w:rFonts w:ascii="Times New Roman" w:hAnsi="Times New Roman" w:cs="Times New Roman"/>
                <w:noProof/>
              </w:rPr>
              <w:t>2.5 Cross-Cultural Leadership and Regional Adaptability</w:t>
            </w:r>
            <w:r>
              <w:rPr>
                <w:noProof/>
                <w:webHidden/>
              </w:rPr>
              <w:tab/>
            </w:r>
            <w:r>
              <w:rPr>
                <w:noProof/>
                <w:webHidden/>
              </w:rPr>
              <w:fldChar w:fldCharType="begin"/>
            </w:r>
            <w:r>
              <w:rPr>
                <w:noProof/>
                <w:webHidden/>
              </w:rPr>
              <w:instrText xml:space="preserve"> PAGEREF _Toc213589867 \h </w:instrText>
            </w:r>
            <w:r>
              <w:rPr>
                <w:noProof/>
                <w:webHidden/>
              </w:rPr>
            </w:r>
            <w:r>
              <w:rPr>
                <w:noProof/>
                <w:webHidden/>
              </w:rPr>
              <w:fldChar w:fldCharType="separate"/>
            </w:r>
            <w:r w:rsidR="000F5D25">
              <w:rPr>
                <w:noProof/>
                <w:webHidden/>
              </w:rPr>
              <w:t>9</w:t>
            </w:r>
            <w:r>
              <w:rPr>
                <w:noProof/>
                <w:webHidden/>
              </w:rPr>
              <w:fldChar w:fldCharType="end"/>
            </w:r>
          </w:hyperlink>
        </w:p>
        <w:p w14:paraId="151237E2" w14:textId="3B6F393A" w:rsidR="0024644B" w:rsidRDefault="0024644B">
          <w:pPr>
            <w:pStyle w:val="TOC3"/>
            <w:tabs>
              <w:tab w:val="right" w:leader="dot" w:pos="9350"/>
            </w:tabs>
            <w:rPr>
              <w:noProof/>
              <w:kern w:val="2"/>
              <w:sz w:val="24"/>
              <w:szCs w:val="24"/>
              <w14:ligatures w14:val="standardContextual"/>
            </w:rPr>
          </w:pPr>
          <w:hyperlink w:anchor="_Toc213589868" w:history="1">
            <w:r w:rsidRPr="00356FF8">
              <w:rPr>
                <w:rStyle w:val="Hyperlink"/>
                <w:rFonts w:ascii="Times New Roman" w:hAnsi="Times New Roman" w:cs="Times New Roman"/>
                <w:noProof/>
              </w:rPr>
              <w:t>2.6 Integrated Theoretical Synthesis</w:t>
            </w:r>
            <w:r>
              <w:rPr>
                <w:noProof/>
                <w:webHidden/>
              </w:rPr>
              <w:tab/>
            </w:r>
            <w:r>
              <w:rPr>
                <w:noProof/>
                <w:webHidden/>
              </w:rPr>
              <w:fldChar w:fldCharType="begin"/>
            </w:r>
            <w:r>
              <w:rPr>
                <w:noProof/>
                <w:webHidden/>
              </w:rPr>
              <w:instrText xml:space="preserve"> PAGEREF _Toc213589868 \h </w:instrText>
            </w:r>
            <w:r>
              <w:rPr>
                <w:noProof/>
                <w:webHidden/>
              </w:rPr>
            </w:r>
            <w:r>
              <w:rPr>
                <w:noProof/>
                <w:webHidden/>
              </w:rPr>
              <w:fldChar w:fldCharType="separate"/>
            </w:r>
            <w:r w:rsidR="000F5D25">
              <w:rPr>
                <w:noProof/>
                <w:webHidden/>
              </w:rPr>
              <w:t>10</w:t>
            </w:r>
            <w:r>
              <w:rPr>
                <w:noProof/>
                <w:webHidden/>
              </w:rPr>
              <w:fldChar w:fldCharType="end"/>
            </w:r>
          </w:hyperlink>
        </w:p>
        <w:p w14:paraId="76F684DB" w14:textId="105833DB" w:rsidR="0024644B" w:rsidRDefault="0024644B">
          <w:pPr>
            <w:pStyle w:val="TOC3"/>
            <w:tabs>
              <w:tab w:val="right" w:leader="dot" w:pos="9350"/>
            </w:tabs>
            <w:rPr>
              <w:noProof/>
              <w:kern w:val="2"/>
              <w:sz w:val="24"/>
              <w:szCs w:val="24"/>
              <w14:ligatures w14:val="standardContextual"/>
            </w:rPr>
          </w:pPr>
          <w:hyperlink w:anchor="_Toc213589869" w:history="1">
            <w:r w:rsidRPr="00356FF8">
              <w:rPr>
                <w:rStyle w:val="Hyperlink"/>
                <w:rFonts w:ascii="Times New Roman" w:hAnsi="Times New Roman" w:cs="Times New Roman"/>
                <w:noProof/>
              </w:rPr>
              <w:t>2.7 Conclusion</w:t>
            </w:r>
            <w:r>
              <w:rPr>
                <w:noProof/>
                <w:webHidden/>
              </w:rPr>
              <w:tab/>
            </w:r>
            <w:r>
              <w:rPr>
                <w:noProof/>
                <w:webHidden/>
              </w:rPr>
              <w:fldChar w:fldCharType="begin"/>
            </w:r>
            <w:r>
              <w:rPr>
                <w:noProof/>
                <w:webHidden/>
              </w:rPr>
              <w:instrText xml:space="preserve"> PAGEREF _Toc213589869 \h </w:instrText>
            </w:r>
            <w:r>
              <w:rPr>
                <w:noProof/>
                <w:webHidden/>
              </w:rPr>
            </w:r>
            <w:r>
              <w:rPr>
                <w:noProof/>
                <w:webHidden/>
              </w:rPr>
              <w:fldChar w:fldCharType="separate"/>
            </w:r>
            <w:r w:rsidR="000F5D25">
              <w:rPr>
                <w:noProof/>
                <w:webHidden/>
              </w:rPr>
              <w:t>10</w:t>
            </w:r>
            <w:r>
              <w:rPr>
                <w:noProof/>
                <w:webHidden/>
              </w:rPr>
              <w:fldChar w:fldCharType="end"/>
            </w:r>
          </w:hyperlink>
        </w:p>
        <w:p w14:paraId="6A53C8C1" w14:textId="19C38D96" w:rsidR="0024644B" w:rsidRDefault="0024644B">
          <w:pPr>
            <w:pStyle w:val="TOC2"/>
            <w:tabs>
              <w:tab w:val="right" w:leader="dot" w:pos="9350"/>
            </w:tabs>
            <w:rPr>
              <w:noProof/>
              <w:kern w:val="2"/>
              <w:sz w:val="24"/>
              <w:szCs w:val="24"/>
              <w14:ligatures w14:val="standardContextual"/>
            </w:rPr>
          </w:pPr>
          <w:hyperlink w:anchor="_Toc213589870" w:history="1">
            <w:r w:rsidRPr="00356FF8">
              <w:rPr>
                <w:rStyle w:val="Hyperlink"/>
                <w:noProof/>
              </w:rPr>
              <w:t>Chapter 3: Proposed Innovation Model</w:t>
            </w:r>
            <w:r>
              <w:rPr>
                <w:noProof/>
                <w:webHidden/>
              </w:rPr>
              <w:tab/>
            </w:r>
            <w:r>
              <w:rPr>
                <w:noProof/>
                <w:webHidden/>
              </w:rPr>
              <w:fldChar w:fldCharType="begin"/>
            </w:r>
            <w:r>
              <w:rPr>
                <w:noProof/>
                <w:webHidden/>
              </w:rPr>
              <w:instrText xml:space="preserve"> PAGEREF _Toc213589870 \h </w:instrText>
            </w:r>
            <w:r>
              <w:rPr>
                <w:noProof/>
                <w:webHidden/>
              </w:rPr>
            </w:r>
            <w:r>
              <w:rPr>
                <w:noProof/>
                <w:webHidden/>
              </w:rPr>
              <w:fldChar w:fldCharType="separate"/>
            </w:r>
            <w:r w:rsidR="000F5D25">
              <w:rPr>
                <w:noProof/>
                <w:webHidden/>
              </w:rPr>
              <w:t>11</w:t>
            </w:r>
            <w:r>
              <w:rPr>
                <w:noProof/>
                <w:webHidden/>
              </w:rPr>
              <w:fldChar w:fldCharType="end"/>
            </w:r>
          </w:hyperlink>
        </w:p>
        <w:p w14:paraId="2B49966A" w14:textId="1DBD1CCA" w:rsidR="0024644B" w:rsidRDefault="0024644B">
          <w:pPr>
            <w:pStyle w:val="TOC3"/>
            <w:tabs>
              <w:tab w:val="right" w:leader="dot" w:pos="9350"/>
            </w:tabs>
            <w:rPr>
              <w:noProof/>
              <w:kern w:val="2"/>
              <w:sz w:val="24"/>
              <w:szCs w:val="24"/>
              <w14:ligatures w14:val="standardContextual"/>
            </w:rPr>
          </w:pPr>
          <w:hyperlink w:anchor="_Toc213589871" w:history="1">
            <w:r w:rsidRPr="00356FF8">
              <w:rPr>
                <w:rStyle w:val="Hyperlink"/>
                <w:noProof/>
              </w:rPr>
              <w:t>3.1 Overview</w:t>
            </w:r>
            <w:r>
              <w:rPr>
                <w:noProof/>
                <w:webHidden/>
              </w:rPr>
              <w:tab/>
            </w:r>
            <w:r>
              <w:rPr>
                <w:noProof/>
                <w:webHidden/>
              </w:rPr>
              <w:fldChar w:fldCharType="begin"/>
            </w:r>
            <w:r>
              <w:rPr>
                <w:noProof/>
                <w:webHidden/>
              </w:rPr>
              <w:instrText xml:space="preserve"> PAGEREF _Toc213589871 \h </w:instrText>
            </w:r>
            <w:r>
              <w:rPr>
                <w:noProof/>
                <w:webHidden/>
              </w:rPr>
            </w:r>
            <w:r>
              <w:rPr>
                <w:noProof/>
                <w:webHidden/>
              </w:rPr>
              <w:fldChar w:fldCharType="separate"/>
            </w:r>
            <w:r w:rsidR="000F5D25">
              <w:rPr>
                <w:noProof/>
                <w:webHidden/>
              </w:rPr>
              <w:t>11</w:t>
            </w:r>
            <w:r>
              <w:rPr>
                <w:noProof/>
                <w:webHidden/>
              </w:rPr>
              <w:fldChar w:fldCharType="end"/>
            </w:r>
          </w:hyperlink>
        </w:p>
        <w:p w14:paraId="411C357A" w14:textId="7B59176F" w:rsidR="0024644B" w:rsidRDefault="0024644B">
          <w:pPr>
            <w:pStyle w:val="TOC3"/>
            <w:tabs>
              <w:tab w:val="right" w:leader="dot" w:pos="9350"/>
            </w:tabs>
            <w:rPr>
              <w:noProof/>
              <w:kern w:val="2"/>
              <w:sz w:val="24"/>
              <w:szCs w:val="24"/>
              <w14:ligatures w14:val="standardContextual"/>
            </w:rPr>
          </w:pPr>
          <w:hyperlink w:anchor="_Toc213589872" w:history="1">
            <w:r w:rsidRPr="00356FF8">
              <w:rPr>
                <w:rStyle w:val="Hyperlink"/>
                <w:noProof/>
              </w:rPr>
              <w:t>3.2 INSIGHTA: Human-Centered AI Coaching Platform</w:t>
            </w:r>
            <w:r>
              <w:rPr>
                <w:noProof/>
                <w:webHidden/>
              </w:rPr>
              <w:tab/>
            </w:r>
            <w:r>
              <w:rPr>
                <w:noProof/>
                <w:webHidden/>
              </w:rPr>
              <w:fldChar w:fldCharType="begin"/>
            </w:r>
            <w:r>
              <w:rPr>
                <w:noProof/>
                <w:webHidden/>
              </w:rPr>
              <w:instrText xml:space="preserve"> PAGEREF _Toc213589872 \h </w:instrText>
            </w:r>
            <w:r>
              <w:rPr>
                <w:noProof/>
                <w:webHidden/>
              </w:rPr>
            </w:r>
            <w:r>
              <w:rPr>
                <w:noProof/>
                <w:webHidden/>
              </w:rPr>
              <w:fldChar w:fldCharType="separate"/>
            </w:r>
            <w:r w:rsidR="000F5D25">
              <w:rPr>
                <w:noProof/>
                <w:webHidden/>
              </w:rPr>
              <w:t>11</w:t>
            </w:r>
            <w:r>
              <w:rPr>
                <w:noProof/>
                <w:webHidden/>
              </w:rPr>
              <w:fldChar w:fldCharType="end"/>
            </w:r>
          </w:hyperlink>
        </w:p>
        <w:p w14:paraId="723C6268" w14:textId="286E49CB" w:rsidR="0024644B" w:rsidRDefault="0024644B">
          <w:pPr>
            <w:pStyle w:val="TOC3"/>
            <w:tabs>
              <w:tab w:val="right" w:leader="dot" w:pos="9350"/>
            </w:tabs>
            <w:rPr>
              <w:noProof/>
              <w:kern w:val="2"/>
              <w:sz w:val="24"/>
              <w:szCs w:val="24"/>
              <w14:ligatures w14:val="standardContextual"/>
            </w:rPr>
          </w:pPr>
          <w:hyperlink w:anchor="_Toc213589873" w:history="1">
            <w:r w:rsidRPr="00356FF8">
              <w:rPr>
                <w:rStyle w:val="Hyperlink"/>
                <w:noProof/>
              </w:rPr>
              <w:t>3.3 Middle East Expansion Strategy</w:t>
            </w:r>
            <w:r>
              <w:rPr>
                <w:noProof/>
                <w:webHidden/>
              </w:rPr>
              <w:tab/>
            </w:r>
            <w:r>
              <w:rPr>
                <w:noProof/>
                <w:webHidden/>
              </w:rPr>
              <w:fldChar w:fldCharType="begin"/>
            </w:r>
            <w:r>
              <w:rPr>
                <w:noProof/>
                <w:webHidden/>
              </w:rPr>
              <w:instrText xml:space="preserve"> PAGEREF _Toc213589873 \h </w:instrText>
            </w:r>
            <w:r>
              <w:rPr>
                <w:noProof/>
                <w:webHidden/>
              </w:rPr>
            </w:r>
            <w:r>
              <w:rPr>
                <w:noProof/>
                <w:webHidden/>
              </w:rPr>
              <w:fldChar w:fldCharType="separate"/>
            </w:r>
            <w:r w:rsidR="000F5D25">
              <w:rPr>
                <w:noProof/>
                <w:webHidden/>
              </w:rPr>
              <w:t>13</w:t>
            </w:r>
            <w:r>
              <w:rPr>
                <w:noProof/>
                <w:webHidden/>
              </w:rPr>
              <w:fldChar w:fldCharType="end"/>
            </w:r>
          </w:hyperlink>
        </w:p>
        <w:p w14:paraId="11982EDD" w14:textId="71A9578D" w:rsidR="0024644B" w:rsidRDefault="0024644B">
          <w:pPr>
            <w:pStyle w:val="TOC3"/>
            <w:tabs>
              <w:tab w:val="right" w:leader="dot" w:pos="9350"/>
            </w:tabs>
            <w:rPr>
              <w:noProof/>
              <w:kern w:val="2"/>
              <w:sz w:val="24"/>
              <w:szCs w:val="24"/>
              <w14:ligatures w14:val="standardContextual"/>
            </w:rPr>
          </w:pPr>
          <w:hyperlink w:anchor="_Toc213589874" w:history="1">
            <w:r w:rsidRPr="00356FF8">
              <w:rPr>
                <w:rStyle w:val="Hyperlink"/>
                <w:noProof/>
              </w:rPr>
              <w:t>3.4 Integration of Technology and Culture</w:t>
            </w:r>
            <w:r>
              <w:rPr>
                <w:noProof/>
                <w:webHidden/>
              </w:rPr>
              <w:tab/>
            </w:r>
            <w:r>
              <w:rPr>
                <w:noProof/>
                <w:webHidden/>
              </w:rPr>
              <w:fldChar w:fldCharType="begin"/>
            </w:r>
            <w:r>
              <w:rPr>
                <w:noProof/>
                <w:webHidden/>
              </w:rPr>
              <w:instrText xml:space="preserve"> PAGEREF _Toc213589874 \h </w:instrText>
            </w:r>
            <w:r>
              <w:rPr>
                <w:noProof/>
                <w:webHidden/>
              </w:rPr>
            </w:r>
            <w:r>
              <w:rPr>
                <w:noProof/>
                <w:webHidden/>
              </w:rPr>
              <w:fldChar w:fldCharType="separate"/>
            </w:r>
            <w:r w:rsidR="000F5D25">
              <w:rPr>
                <w:noProof/>
                <w:webHidden/>
              </w:rPr>
              <w:t>14</w:t>
            </w:r>
            <w:r>
              <w:rPr>
                <w:noProof/>
                <w:webHidden/>
              </w:rPr>
              <w:fldChar w:fldCharType="end"/>
            </w:r>
          </w:hyperlink>
        </w:p>
        <w:p w14:paraId="164A8A29" w14:textId="14421A1A" w:rsidR="0024644B" w:rsidRDefault="0024644B">
          <w:pPr>
            <w:pStyle w:val="TOC3"/>
            <w:tabs>
              <w:tab w:val="right" w:leader="dot" w:pos="9350"/>
            </w:tabs>
            <w:rPr>
              <w:noProof/>
              <w:kern w:val="2"/>
              <w:sz w:val="24"/>
              <w:szCs w:val="24"/>
              <w14:ligatures w14:val="standardContextual"/>
            </w:rPr>
          </w:pPr>
          <w:hyperlink w:anchor="_Toc213589875" w:history="1">
            <w:r w:rsidRPr="00356FF8">
              <w:rPr>
                <w:rStyle w:val="Hyperlink"/>
                <w:noProof/>
              </w:rPr>
              <w:t>3.5 Quantitative Summary and Expected Outcomes (USD)</w:t>
            </w:r>
            <w:r>
              <w:rPr>
                <w:noProof/>
                <w:webHidden/>
              </w:rPr>
              <w:tab/>
            </w:r>
            <w:r>
              <w:rPr>
                <w:noProof/>
                <w:webHidden/>
              </w:rPr>
              <w:fldChar w:fldCharType="begin"/>
            </w:r>
            <w:r>
              <w:rPr>
                <w:noProof/>
                <w:webHidden/>
              </w:rPr>
              <w:instrText xml:space="preserve"> PAGEREF _Toc213589875 \h </w:instrText>
            </w:r>
            <w:r>
              <w:rPr>
                <w:noProof/>
                <w:webHidden/>
              </w:rPr>
            </w:r>
            <w:r>
              <w:rPr>
                <w:noProof/>
                <w:webHidden/>
              </w:rPr>
              <w:fldChar w:fldCharType="separate"/>
            </w:r>
            <w:r w:rsidR="000F5D25">
              <w:rPr>
                <w:noProof/>
                <w:webHidden/>
              </w:rPr>
              <w:t>15</w:t>
            </w:r>
            <w:r>
              <w:rPr>
                <w:noProof/>
                <w:webHidden/>
              </w:rPr>
              <w:fldChar w:fldCharType="end"/>
            </w:r>
          </w:hyperlink>
        </w:p>
        <w:p w14:paraId="44A31160" w14:textId="70ADDB2F" w:rsidR="0024644B" w:rsidRDefault="0024644B">
          <w:pPr>
            <w:pStyle w:val="TOC3"/>
            <w:tabs>
              <w:tab w:val="right" w:leader="dot" w:pos="9350"/>
            </w:tabs>
            <w:rPr>
              <w:noProof/>
              <w:kern w:val="2"/>
              <w:sz w:val="24"/>
              <w:szCs w:val="24"/>
              <w14:ligatures w14:val="standardContextual"/>
            </w:rPr>
          </w:pPr>
          <w:hyperlink w:anchor="_Toc213589876" w:history="1">
            <w:r w:rsidRPr="00356FF8">
              <w:rPr>
                <w:rStyle w:val="Hyperlink"/>
                <w:noProof/>
              </w:rPr>
              <w:t>3.6 Alignment with Theoretical Foundations</w:t>
            </w:r>
            <w:r>
              <w:rPr>
                <w:noProof/>
                <w:webHidden/>
              </w:rPr>
              <w:tab/>
            </w:r>
            <w:r>
              <w:rPr>
                <w:noProof/>
                <w:webHidden/>
              </w:rPr>
              <w:fldChar w:fldCharType="begin"/>
            </w:r>
            <w:r>
              <w:rPr>
                <w:noProof/>
                <w:webHidden/>
              </w:rPr>
              <w:instrText xml:space="preserve"> PAGEREF _Toc213589876 \h </w:instrText>
            </w:r>
            <w:r>
              <w:rPr>
                <w:noProof/>
                <w:webHidden/>
              </w:rPr>
            </w:r>
            <w:r>
              <w:rPr>
                <w:noProof/>
                <w:webHidden/>
              </w:rPr>
              <w:fldChar w:fldCharType="separate"/>
            </w:r>
            <w:r w:rsidR="000F5D25">
              <w:rPr>
                <w:noProof/>
                <w:webHidden/>
              </w:rPr>
              <w:t>15</w:t>
            </w:r>
            <w:r>
              <w:rPr>
                <w:noProof/>
                <w:webHidden/>
              </w:rPr>
              <w:fldChar w:fldCharType="end"/>
            </w:r>
          </w:hyperlink>
        </w:p>
        <w:p w14:paraId="3EDE587B" w14:textId="6534B628" w:rsidR="0024644B" w:rsidRDefault="0024644B">
          <w:pPr>
            <w:pStyle w:val="TOC3"/>
            <w:tabs>
              <w:tab w:val="right" w:leader="dot" w:pos="9350"/>
            </w:tabs>
            <w:rPr>
              <w:noProof/>
              <w:kern w:val="2"/>
              <w:sz w:val="24"/>
              <w:szCs w:val="24"/>
              <w14:ligatures w14:val="standardContextual"/>
            </w:rPr>
          </w:pPr>
          <w:hyperlink w:anchor="_Toc213589877" w:history="1">
            <w:r w:rsidRPr="00356FF8">
              <w:rPr>
                <w:rStyle w:val="Hyperlink"/>
                <w:noProof/>
              </w:rPr>
              <w:t>4.1 Overview</w:t>
            </w:r>
            <w:r>
              <w:rPr>
                <w:noProof/>
                <w:webHidden/>
              </w:rPr>
              <w:tab/>
            </w:r>
            <w:r>
              <w:rPr>
                <w:noProof/>
                <w:webHidden/>
              </w:rPr>
              <w:fldChar w:fldCharType="begin"/>
            </w:r>
            <w:r>
              <w:rPr>
                <w:noProof/>
                <w:webHidden/>
              </w:rPr>
              <w:instrText xml:space="preserve"> PAGEREF _Toc213589877 \h </w:instrText>
            </w:r>
            <w:r>
              <w:rPr>
                <w:noProof/>
                <w:webHidden/>
              </w:rPr>
            </w:r>
            <w:r>
              <w:rPr>
                <w:noProof/>
                <w:webHidden/>
              </w:rPr>
              <w:fldChar w:fldCharType="separate"/>
            </w:r>
            <w:r w:rsidR="000F5D25">
              <w:rPr>
                <w:noProof/>
                <w:webHidden/>
              </w:rPr>
              <w:t>16</w:t>
            </w:r>
            <w:r>
              <w:rPr>
                <w:noProof/>
                <w:webHidden/>
              </w:rPr>
              <w:fldChar w:fldCharType="end"/>
            </w:r>
          </w:hyperlink>
        </w:p>
        <w:p w14:paraId="72F540E5" w14:textId="22E5FDD1" w:rsidR="0024644B" w:rsidRDefault="0024644B">
          <w:pPr>
            <w:pStyle w:val="TOC3"/>
            <w:tabs>
              <w:tab w:val="right" w:leader="dot" w:pos="9350"/>
            </w:tabs>
            <w:rPr>
              <w:noProof/>
              <w:kern w:val="2"/>
              <w:sz w:val="24"/>
              <w:szCs w:val="24"/>
              <w14:ligatures w14:val="standardContextual"/>
            </w:rPr>
          </w:pPr>
          <w:hyperlink w:anchor="_Toc213589878" w:history="1">
            <w:r w:rsidRPr="00356FF8">
              <w:rPr>
                <w:rStyle w:val="Hyperlink"/>
                <w:noProof/>
              </w:rPr>
              <w:t>4.2 Implementation Phases</w:t>
            </w:r>
            <w:r>
              <w:rPr>
                <w:noProof/>
                <w:webHidden/>
              </w:rPr>
              <w:tab/>
            </w:r>
            <w:r>
              <w:rPr>
                <w:noProof/>
                <w:webHidden/>
              </w:rPr>
              <w:fldChar w:fldCharType="begin"/>
            </w:r>
            <w:r>
              <w:rPr>
                <w:noProof/>
                <w:webHidden/>
              </w:rPr>
              <w:instrText xml:space="preserve"> PAGEREF _Toc213589878 \h </w:instrText>
            </w:r>
            <w:r>
              <w:rPr>
                <w:noProof/>
                <w:webHidden/>
              </w:rPr>
            </w:r>
            <w:r>
              <w:rPr>
                <w:noProof/>
                <w:webHidden/>
              </w:rPr>
              <w:fldChar w:fldCharType="separate"/>
            </w:r>
            <w:r w:rsidR="000F5D25">
              <w:rPr>
                <w:noProof/>
                <w:webHidden/>
              </w:rPr>
              <w:t>16</w:t>
            </w:r>
            <w:r>
              <w:rPr>
                <w:noProof/>
                <w:webHidden/>
              </w:rPr>
              <w:fldChar w:fldCharType="end"/>
            </w:r>
          </w:hyperlink>
        </w:p>
        <w:p w14:paraId="45C785B4" w14:textId="540BE46C" w:rsidR="0024644B" w:rsidRDefault="0024644B">
          <w:pPr>
            <w:pStyle w:val="TOC3"/>
            <w:tabs>
              <w:tab w:val="right" w:leader="dot" w:pos="9350"/>
            </w:tabs>
            <w:rPr>
              <w:noProof/>
              <w:kern w:val="2"/>
              <w:sz w:val="24"/>
              <w:szCs w:val="24"/>
              <w14:ligatures w14:val="standardContextual"/>
            </w:rPr>
          </w:pPr>
          <w:hyperlink w:anchor="_Toc213589879" w:history="1">
            <w:r w:rsidRPr="00356FF8">
              <w:rPr>
                <w:rStyle w:val="Hyperlink"/>
                <w:noProof/>
              </w:rPr>
              <w:t>4.3 Governance and Decision Rights</w:t>
            </w:r>
            <w:r>
              <w:rPr>
                <w:noProof/>
                <w:webHidden/>
              </w:rPr>
              <w:tab/>
            </w:r>
            <w:r>
              <w:rPr>
                <w:noProof/>
                <w:webHidden/>
              </w:rPr>
              <w:fldChar w:fldCharType="begin"/>
            </w:r>
            <w:r>
              <w:rPr>
                <w:noProof/>
                <w:webHidden/>
              </w:rPr>
              <w:instrText xml:space="preserve"> PAGEREF _Toc213589879 \h </w:instrText>
            </w:r>
            <w:r>
              <w:rPr>
                <w:noProof/>
                <w:webHidden/>
              </w:rPr>
            </w:r>
            <w:r>
              <w:rPr>
                <w:noProof/>
                <w:webHidden/>
              </w:rPr>
              <w:fldChar w:fldCharType="separate"/>
            </w:r>
            <w:r w:rsidR="000F5D25">
              <w:rPr>
                <w:noProof/>
                <w:webHidden/>
              </w:rPr>
              <w:t>16</w:t>
            </w:r>
            <w:r>
              <w:rPr>
                <w:noProof/>
                <w:webHidden/>
              </w:rPr>
              <w:fldChar w:fldCharType="end"/>
            </w:r>
          </w:hyperlink>
        </w:p>
        <w:p w14:paraId="1261359E" w14:textId="774C0E5A" w:rsidR="0024644B" w:rsidRDefault="0024644B">
          <w:pPr>
            <w:pStyle w:val="TOC3"/>
            <w:tabs>
              <w:tab w:val="right" w:leader="dot" w:pos="9350"/>
            </w:tabs>
            <w:rPr>
              <w:noProof/>
              <w:kern w:val="2"/>
              <w:sz w:val="24"/>
              <w:szCs w:val="24"/>
              <w14:ligatures w14:val="standardContextual"/>
            </w:rPr>
          </w:pPr>
          <w:hyperlink w:anchor="_Toc213589880" w:history="1">
            <w:r w:rsidRPr="00356FF8">
              <w:rPr>
                <w:rStyle w:val="Hyperlink"/>
                <w:noProof/>
              </w:rPr>
              <w:t>4.7 Change Management and Capability Building</w:t>
            </w:r>
            <w:r>
              <w:rPr>
                <w:noProof/>
                <w:webHidden/>
              </w:rPr>
              <w:tab/>
            </w:r>
            <w:r>
              <w:rPr>
                <w:noProof/>
                <w:webHidden/>
              </w:rPr>
              <w:fldChar w:fldCharType="begin"/>
            </w:r>
            <w:r>
              <w:rPr>
                <w:noProof/>
                <w:webHidden/>
              </w:rPr>
              <w:instrText xml:space="preserve"> PAGEREF _Toc213589880 \h </w:instrText>
            </w:r>
            <w:r>
              <w:rPr>
                <w:noProof/>
                <w:webHidden/>
              </w:rPr>
            </w:r>
            <w:r>
              <w:rPr>
                <w:noProof/>
                <w:webHidden/>
              </w:rPr>
              <w:fldChar w:fldCharType="separate"/>
            </w:r>
            <w:r w:rsidR="000F5D25">
              <w:rPr>
                <w:noProof/>
                <w:webHidden/>
              </w:rPr>
              <w:t>19</w:t>
            </w:r>
            <w:r>
              <w:rPr>
                <w:noProof/>
                <w:webHidden/>
              </w:rPr>
              <w:fldChar w:fldCharType="end"/>
            </w:r>
          </w:hyperlink>
        </w:p>
        <w:p w14:paraId="36529F1A" w14:textId="3160104C" w:rsidR="0024644B" w:rsidRDefault="0024644B">
          <w:pPr>
            <w:pStyle w:val="TOC3"/>
            <w:tabs>
              <w:tab w:val="right" w:leader="dot" w:pos="9350"/>
            </w:tabs>
            <w:rPr>
              <w:noProof/>
              <w:kern w:val="2"/>
              <w:sz w:val="24"/>
              <w:szCs w:val="24"/>
              <w14:ligatures w14:val="standardContextual"/>
            </w:rPr>
          </w:pPr>
          <w:hyperlink w:anchor="_Toc213589881" w:history="1">
            <w:r w:rsidRPr="00356FF8">
              <w:rPr>
                <w:rStyle w:val="Hyperlink"/>
                <w:noProof/>
              </w:rPr>
              <w:t>4.8 Key Performance Indicators (KPIs)</w:t>
            </w:r>
            <w:r>
              <w:rPr>
                <w:noProof/>
                <w:webHidden/>
              </w:rPr>
              <w:tab/>
            </w:r>
            <w:r>
              <w:rPr>
                <w:noProof/>
                <w:webHidden/>
              </w:rPr>
              <w:fldChar w:fldCharType="begin"/>
            </w:r>
            <w:r>
              <w:rPr>
                <w:noProof/>
                <w:webHidden/>
              </w:rPr>
              <w:instrText xml:space="preserve"> PAGEREF _Toc213589881 \h </w:instrText>
            </w:r>
            <w:r>
              <w:rPr>
                <w:noProof/>
                <w:webHidden/>
              </w:rPr>
            </w:r>
            <w:r>
              <w:rPr>
                <w:noProof/>
                <w:webHidden/>
              </w:rPr>
              <w:fldChar w:fldCharType="separate"/>
            </w:r>
            <w:r w:rsidR="000F5D25">
              <w:rPr>
                <w:noProof/>
                <w:webHidden/>
              </w:rPr>
              <w:t>20</w:t>
            </w:r>
            <w:r>
              <w:rPr>
                <w:noProof/>
                <w:webHidden/>
              </w:rPr>
              <w:fldChar w:fldCharType="end"/>
            </w:r>
          </w:hyperlink>
        </w:p>
        <w:p w14:paraId="1AAE84D6" w14:textId="799A11F5" w:rsidR="0024644B" w:rsidRDefault="0024644B">
          <w:pPr>
            <w:pStyle w:val="TOC3"/>
            <w:tabs>
              <w:tab w:val="right" w:leader="dot" w:pos="9350"/>
            </w:tabs>
            <w:rPr>
              <w:noProof/>
              <w:kern w:val="2"/>
              <w:sz w:val="24"/>
              <w:szCs w:val="24"/>
              <w14:ligatures w14:val="standardContextual"/>
            </w:rPr>
          </w:pPr>
          <w:hyperlink w:anchor="_Toc213589882" w:history="1">
            <w:r w:rsidRPr="00356FF8">
              <w:rPr>
                <w:rStyle w:val="Hyperlink"/>
                <w:noProof/>
              </w:rPr>
              <w:t>4.9 Implementation Risks and Mitigation Summary</w:t>
            </w:r>
            <w:r>
              <w:rPr>
                <w:noProof/>
                <w:webHidden/>
              </w:rPr>
              <w:tab/>
            </w:r>
            <w:r>
              <w:rPr>
                <w:noProof/>
                <w:webHidden/>
              </w:rPr>
              <w:fldChar w:fldCharType="begin"/>
            </w:r>
            <w:r>
              <w:rPr>
                <w:noProof/>
                <w:webHidden/>
              </w:rPr>
              <w:instrText xml:space="preserve"> PAGEREF _Toc213589882 \h </w:instrText>
            </w:r>
            <w:r>
              <w:rPr>
                <w:noProof/>
                <w:webHidden/>
              </w:rPr>
            </w:r>
            <w:r>
              <w:rPr>
                <w:noProof/>
                <w:webHidden/>
              </w:rPr>
              <w:fldChar w:fldCharType="separate"/>
            </w:r>
            <w:r w:rsidR="000F5D25">
              <w:rPr>
                <w:noProof/>
                <w:webHidden/>
              </w:rPr>
              <w:t>20</w:t>
            </w:r>
            <w:r>
              <w:rPr>
                <w:noProof/>
                <w:webHidden/>
              </w:rPr>
              <w:fldChar w:fldCharType="end"/>
            </w:r>
          </w:hyperlink>
        </w:p>
        <w:p w14:paraId="342AB7CC" w14:textId="1B91EBDB" w:rsidR="0024644B" w:rsidRDefault="0024644B">
          <w:pPr>
            <w:pStyle w:val="TOC3"/>
            <w:tabs>
              <w:tab w:val="right" w:leader="dot" w:pos="9350"/>
            </w:tabs>
            <w:rPr>
              <w:noProof/>
              <w:kern w:val="2"/>
              <w:sz w:val="24"/>
              <w:szCs w:val="24"/>
              <w14:ligatures w14:val="standardContextual"/>
            </w:rPr>
          </w:pPr>
          <w:hyperlink w:anchor="_Toc213589883" w:history="1">
            <w:r w:rsidRPr="00356FF8">
              <w:rPr>
                <w:rStyle w:val="Hyperlink"/>
                <w:noProof/>
              </w:rPr>
              <w:t>4.10 Summary</w:t>
            </w:r>
            <w:r>
              <w:rPr>
                <w:noProof/>
                <w:webHidden/>
              </w:rPr>
              <w:tab/>
            </w:r>
            <w:r>
              <w:rPr>
                <w:noProof/>
                <w:webHidden/>
              </w:rPr>
              <w:fldChar w:fldCharType="begin"/>
            </w:r>
            <w:r>
              <w:rPr>
                <w:noProof/>
                <w:webHidden/>
              </w:rPr>
              <w:instrText xml:space="preserve"> PAGEREF _Toc213589883 \h </w:instrText>
            </w:r>
            <w:r>
              <w:rPr>
                <w:noProof/>
                <w:webHidden/>
              </w:rPr>
            </w:r>
            <w:r>
              <w:rPr>
                <w:noProof/>
                <w:webHidden/>
              </w:rPr>
              <w:fldChar w:fldCharType="separate"/>
            </w:r>
            <w:r w:rsidR="000F5D25">
              <w:rPr>
                <w:noProof/>
                <w:webHidden/>
              </w:rPr>
              <w:t>21</w:t>
            </w:r>
            <w:r>
              <w:rPr>
                <w:noProof/>
                <w:webHidden/>
              </w:rPr>
              <w:fldChar w:fldCharType="end"/>
            </w:r>
          </w:hyperlink>
        </w:p>
        <w:p w14:paraId="65D9CD79" w14:textId="5D30135F" w:rsidR="0024644B" w:rsidRDefault="0024644B">
          <w:pPr>
            <w:pStyle w:val="TOC2"/>
            <w:tabs>
              <w:tab w:val="right" w:leader="dot" w:pos="9350"/>
            </w:tabs>
            <w:rPr>
              <w:noProof/>
              <w:kern w:val="2"/>
              <w:sz w:val="24"/>
              <w:szCs w:val="24"/>
              <w14:ligatures w14:val="standardContextual"/>
            </w:rPr>
          </w:pPr>
          <w:hyperlink w:anchor="_Toc213589884" w:history="1">
            <w:r w:rsidRPr="00356FF8">
              <w:rPr>
                <w:rStyle w:val="Hyperlink"/>
                <w:noProof/>
              </w:rPr>
              <w:t>Chapter 5: Risk, Ethics, and Evaluation Framework</w:t>
            </w:r>
            <w:r>
              <w:rPr>
                <w:noProof/>
                <w:webHidden/>
              </w:rPr>
              <w:tab/>
            </w:r>
            <w:r>
              <w:rPr>
                <w:noProof/>
                <w:webHidden/>
              </w:rPr>
              <w:fldChar w:fldCharType="begin"/>
            </w:r>
            <w:r>
              <w:rPr>
                <w:noProof/>
                <w:webHidden/>
              </w:rPr>
              <w:instrText xml:space="preserve"> PAGEREF _Toc213589884 \h </w:instrText>
            </w:r>
            <w:r>
              <w:rPr>
                <w:noProof/>
                <w:webHidden/>
              </w:rPr>
            </w:r>
            <w:r>
              <w:rPr>
                <w:noProof/>
                <w:webHidden/>
              </w:rPr>
              <w:fldChar w:fldCharType="separate"/>
            </w:r>
            <w:r w:rsidR="000F5D25">
              <w:rPr>
                <w:noProof/>
                <w:webHidden/>
              </w:rPr>
              <w:t>22</w:t>
            </w:r>
            <w:r>
              <w:rPr>
                <w:noProof/>
                <w:webHidden/>
              </w:rPr>
              <w:fldChar w:fldCharType="end"/>
            </w:r>
          </w:hyperlink>
        </w:p>
        <w:p w14:paraId="6FAC75EB" w14:textId="4870E39C" w:rsidR="0024644B" w:rsidRDefault="0024644B">
          <w:pPr>
            <w:pStyle w:val="TOC3"/>
            <w:tabs>
              <w:tab w:val="right" w:leader="dot" w:pos="9350"/>
            </w:tabs>
            <w:rPr>
              <w:noProof/>
              <w:kern w:val="2"/>
              <w:sz w:val="24"/>
              <w:szCs w:val="24"/>
              <w14:ligatures w14:val="standardContextual"/>
            </w:rPr>
          </w:pPr>
          <w:hyperlink w:anchor="_Toc213589885" w:history="1">
            <w:r w:rsidRPr="00356FF8">
              <w:rPr>
                <w:rStyle w:val="Hyperlink"/>
                <w:noProof/>
              </w:rPr>
              <w:t>5.1 Overview</w:t>
            </w:r>
            <w:r>
              <w:rPr>
                <w:noProof/>
                <w:webHidden/>
              </w:rPr>
              <w:tab/>
            </w:r>
            <w:r>
              <w:rPr>
                <w:noProof/>
                <w:webHidden/>
              </w:rPr>
              <w:fldChar w:fldCharType="begin"/>
            </w:r>
            <w:r>
              <w:rPr>
                <w:noProof/>
                <w:webHidden/>
              </w:rPr>
              <w:instrText xml:space="preserve"> PAGEREF _Toc213589885 \h </w:instrText>
            </w:r>
            <w:r>
              <w:rPr>
                <w:noProof/>
                <w:webHidden/>
              </w:rPr>
            </w:r>
            <w:r>
              <w:rPr>
                <w:noProof/>
                <w:webHidden/>
              </w:rPr>
              <w:fldChar w:fldCharType="separate"/>
            </w:r>
            <w:r w:rsidR="000F5D25">
              <w:rPr>
                <w:noProof/>
                <w:webHidden/>
              </w:rPr>
              <w:t>22</w:t>
            </w:r>
            <w:r>
              <w:rPr>
                <w:noProof/>
                <w:webHidden/>
              </w:rPr>
              <w:fldChar w:fldCharType="end"/>
            </w:r>
          </w:hyperlink>
        </w:p>
        <w:p w14:paraId="4634A5D7" w14:textId="4213EEDD" w:rsidR="0024644B" w:rsidRDefault="0024644B">
          <w:pPr>
            <w:pStyle w:val="TOC3"/>
            <w:tabs>
              <w:tab w:val="right" w:leader="dot" w:pos="9350"/>
            </w:tabs>
            <w:rPr>
              <w:noProof/>
              <w:kern w:val="2"/>
              <w:sz w:val="24"/>
              <w:szCs w:val="24"/>
              <w14:ligatures w14:val="standardContextual"/>
            </w:rPr>
          </w:pPr>
          <w:hyperlink w:anchor="_Toc213589886" w:history="1">
            <w:r w:rsidRPr="00356FF8">
              <w:rPr>
                <w:rStyle w:val="Hyperlink"/>
                <w:noProof/>
              </w:rPr>
              <w:t>5.2 Risk Management Framework</w:t>
            </w:r>
            <w:r>
              <w:rPr>
                <w:noProof/>
                <w:webHidden/>
              </w:rPr>
              <w:tab/>
            </w:r>
            <w:r>
              <w:rPr>
                <w:noProof/>
                <w:webHidden/>
              </w:rPr>
              <w:fldChar w:fldCharType="begin"/>
            </w:r>
            <w:r>
              <w:rPr>
                <w:noProof/>
                <w:webHidden/>
              </w:rPr>
              <w:instrText xml:space="preserve"> PAGEREF _Toc213589886 \h </w:instrText>
            </w:r>
            <w:r>
              <w:rPr>
                <w:noProof/>
                <w:webHidden/>
              </w:rPr>
            </w:r>
            <w:r>
              <w:rPr>
                <w:noProof/>
                <w:webHidden/>
              </w:rPr>
              <w:fldChar w:fldCharType="separate"/>
            </w:r>
            <w:r w:rsidR="000F5D25">
              <w:rPr>
                <w:noProof/>
                <w:webHidden/>
              </w:rPr>
              <w:t>22</w:t>
            </w:r>
            <w:r>
              <w:rPr>
                <w:noProof/>
                <w:webHidden/>
              </w:rPr>
              <w:fldChar w:fldCharType="end"/>
            </w:r>
          </w:hyperlink>
        </w:p>
        <w:p w14:paraId="6CCB117A" w14:textId="7C9B698A" w:rsidR="0024644B" w:rsidRDefault="0024644B">
          <w:pPr>
            <w:pStyle w:val="TOC3"/>
            <w:tabs>
              <w:tab w:val="right" w:leader="dot" w:pos="9350"/>
            </w:tabs>
            <w:rPr>
              <w:noProof/>
              <w:kern w:val="2"/>
              <w:sz w:val="24"/>
              <w:szCs w:val="24"/>
              <w14:ligatures w14:val="standardContextual"/>
            </w:rPr>
          </w:pPr>
          <w:hyperlink w:anchor="_Toc213589887" w:history="1">
            <w:r w:rsidRPr="00356FF8">
              <w:rPr>
                <w:rStyle w:val="Hyperlink"/>
                <w:noProof/>
              </w:rPr>
              <w:t>5.3 Ethical Governance Framework</w:t>
            </w:r>
            <w:r>
              <w:rPr>
                <w:noProof/>
                <w:webHidden/>
              </w:rPr>
              <w:tab/>
            </w:r>
            <w:r>
              <w:rPr>
                <w:noProof/>
                <w:webHidden/>
              </w:rPr>
              <w:fldChar w:fldCharType="begin"/>
            </w:r>
            <w:r>
              <w:rPr>
                <w:noProof/>
                <w:webHidden/>
              </w:rPr>
              <w:instrText xml:space="preserve"> PAGEREF _Toc213589887 \h </w:instrText>
            </w:r>
            <w:r>
              <w:rPr>
                <w:noProof/>
                <w:webHidden/>
              </w:rPr>
            </w:r>
            <w:r>
              <w:rPr>
                <w:noProof/>
                <w:webHidden/>
              </w:rPr>
              <w:fldChar w:fldCharType="separate"/>
            </w:r>
            <w:r w:rsidR="000F5D25">
              <w:rPr>
                <w:noProof/>
                <w:webHidden/>
              </w:rPr>
              <w:t>23</w:t>
            </w:r>
            <w:r>
              <w:rPr>
                <w:noProof/>
                <w:webHidden/>
              </w:rPr>
              <w:fldChar w:fldCharType="end"/>
            </w:r>
          </w:hyperlink>
        </w:p>
        <w:p w14:paraId="456A767F" w14:textId="3B405E27" w:rsidR="0024644B" w:rsidRDefault="0024644B">
          <w:pPr>
            <w:pStyle w:val="TOC3"/>
            <w:tabs>
              <w:tab w:val="right" w:leader="dot" w:pos="9350"/>
            </w:tabs>
            <w:rPr>
              <w:noProof/>
              <w:kern w:val="2"/>
              <w:sz w:val="24"/>
              <w:szCs w:val="24"/>
              <w14:ligatures w14:val="standardContextual"/>
            </w:rPr>
          </w:pPr>
          <w:hyperlink w:anchor="_Toc213589888" w:history="1">
            <w:r w:rsidRPr="00356FF8">
              <w:rPr>
                <w:rStyle w:val="Hyperlink"/>
                <w:noProof/>
              </w:rPr>
              <w:t>5.5 Evaluation Framework</w:t>
            </w:r>
            <w:r>
              <w:rPr>
                <w:noProof/>
                <w:webHidden/>
              </w:rPr>
              <w:tab/>
            </w:r>
            <w:r>
              <w:rPr>
                <w:noProof/>
                <w:webHidden/>
              </w:rPr>
              <w:fldChar w:fldCharType="begin"/>
            </w:r>
            <w:r>
              <w:rPr>
                <w:noProof/>
                <w:webHidden/>
              </w:rPr>
              <w:instrText xml:space="preserve"> PAGEREF _Toc213589888 \h </w:instrText>
            </w:r>
            <w:r>
              <w:rPr>
                <w:noProof/>
                <w:webHidden/>
              </w:rPr>
            </w:r>
            <w:r>
              <w:rPr>
                <w:noProof/>
                <w:webHidden/>
              </w:rPr>
              <w:fldChar w:fldCharType="separate"/>
            </w:r>
            <w:r w:rsidR="000F5D25">
              <w:rPr>
                <w:noProof/>
                <w:webHidden/>
              </w:rPr>
              <w:t>24</w:t>
            </w:r>
            <w:r>
              <w:rPr>
                <w:noProof/>
                <w:webHidden/>
              </w:rPr>
              <w:fldChar w:fldCharType="end"/>
            </w:r>
          </w:hyperlink>
        </w:p>
        <w:p w14:paraId="2050C5AC" w14:textId="66C31572" w:rsidR="0024644B" w:rsidRDefault="0024644B">
          <w:pPr>
            <w:pStyle w:val="TOC3"/>
            <w:tabs>
              <w:tab w:val="right" w:leader="dot" w:pos="9350"/>
            </w:tabs>
            <w:rPr>
              <w:noProof/>
              <w:kern w:val="2"/>
              <w:sz w:val="24"/>
              <w:szCs w:val="24"/>
              <w14:ligatures w14:val="standardContextual"/>
            </w:rPr>
          </w:pPr>
          <w:hyperlink w:anchor="_Toc213589889" w:history="1">
            <w:r w:rsidRPr="00356FF8">
              <w:rPr>
                <w:rStyle w:val="Hyperlink"/>
                <w:noProof/>
              </w:rPr>
              <w:t>5.6 Measurement Methods and Data Sources</w:t>
            </w:r>
            <w:r>
              <w:rPr>
                <w:noProof/>
                <w:webHidden/>
              </w:rPr>
              <w:tab/>
            </w:r>
            <w:r>
              <w:rPr>
                <w:noProof/>
                <w:webHidden/>
              </w:rPr>
              <w:fldChar w:fldCharType="begin"/>
            </w:r>
            <w:r>
              <w:rPr>
                <w:noProof/>
                <w:webHidden/>
              </w:rPr>
              <w:instrText xml:space="preserve"> PAGEREF _Toc213589889 \h </w:instrText>
            </w:r>
            <w:r>
              <w:rPr>
                <w:noProof/>
                <w:webHidden/>
              </w:rPr>
            </w:r>
            <w:r>
              <w:rPr>
                <w:noProof/>
                <w:webHidden/>
              </w:rPr>
              <w:fldChar w:fldCharType="separate"/>
            </w:r>
            <w:r w:rsidR="000F5D25">
              <w:rPr>
                <w:noProof/>
                <w:webHidden/>
              </w:rPr>
              <w:t>25</w:t>
            </w:r>
            <w:r>
              <w:rPr>
                <w:noProof/>
                <w:webHidden/>
              </w:rPr>
              <w:fldChar w:fldCharType="end"/>
            </w:r>
          </w:hyperlink>
        </w:p>
        <w:p w14:paraId="55BC21AA" w14:textId="235A3763" w:rsidR="0024644B" w:rsidRDefault="0024644B">
          <w:pPr>
            <w:pStyle w:val="TOC3"/>
            <w:tabs>
              <w:tab w:val="right" w:leader="dot" w:pos="9350"/>
            </w:tabs>
            <w:rPr>
              <w:noProof/>
              <w:kern w:val="2"/>
              <w:sz w:val="24"/>
              <w:szCs w:val="24"/>
              <w14:ligatures w14:val="standardContextual"/>
            </w:rPr>
          </w:pPr>
          <w:hyperlink w:anchor="_Toc213589890" w:history="1">
            <w:r w:rsidRPr="00356FF8">
              <w:rPr>
                <w:rStyle w:val="Hyperlink"/>
                <w:noProof/>
              </w:rPr>
              <w:t>5.7 Ethical AI and Data-Protection Practices</w:t>
            </w:r>
            <w:r>
              <w:rPr>
                <w:noProof/>
                <w:webHidden/>
              </w:rPr>
              <w:tab/>
            </w:r>
            <w:r>
              <w:rPr>
                <w:noProof/>
                <w:webHidden/>
              </w:rPr>
              <w:fldChar w:fldCharType="begin"/>
            </w:r>
            <w:r>
              <w:rPr>
                <w:noProof/>
                <w:webHidden/>
              </w:rPr>
              <w:instrText xml:space="preserve"> PAGEREF _Toc213589890 \h </w:instrText>
            </w:r>
            <w:r>
              <w:rPr>
                <w:noProof/>
                <w:webHidden/>
              </w:rPr>
            </w:r>
            <w:r>
              <w:rPr>
                <w:noProof/>
                <w:webHidden/>
              </w:rPr>
              <w:fldChar w:fldCharType="separate"/>
            </w:r>
            <w:r w:rsidR="000F5D25">
              <w:rPr>
                <w:noProof/>
                <w:webHidden/>
              </w:rPr>
              <w:t>25</w:t>
            </w:r>
            <w:r>
              <w:rPr>
                <w:noProof/>
                <w:webHidden/>
              </w:rPr>
              <w:fldChar w:fldCharType="end"/>
            </w:r>
          </w:hyperlink>
        </w:p>
        <w:p w14:paraId="2D6449DB" w14:textId="46DAC500" w:rsidR="0024644B" w:rsidRDefault="0024644B">
          <w:pPr>
            <w:pStyle w:val="TOC3"/>
            <w:tabs>
              <w:tab w:val="right" w:leader="dot" w:pos="9350"/>
            </w:tabs>
            <w:rPr>
              <w:noProof/>
              <w:kern w:val="2"/>
              <w:sz w:val="24"/>
              <w:szCs w:val="24"/>
              <w14:ligatures w14:val="standardContextual"/>
            </w:rPr>
          </w:pPr>
          <w:hyperlink w:anchor="_Toc213589891" w:history="1">
            <w:r w:rsidRPr="00356FF8">
              <w:rPr>
                <w:rStyle w:val="Hyperlink"/>
                <w:noProof/>
              </w:rPr>
              <w:t>5.8 Continuous Learning and Feedback Integration</w:t>
            </w:r>
            <w:r>
              <w:rPr>
                <w:noProof/>
                <w:webHidden/>
              </w:rPr>
              <w:tab/>
            </w:r>
            <w:r>
              <w:rPr>
                <w:noProof/>
                <w:webHidden/>
              </w:rPr>
              <w:fldChar w:fldCharType="begin"/>
            </w:r>
            <w:r>
              <w:rPr>
                <w:noProof/>
                <w:webHidden/>
              </w:rPr>
              <w:instrText xml:space="preserve"> PAGEREF _Toc213589891 \h </w:instrText>
            </w:r>
            <w:r>
              <w:rPr>
                <w:noProof/>
                <w:webHidden/>
              </w:rPr>
            </w:r>
            <w:r>
              <w:rPr>
                <w:noProof/>
                <w:webHidden/>
              </w:rPr>
              <w:fldChar w:fldCharType="separate"/>
            </w:r>
            <w:r w:rsidR="000F5D25">
              <w:rPr>
                <w:noProof/>
                <w:webHidden/>
              </w:rPr>
              <w:t>26</w:t>
            </w:r>
            <w:r>
              <w:rPr>
                <w:noProof/>
                <w:webHidden/>
              </w:rPr>
              <w:fldChar w:fldCharType="end"/>
            </w:r>
          </w:hyperlink>
        </w:p>
        <w:p w14:paraId="7B721AE4" w14:textId="1100E2E4" w:rsidR="0024644B" w:rsidRDefault="0024644B">
          <w:pPr>
            <w:pStyle w:val="TOC3"/>
            <w:tabs>
              <w:tab w:val="right" w:leader="dot" w:pos="9350"/>
            </w:tabs>
            <w:rPr>
              <w:noProof/>
              <w:kern w:val="2"/>
              <w:sz w:val="24"/>
              <w:szCs w:val="24"/>
              <w14:ligatures w14:val="standardContextual"/>
            </w:rPr>
          </w:pPr>
          <w:hyperlink w:anchor="_Toc213589892" w:history="1">
            <w:r w:rsidRPr="00356FF8">
              <w:rPr>
                <w:rStyle w:val="Hyperlink"/>
                <w:noProof/>
              </w:rPr>
              <w:t>5.9 Sustainability and Long-Term Governance</w:t>
            </w:r>
            <w:r>
              <w:rPr>
                <w:noProof/>
                <w:webHidden/>
              </w:rPr>
              <w:tab/>
            </w:r>
            <w:r>
              <w:rPr>
                <w:noProof/>
                <w:webHidden/>
              </w:rPr>
              <w:fldChar w:fldCharType="begin"/>
            </w:r>
            <w:r>
              <w:rPr>
                <w:noProof/>
                <w:webHidden/>
              </w:rPr>
              <w:instrText xml:space="preserve"> PAGEREF _Toc213589892 \h </w:instrText>
            </w:r>
            <w:r>
              <w:rPr>
                <w:noProof/>
                <w:webHidden/>
              </w:rPr>
            </w:r>
            <w:r>
              <w:rPr>
                <w:noProof/>
                <w:webHidden/>
              </w:rPr>
              <w:fldChar w:fldCharType="separate"/>
            </w:r>
            <w:r w:rsidR="000F5D25">
              <w:rPr>
                <w:noProof/>
                <w:webHidden/>
              </w:rPr>
              <w:t>26</w:t>
            </w:r>
            <w:r>
              <w:rPr>
                <w:noProof/>
                <w:webHidden/>
              </w:rPr>
              <w:fldChar w:fldCharType="end"/>
            </w:r>
          </w:hyperlink>
        </w:p>
        <w:p w14:paraId="637E8FD7" w14:textId="6499F5BB" w:rsidR="0024644B" w:rsidRDefault="0024644B">
          <w:pPr>
            <w:pStyle w:val="TOC3"/>
            <w:tabs>
              <w:tab w:val="right" w:leader="dot" w:pos="9350"/>
            </w:tabs>
            <w:rPr>
              <w:noProof/>
              <w:kern w:val="2"/>
              <w:sz w:val="24"/>
              <w:szCs w:val="24"/>
              <w14:ligatures w14:val="standardContextual"/>
            </w:rPr>
          </w:pPr>
          <w:hyperlink w:anchor="_Toc213589893" w:history="1">
            <w:r w:rsidRPr="00356FF8">
              <w:rPr>
                <w:rStyle w:val="Hyperlink"/>
                <w:noProof/>
              </w:rPr>
              <w:t>5.10 Summary</w:t>
            </w:r>
            <w:r>
              <w:rPr>
                <w:noProof/>
                <w:webHidden/>
              </w:rPr>
              <w:tab/>
            </w:r>
            <w:r>
              <w:rPr>
                <w:noProof/>
                <w:webHidden/>
              </w:rPr>
              <w:fldChar w:fldCharType="begin"/>
            </w:r>
            <w:r>
              <w:rPr>
                <w:noProof/>
                <w:webHidden/>
              </w:rPr>
              <w:instrText xml:space="preserve"> PAGEREF _Toc213589893 \h </w:instrText>
            </w:r>
            <w:r>
              <w:rPr>
                <w:noProof/>
                <w:webHidden/>
              </w:rPr>
            </w:r>
            <w:r>
              <w:rPr>
                <w:noProof/>
                <w:webHidden/>
              </w:rPr>
              <w:fldChar w:fldCharType="separate"/>
            </w:r>
            <w:r w:rsidR="000F5D25">
              <w:rPr>
                <w:noProof/>
                <w:webHidden/>
              </w:rPr>
              <w:t>26</w:t>
            </w:r>
            <w:r>
              <w:rPr>
                <w:noProof/>
                <w:webHidden/>
              </w:rPr>
              <w:fldChar w:fldCharType="end"/>
            </w:r>
          </w:hyperlink>
        </w:p>
        <w:p w14:paraId="0961246B" w14:textId="13CFB01E" w:rsidR="0024644B" w:rsidRDefault="0024644B">
          <w:pPr>
            <w:pStyle w:val="TOC3"/>
            <w:tabs>
              <w:tab w:val="right" w:leader="dot" w:pos="9350"/>
            </w:tabs>
            <w:rPr>
              <w:noProof/>
              <w:kern w:val="2"/>
              <w:sz w:val="24"/>
              <w:szCs w:val="24"/>
              <w14:ligatures w14:val="standardContextual"/>
            </w:rPr>
          </w:pPr>
          <w:hyperlink w:anchor="_Toc213589894" w:history="1">
            <w:r w:rsidRPr="00356FF8">
              <w:rPr>
                <w:rStyle w:val="Hyperlink"/>
                <w:noProof/>
              </w:rPr>
              <w:t>6.3 Personal and Ethical Transformation</w:t>
            </w:r>
            <w:r>
              <w:rPr>
                <w:noProof/>
                <w:webHidden/>
              </w:rPr>
              <w:tab/>
            </w:r>
            <w:r>
              <w:rPr>
                <w:noProof/>
                <w:webHidden/>
              </w:rPr>
              <w:fldChar w:fldCharType="begin"/>
            </w:r>
            <w:r>
              <w:rPr>
                <w:noProof/>
                <w:webHidden/>
              </w:rPr>
              <w:instrText xml:space="preserve"> PAGEREF _Toc213589894 \h </w:instrText>
            </w:r>
            <w:r>
              <w:rPr>
                <w:noProof/>
                <w:webHidden/>
              </w:rPr>
            </w:r>
            <w:r>
              <w:rPr>
                <w:noProof/>
                <w:webHidden/>
              </w:rPr>
              <w:fldChar w:fldCharType="separate"/>
            </w:r>
            <w:r w:rsidR="000F5D25">
              <w:rPr>
                <w:noProof/>
                <w:webHidden/>
              </w:rPr>
              <w:t>27</w:t>
            </w:r>
            <w:r>
              <w:rPr>
                <w:noProof/>
                <w:webHidden/>
              </w:rPr>
              <w:fldChar w:fldCharType="end"/>
            </w:r>
          </w:hyperlink>
        </w:p>
        <w:p w14:paraId="6EBED344" w14:textId="47D9E367" w:rsidR="0024644B" w:rsidRDefault="0024644B">
          <w:pPr>
            <w:pStyle w:val="TOC3"/>
            <w:tabs>
              <w:tab w:val="right" w:leader="dot" w:pos="9350"/>
            </w:tabs>
            <w:rPr>
              <w:noProof/>
              <w:kern w:val="2"/>
              <w:sz w:val="24"/>
              <w:szCs w:val="24"/>
              <w14:ligatures w14:val="standardContextual"/>
            </w:rPr>
          </w:pPr>
          <w:hyperlink w:anchor="_Toc213589895" w:history="1">
            <w:r w:rsidRPr="00356FF8">
              <w:rPr>
                <w:rStyle w:val="Hyperlink"/>
                <w:noProof/>
              </w:rPr>
              <w:t>6.4 Synthesis of Research, Practice, and Identity</w:t>
            </w:r>
            <w:r>
              <w:rPr>
                <w:noProof/>
                <w:webHidden/>
              </w:rPr>
              <w:tab/>
            </w:r>
            <w:r>
              <w:rPr>
                <w:noProof/>
                <w:webHidden/>
              </w:rPr>
              <w:fldChar w:fldCharType="begin"/>
            </w:r>
            <w:r>
              <w:rPr>
                <w:noProof/>
                <w:webHidden/>
              </w:rPr>
              <w:instrText xml:space="preserve"> PAGEREF _Toc213589895 \h </w:instrText>
            </w:r>
            <w:r>
              <w:rPr>
                <w:noProof/>
                <w:webHidden/>
              </w:rPr>
            </w:r>
            <w:r>
              <w:rPr>
                <w:noProof/>
                <w:webHidden/>
              </w:rPr>
              <w:fldChar w:fldCharType="separate"/>
            </w:r>
            <w:r w:rsidR="000F5D25">
              <w:rPr>
                <w:noProof/>
                <w:webHidden/>
              </w:rPr>
              <w:t>28</w:t>
            </w:r>
            <w:r>
              <w:rPr>
                <w:noProof/>
                <w:webHidden/>
              </w:rPr>
              <w:fldChar w:fldCharType="end"/>
            </w:r>
          </w:hyperlink>
        </w:p>
        <w:p w14:paraId="29BBD2F6" w14:textId="4BF2BFE5" w:rsidR="0024644B" w:rsidRDefault="0024644B">
          <w:pPr>
            <w:pStyle w:val="TOC3"/>
            <w:tabs>
              <w:tab w:val="right" w:leader="dot" w:pos="9350"/>
            </w:tabs>
            <w:rPr>
              <w:noProof/>
              <w:kern w:val="2"/>
              <w:sz w:val="24"/>
              <w:szCs w:val="24"/>
              <w14:ligatures w14:val="standardContextual"/>
            </w:rPr>
          </w:pPr>
          <w:hyperlink w:anchor="_Toc213589896" w:history="1">
            <w:r w:rsidRPr="00356FF8">
              <w:rPr>
                <w:rStyle w:val="Hyperlink"/>
                <w:noProof/>
              </w:rPr>
              <w:t>6.5 Closing Reflection – Humanizing Innovation</w:t>
            </w:r>
            <w:r>
              <w:rPr>
                <w:noProof/>
                <w:webHidden/>
              </w:rPr>
              <w:tab/>
            </w:r>
            <w:r>
              <w:rPr>
                <w:noProof/>
                <w:webHidden/>
              </w:rPr>
              <w:fldChar w:fldCharType="begin"/>
            </w:r>
            <w:r>
              <w:rPr>
                <w:noProof/>
                <w:webHidden/>
              </w:rPr>
              <w:instrText xml:space="preserve"> PAGEREF _Toc213589896 \h </w:instrText>
            </w:r>
            <w:r>
              <w:rPr>
                <w:noProof/>
                <w:webHidden/>
              </w:rPr>
            </w:r>
            <w:r>
              <w:rPr>
                <w:noProof/>
                <w:webHidden/>
              </w:rPr>
              <w:fldChar w:fldCharType="separate"/>
            </w:r>
            <w:r w:rsidR="000F5D25">
              <w:rPr>
                <w:noProof/>
                <w:webHidden/>
              </w:rPr>
              <w:t>29</w:t>
            </w:r>
            <w:r>
              <w:rPr>
                <w:noProof/>
                <w:webHidden/>
              </w:rPr>
              <w:fldChar w:fldCharType="end"/>
            </w:r>
          </w:hyperlink>
        </w:p>
        <w:p w14:paraId="2598F991" w14:textId="05ABB8D2" w:rsidR="0024644B" w:rsidRDefault="0024644B">
          <w:pPr>
            <w:pStyle w:val="TOC2"/>
            <w:tabs>
              <w:tab w:val="right" w:leader="dot" w:pos="9350"/>
            </w:tabs>
            <w:rPr>
              <w:noProof/>
              <w:kern w:val="2"/>
              <w:sz w:val="24"/>
              <w:szCs w:val="24"/>
              <w14:ligatures w14:val="standardContextual"/>
            </w:rPr>
          </w:pPr>
          <w:hyperlink w:anchor="_Toc213589897" w:history="1">
            <w:r w:rsidRPr="00356FF8">
              <w:rPr>
                <w:rStyle w:val="Hyperlink"/>
                <w:noProof/>
              </w:rPr>
              <w:t>Appendix A – Abbreviations and Glossary</w:t>
            </w:r>
            <w:r>
              <w:rPr>
                <w:noProof/>
                <w:webHidden/>
              </w:rPr>
              <w:tab/>
            </w:r>
            <w:r>
              <w:rPr>
                <w:noProof/>
                <w:webHidden/>
              </w:rPr>
              <w:fldChar w:fldCharType="begin"/>
            </w:r>
            <w:r>
              <w:rPr>
                <w:noProof/>
                <w:webHidden/>
              </w:rPr>
              <w:instrText xml:space="preserve"> PAGEREF _Toc213589897 \h </w:instrText>
            </w:r>
            <w:r>
              <w:rPr>
                <w:noProof/>
                <w:webHidden/>
              </w:rPr>
            </w:r>
            <w:r>
              <w:rPr>
                <w:noProof/>
                <w:webHidden/>
              </w:rPr>
              <w:fldChar w:fldCharType="separate"/>
            </w:r>
            <w:r w:rsidR="000F5D25">
              <w:rPr>
                <w:noProof/>
                <w:webHidden/>
              </w:rPr>
              <w:t>33</w:t>
            </w:r>
            <w:r>
              <w:rPr>
                <w:noProof/>
                <w:webHidden/>
              </w:rPr>
              <w:fldChar w:fldCharType="end"/>
            </w:r>
          </w:hyperlink>
        </w:p>
        <w:p w14:paraId="78AAED1D" w14:textId="5A603685" w:rsidR="0024644B" w:rsidRDefault="0024644B">
          <w:pPr>
            <w:pStyle w:val="TOC2"/>
            <w:tabs>
              <w:tab w:val="right" w:leader="dot" w:pos="9350"/>
            </w:tabs>
            <w:rPr>
              <w:noProof/>
              <w:kern w:val="2"/>
              <w:sz w:val="24"/>
              <w:szCs w:val="24"/>
              <w14:ligatures w14:val="standardContextual"/>
            </w:rPr>
          </w:pPr>
          <w:hyperlink w:anchor="_Toc213589898" w:history="1">
            <w:r w:rsidRPr="00356FF8">
              <w:rPr>
                <w:rStyle w:val="Hyperlink"/>
                <w:noProof/>
              </w:rPr>
              <w:t>Appendix B – Module 1 Summary: Empowerment and Decision-Making in Complex Systems</w:t>
            </w:r>
            <w:r>
              <w:rPr>
                <w:noProof/>
                <w:webHidden/>
              </w:rPr>
              <w:tab/>
            </w:r>
            <w:r>
              <w:rPr>
                <w:noProof/>
                <w:webHidden/>
              </w:rPr>
              <w:fldChar w:fldCharType="begin"/>
            </w:r>
            <w:r>
              <w:rPr>
                <w:noProof/>
                <w:webHidden/>
              </w:rPr>
              <w:instrText xml:space="preserve"> PAGEREF _Toc213589898 \h </w:instrText>
            </w:r>
            <w:r>
              <w:rPr>
                <w:noProof/>
                <w:webHidden/>
              </w:rPr>
            </w:r>
            <w:r>
              <w:rPr>
                <w:noProof/>
                <w:webHidden/>
              </w:rPr>
              <w:fldChar w:fldCharType="separate"/>
            </w:r>
            <w:r w:rsidR="000F5D25">
              <w:rPr>
                <w:noProof/>
                <w:webHidden/>
              </w:rPr>
              <w:t>36</w:t>
            </w:r>
            <w:r>
              <w:rPr>
                <w:noProof/>
                <w:webHidden/>
              </w:rPr>
              <w:fldChar w:fldCharType="end"/>
            </w:r>
          </w:hyperlink>
        </w:p>
        <w:p w14:paraId="50576FA4" w14:textId="78ECA07B" w:rsidR="0024644B" w:rsidRDefault="0024644B">
          <w:pPr>
            <w:pStyle w:val="TOC2"/>
            <w:tabs>
              <w:tab w:val="right" w:leader="dot" w:pos="9350"/>
            </w:tabs>
            <w:rPr>
              <w:noProof/>
              <w:kern w:val="2"/>
              <w:sz w:val="24"/>
              <w:szCs w:val="24"/>
              <w14:ligatures w14:val="standardContextual"/>
            </w:rPr>
          </w:pPr>
          <w:hyperlink w:anchor="_Toc213589899" w:history="1">
            <w:r w:rsidRPr="00356FF8">
              <w:rPr>
                <w:rStyle w:val="Hyperlink"/>
                <w:noProof/>
              </w:rPr>
              <w:t>Appendix C – Module 2 Summary: Collaborative Problem-Solving Framework (CPSF)</w:t>
            </w:r>
            <w:r>
              <w:rPr>
                <w:noProof/>
                <w:webHidden/>
              </w:rPr>
              <w:tab/>
            </w:r>
            <w:r>
              <w:rPr>
                <w:noProof/>
                <w:webHidden/>
              </w:rPr>
              <w:fldChar w:fldCharType="begin"/>
            </w:r>
            <w:r>
              <w:rPr>
                <w:noProof/>
                <w:webHidden/>
              </w:rPr>
              <w:instrText xml:space="preserve"> PAGEREF _Toc213589899 \h </w:instrText>
            </w:r>
            <w:r>
              <w:rPr>
                <w:noProof/>
                <w:webHidden/>
              </w:rPr>
            </w:r>
            <w:r>
              <w:rPr>
                <w:noProof/>
                <w:webHidden/>
              </w:rPr>
              <w:fldChar w:fldCharType="separate"/>
            </w:r>
            <w:r w:rsidR="000F5D25">
              <w:rPr>
                <w:noProof/>
                <w:webHidden/>
              </w:rPr>
              <w:t>36</w:t>
            </w:r>
            <w:r>
              <w:rPr>
                <w:noProof/>
                <w:webHidden/>
              </w:rPr>
              <w:fldChar w:fldCharType="end"/>
            </w:r>
          </w:hyperlink>
        </w:p>
        <w:p w14:paraId="4562B507" w14:textId="6D23874E" w:rsidR="0024644B" w:rsidRDefault="0024644B">
          <w:pPr>
            <w:pStyle w:val="TOC2"/>
            <w:tabs>
              <w:tab w:val="right" w:leader="dot" w:pos="9350"/>
            </w:tabs>
            <w:rPr>
              <w:noProof/>
              <w:kern w:val="2"/>
              <w:sz w:val="24"/>
              <w:szCs w:val="24"/>
              <w14:ligatures w14:val="standardContextual"/>
            </w:rPr>
          </w:pPr>
          <w:hyperlink w:anchor="_Toc213589900" w:history="1">
            <w:r w:rsidRPr="00356FF8">
              <w:rPr>
                <w:rStyle w:val="Hyperlink"/>
                <w:noProof/>
              </w:rPr>
              <w:t>Appendix D – Financial Model and ROI Calculations (2025–2028)</w:t>
            </w:r>
            <w:r>
              <w:rPr>
                <w:noProof/>
                <w:webHidden/>
              </w:rPr>
              <w:tab/>
            </w:r>
            <w:r>
              <w:rPr>
                <w:noProof/>
                <w:webHidden/>
              </w:rPr>
              <w:fldChar w:fldCharType="begin"/>
            </w:r>
            <w:r>
              <w:rPr>
                <w:noProof/>
                <w:webHidden/>
              </w:rPr>
              <w:instrText xml:space="preserve"> PAGEREF _Toc213589900 \h </w:instrText>
            </w:r>
            <w:r>
              <w:rPr>
                <w:noProof/>
                <w:webHidden/>
              </w:rPr>
            </w:r>
            <w:r>
              <w:rPr>
                <w:noProof/>
                <w:webHidden/>
              </w:rPr>
              <w:fldChar w:fldCharType="separate"/>
            </w:r>
            <w:r w:rsidR="000F5D25">
              <w:rPr>
                <w:noProof/>
                <w:webHidden/>
              </w:rPr>
              <w:t>37</w:t>
            </w:r>
            <w:r>
              <w:rPr>
                <w:noProof/>
                <w:webHidden/>
              </w:rPr>
              <w:fldChar w:fldCharType="end"/>
            </w:r>
          </w:hyperlink>
        </w:p>
        <w:p w14:paraId="76C7AE33" w14:textId="77777777" w:rsidR="001B6E20" w:rsidRDefault="001B6E20">
          <w:r>
            <w:rPr>
              <w:b/>
              <w:bCs/>
              <w:noProof/>
            </w:rPr>
            <w:fldChar w:fldCharType="end"/>
          </w:r>
        </w:p>
      </w:sdtContent>
    </w:sdt>
    <w:p w14:paraId="6572C081" w14:textId="77777777" w:rsidR="00556AE5" w:rsidRDefault="00556AE5"/>
    <w:p w14:paraId="7E4FF6F1" w14:textId="77777777" w:rsidR="0024482A" w:rsidRDefault="0024482A"/>
    <w:p w14:paraId="5CC172D6" w14:textId="77777777" w:rsidR="00984D79" w:rsidRDefault="00984D79">
      <w:pPr>
        <w:rPr>
          <w:rFonts w:ascii="Times New Roman" w:eastAsia="Times New Roman" w:hAnsi="Times New Roman" w:cs="Times New Roman"/>
          <w:b/>
          <w:bCs/>
          <w:sz w:val="36"/>
          <w:szCs w:val="36"/>
        </w:rPr>
      </w:pPr>
    </w:p>
    <w:p w14:paraId="045F5C2E" w14:textId="77777777" w:rsidR="0024482A" w:rsidRDefault="0024482A">
      <w:pPr>
        <w:rPr>
          <w:rFonts w:ascii="Times New Roman" w:eastAsia="Times New Roman" w:hAnsi="Times New Roman" w:cs="Times New Roman"/>
          <w:b/>
          <w:bCs/>
          <w:sz w:val="27"/>
          <w:szCs w:val="27"/>
        </w:rPr>
      </w:pPr>
      <w:r>
        <w:br/>
      </w:r>
    </w:p>
    <w:p w14:paraId="595FFB6B" w14:textId="77777777" w:rsidR="007D2E7B" w:rsidRDefault="007D2E7B">
      <w:r>
        <w:br w:type="page"/>
      </w:r>
    </w:p>
    <w:p w14:paraId="523D263D" w14:textId="77777777" w:rsidR="00984D79" w:rsidRPr="0044430D" w:rsidRDefault="000140B5" w:rsidP="0044430D">
      <w:pPr>
        <w:spacing w:before="100" w:beforeAutospacing="1" w:after="100" w:afterAutospacing="1" w:line="240" w:lineRule="auto"/>
        <w:outlineLvl w:val="2"/>
        <w:rPr>
          <w:rFonts w:ascii="Times New Roman" w:eastAsia="Times New Roman" w:hAnsi="Times New Roman" w:cs="Times New Roman"/>
          <w:b/>
          <w:bCs/>
          <w:sz w:val="27"/>
          <w:szCs w:val="27"/>
        </w:rPr>
      </w:pPr>
      <w:bookmarkStart w:id="0" w:name="_Toc213223752"/>
      <w:bookmarkStart w:id="1" w:name="_Toc213589855"/>
      <w:r>
        <w:lastRenderedPageBreak/>
        <w:t>Executive Summary</w:t>
      </w:r>
      <w:bookmarkEnd w:id="0"/>
      <w:bookmarkEnd w:id="1"/>
    </w:p>
    <w:p w14:paraId="0EF0E15B" w14:textId="44897C9F" w:rsidR="00193BE4" w:rsidRDefault="00193BE4" w:rsidP="00193BE4">
      <w:pPr>
        <w:pStyle w:val="NormalWeb"/>
      </w:pPr>
      <w:r>
        <w:t xml:space="preserve">The Institute’s Capstone initiative advances </w:t>
      </w:r>
      <w:r w:rsidR="00F03A2C">
        <w:t>two key innovations: regional expansion into the Middle East and the launch of INSIGHTA, an AI-enabled coaching platform grounded in the International Coaching Federation's</w:t>
      </w:r>
      <w:r w:rsidR="00346778">
        <w:t xml:space="preserve"> (ICF) </w:t>
      </w:r>
      <w:r>
        <w:t xml:space="preserve">ethical standards. Together, they position The Institute as a global leader in </w:t>
      </w:r>
      <w:r w:rsidRPr="009F07F9">
        <w:rPr>
          <w:rStyle w:val="Strong"/>
          <w:b w:val="0"/>
          <w:bCs w:val="0"/>
        </w:rPr>
        <w:t>humanized innovation</w:t>
      </w:r>
      <w:r>
        <w:t>, integrating ethical technology, cultural intelligence, and financial sustainability.</w:t>
      </w:r>
    </w:p>
    <w:p w14:paraId="4A0228D0" w14:textId="77777777" w:rsidR="00193BE4" w:rsidRDefault="00193BE4" w:rsidP="00193BE4">
      <w:pPr>
        <w:pStyle w:val="NormalWeb"/>
      </w:pPr>
      <w:r>
        <w:t>Financial Outlook: INSIGHTA is projected to generate USD 10–12 million in annual revenue by 2028, achieving an ROI of 150–170% and a net profit of USD 16–18 million. The hybrid advisory SaaS model anticipates 25,000–30,000 users and a break-even point by mid-2027. Forecasts remain resilient, with a sustained ROI above 160% under ±10% adoption shifts, aligning with benchmarks from PwC, ICF, and McKinsey.</w:t>
      </w:r>
    </w:p>
    <w:p w14:paraId="4FE49BB6" w14:textId="77777777" w:rsidR="00193BE4" w:rsidRDefault="00193BE4" w:rsidP="00193BE4">
      <w:pPr>
        <w:pStyle w:val="NormalWeb"/>
      </w:pPr>
      <w:r>
        <w:rPr>
          <w:rStyle w:val="Strong"/>
        </w:rPr>
        <w:t>Ethical and Regulatory Context:</w:t>
      </w:r>
      <w:r>
        <w:t xml:space="preserve"> The strategy aligns with </w:t>
      </w:r>
      <w:r w:rsidRPr="002E171E">
        <w:t>the</w:t>
      </w:r>
      <w:r w:rsidRPr="002E171E">
        <w:rPr>
          <w:b/>
          <w:bCs/>
        </w:rPr>
        <w:t xml:space="preserve"> </w:t>
      </w:r>
      <w:r w:rsidRPr="002E171E">
        <w:rPr>
          <w:rStyle w:val="Strong"/>
          <w:b w:val="0"/>
          <w:bCs w:val="0"/>
        </w:rPr>
        <w:t>EU AI Act (2025)</w:t>
      </w:r>
      <w:r w:rsidRPr="002E171E">
        <w:rPr>
          <w:b/>
          <w:bCs/>
        </w:rPr>
        <w:t xml:space="preserve">, </w:t>
      </w:r>
      <w:r w:rsidRPr="002E171E">
        <w:rPr>
          <w:rStyle w:val="Strong"/>
          <w:b w:val="0"/>
          <w:bCs w:val="0"/>
        </w:rPr>
        <w:t>UAE AI Strategy 2031</w:t>
      </w:r>
      <w:r w:rsidRPr="002E171E">
        <w:rPr>
          <w:b/>
          <w:bCs/>
        </w:rPr>
        <w:t xml:space="preserve">, </w:t>
      </w:r>
      <w:r w:rsidRPr="002E171E">
        <w:t xml:space="preserve">and </w:t>
      </w:r>
      <w:r w:rsidRPr="002E171E">
        <w:rPr>
          <w:rStyle w:val="Strong"/>
          <w:b w:val="0"/>
          <w:bCs w:val="0"/>
        </w:rPr>
        <w:t>Saudi Vision 2030 AI Initiatives</w:t>
      </w:r>
      <w:r w:rsidRPr="002E171E">
        <w:rPr>
          <w:b/>
          <w:bCs/>
        </w:rPr>
        <w:t xml:space="preserve">, </w:t>
      </w:r>
      <w:r>
        <w:t>ensuring compliance and competitive positioning across major AI governance frameworks.</w:t>
      </w:r>
    </w:p>
    <w:p w14:paraId="10368164" w14:textId="77777777" w:rsidR="00193BE4" w:rsidRDefault="00193BE4" w:rsidP="00193BE4">
      <w:pPr>
        <w:pStyle w:val="NormalWeb"/>
      </w:pPr>
      <w:r>
        <w:rPr>
          <w:rStyle w:val="Strong"/>
        </w:rPr>
        <w:t>Risk and Mitigation:</w:t>
      </w:r>
      <w:r>
        <w:t xml:space="preserve"> Key </w:t>
      </w:r>
      <w:r w:rsidR="00A82E90">
        <w:t xml:space="preserve">risk biases, privacy, adoption, and financial exposure </w:t>
      </w:r>
      <w:r>
        <w:t xml:space="preserve">are managed through </w:t>
      </w:r>
      <w:r w:rsidRPr="002E171E">
        <w:rPr>
          <w:rStyle w:val="Strong"/>
          <w:b w:val="0"/>
          <w:bCs w:val="0"/>
        </w:rPr>
        <w:t xml:space="preserve">Ethics </w:t>
      </w:r>
      <w:r w:rsidR="00821D0B">
        <w:rPr>
          <w:rStyle w:val="Strong"/>
          <w:b w:val="0"/>
          <w:bCs w:val="0"/>
        </w:rPr>
        <w:t>and</w:t>
      </w:r>
      <w:r w:rsidRPr="002E171E">
        <w:rPr>
          <w:rStyle w:val="Strong"/>
          <w:b w:val="0"/>
          <w:bCs w:val="0"/>
        </w:rPr>
        <w:t xml:space="preserve"> AI Oversight</w:t>
      </w:r>
      <w:r w:rsidRPr="002E171E">
        <w:rPr>
          <w:b/>
          <w:bCs/>
        </w:rPr>
        <w:t xml:space="preserve">, </w:t>
      </w:r>
      <w:r w:rsidRPr="002E171E">
        <w:rPr>
          <w:rStyle w:val="Strong"/>
          <w:b w:val="0"/>
          <w:bCs w:val="0"/>
        </w:rPr>
        <w:t>ISO 27001 standards</w:t>
      </w:r>
      <w:r w:rsidRPr="002E171E">
        <w:t>, and</w:t>
      </w:r>
      <w:r w:rsidRPr="002E171E">
        <w:rPr>
          <w:b/>
          <w:bCs/>
        </w:rPr>
        <w:t xml:space="preserve"> </w:t>
      </w:r>
      <w:r w:rsidRPr="002E171E">
        <w:rPr>
          <w:rStyle w:val="Strong"/>
          <w:b w:val="0"/>
          <w:bCs w:val="0"/>
        </w:rPr>
        <w:t>CPSF-based learning loops</w:t>
      </w:r>
      <w:r>
        <w:t xml:space="preserve"> for continuous improvement.</w:t>
      </w:r>
    </w:p>
    <w:p w14:paraId="160E9EDD" w14:textId="77777777" w:rsidR="00193BE4" w:rsidRDefault="00193BE4" w:rsidP="00193BE4">
      <w:pPr>
        <w:pStyle w:val="NormalWeb"/>
      </w:pPr>
      <w:r>
        <w:rPr>
          <w:rStyle w:val="Strong"/>
        </w:rPr>
        <w:t>Sustainability and Social Value:</w:t>
      </w:r>
      <w:r>
        <w:t xml:space="preserve"> Advancing </w:t>
      </w:r>
      <w:r w:rsidRPr="002E171E">
        <w:rPr>
          <w:rStyle w:val="Strong"/>
          <w:b w:val="0"/>
          <w:bCs w:val="0"/>
        </w:rPr>
        <w:t>SDGs 4, 8, 9, 10, and 17</w:t>
      </w:r>
      <w:r w:rsidRPr="002E171E">
        <w:rPr>
          <w:b/>
          <w:bCs/>
        </w:rPr>
        <w:t>,</w:t>
      </w:r>
      <w:r>
        <w:t xml:space="preserve"> the initiative aims to achieve carbon-neutral operations by 2027 and create over 50</w:t>
      </w:r>
      <w:r>
        <w:rPr>
          <w:rStyle w:val="Strong"/>
        </w:rPr>
        <w:t xml:space="preserve"> </w:t>
      </w:r>
      <w:r w:rsidRPr="002E171E">
        <w:rPr>
          <w:rStyle w:val="Strong"/>
          <w:b w:val="0"/>
          <w:bCs w:val="0"/>
        </w:rPr>
        <w:t>new regional jobs</w:t>
      </w:r>
      <w:r>
        <w:t xml:space="preserve"> in Egypt, the UAE, and Saudi Arabia.</w:t>
      </w:r>
    </w:p>
    <w:p w14:paraId="49F14D57" w14:textId="77777777" w:rsidR="00193BE4" w:rsidRDefault="00193BE4" w:rsidP="00193BE4">
      <w:pPr>
        <w:pStyle w:val="NormalWeb"/>
      </w:pPr>
      <w:r>
        <w:t xml:space="preserve">In essence, </w:t>
      </w:r>
      <w:r w:rsidR="00E64631">
        <w:t>T</w:t>
      </w:r>
      <w:r>
        <w:t xml:space="preserve">he Institute demonstrates </w:t>
      </w:r>
      <w:r w:rsidRPr="002E171E">
        <w:t>that</w:t>
      </w:r>
      <w:r w:rsidRPr="00A82E90">
        <w:rPr>
          <w:b/>
          <w:bCs/>
        </w:rPr>
        <w:t xml:space="preserve"> </w:t>
      </w:r>
      <w:r w:rsidRPr="00A82E90">
        <w:rPr>
          <w:rStyle w:val="Strong"/>
          <w:b w:val="0"/>
          <w:bCs w:val="0"/>
        </w:rPr>
        <w:t>ethical innovation can deliver measurable impact, cultural legitimacy, and sustainable profitability</w:t>
      </w:r>
      <w:r w:rsidRPr="00A82E90">
        <w:rPr>
          <w:b/>
          <w:bCs/>
        </w:rPr>
        <w:t>.</w:t>
      </w:r>
    </w:p>
    <w:p w14:paraId="4930E044" w14:textId="77777777" w:rsidR="007D2E7B" w:rsidRDefault="007D2E7B">
      <w:r>
        <w:br w:type="page"/>
      </w:r>
    </w:p>
    <w:p w14:paraId="73186C7D" w14:textId="77777777" w:rsidR="00984D79" w:rsidRPr="009D7967" w:rsidRDefault="000140B5" w:rsidP="00EE181C">
      <w:pPr>
        <w:spacing w:before="100" w:beforeAutospacing="1" w:after="100" w:afterAutospacing="1" w:line="240" w:lineRule="auto"/>
        <w:outlineLvl w:val="1"/>
        <w:rPr>
          <w:rFonts w:ascii="Times New Roman" w:eastAsia="Times New Roman" w:hAnsi="Times New Roman" w:cs="Times New Roman"/>
          <w:b/>
          <w:bCs/>
          <w:sz w:val="24"/>
          <w:szCs w:val="24"/>
        </w:rPr>
      </w:pPr>
      <w:bookmarkStart w:id="2" w:name="_Toc213223753"/>
      <w:bookmarkStart w:id="3" w:name="_Toc213589856"/>
      <w:r w:rsidRPr="009D7967">
        <w:rPr>
          <w:rFonts w:ascii="Times New Roman" w:hAnsi="Times New Roman" w:cs="Times New Roman"/>
          <w:sz w:val="24"/>
          <w:szCs w:val="24"/>
        </w:rPr>
        <w:lastRenderedPageBreak/>
        <w:t>Chapter 1: Introduction and Strategic Context</w:t>
      </w:r>
      <w:bookmarkEnd w:id="2"/>
      <w:bookmarkEnd w:id="3"/>
    </w:p>
    <w:p w14:paraId="0B06E4CF" w14:textId="56E08DCB" w:rsidR="00984D79" w:rsidRPr="009D7967" w:rsidRDefault="00DB0E76"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In the post-pandemic decade, organizations face unprecedented complexity due to digitization, social expectations, and AI advancements, </w:t>
      </w:r>
      <w:r w:rsidR="00B76E61" w:rsidRPr="009D7967">
        <w:rPr>
          <w:rFonts w:ascii="Times New Roman" w:hAnsi="Times New Roman" w:cs="Times New Roman"/>
          <w:sz w:val="24"/>
          <w:szCs w:val="24"/>
        </w:rPr>
        <w:t>which redefine value creation, learning, and leadership, as shown</w:t>
      </w:r>
      <w:r w:rsidRPr="009D7967">
        <w:rPr>
          <w:rFonts w:ascii="Times New Roman" w:hAnsi="Times New Roman" w:cs="Times New Roman"/>
          <w:sz w:val="24"/>
          <w:szCs w:val="24"/>
        </w:rPr>
        <w:t xml:space="preserve"> in studies on digital transformation (Ben-Zvi et al., 2022) and AI-driven change (Lu et al., 2022). The Institute, a leadership and culture advisory, must expand beyond current markets to stay relevant. This proposal outlines a dual innovation strategy to position The Institute at the forefront of ethical, human-centered business reinvention.</w:t>
      </w:r>
    </w:p>
    <w:p w14:paraId="2284942B"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First, </w:t>
      </w:r>
      <w:r w:rsidR="00853058" w:rsidRPr="009D7967">
        <w:rPr>
          <w:rFonts w:ascii="Times New Roman" w:hAnsi="Times New Roman" w:cs="Times New Roman"/>
          <w:sz w:val="24"/>
          <w:szCs w:val="24"/>
        </w:rPr>
        <w:t>T</w:t>
      </w:r>
      <w:r w:rsidRPr="009D7967">
        <w:rPr>
          <w:rFonts w:ascii="Times New Roman" w:hAnsi="Times New Roman" w:cs="Times New Roman"/>
          <w:sz w:val="24"/>
          <w:szCs w:val="24"/>
        </w:rPr>
        <w:t>he Institute will extend its operations to the Middle East, beginning with Egypt, the United Arab Emirates (UAE), and Saudi Arabia. These markets combine rapid economic diversification, large youth populations, and ambitious national visions (e.g., Saudi Vision 2030, UAE Centennial 2071, and Egypt Vision 2030) that prioritize leadership capability, inclusion, and digital transformation. The Institute’s proven expertise in culture and empowerment positions it to support these nations’ organizations and individuals in embedding sustainable leadership practices and inclusive cultures aligned with global best practices.</w:t>
      </w:r>
    </w:p>
    <w:p w14:paraId="53350D96"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Second, the project proposes the launch of INSIGHTA by The Institute</w:t>
      </w:r>
      <w:r w:rsidR="000B0985" w:rsidRPr="009D7967">
        <w:rPr>
          <w:rFonts w:ascii="Times New Roman" w:hAnsi="Times New Roman" w:cs="Times New Roman"/>
          <w:sz w:val="24"/>
          <w:szCs w:val="24"/>
        </w:rPr>
        <w:t xml:space="preserve">, </w:t>
      </w:r>
      <w:r w:rsidRPr="009D7967">
        <w:rPr>
          <w:rFonts w:ascii="Times New Roman" w:hAnsi="Times New Roman" w:cs="Times New Roman"/>
          <w:sz w:val="24"/>
          <w:szCs w:val="24"/>
        </w:rPr>
        <w:t>a proprietary, AI-enabled coaching and self-discovery platform built in accordance with the International Coaching Federation (ICF) Code of Ethics. INSIGHTA merges advanced data analytics with human coaching insight to help individuals explore values, motivations, and behavioral patterns before engaging with certified coaches. The platform will not replace human coaching but will augment it, democratizing access to professional development while preserving empathy and ethical rigor.</w:t>
      </w:r>
    </w:p>
    <w:p w14:paraId="355716C6"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4" w:name="_Toc213223754"/>
      <w:bookmarkStart w:id="5" w:name="_Toc213589857"/>
      <w:r w:rsidRPr="009D7967">
        <w:rPr>
          <w:rFonts w:ascii="Times New Roman" w:hAnsi="Times New Roman" w:cs="Times New Roman"/>
          <w:sz w:val="24"/>
          <w:szCs w:val="24"/>
        </w:rPr>
        <w:t>1.1 Link to Previous Learning Outcomes</w:t>
      </w:r>
      <w:bookmarkEnd w:id="4"/>
      <w:bookmarkEnd w:id="5"/>
    </w:p>
    <w:p w14:paraId="69117741"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This initiative builds directly on the learning trajectory established through Modules 1–2:</w:t>
      </w:r>
    </w:p>
    <w:p w14:paraId="5E18E3D6" w14:textId="77777777" w:rsidR="00984D79" w:rsidRPr="009D7967" w:rsidRDefault="000140B5" w:rsidP="00EE181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Module 1 (Empowerment and Decision-Making in Complex Systems): established that empowerment and psychological safety are preconditions for effective leadership in volatile contexts (McKinsey &amp; Company, 2023). These principles inform both the regional expansion, through locally empowered leadership models, and the AI-coaching design, which promotes user autonomy and reflective learning.</w:t>
      </w:r>
    </w:p>
    <w:p w14:paraId="7BE95FCE" w14:textId="77777777" w:rsidR="00984D79" w:rsidRPr="009D7967" w:rsidRDefault="000140B5" w:rsidP="00EE181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Module 2 (Collaborative Problem-Solving Framework – CPSF): demonstrated how structured collaboration transforms decision quality. CPSF principles guide the co-design of INSIGHTA’s features and the cross-functional governance of Middle East operations, ensuring inclusivity, data integrity, and continuous feedback.</w:t>
      </w:r>
    </w:p>
    <w:p w14:paraId="430D6496"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Thus, this Capstone (Module 3) represents a synthesis: transforming empirical learning into scalable innovation that bridges technology, culture, and ethics.</w:t>
      </w:r>
    </w:p>
    <w:p w14:paraId="73D8A6FB" w14:textId="77777777" w:rsidR="00984D79" w:rsidRDefault="000140B5">
      <w:pPr>
        <w:rPr>
          <w:rFonts w:ascii="Times New Roman" w:eastAsia="Times New Roman" w:hAnsi="Times New Roman" w:cs="Times New Roman"/>
          <w:b/>
          <w:bCs/>
          <w:sz w:val="27"/>
          <w:szCs w:val="27"/>
        </w:rPr>
      </w:pPr>
      <w:r>
        <w:br/>
      </w:r>
    </w:p>
    <w:p w14:paraId="598AD8E1" w14:textId="77777777" w:rsidR="000B0985" w:rsidRDefault="000B0985">
      <w:bookmarkStart w:id="6" w:name="_Toc213223755"/>
      <w:r>
        <w:br w:type="page"/>
      </w:r>
    </w:p>
    <w:p w14:paraId="3EAF0695"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7" w:name="_Toc213589858"/>
      <w:r w:rsidRPr="009D7967">
        <w:rPr>
          <w:rFonts w:ascii="Times New Roman" w:hAnsi="Times New Roman" w:cs="Times New Roman"/>
          <w:sz w:val="24"/>
          <w:szCs w:val="24"/>
        </w:rPr>
        <w:lastRenderedPageBreak/>
        <w:t>1.2 Strategic Rationale for Expansion</w:t>
      </w:r>
      <w:bookmarkEnd w:id="6"/>
      <w:bookmarkEnd w:id="7"/>
    </w:p>
    <w:p w14:paraId="5B9C499C"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Middle East’s knowledge-economy agenda creates fertile ground for culture-based leadership services. According to PwC (2024), the region’s professional services sector is projected to exceed USD 35 billion by 2028, driven by digital transformation and investment in human capital. The Institute’s value proposition, which links culture metrics to performance, resonates strongly with governmental and corporate initiatives seeking measurable engagement and DEI outcomes.</w:t>
      </w:r>
    </w:p>
    <w:p w14:paraId="15C0CA74" w14:textId="66A54674"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In parallel, the global coaching market has surpassed USD 20 billion (2024), growing at a 7–8 percent CAGR, with digital and AI-supported models outpacing traditional delivery (ICF, 2024; </w:t>
      </w:r>
      <w:r w:rsidR="00AE5F07" w:rsidRPr="009D7967">
        <w:rPr>
          <w:rFonts w:ascii="Times New Roman" w:hAnsi="Times New Roman" w:cs="Times New Roman"/>
          <w:sz w:val="24"/>
          <w:szCs w:val="24"/>
        </w:rPr>
        <w:t>McKinsey &amp; Company</w:t>
      </w:r>
      <w:r w:rsidRPr="009D7967">
        <w:rPr>
          <w:rFonts w:ascii="Times New Roman" w:hAnsi="Times New Roman" w:cs="Times New Roman"/>
          <w:sz w:val="24"/>
          <w:szCs w:val="24"/>
        </w:rPr>
        <w:t>, 2024</w:t>
      </w:r>
      <w:r w:rsidR="00AE5F07" w:rsidRPr="009D7967">
        <w:rPr>
          <w:rFonts w:ascii="Times New Roman" w:hAnsi="Times New Roman" w:cs="Times New Roman"/>
          <w:sz w:val="24"/>
          <w:szCs w:val="24"/>
        </w:rPr>
        <w:t>b</w:t>
      </w:r>
      <w:r w:rsidRPr="009D7967">
        <w:rPr>
          <w:rFonts w:ascii="Times New Roman" w:hAnsi="Times New Roman" w:cs="Times New Roman"/>
          <w:sz w:val="24"/>
          <w:szCs w:val="24"/>
        </w:rPr>
        <w:t>). By entering the Middle East while developing INSIGHTA, The Institute leverages two converging macro-trends: regional demand for leadership capabilities and global demand for ethical AI coaching solutions.</w:t>
      </w:r>
    </w:p>
    <w:p w14:paraId="20238362"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8" w:name="_Toc213223756"/>
      <w:bookmarkStart w:id="9" w:name="_Toc213589859"/>
      <w:r w:rsidRPr="009D7967">
        <w:rPr>
          <w:rFonts w:ascii="Times New Roman" w:hAnsi="Times New Roman" w:cs="Times New Roman"/>
          <w:sz w:val="24"/>
          <w:szCs w:val="24"/>
        </w:rPr>
        <w:t>1.3 Problem Statement</w:t>
      </w:r>
      <w:bookmarkEnd w:id="8"/>
      <w:bookmarkEnd w:id="9"/>
    </w:p>
    <w:p w14:paraId="0D7405C5"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Despite possessing </w:t>
      </w:r>
      <w:r w:rsidR="00060D2B" w:rsidRPr="009D7967">
        <w:rPr>
          <w:rFonts w:ascii="Times New Roman" w:hAnsi="Times New Roman" w:cs="Times New Roman"/>
          <w:sz w:val="24"/>
          <w:szCs w:val="24"/>
        </w:rPr>
        <w:t>substantial</w:t>
      </w:r>
      <w:r w:rsidRPr="009D7967">
        <w:rPr>
          <w:rFonts w:ascii="Times New Roman" w:hAnsi="Times New Roman" w:cs="Times New Roman"/>
          <w:sz w:val="24"/>
          <w:szCs w:val="24"/>
        </w:rPr>
        <w:t xml:space="preserve"> intellectual capital, </w:t>
      </w:r>
      <w:r w:rsidR="0022066B" w:rsidRPr="009D7967">
        <w:rPr>
          <w:rFonts w:ascii="Times New Roman" w:hAnsi="Times New Roman" w:cs="Times New Roman"/>
          <w:sz w:val="24"/>
          <w:szCs w:val="24"/>
        </w:rPr>
        <w:t>T</w:t>
      </w:r>
      <w:r w:rsidRPr="009D7967">
        <w:rPr>
          <w:rFonts w:ascii="Times New Roman" w:hAnsi="Times New Roman" w:cs="Times New Roman"/>
          <w:sz w:val="24"/>
          <w:szCs w:val="24"/>
        </w:rPr>
        <w:t>he Institute’s current business model limits its scalability. Its services rely heavily on human consultancy, constraining geographic reach and knowledge diffusion. Additionally, existing digital tools lack integration across coaching, data analytics, and cultural diagnostics. Without structural reinvention, growth will plateau, and the organization may lose its first-mover advantage in evidence-based leadership.</w:t>
      </w:r>
    </w:p>
    <w:p w14:paraId="370E0EC3"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10" w:name="_Toc213223757"/>
      <w:bookmarkStart w:id="11" w:name="_Toc213589860"/>
      <w:r w:rsidRPr="009D7967">
        <w:rPr>
          <w:rFonts w:ascii="Times New Roman" w:hAnsi="Times New Roman" w:cs="Times New Roman"/>
          <w:sz w:val="24"/>
          <w:szCs w:val="24"/>
        </w:rPr>
        <w:t>1.4 Purpose and Objectives</w:t>
      </w:r>
      <w:bookmarkEnd w:id="10"/>
      <w:bookmarkEnd w:id="11"/>
    </w:p>
    <w:p w14:paraId="31593186"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purpose of this Capstone is to design a humanized innovation model that expands The Institute’s impact through geographic diversification and digital augmentation. The specific objectives are to:</w:t>
      </w:r>
    </w:p>
    <w:p w14:paraId="45CD9D9F" w14:textId="77777777" w:rsidR="00984D79" w:rsidRPr="009D7967" w:rsidRDefault="000140B5" w:rsidP="00EE181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Establish regional hubs in Egypt, the UAE, and Saudi Arabia by 2027, aligned with national transformation agendas.</w:t>
      </w:r>
    </w:p>
    <w:p w14:paraId="7C24C296" w14:textId="77777777" w:rsidR="00984D79" w:rsidRPr="009D7967" w:rsidRDefault="000140B5" w:rsidP="00EE181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Develop and pilot the INSIGHTA platform, integrating AI-driven self-discovery with ICF-aligned ethical safeguards.</w:t>
      </w:r>
    </w:p>
    <w:p w14:paraId="2949EEED" w14:textId="4A246369" w:rsidR="00984D79" w:rsidRPr="009D7967" w:rsidRDefault="000140B5" w:rsidP="00EE181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Quantify potential market share and financial returns through data-driven projections </w:t>
      </w:r>
    </w:p>
    <w:p w14:paraId="145FCC72" w14:textId="77777777" w:rsidR="00984D79" w:rsidRPr="009D7967" w:rsidRDefault="000140B5" w:rsidP="00EE181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Embed CPSF-based collaboration and evaluation mechanisms to ensure inclusiveness and learning.</w:t>
      </w:r>
    </w:p>
    <w:p w14:paraId="3A32FCCB"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12" w:name="_Toc213223758"/>
      <w:bookmarkStart w:id="13" w:name="_Toc213589861"/>
      <w:r w:rsidRPr="009D7967">
        <w:rPr>
          <w:rFonts w:ascii="Times New Roman" w:hAnsi="Times New Roman" w:cs="Times New Roman"/>
          <w:sz w:val="24"/>
          <w:szCs w:val="24"/>
        </w:rPr>
        <w:t>1.5 Significance and Innovation Context</w:t>
      </w:r>
      <w:bookmarkEnd w:id="12"/>
      <w:bookmarkEnd w:id="13"/>
    </w:p>
    <w:p w14:paraId="5118C73F"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This dual initiative advances both scholarship and practice. For academia, it operationalizes current theory on human-technology integration (Westerman, 2023) and ethical digital leadership (Bardy, 2022) within an applied, cross-cultural setting. For practice, it positions The Institute as a pioneer in “augmented coaching,” a domain where AI serves as a catalyst for reflection rather than a replacement for empathy.</w:t>
      </w:r>
    </w:p>
    <w:p w14:paraId="5657FA0F" w14:textId="65D8C66F" w:rsidR="004C0D4F" w:rsidRPr="009D7967" w:rsidRDefault="000140B5" w:rsidP="00EE181C">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lastRenderedPageBreak/>
        <w:t>Quantifying Disruption and Competitive Advantage. Unlike digital</w:t>
      </w:r>
      <w:r w:rsidR="00091CEA" w:rsidRPr="009D7967">
        <w:rPr>
          <w:rFonts w:ascii="Times New Roman" w:hAnsi="Times New Roman" w:cs="Times New Roman"/>
          <w:sz w:val="24"/>
          <w:szCs w:val="24"/>
        </w:rPr>
        <w:t xml:space="preserve"> </w:t>
      </w:r>
      <w:r w:rsidRPr="009D7967">
        <w:rPr>
          <w:rFonts w:ascii="Times New Roman" w:hAnsi="Times New Roman" w:cs="Times New Roman"/>
          <w:sz w:val="24"/>
          <w:szCs w:val="24"/>
        </w:rPr>
        <w:t xml:space="preserve">coaching competitors such as </w:t>
      </w:r>
      <w:proofErr w:type="spellStart"/>
      <w:r w:rsidRPr="009D7967">
        <w:rPr>
          <w:rFonts w:ascii="Times New Roman" w:hAnsi="Times New Roman" w:cs="Times New Roman"/>
          <w:sz w:val="24"/>
          <w:szCs w:val="24"/>
        </w:rPr>
        <w:t>BetterUp</w:t>
      </w:r>
      <w:proofErr w:type="spellEnd"/>
      <w:r w:rsidR="006F7BAC" w:rsidRPr="009D7967">
        <w:rPr>
          <w:rFonts w:ascii="Times New Roman" w:hAnsi="Times New Roman" w:cs="Times New Roman"/>
          <w:sz w:val="24"/>
          <w:szCs w:val="24"/>
          <w:vertAlign w:val="superscript"/>
        </w:rPr>
        <w:t>®</w:t>
      </w:r>
      <w:r w:rsidRPr="009D7967">
        <w:rPr>
          <w:rFonts w:ascii="Times New Roman" w:hAnsi="Times New Roman" w:cs="Times New Roman"/>
          <w:sz w:val="24"/>
          <w:szCs w:val="24"/>
        </w:rPr>
        <w:t xml:space="preserve"> or </w:t>
      </w:r>
      <w:proofErr w:type="spellStart"/>
      <w:r w:rsidRPr="009D7967">
        <w:rPr>
          <w:rFonts w:ascii="Times New Roman" w:hAnsi="Times New Roman" w:cs="Times New Roman"/>
          <w:sz w:val="24"/>
          <w:szCs w:val="24"/>
        </w:rPr>
        <w:t>CoachHub</w:t>
      </w:r>
      <w:proofErr w:type="spellEnd"/>
      <w:r w:rsidR="006F7BAC" w:rsidRPr="009D7967">
        <w:rPr>
          <w:rFonts w:ascii="Times New Roman" w:hAnsi="Times New Roman" w:cs="Times New Roman"/>
          <w:sz w:val="24"/>
          <w:szCs w:val="24"/>
          <w:vertAlign w:val="superscript"/>
        </w:rPr>
        <w:t>®</w:t>
      </w:r>
      <w:r w:rsidRPr="009D7967">
        <w:rPr>
          <w:rFonts w:ascii="Times New Roman" w:hAnsi="Times New Roman" w:cs="Times New Roman"/>
          <w:sz w:val="24"/>
          <w:szCs w:val="24"/>
        </w:rPr>
        <w:t>, which primarily automate engagement and analytics, INSIGHTA differentiates itself through its fusion of ICF ethical standards and deep cultural adaptation. This dual focus enables stronger trust and localized relevance</w:t>
      </w:r>
      <w:r w:rsidR="00091CEA" w:rsidRPr="009D7967">
        <w:rPr>
          <w:rFonts w:ascii="Times New Roman" w:hAnsi="Times New Roman" w:cs="Times New Roman"/>
          <w:sz w:val="24"/>
          <w:szCs w:val="24"/>
        </w:rPr>
        <w:t>,</w:t>
      </w:r>
      <w:r w:rsidR="00E92309" w:rsidRPr="009D7967">
        <w:rPr>
          <w:rFonts w:ascii="Times New Roman" w:hAnsi="Times New Roman" w:cs="Times New Roman"/>
          <w:sz w:val="24"/>
          <w:szCs w:val="24"/>
        </w:rPr>
        <w:t xml:space="preserve"> </w:t>
      </w:r>
      <w:r w:rsidRPr="009D7967">
        <w:rPr>
          <w:rFonts w:ascii="Times New Roman" w:hAnsi="Times New Roman" w:cs="Times New Roman"/>
          <w:sz w:val="24"/>
          <w:szCs w:val="24"/>
        </w:rPr>
        <w:t>factors projected to capture up to 10 percent greater market share across diverse regions. By blending professional rigor with cultural empathy, INSIGHTA transforms the competitive narrative from scale alone to sustainable human impact, reinforcing The Institute’s leadership in ethical AI-enabled coaching.</w:t>
      </w:r>
    </w:p>
    <w:p w14:paraId="3001C4BD" w14:textId="13CE75A4" w:rsidR="00A57AFC" w:rsidRPr="009D7967" w:rsidRDefault="002F27EA" w:rsidP="00EE181C">
      <w:pPr>
        <w:spacing w:after="0" w:line="240" w:lineRule="auto"/>
        <w:rPr>
          <w:rFonts w:ascii="Times New Roman" w:hAnsi="Times New Roman" w:cs="Times New Roman"/>
          <w:sz w:val="24"/>
          <w:szCs w:val="24"/>
        </w:rPr>
      </w:pPr>
      <w:r w:rsidRPr="009D7967">
        <w:rPr>
          <w:rFonts w:ascii="Times New Roman" w:hAnsi="Times New Roman" w:cs="Times New Roman"/>
          <w:sz w:val="24"/>
          <w:szCs w:val="24"/>
        </w:rPr>
        <w:t xml:space="preserve">Recent Middle East–focused scholarship reinforces the importance of culturally grounded leadership development. </w:t>
      </w:r>
      <w:proofErr w:type="spellStart"/>
      <w:r w:rsidRPr="009D7967">
        <w:rPr>
          <w:rFonts w:ascii="Times New Roman" w:hAnsi="Times New Roman" w:cs="Times New Roman"/>
          <w:sz w:val="24"/>
          <w:szCs w:val="24"/>
        </w:rPr>
        <w:t>Al</w:t>
      </w:r>
      <w:r w:rsidR="009D7967" w:rsidRPr="009D7967">
        <w:rPr>
          <w:rFonts w:ascii="Times New Roman" w:hAnsi="Times New Roman" w:cs="Times New Roman"/>
          <w:sz w:val="24"/>
          <w:szCs w:val="24"/>
        </w:rPr>
        <w:t>ateeg</w:t>
      </w:r>
      <w:proofErr w:type="spellEnd"/>
      <w:r w:rsidRPr="009D7967">
        <w:rPr>
          <w:rFonts w:ascii="Times New Roman" w:hAnsi="Times New Roman" w:cs="Times New Roman"/>
          <w:sz w:val="24"/>
          <w:szCs w:val="24"/>
        </w:rPr>
        <w:t xml:space="preserve"> and </w:t>
      </w:r>
      <w:proofErr w:type="spellStart"/>
      <w:r w:rsidR="009D7967" w:rsidRPr="009D7967">
        <w:rPr>
          <w:rFonts w:ascii="Times New Roman" w:hAnsi="Times New Roman" w:cs="Times New Roman"/>
          <w:sz w:val="24"/>
          <w:szCs w:val="24"/>
        </w:rPr>
        <w:t>Alhammadi</w:t>
      </w:r>
      <w:proofErr w:type="spellEnd"/>
      <w:r w:rsidRPr="009D7967">
        <w:rPr>
          <w:rFonts w:ascii="Times New Roman" w:hAnsi="Times New Roman" w:cs="Times New Roman"/>
          <w:sz w:val="24"/>
          <w:szCs w:val="24"/>
        </w:rPr>
        <w:t xml:space="preserve"> (202</w:t>
      </w:r>
      <w:r w:rsidR="009D7967" w:rsidRPr="009D7967">
        <w:rPr>
          <w:rFonts w:ascii="Times New Roman" w:hAnsi="Times New Roman" w:cs="Times New Roman"/>
          <w:sz w:val="24"/>
          <w:szCs w:val="24"/>
        </w:rPr>
        <w:t>4</w:t>
      </w:r>
      <w:r w:rsidRPr="009D7967">
        <w:rPr>
          <w:rFonts w:ascii="Times New Roman" w:hAnsi="Times New Roman" w:cs="Times New Roman"/>
          <w:sz w:val="24"/>
          <w:szCs w:val="24"/>
        </w:rPr>
        <w:t xml:space="preserve">) </w:t>
      </w:r>
      <w:r w:rsidR="00037B00">
        <w:rPr>
          <w:rFonts w:ascii="Times New Roman" w:hAnsi="Times New Roman" w:cs="Times New Roman"/>
          <w:sz w:val="24"/>
          <w:szCs w:val="24"/>
        </w:rPr>
        <w:t>demonstrate that organizational trust and leadership effectiveness in Arab contexts are influenced by hierarchical expectations and relational norms, underscoring the importance of coaching approaches that are sensitive</w:t>
      </w:r>
      <w:r w:rsidRPr="009D7967">
        <w:rPr>
          <w:rFonts w:ascii="Times New Roman" w:hAnsi="Times New Roman" w:cs="Times New Roman"/>
          <w:sz w:val="24"/>
          <w:szCs w:val="24"/>
        </w:rPr>
        <w:t xml:space="preserve"> to local cultural dynamics. Complementing this, </w:t>
      </w:r>
      <w:proofErr w:type="spellStart"/>
      <w:r w:rsidR="009D7967" w:rsidRPr="009D7967">
        <w:rPr>
          <w:rFonts w:ascii="Times New Roman" w:hAnsi="Times New Roman" w:cs="Times New Roman"/>
          <w:sz w:val="24"/>
          <w:szCs w:val="24"/>
        </w:rPr>
        <w:t>Zaraket</w:t>
      </w:r>
      <w:proofErr w:type="spellEnd"/>
      <w:r w:rsidRPr="009D7967">
        <w:rPr>
          <w:rFonts w:ascii="Times New Roman" w:hAnsi="Times New Roman" w:cs="Times New Roman"/>
          <w:sz w:val="24"/>
          <w:szCs w:val="24"/>
        </w:rPr>
        <w:t xml:space="preserve"> </w:t>
      </w:r>
      <w:r w:rsidR="009D7967" w:rsidRPr="009D7967">
        <w:rPr>
          <w:rFonts w:ascii="Times New Roman" w:hAnsi="Times New Roman" w:cs="Times New Roman"/>
          <w:sz w:val="24"/>
          <w:szCs w:val="24"/>
        </w:rPr>
        <w:t xml:space="preserve">and Halawi </w:t>
      </w:r>
      <w:r w:rsidRPr="009D7967">
        <w:rPr>
          <w:rFonts w:ascii="Times New Roman" w:hAnsi="Times New Roman" w:cs="Times New Roman"/>
          <w:sz w:val="24"/>
          <w:szCs w:val="24"/>
        </w:rPr>
        <w:t>(20</w:t>
      </w:r>
      <w:r w:rsidR="009D7967" w:rsidRPr="009D7967">
        <w:rPr>
          <w:rFonts w:ascii="Times New Roman" w:hAnsi="Times New Roman" w:cs="Times New Roman"/>
          <w:sz w:val="24"/>
          <w:szCs w:val="24"/>
        </w:rPr>
        <w:t>16</w:t>
      </w:r>
      <w:r w:rsidRPr="009D7967">
        <w:rPr>
          <w:rFonts w:ascii="Times New Roman" w:hAnsi="Times New Roman" w:cs="Times New Roman"/>
          <w:sz w:val="24"/>
          <w:szCs w:val="24"/>
        </w:rPr>
        <w:t>) find that leadership performance across the region depends on culturally congruent communication and relational credibility, further highlighting the limitations of applying Western leadership models without adaptation. INSIGHTA’s bilingual, contextually sensitive, and ethically grounded design directly responds to these findings, strengthening its relevance, legitimacy, and potential impact across the region.</w:t>
      </w:r>
    </w:p>
    <w:p w14:paraId="4EE5478C" w14:textId="77777777" w:rsidR="00A57AFC" w:rsidRPr="009D7967" w:rsidRDefault="00A57AFC">
      <w:pPr>
        <w:rPr>
          <w:rStyle w:val="Strong"/>
          <w:rFonts w:ascii="Times New Roman" w:eastAsiaTheme="majorEastAsia" w:hAnsi="Times New Roman" w:cs="Times New Roman"/>
          <w:color w:val="4F81BD" w:themeColor="accent1"/>
          <w:sz w:val="24"/>
          <w:szCs w:val="24"/>
        </w:rPr>
      </w:pPr>
      <w:r w:rsidRPr="009D7967">
        <w:rPr>
          <w:rStyle w:val="Strong"/>
          <w:rFonts w:ascii="Times New Roman" w:hAnsi="Times New Roman" w:cs="Times New Roman"/>
          <w:b w:val="0"/>
          <w:bCs w:val="0"/>
          <w:sz w:val="24"/>
          <w:szCs w:val="24"/>
        </w:rPr>
        <w:br w:type="page"/>
      </w:r>
    </w:p>
    <w:p w14:paraId="4CF6AB3D" w14:textId="77777777" w:rsidR="00A57AFC" w:rsidRPr="004946F3" w:rsidRDefault="00A57AFC" w:rsidP="00A57AFC">
      <w:pPr>
        <w:pStyle w:val="Heading2"/>
        <w:rPr>
          <w:rFonts w:ascii="Times New Roman" w:hAnsi="Times New Roman" w:cs="Times New Roman"/>
          <w:color w:val="auto"/>
          <w:sz w:val="24"/>
          <w:szCs w:val="24"/>
        </w:rPr>
      </w:pPr>
      <w:bookmarkStart w:id="14" w:name="_Toc213589862"/>
      <w:r w:rsidRPr="004946F3">
        <w:rPr>
          <w:rStyle w:val="Strong"/>
          <w:rFonts w:ascii="Times New Roman" w:hAnsi="Times New Roman" w:cs="Times New Roman"/>
          <w:color w:val="auto"/>
          <w:sz w:val="24"/>
          <w:szCs w:val="24"/>
        </w:rPr>
        <w:lastRenderedPageBreak/>
        <w:t>Chapter 2: Literature Review and Theoretical Foundatio</w:t>
      </w:r>
      <w:r w:rsidR="002E171E">
        <w:rPr>
          <w:rStyle w:val="Strong"/>
          <w:rFonts w:ascii="Times New Roman" w:hAnsi="Times New Roman" w:cs="Times New Roman"/>
          <w:color w:val="auto"/>
          <w:sz w:val="24"/>
          <w:szCs w:val="24"/>
        </w:rPr>
        <w:t>n</w:t>
      </w:r>
      <w:bookmarkEnd w:id="14"/>
    </w:p>
    <w:p w14:paraId="2E1413C9" w14:textId="77777777" w:rsidR="00A57AFC" w:rsidRPr="004946F3" w:rsidRDefault="00A57AFC" w:rsidP="00A57AFC">
      <w:pPr>
        <w:pStyle w:val="Heading3"/>
        <w:rPr>
          <w:rFonts w:ascii="Times New Roman" w:hAnsi="Times New Roman" w:cs="Times New Roman"/>
          <w:color w:val="auto"/>
          <w:sz w:val="24"/>
          <w:szCs w:val="24"/>
        </w:rPr>
      </w:pPr>
      <w:bookmarkStart w:id="15" w:name="_Toc213589863"/>
      <w:r w:rsidRPr="004946F3">
        <w:rPr>
          <w:rStyle w:val="Strong"/>
          <w:rFonts w:ascii="Times New Roman" w:hAnsi="Times New Roman" w:cs="Times New Roman"/>
          <w:color w:val="auto"/>
          <w:sz w:val="24"/>
          <w:szCs w:val="24"/>
        </w:rPr>
        <w:t>2.1 Overview</w:t>
      </w:r>
      <w:bookmarkEnd w:id="15"/>
    </w:p>
    <w:p w14:paraId="5347CA94" w14:textId="77777777" w:rsidR="00A57AFC" w:rsidRPr="00A57AFC" w:rsidRDefault="00A57AFC" w:rsidP="00A57AFC">
      <w:pPr>
        <w:pStyle w:val="NormalWeb"/>
      </w:pPr>
      <w:r>
        <w:t>Organizational reinvention in the 2020s demands a balance between digital acceleration and human-centered ethics. The pandemic accelerated technological adoption while exposing structural fragility, highlighting the need for organizations to innovate responsibly (McKinsey &amp; Company, 2023). The Institute’s dual focus on geographic expansion and AI-enabled coaching reflects this shift toward ethical transformation that preserves human connection.</w:t>
      </w:r>
    </w:p>
    <w:p w14:paraId="04337154" w14:textId="77777777" w:rsidR="00DA4353" w:rsidRDefault="004A4679" w:rsidP="00580C53">
      <w:pPr>
        <w:pStyle w:val="NormalWeb"/>
      </w:pPr>
      <w:r w:rsidRPr="00A57AFC">
        <w:t>Literature</w:t>
      </w:r>
      <w:r w:rsidR="00A57AFC" w:rsidRPr="00A57AFC">
        <w:t xml:space="preserve"> converges around three domains shaping this Capstone:</w:t>
      </w:r>
    </w:p>
    <w:p w14:paraId="448F43A9" w14:textId="77777777" w:rsidR="00C212F6" w:rsidRDefault="00A57AFC" w:rsidP="00C212F6">
      <w:pPr>
        <w:pStyle w:val="NormalWeb"/>
        <w:numPr>
          <w:ilvl w:val="0"/>
          <w:numId w:val="34"/>
        </w:numPr>
      </w:pPr>
      <w:r w:rsidRPr="00A57AFC">
        <w:rPr>
          <w:rStyle w:val="Strong"/>
        </w:rPr>
        <w:t>Strategic ambidexterity</w:t>
      </w:r>
      <w:r w:rsidRPr="00A57AFC">
        <w:t xml:space="preserve"> as the engine of adaptive reinvention (Gibson &amp; Birkinshaw, 2004);</w:t>
      </w:r>
    </w:p>
    <w:p w14:paraId="47238150" w14:textId="77777777" w:rsidR="00C212F6" w:rsidRDefault="00A57AFC" w:rsidP="00C212F6">
      <w:pPr>
        <w:pStyle w:val="NormalWeb"/>
        <w:numPr>
          <w:ilvl w:val="0"/>
          <w:numId w:val="34"/>
        </w:numPr>
      </w:pPr>
      <w:r w:rsidRPr="00A57AFC">
        <w:rPr>
          <w:rStyle w:val="Strong"/>
        </w:rPr>
        <w:t>Ethical artificial intelligence</w:t>
      </w:r>
      <w:r w:rsidRPr="00A57AFC">
        <w:t xml:space="preserve"> emphasizing transparency, fairness, and accountability (Westerman, 2023; Accenture, 2024); and</w:t>
      </w:r>
    </w:p>
    <w:p w14:paraId="3824A883" w14:textId="77777777" w:rsidR="00DA4353" w:rsidRDefault="00A57AFC" w:rsidP="00C212F6">
      <w:pPr>
        <w:pStyle w:val="NormalWeb"/>
        <w:numPr>
          <w:ilvl w:val="0"/>
          <w:numId w:val="34"/>
        </w:numPr>
      </w:pPr>
      <w:r w:rsidRPr="00A57AFC">
        <w:rPr>
          <w:rStyle w:val="Strong"/>
        </w:rPr>
        <w:t>Human-centered coaching and leadership</w:t>
      </w:r>
      <w:r w:rsidRPr="00A57AFC">
        <w:t xml:space="preserve"> built on psychological safety and self-determination (Edmondson, 2021; ICF, 2024).</w:t>
      </w:r>
    </w:p>
    <w:p w14:paraId="71618A3F" w14:textId="77777777" w:rsidR="00A57AFC" w:rsidRPr="00A57AFC" w:rsidRDefault="00A57AFC" w:rsidP="004A4679">
      <w:pPr>
        <w:pStyle w:val="NormalWeb"/>
      </w:pPr>
      <w:r w:rsidRPr="00A57AFC">
        <w:t>Together, these theories inform INSIGHTA’s design and The Institute’s regional model of humanized innovation.</w:t>
      </w:r>
    </w:p>
    <w:p w14:paraId="460178DD" w14:textId="77777777" w:rsidR="00A57AFC" w:rsidRPr="004946F3" w:rsidRDefault="00A57AFC" w:rsidP="00A57AFC">
      <w:pPr>
        <w:pStyle w:val="Heading3"/>
        <w:rPr>
          <w:rFonts w:ascii="Times New Roman" w:hAnsi="Times New Roman" w:cs="Times New Roman"/>
          <w:color w:val="auto"/>
          <w:sz w:val="24"/>
          <w:szCs w:val="24"/>
        </w:rPr>
      </w:pPr>
      <w:bookmarkStart w:id="16" w:name="_Toc213589864"/>
      <w:r w:rsidRPr="004946F3">
        <w:rPr>
          <w:rStyle w:val="Strong"/>
          <w:rFonts w:ascii="Times New Roman" w:hAnsi="Times New Roman" w:cs="Times New Roman"/>
          <w:color w:val="auto"/>
          <w:sz w:val="24"/>
          <w:szCs w:val="24"/>
        </w:rPr>
        <w:t>2.2 Organizational Reinvention and Strategic Ambidexterity</w:t>
      </w:r>
      <w:bookmarkEnd w:id="16"/>
    </w:p>
    <w:p w14:paraId="4186985E" w14:textId="77777777" w:rsidR="00A57AFC" w:rsidRPr="00A57AFC" w:rsidRDefault="00A57AFC" w:rsidP="00A57AFC">
      <w:pPr>
        <w:pStyle w:val="NormalWeb"/>
      </w:pPr>
      <w:r w:rsidRPr="00A57AFC">
        <w:t xml:space="preserve">Reinvention is an ongoing capability rather than an episodic event (Reeves, 2017). Research </w:t>
      </w:r>
      <w:r w:rsidR="00551F4E">
        <w:t>indicates that successful enterprises maintain a dual focus, leveraging</w:t>
      </w:r>
      <w:r w:rsidRPr="00A57AFC">
        <w:t xml:space="preserve"> current strengths while exploring emerging opportunities (Harvard Business Review, 2017). Gibson and Birkinshaw’s (2004) concept of </w:t>
      </w:r>
      <w:r w:rsidRPr="004946F3">
        <w:rPr>
          <w:rStyle w:val="Strong"/>
          <w:b w:val="0"/>
          <w:bCs w:val="0"/>
        </w:rPr>
        <w:t>strategic ambidexterity</w:t>
      </w:r>
      <w:r w:rsidRPr="00A57AFC">
        <w:t xml:space="preserve"> provides the framework for The Institute’s transformation: operational efficiency coexists with experimentation.</w:t>
      </w:r>
    </w:p>
    <w:p w14:paraId="63901F12" w14:textId="77777777" w:rsidR="00A57AFC" w:rsidRPr="00A57AFC" w:rsidRDefault="00A57AFC" w:rsidP="00A57AFC">
      <w:pPr>
        <w:pStyle w:val="NormalWeb"/>
      </w:pPr>
      <w:r w:rsidRPr="00A57AFC">
        <w:t xml:space="preserve">For The Institute, </w:t>
      </w:r>
      <w:r w:rsidRPr="00341A3B">
        <w:rPr>
          <w:rStyle w:val="Emphasis"/>
          <w:rFonts w:eastAsiaTheme="majorEastAsia"/>
          <w:i w:val="0"/>
          <w:iCs w:val="0"/>
        </w:rPr>
        <w:t>exploitation</w:t>
      </w:r>
      <w:r w:rsidRPr="00A57AFC">
        <w:t xml:space="preserve"> consolidates its advisory expertise through standardized delivery models such as CPSF and the Empowered Decision Model. </w:t>
      </w:r>
      <w:r w:rsidRPr="00341A3B">
        <w:rPr>
          <w:rStyle w:val="Emphasis"/>
          <w:rFonts w:eastAsiaTheme="majorEastAsia"/>
          <w:i w:val="0"/>
          <w:iCs w:val="0"/>
        </w:rPr>
        <w:t>Exploration</w:t>
      </w:r>
      <w:r w:rsidRPr="00A57AFC">
        <w:t xml:space="preserve"> drives </w:t>
      </w:r>
      <w:r w:rsidR="00CA560B">
        <w:t>the creation of INSIGHTA</w:t>
      </w:r>
      <w:r w:rsidR="001A6CCA">
        <w:t xml:space="preserve">, </w:t>
      </w:r>
      <w:r w:rsidR="00CA560B">
        <w:t>an ethical, technology-enabled innovation that redefines</w:t>
      </w:r>
      <w:r w:rsidRPr="00A57AFC">
        <w:t xml:space="preserve"> professional coaching. Learning systems, as emphasized by Schein and Schein (2017), ensure that adaptability becomes </w:t>
      </w:r>
      <w:r w:rsidR="00CA560B">
        <w:t>a structural component</w:t>
      </w:r>
      <w:r w:rsidR="00F42F4D">
        <w:t xml:space="preserve"> of the organization</w:t>
      </w:r>
      <w:r w:rsidRPr="00A57AFC">
        <w:t>. CPSF’s reflective loops operationalize this learning, enabling geographic expansion without cultural drift.</w:t>
      </w:r>
    </w:p>
    <w:p w14:paraId="2B04D5F9" w14:textId="77777777" w:rsidR="00A57AFC" w:rsidRDefault="00A57AFC" w:rsidP="00A57AFC">
      <w:pPr>
        <w:pStyle w:val="Heading3"/>
        <w:rPr>
          <w:rStyle w:val="Strong"/>
          <w:rFonts w:ascii="Times New Roman" w:hAnsi="Times New Roman" w:cs="Times New Roman"/>
          <w:color w:val="auto"/>
          <w:sz w:val="24"/>
          <w:szCs w:val="24"/>
        </w:rPr>
      </w:pPr>
      <w:bookmarkStart w:id="17" w:name="_Toc213589865"/>
      <w:r w:rsidRPr="004946F3">
        <w:rPr>
          <w:rStyle w:val="Strong"/>
          <w:rFonts w:ascii="Times New Roman" w:hAnsi="Times New Roman" w:cs="Times New Roman"/>
          <w:color w:val="auto"/>
          <w:sz w:val="24"/>
          <w:szCs w:val="24"/>
        </w:rPr>
        <w:t>2.3 Artificial Intelligence and Ethical Innovation</w:t>
      </w:r>
      <w:bookmarkEnd w:id="17"/>
    </w:p>
    <w:p w14:paraId="0FED184C" w14:textId="517F03F9" w:rsidR="00587091" w:rsidRDefault="00587091" w:rsidP="00587091">
      <w:pPr>
        <w:pStyle w:val="NormalWeb"/>
      </w:pPr>
      <w:r>
        <w:t>AI now shapes decision-making across leadership and development. Scholars caution that rapid automation can lead to ethical drift if not properly governed (Bardy, 2022). Human-centered design and human-in-the-loop oversight remain essential (Accenture, 2024; Westerman, 2023). INSIGHTA reflects these principles by embedding ICF’s 2025 ethical guidelines, ensuring transparency, informed consent, and coach-led interpretation of algorithmic outputs.</w:t>
      </w:r>
    </w:p>
    <w:p w14:paraId="43170F60" w14:textId="77777777" w:rsidR="00587091" w:rsidRPr="00587091" w:rsidRDefault="00587091" w:rsidP="00587091"/>
    <w:p w14:paraId="3049636A" w14:textId="77777777" w:rsidR="0082421B" w:rsidRPr="009D7967" w:rsidRDefault="0082421B" w:rsidP="0082421B">
      <w:pPr>
        <w:pStyle w:val="NormalWeb"/>
      </w:pPr>
      <w:r w:rsidRPr="009D7967">
        <w:lastRenderedPageBreak/>
        <w:t>INSIGHTA applies this principle directly. Coaches interpret algorithmic feedback while maintaining agency over meaning and confidentiality, aligning with the International Coaching Federation’s (ICF, 2025) updated ethical standards of consent, respect, integrity, and responsible use of artificial intelligence. The 2025 revision of the ICF Code of Ethics formally incorporates guidelines on AI-enabled tools, requiring transparency in disclosure, informed consent from clients, and clear boundaries regarding data access, usage, and storage. In accordance with these standards, INSIGHTA’s design ensures that human judgment remains central, safeguarding trust and accountability throughout the coaching process. The platform further adheres to the AI-ethics triad of transparency (explainable outputs), accountability (transparent governance), and inclusivity (equitable data representation). Empirical evidence suggests that organizations that consistently embed these principles outperform their peers in innovation and stakeholder trust (McKinsey &amp; Company, 2024b). Thus, INSIGHTA’s architecture transforms artificial intelligence from a mere efficiency instrument into a structured medium for ethical reflection and professional integrity.</w:t>
      </w:r>
    </w:p>
    <w:p w14:paraId="0A77A26B" w14:textId="77777777" w:rsidR="00A57AFC" w:rsidRPr="004946F3" w:rsidRDefault="00A57AFC" w:rsidP="00A57AFC">
      <w:pPr>
        <w:pStyle w:val="Heading3"/>
        <w:rPr>
          <w:rFonts w:ascii="Times New Roman" w:hAnsi="Times New Roman" w:cs="Times New Roman"/>
          <w:color w:val="auto"/>
          <w:sz w:val="24"/>
          <w:szCs w:val="24"/>
        </w:rPr>
      </w:pPr>
      <w:bookmarkStart w:id="18" w:name="_Toc213589866"/>
      <w:r w:rsidRPr="004946F3">
        <w:rPr>
          <w:rStyle w:val="Strong"/>
          <w:rFonts w:ascii="Times New Roman" w:hAnsi="Times New Roman" w:cs="Times New Roman"/>
          <w:color w:val="auto"/>
          <w:sz w:val="24"/>
          <w:szCs w:val="24"/>
        </w:rPr>
        <w:t>2.4 Coaching Psychology and Human-Centered Development</w:t>
      </w:r>
      <w:bookmarkEnd w:id="18"/>
    </w:p>
    <w:p w14:paraId="2A9E8C3C" w14:textId="77777777" w:rsidR="00A57AFC" w:rsidRPr="00A57AFC" w:rsidRDefault="00A57AFC" w:rsidP="00A57AFC">
      <w:pPr>
        <w:pStyle w:val="NormalWeb"/>
      </w:pPr>
      <w:r w:rsidRPr="00A57AFC">
        <w:t>Modern coaching extends beyond performance metrics toward identity formation and well-being (Fry &amp; Nisiewicz, 2023). The ICF (202</w:t>
      </w:r>
      <w:r w:rsidR="00A73D13">
        <w:t>4</w:t>
      </w:r>
      <w:r w:rsidRPr="00A57AFC">
        <w:t xml:space="preserve">) defines coaching as a “creative partnership” fostering human </w:t>
      </w:r>
      <w:r w:rsidR="00D7618D">
        <w:t>potential, an</w:t>
      </w:r>
      <w:r w:rsidRPr="00A57AFC">
        <w:t xml:space="preserve"> ethos embedded in INSIGHTA’s pre-coaching self-discovery module.</w:t>
      </w:r>
    </w:p>
    <w:p w14:paraId="1F769777" w14:textId="77777777" w:rsidR="00A57AFC" w:rsidRPr="00A57AFC" w:rsidRDefault="00A57AFC" w:rsidP="00A57AFC">
      <w:pPr>
        <w:pStyle w:val="NormalWeb"/>
      </w:pPr>
      <w:r w:rsidRPr="00A57AFC">
        <w:t xml:space="preserve">Drawing </w:t>
      </w:r>
      <w:r w:rsidR="00BD3834">
        <w:t xml:space="preserve">on Self-Determination Theory (Deci &amp; Ryan, 2020), the platform </w:t>
      </w:r>
      <w:r w:rsidR="00060D2B">
        <w:t>promotes autonomy, competence, and relatedness</w:t>
      </w:r>
      <w:r w:rsidR="006F11DA">
        <w:t xml:space="preserve">, </w:t>
      </w:r>
      <w:r w:rsidRPr="00A57AFC">
        <w:t>the foundations of intrinsic motivation. Its guided reflections help users articulate goals and values before entering live coaching, thereby increasing readiness and engagement.</w:t>
      </w:r>
    </w:p>
    <w:p w14:paraId="239D7684" w14:textId="77777777" w:rsidR="00A57AFC" w:rsidRPr="00A57AFC" w:rsidRDefault="00A57AFC" w:rsidP="00A57AFC">
      <w:pPr>
        <w:pStyle w:val="NormalWeb"/>
      </w:pPr>
      <w:r w:rsidRPr="00A57AFC">
        <w:t xml:space="preserve">Edmondson’s (2021) work on </w:t>
      </w:r>
      <w:r w:rsidRPr="006F11DA">
        <w:rPr>
          <w:rStyle w:val="Strong"/>
          <w:b w:val="0"/>
          <w:bCs w:val="0"/>
        </w:rPr>
        <w:t>psychological safety</w:t>
      </w:r>
      <w:r w:rsidRPr="00A57AFC">
        <w:t xml:space="preserve"> reinforces this design: learning occurs when individuals can express uncertainty without fear. INSIGHTA’s tone and interface aim to cultivate such safety digitally. In Middle Eastern contexts</w:t>
      </w:r>
      <w:r w:rsidR="00551F4E">
        <w:t xml:space="preserve">, where hierarchy and social expectations often constrain openness, </w:t>
      </w:r>
      <w:r w:rsidR="008566E7">
        <w:t>the hybrid digital-human model serves as</w:t>
      </w:r>
      <w:r w:rsidRPr="00A57AFC">
        <w:t xml:space="preserve"> a culturally sensitive gateway for self-reflection and growth.</w:t>
      </w:r>
    </w:p>
    <w:p w14:paraId="6AD867F6" w14:textId="77777777" w:rsidR="00A57AFC" w:rsidRPr="00B546C6" w:rsidRDefault="00A57AFC" w:rsidP="00A57AFC">
      <w:pPr>
        <w:pStyle w:val="Heading3"/>
        <w:rPr>
          <w:rFonts w:ascii="Times New Roman" w:hAnsi="Times New Roman" w:cs="Times New Roman"/>
          <w:color w:val="auto"/>
          <w:sz w:val="24"/>
          <w:szCs w:val="24"/>
        </w:rPr>
      </w:pPr>
      <w:bookmarkStart w:id="19" w:name="_Toc213589867"/>
      <w:r w:rsidRPr="00B546C6">
        <w:rPr>
          <w:rStyle w:val="Strong"/>
          <w:rFonts w:ascii="Times New Roman" w:hAnsi="Times New Roman" w:cs="Times New Roman"/>
          <w:color w:val="auto"/>
          <w:sz w:val="24"/>
          <w:szCs w:val="24"/>
        </w:rPr>
        <w:t>2.5 Cross-Cultural Leadership and Regional Adaptability</w:t>
      </w:r>
      <w:bookmarkEnd w:id="19"/>
    </w:p>
    <w:p w14:paraId="0B19498C" w14:textId="77777777" w:rsidR="00A57AFC" w:rsidRPr="00A57AFC" w:rsidRDefault="00A57AFC" w:rsidP="00A57AFC">
      <w:pPr>
        <w:pStyle w:val="NormalWeb"/>
      </w:pPr>
      <w:r w:rsidRPr="00A57AFC">
        <w:t>Entering Egypt, the UAE, and Saudi Arabia requires deep cultural attunement. Hofstede (2020) identifies high-power-distance and collectivist orientations, suggesting that effective interventions respect hierarchy while empowering dialogue. Denison and Mishra (1995) show that alignment between culture and mission strengthens effectiveness</w:t>
      </w:r>
      <w:r w:rsidR="00C47E3C">
        <w:t xml:space="preserve">, </w:t>
      </w:r>
      <w:r w:rsidRPr="00A57AFC">
        <w:t xml:space="preserve">an insight directly applicable to </w:t>
      </w:r>
      <w:r w:rsidR="00994D52">
        <w:t>T</w:t>
      </w:r>
      <w:r w:rsidRPr="00A57AFC">
        <w:t>he Institute’s empowerment philosophy.</w:t>
      </w:r>
    </w:p>
    <w:p w14:paraId="64273907" w14:textId="77777777" w:rsidR="00A57AFC" w:rsidRPr="00A57AFC" w:rsidRDefault="00A57AFC" w:rsidP="00A57AFC">
      <w:pPr>
        <w:pStyle w:val="NormalWeb"/>
      </w:pPr>
      <w:r w:rsidRPr="00A57AFC">
        <w:t xml:space="preserve">Contemporary research on </w:t>
      </w:r>
      <w:r w:rsidRPr="00C47E3C">
        <w:rPr>
          <w:rStyle w:val="Strong"/>
          <w:b w:val="0"/>
          <w:bCs w:val="0"/>
        </w:rPr>
        <w:t>cross-cultural coaching</w:t>
      </w:r>
      <w:r w:rsidRPr="00A57AFC">
        <w:t xml:space="preserve"> (Raja, 2022) </w:t>
      </w:r>
      <w:r w:rsidR="008566E7">
        <w:t>emphasizes the importance of local idioms</w:t>
      </w:r>
      <w:r w:rsidR="00BD3834">
        <w:t>, such as majlis dialogue traditions, in fostering</w:t>
      </w:r>
      <w:r w:rsidRPr="00A57AFC">
        <w:t xml:space="preserve"> authenticity. Accordingly, INSIGHTA integrates bilingual Arabic-English content and regionally resonant metaphors. This localization builds credibility and fosters trust, </w:t>
      </w:r>
      <w:r w:rsidR="008566E7">
        <w:t xml:space="preserve">which </w:t>
      </w:r>
      <w:r w:rsidR="00994D52">
        <w:t>is</w:t>
      </w:r>
      <w:r w:rsidR="008566E7">
        <w:t xml:space="preserve"> essential for achieving a </w:t>
      </w:r>
      <w:r w:rsidRPr="00A57AFC">
        <w:t>sustainable impact.</w:t>
      </w:r>
    </w:p>
    <w:p w14:paraId="4FC3B216" w14:textId="77777777" w:rsidR="00A57AFC" w:rsidRPr="00A57AFC" w:rsidRDefault="00A57AFC" w:rsidP="00A57AFC">
      <w:pPr>
        <w:pStyle w:val="NormalWeb"/>
      </w:pPr>
      <w:r w:rsidRPr="00A57AFC">
        <w:lastRenderedPageBreak/>
        <w:t xml:space="preserve">Furthermore, ethical frameworks </w:t>
      </w:r>
      <w:r w:rsidR="008566E7">
        <w:t>such as the UAE AI Strategy 2031 and Saudi Vision 2030 emphasize innovation aligned with</w:t>
      </w:r>
      <w:r w:rsidRPr="00A57AFC">
        <w:t xml:space="preserve"> social values. The Institute’s culturally adaptive model positions it to align with these national agendas, bridging Western coaching standards and regional leadership paradigms.</w:t>
      </w:r>
    </w:p>
    <w:p w14:paraId="2193C917" w14:textId="77777777" w:rsidR="00A57AFC" w:rsidRPr="000D16B1" w:rsidRDefault="00A57AFC" w:rsidP="00A57AFC">
      <w:pPr>
        <w:pStyle w:val="Heading3"/>
        <w:rPr>
          <w:rFonts w:ascii="Times New Roman" w:hAnsi="Times New Roman" w:cs="Times New Roman"/>
          <w:color w:val="auto"/>
          <w:sz w:val="24"/>
          <w:szCs w:val="24"/>
        </w:rPr>
      </w:pPr>
      <w:bookmarkStart w:id="20" w:name="_Toc213589868"/>
      <w:r w:rsidRPr="000D16B1">
        <w:rPr>
          <w:rStyle w:val="Strong"/>
          <w:rFonts w:ascii="Times New Roman" w:hAnsi="Times New Roman" w:cs="Times New Roman"/>
          <w:color w:val="auto"/>
          <w:sz w:val="24"/>
          <w:szCs w:val="24"/>
        </w:rPr>
        <w:t>2.6 Integrated Theoretical Synthesis</w:t>
      </w:r>
      <w:bookmarkEnd w:id="20"/>
    </w:p>
    <w:p w14:paraId="3D963BB1" w14:textId="77777777" w:rsidR="00A57AFC" w:rsidRPr="00A57AFC" w:rsidRDefault="00A57AFC" w:rsidP="00A57AFC">
      <w:pPr>
        <w:pStyle w:val="NormalWeb"/>
      </w:pPr>
      <w:r w:rsidRPr="00A57AFC">
        <w:t>Across disciplines, four converging insights shape The Institute’s innovation thesis:</w:t>
      </w:r>
    </w:p>
    <w:p w14:paraId="477CC1F4" w14:textId="77777777" w:rsidR="00A57AFC" w:rsidRPr="00A57AFC" w:rsidRDefault="00A57AFC" w:rsidP="00A57AFC">
      <w:pPr>
        <w:pStyle w:val="NormalWeb"/>
        <w:numPr>
          <w:ilvl w:val="0"/>
          <w:numId w:val="31"/>
        </w:numPr>
      </w:pPr>
      <w:r w:rsidRPr="00A57AFC">
        <w:rPr>
          <w:rStyle w:val="Strong"/>
        </w:rPr>
        <w:t>Organizational Theory – Ambidexterity and Learning Culture:</w:t>
      </w:r>
      <w:r w:rsidRPr="00A57AFC">
        <w:t xml:space="preserve"> Success arises from balancing stability with adaptability, embedding feedback mechanisms that convert experience into institutional learning (Gibson &amp; Birkinshaw, 2004; Schein &amp; Schein, 2017).</w:t>
      </w:r>
    </w:p>
    <w:p w14:paraId="18298084" w14:textId="77777777" w:rsidR="00A57AFC" w:rsidRPr="00A57AFC" w:rsidRDefault="00A57AFC" w:rsidP="00A57AFC">
      <w:pPr>
        <w:pStyle w:val="NormalWeb"/>
        <w:numPr>
          <w:ilvl w:val="0"/>
          <w:numId w:val="31"/>
        </w:numPr>
      </w:pPr>
      <w:r w:rsidRPr="00A57AFC">
        <w:rPr>
          <w:rStyle w:val="Strong"/>
        </w:rPr>
        <w:t>Ethical AI – Human-in-the-Loop Design:</w:t>
      </w:r>
      <w:r w:rsidRPr="00A57AFC">
        <w:t xml:space="preserve"> Transparency, fairness, and explainability safeguard dignity within digital ecosystems (Westerman, 2023; Accenture, 2024).</w:t>
      </w:r>
    </w:p>
    <w:p w14:paraId="0B33F763" w14:textId="77777777" w:rsidR="00A57AFC" w:rsidRPr="00A57AFC" w:rsidRDefault="00A57AFC" w:rsidP="00A57AFC">
      <w:pPr>
        <w:pStyle w:val="NormalWeb"/>
        <w:numPr>
          <w:ilvl w:val="0"/>
          <w:numId w:val="31"/>
        </w:numPr>
      </w:pPr>
      <w:r w:rsidRPr="00A57AFC">
        <w:rPr>
          <w:rStyle w:val="Strong"/>
        </w:rPr>
        <w:t>Coaching Psychology – Motivation and Safety:</w:t>
      </w:r>
      <w:r w:rsidRPr="00A57AFC">
        <w:t xml:space="preserve"> Reflection and intrinsic motivation drive sustainable behavior change (Deci &amp; Ryan, 2020; Edmondson, 2021).</w:t>
      </w:r>
    </w:p>
    <w:p w14:paraId="63A6439D" w14:textId="77777777" w:rsidR="00A57AFC" w:rsidRPr="00A57AFC" w:rsidRDefault="00A57AFC" w:rsidP="00A57AFC">
      <w:pPr>
        <w:pStyle w:val="NormalWeb"/>
        <w:numPr>
          <w:ilvl w:val="0"/>
          <w:numId w:val="31"/>
        </w:numPr>
      </w:pPr>
      <w:r w:rsidRPr="00A57AFC">
        <w:rPr>
          <w:rStyle w:val="Strong"/>
        </w:rPr>
        <w:t>Cross-Cultural Leadership – Contextual Sensitivity:</w:t>
      </w:r>
      <w:r w:rsidRPr="00A57AFC">
        <w:t xml:space="preserve"> Local norms and language shape engagement, requiring adaptive, inclusive design (Hofstede, 2020; Raja, 2022).</w:t>
      </w:r>
    </w:p>
    <w:p w14:paraId="7C7CD624" w14:textId="77777777" w:rsidR="00A57AFC" w:rsidRPr="00A57AFC" w:rsidRDefault="00A57AFC" w:rsidP="00A57AFC">
      <w:pPr>
        <w:pStyle w:val="NormalWeb"/>
      </w:pPr>
      <w:r w:rsidRPr="00A57AFC">
        <w:t xml:space="preserve">INSIGHTA unites these insights as an applied system of </w:t>
      </w:r>
      <w:r w:rsidRPr="00AC4C29">
        <w:rPr>
          <w:rStyle w:val="Strong"/>
          <w:b w:val="0"/>
          <w:bCs w:val="0"/>
        </w:rPr>
        <w:t>Humanized Innovation</w:t>
      </w:r>
      <w:r w:rsidRPr="00A57AFC">
        <w:t xml:space="preserve">, where technology amplifies empathy, data reinforces trust, and culture contextualizes learning. The Middle East expansion </w:t>
      </w:r>
      <w:r w:rsidR="00D472C6">
        <w:t xml:space="preserve">serves as a real-world laboratory for this synthesis, </w:t>
      </w:r>
      <w:r w:rsidRPr="00A57AFC">
        <w:t>testing how ethical AI and reflective coaching can coexist within emerging economies.</w:t>
      </w:r>
    </w:p>
    <w:p w14:paraId="5C3029CC" w14:textId="77777777" w:rsidR="00A57AFC" w:rsidRPr="006F7BAC" w:rsidRDefault="00A57AFC" w:rsidP="00A57AFC">
      <w:pPr>
        <w:pStyle w:val="Heading3"/>
        <w:rPr>
          <w:rFonts w:ascii="Times New Roman" w:hAnsi="Times New Roman" w:cs="Times New Roman"/>
          <w:color w:val="auto"/>
          <w:sz w:val="24"/>
          <w:szCs w:val="24"/>
        </w:rPr>
      </w:pPr>
      <w:bookmarkStart w:id="21" w:name="_Toc213589869"/>
      <w:r w:rsidRPr="006F7BAC">
        <w:rPr>
          <w:rStyle w:val="Strong"/>
          <w:rFonts w:ascii="Times New Roman" w:hAnsi="Times New Roman" w:cs="Times New Roman"/>
          <w:color w:val="auto"/>
          <w:sz w:val="24"/>
          <w:szCs w:val="24"/>
        </w:rPr>
        <w:t>2.7 Conclusion</w:t>
      </w:r>
      <w:bookmarkEnd w:id="21"/>
    </w:p>
    <w:p w14:paraId="3EC067BA" w14:textId="77777777" w:rsidR="00A57AFC" w:rsidRPr="00A57AFC" w:rsidRDefault="00A57AFC" w:rsidP="00A57AFC">
      <w:pPr>
        <w:pStyle w:val="NormalWeb"/>
      </w:pPr>
      <w:r w:rsidRPr="00A57AFC">
        <w:t xml:space="preserve">The reviewed literature </w:t>
      </w:r>
      <w:r w:rsidR="00D472C6">
        <w:t>highlights that future-ready organizations cultivate dual intelligence, encompassing both technological and humanistic aspects</w:t>
      </w:r>
      <w:r w:rsidRPr="00A57AFC">
        <w:t>. The Institute’s model embodies this duality by embedding ethical guardrails into AI-enabled coaching while promoting cultural inclusivity and reflective learning.</w:t>
      </w:r>
    </w:p>
    <w:p w14:paraId="765824A2" w14:textId="77777777" w:rsidR="00A57AFC" w:rsidRPr="00A57AFC" w:rsidRDefault="00A57AFC" w:rsidP="00A57AFC">
      <w:pPr>
        <w:pStyle w:val="NormalWeb"/>
      </w:pPr>
      <w:r w:rsidRPr="00A57AFC">
        <w:t xml:space="preserve">By merging ambidexterity with ethical AI and coaching psychology, The Institute advances a theory-in-action </w:t>
      </w:r>
      <w:r w:rsidR="00D472C6">
        <w:t>that reinforces human development and digital innovation</w:t>
      </w:r>
      <w:r w:rsidRPr="00A57AFC">
        <w:t xml:space="preserve">. This foundation directly informs the subsequent design of the INSIGHTA platform and </w:t>
      </w:r>
      <w:r w:rsidR="006F7BAC">
        <w:t>T</w:t>
      </w:r>
      <w:r w:rsidRPr="00A57AFC">
        <w:t>he Institute’s Middle East expansion, demonstrating how scholarship can translate into measurable, ethical, and globally relevant innovation.</w:t>
      </w:r>
    </w:p>
    <w:p w14:paraId="2E82416E" w14:textId="77777777" w:rsidR="00A57AFC" w:rsidRPr="0024482A" w:rsidRDefault="00A57AFC" w:rsidP="00EE181C">
      <w:pPr>
        <w:spacing w:after="0" w:line="240" w:lineRule="auto"/>
        <w:rPr>
          <w:rFonts w:ascii="Times New Roman" w:eastAsia="Times New Roman" w:hAnsi="Times New Roman" w:cs="Times New Roman"/>
          <w:sz w:val="24"/>
          <w:szCs w:val="24"/>
        </w:rPr>
      </w:pPr>
    </w:p>
    <w:p w14:paraId="5614E610" w14:textId="77777777" w:rsidR="00984D79" w:rsidRDefault="000140B5">
      <w:pPr>
        <w:rPr>
          <w:rFonts w:ascii="Times New Roman" w:eastAsia="Times New Roman" w:hAnsi="Times New Roman" w:cs="Times New Roman"/>
          <w:b/>
          <w:bCs/>
          <w:sz w:val="36"/>
          <w:szCs w:val="36"/>
        </w:rPr>
      </w:pPr>
      <w:r>
        <w:br/>
      </w:r>
    </w:p>
    <w:p w14:paraId="7ACACA20" w14:textId="77777777" w:rsidR="00F43BF0" w:rsidRDefault="00F43BF0">
      <w:r>
        <w:br w:type="page"/>
      </w:r>
    </w:p>
    <w:p w14:paraId="50B9376B" w14:textId="77777777" w:rsidR="00984D79" w:rsidRPr="009D7967" w:rsidRDefault="000140B5" w:rsidP="00EE181C">
      <w:pPr>
        <w:spacing w:before="100" w:beforeAutospacing="1" w:after="100" w:afterAutospacing="1" w:line="240" w:lineRule="auto"/>
        <w:outlineLvl w:val="1"/>
        <w:rPr>
          <w:rFonts w:ascii="Times New Roman" w:eastAsia="Times New Roman" w:hAnsi="Times New Roman" w:cs="Times New Roman"/>
          <w:b/>
          <w:bCs/>
          <w:sz w:val="24"/>
          <w:szCs w:val="24"/>
        </w:rPr>
      </w:pPr>
      <w:bookmarkStart w:id="22" w:name="_Toc213223765"/>
      <w:bookmarkStart w:id="23" w:name="_Toc213589870"/>
      <w:r w:rsidRPr="009D7967">
        <w:rPr>
          <w:rFonts w:ascii="Times New Roman" w:hAnsi="Times New Roman" w:cs="Times New Roman"/>
          <w:sz w:val="24"/>
          <w:szCs w:val="24"/>
        </w:rPr>
        <w:lastRenderedPageBreak/>
        <w:t>Chapter 3: Proposed Innovation Model</w:t>
      </w:r>
      <w:bookmarkEnd w:id="22"/>
      <w:bookmarkEnd w:id="23"/>
    </w:p>
    <w:p w14:paraId="6C8FDF35"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24" w:name="_Toc213223766"/>
      <w:bookmarkStart w:id="25" w:name="_Toc213589871"/>
      <w:r w:rsidRPr="009D7967">
        <w:rPr>
          <w:rFonts w:ascii="Times New Roman" w:hAnsi="Times New Roman" w:cs="Times New Roman"/>
          <w:sz w:val="24"/>
          <w:szCs w:val="24"/>
        </w:rPr>
        <w:t>3.1 Overview</w:t>
      </w:r>
      <w:bookmarkEnd w:id="24"/>
      <w:bookmarkEnd w:id="25"/>
    </w:p>
    <w:p w14:paraId="6672DE33"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proposed innovation model for The Institute unites technological augmentation and regional expansion within a single strategic framework. The goal is to humanize innovation, positioning digital tools as catalysts for ethical reflection and cross-cultural growth rather than as replacements for human judgment. The model has two reinforcing components:</w:t>
      </w:r>
    </w:p>
    <w:p w14:paraId="5FC344BC" w14:textId="77777777" w:rsidR="00984D79" w:rsidRPr="009D7967" w:rsidRDefault="000140B5" w:rsidP="00EE181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INSIGHTA, an AI-enabled self-discovery and coaching platform grounded in the International Coaching Federation (ICF) Code of Ethics.</w:t>
      </w:r>
    </w:p>
    <w:p w14:paraId="6130C3F3" w14:textId="77777777" w:rsidR="00984D79" w:rsidRPr="009D7967" w:rsidRDefault="000140B5" w:rsidP="00EE181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Regional Expansion, establishing The Institute Middle East Hub across Egypt, the UAE, and Saudi Arabia to deliver culture</w:t>
      </w:r>
      <w:r w:rsidR="00E7499B" w:rsidRPr="009D7967">
        <w:rPr>
          <w:rFonts w:ascii="Times New Roman" w:hAnsi="Times New Roman" w:cs="Times New Roman"/>
          <w:sz w:val="24"/>
          <w:szCs w:val="24"/>
        </w:rPr>
        <w:t xml:space="preserve"> </w:t>
      </w:r>
      <w:r w:rsidRPr="009D7967">
        <w:rPr>
          <w:rFonts w:ascii="Times New Roman" w:hAnsi="Times New Roman" w:cs="Times New Roman"/>
          <w:sz w:val="24"/>
          <w:szCs w:val="24"/>
        </w:rPr>
        <w:t>and leadership-development programs integrated with INSIGHTA.</w:t>
      </w:r>
    </w:p>
    <w:p w14:paraId="26DA3172" w14:textId="77777777" w:rsidR="00984D79" w:rsidRPr="009D7967" w:rsidRDefault="000140B5" w:rsidP="00363078">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This dual design balances exploration (new technology and market creation) and exploitation (leveraging The Institute’s existing intellectual property, frameworks, and culture-measurement tools), embodying strategic ambidexterity (Gibson &amp; Birkinshaw, 2004).</w:t>
      </w:r>
    </w:p>
    <w:p w14:paraId="1BA7B909"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26" w:name="_Toc213223767"/>
      <w:bookmarkStart w:id="27" w:name="_Toc213589872"/>
      <w:r w:rsidRPr="009D7967">
        <w:rPr>
          <w:rFonts w:ascii="Times New Roman" w:hAnsi="Times New Roman" w:cs="Times New Roman"/>
          <w:sz w:val="24"/>
          <w:szCs w:val="24"/>
        </w:rPr>
        <w:t>3.2 INSIGHTA: Human-Centered AI Coaching Platform</w:t>
      </w:r>
      <w:bookmarkEnd w:id="26"/>
      <w:bookmarkEnd w:id="27"/>
    </w:p>
    <w:p w14:paraId="0C7240D9" w14:textId="77777777" w:rsidR="00210113" w:rsidRPr="009D7967" w:rsidRDefault="000140B5" w:rsidP="003556EE">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3.2.1 Process Definition (INSIGHTA)</w:t>
      </w:r>
    </w:p>
    <w:p w14:paraId="162E8F9D" w14:textId="77777777" w:rsidR="00984D79" w:rsidRPr="009D7967" w:rsidRDefault="000140B5" w:rsidP="003556EE">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INSIGHTA represents a four-stage process—Reflect → Sense-Make → Generate Insight → Institutionalize Learning</w:t>
      </w:r>
      <w:r w:rsidR="00351162" w:rsidRPr="009D7967">
        <w:rPr>
          <w:rFonts w:ascii="Times New Roman" w:hAnsi="Times New Roman" w:cs="Times New Roman"/>
          <w:sz w:val="24"/>
          <w:szCs w:val="24"/>
        </w:rPr>
        <w:t xml:space="preserve"> (Figure 1), </w:t>
      </w:r>
      <w:r w:rsidRPr="009D7967">
        <w:rPr>
          <w:rFonts w:ascii="Times New Roman" w:hAnsi="Times New Roman" w:cs="Times New Roman"/>
          <w:sz w:val="24"/>
          <w:szCs w:val="24"/>
        </w:rPr>
        <w:t>where AI augments, rather than replaces, human coaching. Each phase combines reflective dialogue and machine-assisted interpretation to deepen understanding, identify patterns, and convert personal learning into organizational capability.</w:t>
      </w:r>
    </w:p>
    <w:p w14:paraId="13483827" w14:textId="77777777" w:rsidR="008A767C" w:rsidRPr="009D7967" w:rsidRDefault="008A767C" w:rsidP="008A767C">
      <w:pPr>
        <w:spacing w:before="100" w:beforeAutospacing="1" w:after="100" w:afterAutospacing="1" w:line="240" w:lineRule="auto"/>
        <w:rPr>
          <w:rFonts w:ascii="Times New Roman" w:eastAsia="Times New Roman" w:hAnsi="Times New Roman" w:cs="Times New Roman"/>
          <w:i/>
          <w:iCs/>
          <w:sz w:val="24"/>
          <w:szCs w:val="24"/>
        </w:rPr>
      </w:pPr>
      <w:r w:rsidRPr="009D7967">
        <w:rPr>
          <w:rFonts w:ascii="Times New Roman" w:hAnsi="Times New Roman" w:cs="Times New Roman"/>
          <w:sz w:val="24"/>
          <w:szCs w:val="24"/>
        </w:rPr>
        <w:t xml:space="preserve">Figure 1: INSIGHTA Process </w:t>
      </w:r>
    </w:p>
    <w:p w14:paraId="549EF9E5" w14:textId="77777777" w:rsidR="00770E2A" w:rsidRPr="003556EE" w:rsidRDefault="00770E2A" w:rsidP="003556EE">
      <w:pPr>
        <w:spacing w:before="100" w:beforeAutospacing="1" w:after="100" w:afterAutospacing="1" w:line="240" w:lineRule="auto"/>
        <w:rPr>
          <w:rFonts w:ascii="Times New Roman" w:eastAsia="Times New Roman" w:hAnsi="Times New Roman" w:cs="Times New Roman"/>
          <w:sz w:val="24"/>
          <w:szCs w:val="24"/>
        </w:rPr>
      </w:pPr>
      <w:r w:rsidRPr="00CC70A3">
        <w:rPr>
          <w:noProof/>
        </w:rPr>
        <w:drawing>
          <wp:inline distT="0" distB="0" distL="0" distR="0" wp14:anchorId="1E7B9CC3" wp14:editId="0739B099">
            <wp:extent cx="5657850" cy="1962959"/>
            <wp:effectExtent l="38100" t="38100" r="38100" b="37465"/>
            <wp:docPr id="1822988847" name="Picture 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88847" name="Picture 2" descr="A diagram of a proce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828" cy="1980299"/>
                    </a:xfrm>
                    <a:prstGeom prst="rect">
                      <a:avLst/>
                    </a:prstGeom>
                    <a:noFill/>
                    <a:ln w="25400">
                      <a:solidFill>
                        <a:schemeClr val="tx1"/>
                      </a:solidFill>
                    </a:ln>
                    <a:effectLst>
                      <a:softEdge rad="25400"/>
                    </a:effectLst>
                  </pic:spPr>
                </pic:pic>
              </a:graphicData>
            </a:graphic>
          </wp:inline>
        </w:drawing>
      </w:r>
    </w:p>
    <w:p w14:paraId="71E5BC33" w14:textId="77777777" w:rsidR="00984D79" w:rsidRPr="009D7967" w:rsidRDefault="007E4B2A" w:rsidP="00CF2B97">
      <w:pPr>
        <w:rPr>
          <w:rFonts w:ascii="Times New Roman" w:eastAsia="Times New Roman" w:hAnsi="Times New Roman" w:cs="Times New Roman"/>
          <w:b/>
          <w:bCs/>
          <w:sz w:val="24"/>
          <w:szCs w:val="24"/>
        </w:rPr>
      </w:pPr>
      <w:r w:rsidRPr="009D7967">
        <w:rPr>
          <w:rFonts w:ascii="Times New Roman" w:hAnsi="Times New Roman" w:cs="Times New Roman"/>
          <w:sz w:val="24"/>
          <w:szCs w:val="24"/>
        </w:rPr>
        <w:t>Integration of Diagnostic Instruments: The INSIGHTA platform now incorporates two proprietary diagnostic instruments</w:t>
      </w:r>
      <w:r w:rsidR="00845B07" w:rsidRPr="009D7967">
        <w:rPr>
          <w:rFonts w:ascii="Times New Roman" w:hAnsi="Times New Roman" w:cs="Times New Roman"/>
          <w:sz w:val="24"/>
          <w:szCs w:val="24"/>
        </w:rPr>
        <w:t xml:space="preserve">, </w:t>
      </w:r>
      <w:r w:rsidR="00094CA8" w:rsidRPr="009D7967">
        <w:rPr>
          <w:rFonts w:ascii="Times New Roman" w:hAnsi="Times New Roman" w:cs="Times New Roman"/>
          <w:sz w:val="24"/>
          <w:szCs w:val="24"/>
        </w:rPr>
        <w:t>T</w:t>
      </w:r>
      <w:r w:rsidR="00845B07" w:rsidRPr="009D7967">
        <w:rPr>
          <w:rFonts w:ascii="Times New Roman" w:hAnsi="Times New Roman" w:cs="Times New Roman"/>
          <w:sz w:val="24"/>
          <w:szCs w:val="24"/>
        </w:rPr>
        <w:t>he Institute Influence Indicator (I²) and Response to Change Assessment (RCA),</w:t>
      </w:r>
      <w:r w:rsidRPr="009D7967">
        <w:rPr>
          <w:rFonts w:ascii="Times New Roman" w:hAnsi="Times New Roman" w:cs="Times New Roman"/>
          <w:sz w:val="24"/>
          <w:szCs w:val="24"/>
        </w:rPr>
        <w:t xml:space="preserve"> to deepen data-driven self-awareness. The I² quantifies relational influence </w:t>
      </w:r>
      <w:r w:rsidRPr="009D7967">
        <w:rPr>
          <w:rFonts w:ascii="Times New Roman" w:hAnsi="Times New Roman" w:cs="Times New Roman"/>
          <w:sz w:val="24"/>
          <w:szCs w:val="24"/>
        </w:rPr>
        <w:lastRenderedPageBreak/>
        <w:t>across credibility, connection, clarity, and consistency, while the RCA measures adaptability, resilience, and openness to transformation across cognitive, emotional, and behavioral dimensions. Together, these assessments convert qualitative reflection into quantifiable insight, enabling visualization of behavioral change through the INSIGHTA Insight Dashboard.</w:t>
      </w:r>
    </w:p>
    <w:p w14:paraId="1571F3F4" w14:textId="77777777" w:rsidR="00B32B60" w:rsidRPr="009D7967" w:rsidRDefault="000140B5" w:rsidP="00EE181C">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Concept and Purpose.</w:t>
      </w:r>
    </w:p>
    <w:p w14:paraId="4FA8A232"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INSIGHTA is conceived as an intelligent self-discovery companion that precedes and supports human coaching. The platform utilizes natural language processing and sentiment analysis to </w:t>
      </w:r>
      <w:r w:rsidR="00CF2B97" w:rsidRPr="009D7967">
        <w:rPr>
          <w:rFonts w:ascii="Times New Roman" w:hAnsi="Times New Roman" w:cs="Times New Roman"/>
          <w:sz w:val="24"/>
          <w:szCs w:val="24"/>
        </w:rPr>
        <w:t>help users articulate</w:t>
      </w:r>
      <w:r w:rsidRPr="009D7967">
        <w:rPr>
          <w:rFonts w:ascii="Times New Roman" w:hAnsi="Times New Roman" w:cs="Times New Roman"/>
          <w:sz w:val="24"/>
          <w:szCs w:val="24"/>
        </w:rPr>
        <w:t xml:space="preserve"> their goals, values, and limiting beliefs. Unlike generic wellness apps, it is anchored in professional coaching ethics, ensuring confidentiality, informed consent, and data transparency (ICF, 2024; Bardy, 2022).</w:t>
      </w:r>
    </w:p>
    <w:p w14:paraId="136327BE"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Core Features.</w:t>
      </w:r>
    </w:p>
    <w:p w14:paraId="5DF853C0" w14:textId="77777777" w:rsidR="00984D79" w:rsidRPr="009D7967" w:rsidRDefault="000140B5" w:rsidP="00EE181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Reflective Dialogue Engine: Conversational AI prompts guide users through structured reflection questions based on self-determination theory (Deci &amp; Ryan, 2020).</w:t>
      </w:r>
    </w:p>
    <w:p w14:paraId="1AB1E1A4" w14:textId="77777777" w:rsidR="00984D79" w:rsidRPr="009D7967" w:rsidRDefault="000140B5" w:rsidP="00EE181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Personal Insight Dashboard: Visualizes behavioral patterns, motivation drivers, and growth themes using anonymized analytics.</w:t>
      </w:r>
    </w:p>
    <w:p w14:paraId="352A11D7" w14:textId="77777777" w:rsidR="00984D79" w:rsidRPr="009D7967" w:rsidRDefault="000140B5" w:rsidP="00EE181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Coach Interface: Certified coaches access consented summaries to tailor sessions and track progress.</w:t>
      </w:r>
    </w:p>
    <w:p w14:paraId="29FB46F7" w14:textId="77777777" w:rsidR="00984D79" w:rsidRPr="009D7967" w:rsidRDefault="000140B5" w:rsidP="00EE181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Cultural Adaptation Layer: Arabic-English bilingual interface with regional idioms and culturally relevant metaphors to enhance resonance.</w:t>
      </w:r>
    </w:p>
    <w:p w14:paraId="27DE2DC0" w14:textId="77777777" w:rsidR="00984D79" w:rsidRPr="009D7967" w:rsidRDefault="000140B5" w:rsidP="00EE181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Ethical Guardrails: Built-in bias detection, data anonymization, and explainability reports per human-in-the-loop design (Westerman, 2023).</w:t>
      </w:r>
    </w:p>
    <w:p w14:paraId="118DE530"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Development Phases.</w:t>
      </w:r>
    </w:p>
    <w:p w14:paraId="0B9E0C07" w14:textId="77777777" w:rsidR="00984D79" w:rsidRPr="009D7967" w:rsidRDefault="000140B5" w:rsidP="00EE181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Prototype (2026): MVP focusing on journaling and feedback engine.</w:t>
      </w:r>
    </w:p>
    <w:p w14:paraId="494014C0" w14:textId="77777777" w:rsidR="008A767C" w:rsidRPr="009D7967" w:rsidRDefault="000140B5" w:rsidP="008A767C">
      <w:pPr>
        <w:numPr>
          <w:ilvl w:val="0"/>
          <w:numId w:val="9"/>
        </w:numPr>
        <w:spacing w:before="100" w:beforeAutospacing="1" w:after="100" w:afterAutospacing="1" w:line="240" w:lineRule="auto"/>
        <w:rPr>
          <w:rFonts w:ascii="Times New Roman" w:eastAsia="Times New Roman" w:hAnsi="Times New Roman" w:cs="Times New Roman"/>
          <w:b/>
          <w:bCs/>
          <w:sz w:val="24"/>
          <w:szCs w:val="24"/>
        </w:rPr>
      </w:pPr>
      <w:r w:rsidRPr="009D7967">
        <w:rPr>
          <w:rFonts w:ascii="Times New Roman" w:hAnsi="Times New Roman" w:cs="Times New Roman"/>
          <w:sz w:val="24"/>
          <w:szCs w:val="24"/>
        </w:rPr>
        <w:t>Pilot (2027): 500 users across The Institute’s partner network.</w:t>
      </w:r>
    </w:p>
    <w:p w14:paraId="3A68EA09" w14:textId="77777777" w:rsidR="00613384" w:rsidRPr="009D7967" w:rsidRDefault="000140B5" w:rsidP="008A767C">
      <w:pPr>
        <w:numPr>
          <w:ilvl w:val="0"/>
          <w:numId w:val="9"/>
        </w:numPr>
        <w:spacing w:before="100" w:beforeAutospacing="1" w:after="100" w:afterAutospacing="1" w:line="240" w:lineRule="auto"/>
        <w:rPr>
          <w:rFonts w:ascii="Times New Roman" w:eastAsia="Times New Roman" w:hAnsi="Times New Roman" w:cs="Times New Roman"/>
          <w:b/>
          <w:bCs/>
          <w:sz w:val="24"/>
          <w:szCs w:val="24"/>
        </w:rPr>
      </w:pPr>
      <w:r w:rsidRPr="009D7967">
        <w:rPr>
          <w:rFonts w:ascii="Times New Roman" w:hAnsi="Times New Roman" w:cs="Times New Roman"/>
          <w:sz w:val="24"/>
          <w:szCs w:val="24"/>
        </w:rPr>
        <w:t>Scale (2028): SaaS subscription model for corporate clients and individual coaches.</w:t>
      </w:r>
    </w:p>
    <w:p w14:paraId="65E71E67" w14:textId="77777777" w:rsidR="00CB416B" w:rsidRPr="009D7967" w:rsidRDefault="00A83148">
      <w:pPr>
        <w:rPr>
          <w:rFonts w:ascii="Times New Roman" w:hAnsi="Times New Roman" w:cs="Times New Roman"/>
          <w:sz w:val="24"/>
          <w:szCs w:val="24"/>
        </w:rPr>
      </w:pPr>
      <w:r w:rsidRPr="009D7967">
        <w:rPr>
          <w:rFonts w:ascii="Times New Roman" w:hAnsi="Times New Roman" w:cs="Times New Roman"/>
          <w:sz w:val="24"/>
          <w:szCs w:val="24"/>
        </w:rPr>
        <w:t>As illustrated in Figure 2 below, the model demonstrates the interaction between human empathy and algorithmic insight, central to INSIGHTA’s design.</w:t>
      </w:r>
    </w:p>
    <w:p w14:paraId="383016E3" w14:textId="77777777" w:rsidR="009D7967" w:rsidRDefault="009D7967">
      <w:pPr>
        <w:rPr>
          <w:rFonts w:ascii="Times New Roman" w:hAnsi="Times New Roman" w:cs="Times New Roman"/>
          <w:sz w:val="24"/>
          <w:szCs w:val="24"/>
        </w:rPr>
      </w:pPr>
      <w:r>
        <w:rPr>
          <w:rFonts w:ascii="Times New Roman" w:hAnsi="Times New Roman" w:cs="Times New Roman"/>
          <w:sz w:val="24"/>
          <w:szCs w:val="24"/>
        </w:rPr>
        <w:br w:type="page"/>
      </w:r>
    </w:p>
    <w:p w14:paraId="6E864C07" w14:textId="4EDABA76" w:rsidR="00984D79" w:rsidRPr="009D7967" w:rsidRDefault="000140B5" w:rsidP="00DD08EC">
      <w:pPr>
        <w:spacing w:before="100" w:beforeAutospacing="1" w:after="100" w:afterAutospacing="1" w:line="240" w:lineRule="auto"/>
        <w:outlineLvl w:val="3"/>
        <w:rPr>
          <w:rFonts w:ascii="Times New Roman" w:eastAsia="Times New Roman" w:hAnsi="Times New Roman" w:cs="Times New Roman"/>
          <w:b/>
          <w:bCs/>
          <w:sz w:val="24"/>
          <w:szCs w:val="24"/>
        </w:rPr>
      </w:pPr>
      <w:r w:rsidRPr="009D7967">
        <w:rPr>
          <w:rFonts w:ascii="Times New Roman" w:hAnsi="Times New Roman" w:cs="Times New Roman"/>
          <w:sz w:val="24"/>
          <w:szCs w:val="24"/>
        </w:rPr>
        <w:lastRenderedPageBreak/>
        <w:t xml:space="preserve">Figure </w:t>
      </w:r>
      <w:r w:rsidR="008A767C" w:rsidRPr="009D7967">
        <w:rPr>
          <w:rFonts w:ascii="Times New Roman" w:hAnsi="Times New Roman" w:cs="Times New Roman"/>
          <w:sz w:val="24"/>
          <w:szCs w:val="24"/>
        </w:rPr>
        <w:t>2</w:t>
      </w:r>
      <w:r w:rsidRPr="009D7967">
        <w:rPr>
          <w:rFonts w:ascii="Times New Roman" w:hAnsi="Times New Roman" w:cs="Times New Roman"/>
          <w:sz w:val="24"/>
          <w:szCs w:val="24"/>
        </w:rPr>
        <w:t>: INSIGHTA Value-Creation Model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9"/>
        <w:gridCol w:w="3243"/>
        <w:gridCol w:w="1944"/>
        <w:gridCol w:w="2294"/>
      </w:tblGrid>
      <w:tr w:rsidR="00EE181C" w:rsidRPr="00EE181C" w14:paraId="3B232996" w14:textId="77777777" w:rsidTr="00B50586">
        <w:trPr>
          <w:tblHeader/>
          <w:tblCellSpacing w:w="15" w:type="dxa"/>
        </w:trPr>
        <w:tc>
          <w:tcPr>
            <w:tcW w:w="0" w:type="auto"/>
            <w:vAlign w:val="center"/>
            <w:hideMark/>
          </w:tcPr>
          <w:p w14:paraId="311F96FD"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Stage</w:t>
            </w:r>
          </w:p>
        </w:tc>
        <w:tc>
          <w:tcPr>
            <w:tcW w:w="0" w:type="auto"/>
            <w:vAlign w:val="center"/>
            <w:hideMark/>
          </w:tcPr>
          <w:p w14:paraId="23F037DC"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Human Element</w:t>
            </w:r>
          </w:p>
        </w:tc>
        <w:tc>
          <w:tcPr>
            <w:tcW w:w="0" w:type="auto"/>
            <w:vAlign w:val="center"/>
            <w:hideMark/>
          </w:tcPr>
          <w:p w14:paraId="519BC57E"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AI Element</w:t>
            </w:r>
          </w:p>
        </w:tc>
        <w:tc>
          <w:tcPr>
            <w:tcW w:w="0" w:type="auto"/>
            <w:vAlign w:val="center"/>
            <w:hideMark/>
          </w:tcPr>
          <w:p w14:paraId="5FF4530E"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Value Outcome</w:t>
            </w:r>
          </w:p>
        </w:tc>
      </w:tr>
      <w:tr w:rsidR="00EE181C" w:rsidRPr="00EE181C" w14:paraId="4B77A0DC" w14:textId="77777777" w:rsidTr="00B50586">
        <w:trPr>
          <w:tblCellSpacing w:w="15" w:type="dxa"/>
        </w:trPr>
        <w:tc>
          <w:tcPr>
            <w:tcW w:w="0" w:type="auto"/>
            <w:vAlign w:val="center"/>
            <w:hideMark/>
          </w:tcPr>
          <w:p w14:paraId="4EFF2FB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1. Self-Inquiry</w:t>
            </w:r>
          </w:p>
        </w:tc>
        <w:tc>
          <w:tcPr>
            <w:tcW w:w="0" w:type="auto"/>
            <w:vAlign w:val="center"/>
            <w:hideMark/>
          </w:tcPr>
          <w:p w14:paraId="2ED7541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User reflection and emotional articulation</w:t>
            </w:r>
          </w:p>
        </w:tc>
        <w:tc>
          <w:tcPr>
            <w:tcW w:w="0" w:type="auto"/>
            <w:vAlign w:val="center"/>
            <w:hideMark/>
          </w:tcPr>
          <w:p w14:paraId="15C25F9C"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NLP prompts and tone analysis</w:t>
            </w:r>
          </w:p>
        </w:tc>
        <w:tc>
          <w:tcPr>
            <w:tcW w:w="0" w:type="auto"/>
            <w:vAlign w:val="center"/>
            <w:hideMark/>
          </w:tcPr>
          <w:p w14:paraId="5CDAA84E"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Heightened self-awareness</w:t>
            </w:r>
          </w:p>
        </w:tc>
      </w:tr>
      <w:tr w:rsidR="00EE181C" w:rsidRPr="00EE181C" w14:paraId="40488E54" w14:textId="77777777" w:rsidTr="00B50586">
        <w:trPr>
          <w:tblCellSpacing w:w="15" w:type="dxa"/>
        </w:trPr>
        <w:tc>
          <w:tcPr>
            <w:tcW w:w="0" w:type="auto"/>
            <w:vAlign w:val="center"/>
            <w:hideMark/>
          </w:tcPr>
          <w:p w14:paraId="476300AC"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2. Sense-Making</w:t>
            </w:r>
          </w:p>
        </w:tc>
        <w:tc>
          <w:tcPr>
            <w:tcW w:w="0" w:type="auto"/>
            <w:vAlign w:val="center"/>
            <w:hideMark/>
          </w:tcPr>
          <w:p w14:paraId="3C1D9DC7"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Coach interpretation and dialogue</w:t>
            </w:r>
          </w:p>
        </w:tc>
        <w:tc>
          <w:tcPr>
            <w:tcW w:w="0" w:type="auto"/>
            <w:vAlign w:val="center"/>
            <w:hideMark/>
          </w:tcPr>
          <w:p w14:paraId="573AA638"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Data clustering of themes</w:t>
            </w:r>
          </w:p>
        </w:tc>
        <w:tc>
          <w:tcPr>
            <w:tcW w:w="0" w:type="auto"/>
            <w:vAlign w:val="center"/>
            <w:hideMark/>
          </w:tcPr>
          <w:p w14:paraId="0007A4C3"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Personalized coaching focus</w:t>
            </w:r>
          </w:p>
        </w:tc>
      </w:tr>
      <w:tr w:rsidR="00EE181C" w:rsidRPr="00EE181C" w14:paraId="21B82067" w14:textId="77777777" w:rsidTr="00B50586">
        <w:trPr>
          <w:tblCellSpacing w:w="15" w:type="dxa"/>
        </w:trPr>
        <w:tc>
          <w:tcPr>
            <w:tcW w:w="0" w:type="auto"/>
            <w:vAlign w:val="center"/>
            <w:hideMark/>
          </w:tcPr>
          <w:p w14:paraId="3A88FCEA"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3. Insight Generation</w:t>
            </w:r>
          </w:p>
        </w:tc>
        <w:tc>
          <w:tcPr>
            <w:tcW w:w="0" w:type="auto"/>
            <w:vAlign w:val="center"/>
            <w:hideMark/>
          </w:tcPr>
          <w:p w14:paraId="345B80AA"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Collaborative learning and goal setting</w:t>
            </w:r>
          </w:p>
        </w:tc>
        <w:tc>
          <w:tcPr>
            <w:tcW w:w="0" w:type="auto"/>
            <w:vAlign w:val="center"/>
            <w:hideMark/>
          </w:tcPr>
          <w:p w14:paraId="3563C390"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Predictive feedback loops</w:t>
            </w:r>
          </w:p>
        </w:tc>
        <w:tc>
          <w:tcPr>
            <w:tcW w:w="0" w:type="auto"/>
            <w:vAlign w:val="center"/>
            <w:hideMark/>
          </w:tcPr>
          <w:p w14:paraId="4F5241EE"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Sustainable behavior change</w:t>
            </w:r>
          </w:p>
        </w:tc>
      </w:tr>
      <w:tr w:rsidR="00EE181C" w:rsidRPr="00EE181C" w14:paraId="17D2326A" w14:textId="77777777" w:rsidTr="00B50586">
        <w:trPr>
          <w:tblCellSpacing w:w="15" w:type="dxa"/>
        </w:trPr>
        <w:tc>
          <w:tcPr>
            <w:tcW w:w="0" w:type="auto"/>
            <w:vAlign w:val="center"/>
            <w:hideMark/>
          </w:tcPr>
          <w:p w14:paraId="2FBFDA33"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4. Institutional Learning</w:t>
            </w:r>
          </w:p>
        </w:tc>
        <w:tc>
          <w:tcPr>
            <w:tcW w:w="0" w:type="auto"/>
            <w:vAlign w:val="center"/>
            <w:hideMark/>
          </w:tcPr>
          <w:p w14:paraId="6E2294A4"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Aggregated anonymized insights inform leadership programs</w:t>
            </w:r>
          </w:p>
        </w:tc>
        <w:tc>
          <w:tcPr>
            <w:tcW w:w="0" w:type="auto"/>
            <w:vAlign w:val="center"/>
            <w:hideMark/>
          </w:tcPr>
          <w:p w14:paraId="3FAD47AC"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Analytics dashboards</w:t>
            </w:r>
          </w:p>
        </w:tc>
        <w:tc>
          <w:tcPr>
            <w:tcW w:w="0" w:type="auto"/>
            <w:vAlign w:val="center"/>
            <w:hideMark/>
          </w:tcPr>
          <w:p w14:paraId="75A36121"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Organizational culture intelligence</w:t>
            </w:r>
          </w:p>
        </w:tc>
      </w:tr>
    </w:tbl>
    <w:p w14:paraId="75E4D70F" w14:textId="77777777" w:rsidR="00984D79" w:rsidRPr="00EE181C" w:rsidRDefault="00984D79" w:rsidP="00EE181C">
      <w:pPr>
        <w:spacing w:before="100" w:beforeAutospacing="1" w:after="100" w:afterAutospacing="1" w:line="240" w:lineRule="auto"/>
        <w:rPr>
          <w:rFonts w:ascii="Times New Roman" w:eastAsia="Times New Roman" w:hAnsi="Times New Roman" w:cs="Times New Roman"/>
          <w:sz w:val="24"/>
          <w:szCs w:val="24"/>
        </w:rPr>
      </w:pPr>
    </w:p>
    <w:p w14:paraId="671B5062"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28" w:name="_Toc213223768"/>
      <w:bookmarkStart w:id="29" w:name="_Toc213589873"/>
      <w:r w:rsidRPr="009D7967">
        <w:rPr>
          <w:rFonts w:ascii="Times New Roman" w:hAnsi="Times New Roman" w:cs="Times New Roman"/>
          <w:sz w:val="24"/>
          <w:szCs w:val="24"/>
        </w:rPr>
        <w:t>3.3 Middle East Expansion Strategy</w:t>
      </w:r>
      <w:bookmarkEnd w:id="28"/>
      <w:bookmarkEnd w:id="29"/>
    </w:p>
    <w:p w14:paraId="1DE7BC36" w14:textId="77777777" w:rsidR="0015390A" w:rsidRPr="009D7967" w:rsidRDefault="000140B5" w:rsidP="00EE181C">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Rationale.</w:t>
      </w:r>
    </w:p>
    <w:p w14:paraId="5CBD9A70" w14:textId="4E7119E7" w:rsidR="004C3363" w:rsidRPr="009D7967" w:rsidRDefault="004C3363" w:rsidP="00EE181C">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 xml:space="preserve">The Middle East </w:t>
      </w:r>
      <w:r w:rsidR="00622C8B" w:rsidRPr="009D7967">
        <w:rPr>
          <w:rFonts w:ascii="Times New Roman" w:hAnsi="Times New Roman" w:cs="Times New Roman"/>
          <w:sz w:val="24"/>
          <w:szCs w:val="24"/>
        </w:rPr>
        <w:t>presents a strong strategic opportunity due to its investment in human capital, digital transformation, and leadership capabilities</w:t>
      </w:r>
      <w:r w:rsidRPr="009D7967">
        <w:rPr>
          <w:rFonts w:ascii="Times New Roman" w:hAnsi="Times New Roman" w:cs="Times New Roman"/>
          <w:sz w:val="24"/>
          <w:szCs w:val="24"/>
        </w:rPr>
        <w:t>. Establishing a regional hub allows The Institute to integrate INSIGHTA into governmental, corporate, and educational ecosystems, supported by favorable demographic and policy conditions.</w:t>
      </w:r>
    </w:p>
    <w:p w14:paraId="5CE360DD" w14:textId="77777777" w:rsidR="008F6B2F" w:rsidRPr="009D7967" w:rsidRDefault="007E4B2A">
      <w:pPr>
        <w:rPr>
          <w:rFonts w:ascii="Times New Roman" w:hAnsi="Times New Roman" w:cs="Times New Roman"/>
          <w:sz w:val="24"/>
          <w:szCs w:val="24"/>
        </w:rPr>
      </w:pPr>
      <w:r w:rsidRPr="009D7967">
        <w:rPr>
          <w:rFonts w:ascii="Times New Roman" w:hAnsi="Times New Roman" w:cs="Times New Roman"/>
          <w:sz w:val="24"/>
          <w:szCs w:val="24"/>
        </w:rPr>
        <w:t xml:space="preserve">Sensitivity Analysis (+/- 10% Adoption Variance): A 10% swing in user adoption alters 2028 revenue projections from USD 11.9M (-10%) to USD 14.5M (+10%). Despite fluctuations, the ROI remains above 160%, demonstrating financial </w:t>
      </w:r>
      <w:r w:rsidR="001737F1" w:rsidRPr="009D7967">
        <w:rPr>
          <w:rFonts w:ascii="Times New Roman" w:hAnsi="Times New Roman" w:cs="Times New Roman"/>
          <w:sz w:val="24"/>
          <w:szCs w:val="24"/>
        </w:rPr>
        <w:t>resilience even in the face of</w:t>
      </w:r>
      <w:r w:rsidRPr="009D7967">
        <w:rPr>
          <w:rFonts w:ascii="Times New Roman" w:hAnsi="Times New Roman" w:cs="Times New Roman"/>
          <w:sz w:val="24"/>
          <w:szCs w:val="24"/>
        </w:rPr>
        <w:t xml:space="preserve"> regional economic uncertainty. This sensitivity reinforces the strength of the blended advisory-digital model and its resilience to market volatility.</w:t>
      </w:r>
    </w:p>
    <w:p w14:paraId="1A07E0E5" w14:textId="5C4D1F57" w:rsidR="00984D79" w:rsidRPr="009D7967" w:rsidRDefault="000140B5" w:rsidP="00EE181C">
      <w:pPr>
        <w:spacing w:before="100" w:beforeAutospacing="1" w:after="100" w:afterAutospacing="1" w:line="240" w:lineRule="auto"/>
        <w:outlineLvl w:val="3"/>
        <w:rPr>
          <w:rFonts w:ascii="Times New Roman" w:eastAsia="Times New Roman" w:hAnsi="Times New Roman" w:cs="Times New Roman"/>
          <w:b/>
          <w:bCs/>
          <w:sz w:val="24"/>
          <w:szCs w:val="24"/>
        </w:rPr>
      </w:pPr>
      <w:r w:rsidRPr="009D7967">
        <w:rPr>
          <w:rFonts w:ascii="Times New Roman" w:hAnsi="Times New Roman" w:cs="Times New Roman"/>
          <w:sz w:val="24"/>
          <w:szCs w:val="24"/>
        </w:rPr>
        <w:t>Table 1: Middle East Market Potential (USD millions, 2025–2028)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2"/>
        <w:gridCol w:w="2144"/>
        <w:gridCol w:w="1679"/>
        <w:gridCol w:w="1170"/>
        <w:gridCol w:w="1604"/>
        <w:gridCol w:w="1631"/>
      </w:tblGrid>
      <w:tr w:rsidR="00EE181C" w:rsidRPr="00EE181C" w14:paraId="6670D008" w14:textId="77777777" w:rsidTr="00251660">
        <w:trPr>
          <w:tblHeader/>
          <w:tblCellSpacing w:w="15" w:type="dxa"/>
        </w:trPr>
        <w:tc>
          <w:tcPr>
            <w:tcW w:w="1077" w:type="dxa"/>
            <w:vAlign w:val="center"/>
            <w:hideMark/>
          </w:tcPr>
          <w:p w14:paraId="3B4B662B"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Country</w:t>
            </w:r>
          </w:p>
        </w:tc>
        <w:tc>
          <w:tcPr>
            <w:tcW w:w="2114" w:type="dxa"/>
            <w:vAlign w:val="center"/>
            <w:hideMark/>
          </w:tcPr>
          <w:p w14:paraId="569B4335"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Leadership &amp; Coaching Market (2025)</w:t>
            </w:r>
          </w:p>
        </w:tc>
        <w:tc>
          <w:tcPr>
            <w:tcW w:w="1649" w:type="dxa"/>
            <w:vAlign w:val="center"/>
            <w:hideMark/>
          </w:tcPr>
          <w:p w14:paraId="1D6E1BF4"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CAGR 2025–2028</w:t>
            </w:r>
          </w:p>
        </w:tc>
        <w:tc>
          <w:tcPr>
            <w:tcW w:w="1140" w:type="dxa"/>
            <w:vAlign w:val="center"/>
            <w:hideMark/>
          </w:tcPr>
          <w:p w14:paraId="24330EFF"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Estimated Market 2028</w:t>
            </w:r>
          </w:p>
        </w:tc>
        <w:tc>
          <w:tcPr>
            <w:tcW w:w="1574" w:type="dxa"/>
            <w:vAlign w:val="center"/>
            <w:hideMark/>
          </w:tcPr>
          <w:p w14:paraId="55D31EAF"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Addressable Share (5%)</w:t>
            </w:r>
          </w:p>
        </w:tc>
        <w:tc>
          <w:tcPr>
            <w:tcW w:w="1586" w:type="dxa"/>
            <w:vAlign w:val="center"/>
            <w:hideMark/>
          </w:tcPr>
          <w:p w14:paraId="1F4CF572"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Potential Revenue (USD M)</w:t>
            </w:r>
          </w:p>
        </w:tc>
      </w:tr>
      <w:tr w:rsidR="00EE181C" w:rsidRPr="00EE181C" w14:paraId="171C1D36" w14:textId="77777777" w:rsidTr="00251660">
        <w:trPr>
          <w:tblCellSpacing w:w="15" w:type="dxa"/>
        </w:trPr>
        <w:tc>
          <w:tcPr>
            <w:tcW w:w="1077" w:type="dxa"/>
            <w:vAlign w:val="center"/>
            <w:hideMark/>
          </w:tcPr>
          <w:p w14:paraId="10E9B6E6"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UAE</w:t>
            </w:r>
          </w:p>
        </w:tc>
        <w:tc>
          <w:tcPr>
            <w:tcW w:w="2114" w:type="dxa"/>
            <w:vAlign w:val="center"/>
            <w:hideMark/>
          </w:tcPr>
          <w:p w14:paraId="711A4FEC"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420</w:t>
            </w:r>
          </w:p>
        </w:tc>
        <w:tc>
          <w:tcPr>
            <w:tcW w:w="1649" w:type="dxa"/>
            <w:vAlign w:val="center"/>
            <w:hideMark/>
          </w:tcPr>
          <w:p w14:paraId="1978FDAF"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7.5 %</w:t>
            </w:r>
          </w:p>
        </w:tc>
        <w:tc>
          <w:tcPr>
            <w:tcW w:w="1140" w:type="dxa"/>
            <w:vAlign w:val="center"/>
            <w:hideMark/>
          </w:tcPr>
          <w:p w14:paraId="51A8DA3F"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522</w:t>
            </w:r>
          </w:p>
        </w:tc>
        <w:tc>
          <w:tcPr>
            <w:tcW w:w="1574" w:type="dxa"/>
            <w:vAlign w:val="center"/>
            <w:hideMark/>
          </w:tcPr>
          <w:p w14:paraId="55C97B27"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5 %</w:t>
            </w:r>
          </w:p>
        </w:tc>
        <w:tc>
          <w:tcPr>
            <w:tcW w:w="1586" w:type="dxa"/>
            <w:vAlign w:val="center"/>
            <w:hideMark/>
          </w:tcPr>
          <w:p w14:paraId="2D865FF6"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26.1</w:t>
            </w:r>
          </w:p>
        </w:tc>
      </w:tr>
      <w:tr w:rsidR="00EE181C" w:rsidRPr="00EE181C" w14:paraId="1404E584" w14:textId="77777777" w:rsidTr="00251660">
        <w:trPr>
          <w:tblCellSpacing w:w="15" w:type="dxa"/>
        </w:trPr>
        <w:tc>
          <w:tcPr>
            <w:tcW w:w="1077" w:type="dxa"/>
            <w:vAlign w:val="center"/>
            <w:hideMark/>
          </w:tcPr>
          <w:p w14:paraId="2C9966FA"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Saudi Arabia</w:t>
            </w:r>
          </w:p>
        </w:tc>
        <w:tc>
          <w:tcPr>
            <w:tcW w:w="2114" w:type="dxa"/>
            <w:vAlign w:val="center"/>
            <w:hideMark/>
          </w:tcPr>
          <w:p w14:paraId="14104DCE"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610</w:t>
            </w:r>
          </w:p>
        </w:tc>
        <w:tc>
          <w:tcPr>
            <w:tcW w:w="1649" w:type="dxa"/>
            <w:vAlign w:val="center"/>
            <w:hideMark/>
          </w:tcPr>
          <w:p w14:paraId="5085882A"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8.0 %</w:t>
            </w:r>
          </w:p>
        </w:tc>
        <w:tc>
          <w:tcPr>
            <w:tcW w:w="1140" w:type="dxa"/>
            <w:vAlign w:val="center"/>
            <w:hideMark/>
          </w:tcPr>
          <w:p w14:paraId="2DC5932B"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770</w:t>
            </w:r>
          </w:p>
        </w:tc>
        <w:tc>
          <w:tcPr>
            <w:tcW w:w="1574" w:type="dxa"/>
            <w:vAlign w:val="center"/>
            <w:hideMark/>
          </w:tcPr>
          <w:p w14:paraId="0FAB9F48"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5 %</w:t>
            </w:r>
          </w:p>
        </w:tc>
        <w:tc>
          <w:tcPr>
            <w:tcW w:w="1586" w:type="dxa"/>
            <w:vAlign w:val="center"/>
            <w:hideMark/>
          </w:tcPr>
          <w:p w14:paraId="460A4BA5"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38.5</w:t>
            </w:r>
          </w:p>
        </w:tc>
      </w:tr>
      <w:tr w:rsidR="00EE181C" w:rsidRPr="00EE181C" w14:paraId="3B48AEFE" w14:textId="77777777" w:rsidTr="00251660">
        <w:trPr>
          <w:tblCellSpacing w:w="15" w:type="dxa"/>
        </w:trPr>
        <w:tc>
          <w:tcPr>
            <w:tcW w:w="1077" w:type="dxa"/>
            <w:vAlign w:val="center"/>
            <w:hideMark/>
          </w:tcPr>
          <w:p w14:paraId="1AE5B400"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Egypt</w:t>
            </w:r>
          </w:p>
        </w:tc>
        <w:tc>
          <w:tcPr>
            <w:tcW w:w="2114" w:type="dxa"/>
            <w:vAlign w:val="center"/>
            <w:hideMark/>
          </w:tcPr>
          <w:p w14:paraId="79371C91"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280</w:t>
            </w:r>
          </w:p>
        </w:tc>
        <w:tc>
          <w:tcPr>
            <w:tcW w:w="1649" w:type="dxa"/>
            <w:vAlign w:val="center"/>
            <w:hideMark/>
          </w:tcPr>
          <w:p w14:paraId="524FEC32"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6.5 %</w:t>
            </w:r>
          </w:p>
        </w:tc>
        <w:tc>
          <w:tcPr>
            <w:tcW w:w="1140" w:type="dxa"/>
            <w:vAlign w:val="center"/>
            <w:hideMark/>
          </w:tcPr>
          <w:p w14:paraId="5F252E60"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340</w:t>
            </w:r>
          </w:p>
        </w:tc>
        <w:tc>
          <w:tcPr>
            <w:tcW w:w="1574" w:type="dxa"/>
            <w:vAlign w:val="center"/>
            <w:hideMark/>
          </w:tcPr>
          <w:p w14:paraId="30710E84"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5 %</w:t>
            </w:r>
          </w:p>
        </w:tc>
        <w:tc>
          <w:tcPr>
            <w:tcW w:w="1586" w:type="dxa"/>
            <w:vAlign w:val="center"/>
            <w:hideMark/>
          </w:tcPr>
          <w:p w14:paraId="7C46982B"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17.0</w:t>
            </w:r>
          </w:p>
        </w:tc>
      </w:tr>
      <w:tr w:rsidR="00EE181C" w:rsidRPr="00EE181C" w14:paraId="204C6318" w14:textId="77777777" w:rsidTr="00251660">
        <w:trPr>
          <w:tblCellSpacing w:w="15" w:type="dxa"/>
        </w:trPr>
        <w:tc>
          <w:tcPr>
            <w:tcW w:w="1077" w:type="dxa"/>
            <w:vAlign w:val="center"/>
            <w:hideMark/>
          </w:tcPr>
          <w:p w14:paraId="6E6E2C66"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Total</w:t>
            </w:r>
          </w:p>
        </w:tc>
        <w:tc>
          <w:tcPr>
            <w:tcW w:w="2114" w:type="dxa"/>
            <w:vAlign w:val="center"/>
            <w:hideMark/>
          </w:tcPr>
          <w:p w14:paraId="13AA3500"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w:t>
            </w:r>
            <w:r w:rsidR="0015457F">
              <w:rPr>
                <w:rFonts w:ascii="Times New Roman" w:eastAsia="Times New Roman" w:hAnsi="Times New Roman" w:cs="Times New Roman"/>
                <w:sz w:val="24"/>
                <w:szCs w:val="24"/>
              </w:rPr>
              <w:t>,</w:t>
            </w:r>
            <w:r w:rsidRPr="00EE181C">
              <w:rPr>
                <w:rFonts w:ascii="Times New Roman" w:eastAsia="Times New Roman" w:hAnsi="Times New Roman" w:cs="Times New Roman"/>
                <w:sz w:val="24"/>
                <w:szCs w:val="24"/>
              </w:rPr>
              <w:t>310</w:t>
            </w:r>
          </w:p>
        </w:tc>
        <w:tc>
          <w:tcPr>
            <w:tcW w:w="1649" w:type="dxa"/>
            <w:vAlign w:val="center"/>
            <w:hideMark/>
          </w:tcPr>
          <w:p w14:paraId="03C002DE"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w:t>
            </w:r>
          </w:p>
        </w:tc>
        <w:tc>
          <w:tcPr>
            <w:tcW w:w="1140" w:type="dxa"/>
            <w:vAlign w:val="center"/>
            <w:hideMark/>
          </w:tcPr>
          <w:p w14:paraId="783AA529"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w:t>
            </w:r>
            <w:r w:rsidR="009E624B">
              <w:rPr>
                <w:rFonts w:ascii="Times New Roman" w:eastAsia="Times New Roman" w:hAnsi="Times New Roman" w:cs="Times New Roman"/>
                <w:sz w:val="24"/>
                <w:szCs w:val="24"/>
              </w:rPr>
              <w:t>,</w:t>
            </w:r>
            <w:r w:rsidRPr="00EE181C">
              <w:rPr>
                <w:rFonts w:ascii="Times New Roman" w:eastAsia="Times New Roman" w:hAnsi="Times New Roman" w:cs="Times New Roman"/>
                <w:sz w:val="24"/>
                <w:szCs w:val="24"/>
              </w:rPr>
              <w:t xml:space="preserve"> 632</w:t>
            </w:r>
          </w:p>
        </w:tc>
        <w:tc>
          <w:tcPr>
            <w:tcW w:w="1574" w:type="dxa"/>
            <w:vAlign w:val="center"/>
            <w:hideMark/>
          </w:tcPr>
          <w:p w14:paraId="7CDEFDAB"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w:t>
            </w:r>
          </w:p>
        </w:tc>
        <w:tc>
          <w:tcPr>
            <w:tcW w:w="1586" w:type="dxa"/>
            <w:vAlign w:val="center"/>
            <w:hideMark/>
          </w:tcPr>
          <w:p w14:paraId="11B678FE" w14:textId="77777777" w:rsidR="00984D79" w:rsidRPr="00EE181C" w:rsidRDefault="000140B5" w:rsidP="003D26E0">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81.6</w:t>
            </w:r>
          </w:p>
        </w:tc>
      </w:tr>
    </w:tbl>
    <w:p w14:paraId="2D8259C0" w14:textId="77777777" w:rsidR="00984D79" w:rsidRPr="00EE181C" w:rsidRDefault="000140B5" w:rsidP="00EE181C">
      <w:pPr>
        <w:spacing w:before="100" w:beforeAutospacing="1" w:after="100" w:afterAutospacing="1" w:line="240" w:lineRule="auto"/>
        <w:rPr>
          <w:rFonts w:ascii="Times New Roman" w:eastAsia="Times New Roman" w:hAnsi="Times New Roman" w:cs="Times New Roman"/>
          <w:sz w:val="24"/>
          <w:szCs w:val="24"/>
        </w:rPr>
      </w:pPr>
      <w:r>
        <w:t>Source: PwC (2024); ICF (2024); author analysis.</w:t>
      </w:r>
    </w:p>
    <w:p w14:paraId="7CB9DFE8" w14:textId="77777777" w:rsidR="00984D79" w:rsidRPr="009D7967" w:rsidRDefault="00260B34"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lastRenderedPageBreak/>
        <w:t>Tabl</w:t>
      </w:r>
      <w:r w:rsidR="00CD37E2" w:rsidRPr="009D7967">
        <w:rPr>
          <w:rFonts w:ascii="Times New Roman" w:hAnsi="Times New Roman" w:cs="Times New Roman"/>
          <w:sz w:val="24"/>
          <w:szCs w:val="24"/>
        </w:rPr>
        <w:t>e 1</w:t>
      </w:r>
      <w:r w:rsidR="000140B5" w:rsidRPr="009D7967">
        <w:rPr>
          <w:rFonts w:ascii="Times New Roman" w:hAnsi="Times New Roman" w:cs="Times New Roman"/>
          <w:sz w:val="24"/>
          <w:szCs w:val="24"/>
        </w:rPr>
        <w:t xml:space="preserve"> indicates a combined addressable market of approximately USD 1.6 billion by 2028, of which The Institute could capture roughly USD 80 million (5 % share) through a blended model of consulting services, digital subscriptions, and certification programs.</w:t>
      </w:r>
    </w:p>
    <w:p w14:paraId="01CFBA3A"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Entry Strategy.</w:t>
      </w:r>
    </w:p>
    <w:p w14:paraId="1927E8C3" w14:textId="77777777" w:rsidR="00984D79" w:rsidRPr="009D7967" w:rsidRDefault="000140B5" w:rsidP="00EE181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Phase 1 (2026): Egypt – Leverage bilingual advantage and existing academic partnerships for research and pilot programs.</w:t>
      </w:r>
    </w:p>
    <w:p w14:paraId="2B194255" w14:textId="77777777" w:rsidR="00984D79" w:rsidRPr="009D7967" w:rsidRDefault="000140B5" w:rsidP="00EE181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Phase 2 (2027): UAE – Establish </w:t>
      </w:r>
      <w:r w:rsidR="001033A3" w:rsidRPr="009D7967">
        <w:rPr>
          <w:rFonts w:ascii="Times New Roman" w:hAnsi="Times New Roman" w:cs="Times New Roman"/>
          <w:sz w:val="24"/>
          <w:szCs w:val="24"/>
        </w:rPr>
        <w:t>T</w:t>
      </w:r>
      <w:r w:rsidRPr="009D7967">
        <w:rPr>
          <w:rFonts w:ascii="Times New Roman" w:hAnsi="Times New Roman" w:cs="Times New Roman"/>
          <w:sz w:val="24"/>
          <w:szCs w:val="24"/>
        </w:rPr>
        <w:t>he Institute Middle East Hub in Dubai; integrate INSIGHTA into leadership academies and multinational corporate clients.</w:t>
      </w:r>
    </w:p>
    <w:p w14:paraId="768F3F52" w14:textId="6B309CA2" w:rsidR="00377718" w:rsidRPr="009D7967" w:rsidRDefault="000140B5" w:rsidP="00FC72FB">
      <w:pPr>
        <w:numPr>
          <w:ilvl w:val="0"/>
          <w:numId w:val="10"/>
        </w:num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Phase 3 (2028): Saudi Arabia – Align with Vision 2030 Human Capability Program; co-create with local universities and ministries.</w:t>
      </w:r>
    </w:p>
    <w:p w14:paraId="254D2736" w14:textId="77777777" w:rsidR="009D7967" w:rsidRPr="009D7967" w:rsidRDefault="009D7967">
      <w:pPr>
        <w:rPr>
          <w:rFonts w:ascii="Times New Roman" w:hAnsi="Times New Roman" w:cs="Times New Roman"/>
          <w:strike/>
          <w:sz w:val="24"/>
          <w:szCs w:val="24"/>
          <w:highlight w:val="yellow"/>
        </w:rPr>
      </w:pPr>
      <w:r w:rsidRPr="009D7967">
        <w:rPr>
          <w:rFonts w:ascii="Times New Roman" w:hAnsi="Times New Roman" w:cs="Times New Roman"/>
          <w:strike/>
          <w:sz w:val="24"/>
          <w:szCs w:val="24"/>
          <w:highlight w:val="yellow"/>
        </w:rPr>
        <w:br w:type="page"/>
      </w:r>
    </w:p>
    <w:p w14:paraId="707D1B88" w14:textId="525BC2CE" w:rsidR="00CD37E2" w:rsidRPr="009D7967" w:rsidRDefault="000140B5" w:rsidP="00EE181C">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lastRenderedPageBreak/>
        <w:t>Business Model.</w:t>
      </w:r>
    </w:p>
    <w:p w14:paraId="0A963329"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Revenue streams include:</w:t>
      </w:r>
    </w:p>
    <w:p w14:paraId="3F355E06" w14:textId="77777777" w:rsidR="00984D79" w:rsidRPr="009D7967" w:rsidRDefault="000140B5" w:rsidP="00EE181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Advisory Services: Culture transformation and leadership programs tailored to national priorities.</w:t>
      </w:r>
    </w:p>
    <w:p w14:paraId="7D64D382" w14:textId="77777777" w:rsidR="00984D79" w:rsidRPr="009D7967" w:rsidRDefault="000140B5" w:rsidP="00EE181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Digital Platform Subscriptions: Tiered access to INSIGHTA for corporates, individual coaches, and learning institutions.</w:t>
      </w:r>
    </w:p>
    <w:p w14:paraId="20131F6F" w14:textId="77777777" w:rsidR="00984D79" w:rsidRPr="009D7967" w:rsidRDefault="000140B5" w:rsidP="00EE181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Certification and Licensing: Training of local facilitators in The Institute’s CPSF and empowerment models.</w:t>
      </w:r>
    </w:p>
    <w:p w14:paraId="18A9ACE2" w14:textId="77777777" w:rsidR="00984D79" w:rsidRPr="009D7967" w:rsidRDefault="000140B5" w:rsidP="00EE181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Analytics Licensing: Aggregated cultural-intelligence data provided to clients via dashboards (subject to privacy compliance).</w:t>
      </w:r>
    </w:p>
    <w:p w14:paraId="405A1F7C"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30" w:name="_Toc213223769"/>
      <w:bookmarkStart w:id="31" w:name="_Toc213589874"/>
      <w:r w:rsidRPr="009D7967">
        <w:rPr>
          <w:rFonts w:ascii="Times New Roman" w:hAnsi="Times New Roman" w:cs="Times New Roman"/>
          <w:sz w:val="24"/>
          <w:szCs w:val="24"/>
        </w:rPr>
        <w:t>3.4 Integration of Technology and Culture</w:t>
      </w:r>
      <w:bookmarkEnd w:id="30"/>
      <w:bookmarkEnd w:id="31"/>
    </w:p>
    <w:p w14:paraId="5C76B987"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model's strength lies in integrating digital intelligence with cultural intelligence. According to Schein &amp; Schein (2017), sustainable change occurs when new tools reinforce, rather than disrupt, underlying cultural values. INSIGHTA embodies this by embedding reflective prompts rooted in empathy and ethical awareness.</w:t>
      </w:r>
    </w:p>
    <w:p w14:paraId="51B855F2"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At the organizational level, </w:t>
      </w:r>
      <w:r w:rsidR="00036BD8" w:rsidRPr="009D7967">
        <w:rPr>
          <w:rFonts w:ascii="Times New Roman" w:hAnsi="Times New Roman" w:cs="Times New Roman"/>
          <w:sz w:val="24"/>
          <w:szCs w:val="24"/>
        </w:rPr>
        <w:t>T</w:t>
      </w:r>
      <w:r w:rsidRPr="009D7967">
        <w:rPr>
          <w:rFonts w:ascii="Times New Roman" w:hAnsi="Times New Roman" w:cs="Times New Roman"/>
          <w:sz w:val="24"/>
          <w:szCs w:val="24"/>
        </w:rPr>
        <w:t>he Institute’s Culture OS will serve as the backbone linking regional program data with INSIGHTA analytics. This alignment creates a learning ecosystem where individual insights inform collective strategies, closing the loop between micro (self-awareness) and macro (organizational culture) transformations.</w:t>
      </w:r>
    </w:p>
    <w:p w14:paraId="27C5FFF4" w14:textId="77777777" w:rsidR="0030391F" w:rsidRPr="009D7967" w:rsidRDefault="007E4B2A">
      <w:pPr>
        <w:rPr>
          <w:rFonts w:ascii="Times New Roman" w:hAnsi="Times New Roman" w:cs="Times New Roman"/>
          <w:sz w:val="24"/>
          <w:szCs w:val="24"/>
        </w:rPr>
      </w:pPr>
      <w:r w:rsidRPr="009D7967">
        <w:rPr>
          <w:rFonts w:ascii="Times New Roman" w:hAnsi="Times New Roman" w:cs="Times New Roman"/>
          <w:sz w:val="24"/>
          <w:szCs w:val="24"/>
        </w:rPr>
        <w:t xml:space="preserve">AI Integration of Behavioral Analytics: INSIGHTA’s algorithms analyze I² and RCA data to personalize reflective prompts and leadership dashboards. Aggregated, anonymized data </w:t>
      </w:r>
      <w:r w:rsidR="00225685" w:rsidRPr="009D7967">
        <w:rPr>
          <w:rFonts w:ascii="Times New Roman" w:hAnsi="Times New Roman" w:cs="Times New Roman"/>
          <w:sz w:val="24"/>
          <w:szCs w:val="24"/>
        </w:rPr>
        <w:t>feeds</w:t>
      </w:r>
      <w:r w:rsidRPr="009D7967">
        <w:rPr>
          <w:rFonts w:ascii="Times New Roman" w:hAnsi="Times New Roman" w:cs="Times New Roman"/>
          <w:sz w:val="24"/>
          <w:szCs w:val="24"/>
        </w:rPr>
        <w:t xml:space="preserve"> into The Institute’s Culture OS, enabling organizational clients to monitor collective adaptability and influence maturity. This integration operationalizes behavioral intelligence as a measurable component of organizational learning.</w:t>
      </w:r>
    </w:p>
    <w:p w14:paraId="71F901B7" w14:textId="77777777" w:rsidR="00F478F3" w:rsidRPr="009D7967" w:rsidRDefault="000140B5" w:rsidP="00564EC3">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3.4.1 Disruptiveness and Global Trends</w:t>
      </w:r>
    </w:p>
    <w:p w14:paraId="78C3ADA8" w14:textId="77777777" w:rsidR="00984D79" w:rsidRPr="009D7967" w:rsidRDefault="000140B5" w:rsidP="00564EC3">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Global political and technological shifts are reshaping the landscape in which INSIGHTA will operate. Ongoing geopolitical tensions in the Middle </w:t>
      </w:r>
      <w:r w:rsidR="00342E8B" w:rsidRPr="009D7967">
        <w:rPr>
          <w:rFonts w:ascii="Times New Roman" w:hAnsi="Times New Roman" w:cs="Times New Roman"/>
          <w:sz w:val="24"/>
          <w:szCs w:val="24"/>
        </w:rPr>
        <w:t xml:space="preserve">East, </w:t>
      </w:r>
      <w:r w:rsidRPr="009D7967">
        <w:rPr>
          <w:rFonts w:ascii="Times New Roman" w:hAnsi="Times New Roman" w:cs="Times New Roman"/>
          <w:sz w:val="24"/>
          <w:szCs w:val="24"/>
        </w:rPr>
        <w:t>particularly the economic uncertainty driven by energy transitions and regional conflicts</w:t>
      </w:r>
      <w:r w:rsidR="00342E8B" w:rsidRPr="009D7967">
        <w:rPr>
          <w:rFonts w:ascii="Times New Roman" w:hAnsi="Times New Roman" w:cs="Times New Roman"/>
          <w:sz w:val="24"/>
          <w:szCs w:val="24"/>
        </w:rPr>
        <w:t xml:space="preserve">, </w:t>
      </w:r>
      <w:r w:rsidRPr="009D7967">
        <w:rPr>
          <w:rFonts w:ascii="Times New Roman" w:hAnsi="Times New Roman" w:cs="Times New Roman"/>
          <w:sz w:val="24"/>
          <w:szCs w:val="24"/>
        </w:rPr>
        <w:t>have intensified youth unemployment and disrupted traditional career pathways. Against this backdrop, INSIGHTA positions itself as a stabilizing and empowering force: an adaptive learning ecosystem that cultivates resilience, employability, and self-leadership in young professionals across Egypt, the UAE, and Saudi Arabia.</w:t>
      </w:r>
    </w:p>
    <w:p w14:paraId="05EA00B1" w14:textId="77777777" w:rsidR="00984D79" w:rsidRPr="009D7967" w:rsidRDefault="000140B5" w:rsidP="00564EC3">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The platform’s design aligns with emerging global regulatory trends. Following the European Union’s AI Act, Gulf nations such as the UAE and Saudi Arabia are developing parallel AI governance frameworks that emphasize transparency, bias mitigation, and ethical accountability. INSIGHTA’s compliance-by-design </w:t>
      </w:r>
      <w:r w:rsidR="00165378" w:rsidRPr="009D7967">
        <w:rPr>
          <w:rFonts w:ascii="Times New Roman" w:hAnsi="Times New Roman" w:cs="Times New Roman"/>
          <w:sz w:val="24"/>
          <w:szCs w:val="24"/>
        </w:rPr>
        <w:t xml:space="preserve">model, </w:t>
      </w:r>
      <w:r w:rsidRPr="009D7967">
        <w:rPr>
          <w:rFonts w:ascii="Times New Roman" w:hAnsi="Times New Roman" w:cs="Times New Roman"/>
          <w:sz w:val="24"/>
          <w:szCs w:val="24"/>
        </w:rPr>
        <w:t>anchored in ICF ethics and human-in-the-loop architecture</w:t>
      </w:r>
      <w:r w:rsidR="001A2CA0" w:rsidRPr="009D7967">
        <w:rPr>
          <w:rFonts w:ascii="Times New Roman" w:hAnsi="Times New Roman" w:cs="Times New Roman"/>
          <w:sz w:val="24"/>
          <w:szCs w:val="24"/>
        </w:rPr>
        <w:t>,</w:t>
      </w:r>
      <w:r w:rsidR="00F17180" w:rsidRPr="009D7967">
        <w:rPr>
          <w:rFonts w:ascii="Times New Roman" w:hAnsi="Times New Roman" w:cs="Times New Roman"/>
          <w:sz w:val="24"/>
          <w:szCs w:val="24"/>
        </w:rPr>
        <w:t xml:space="preserve"> </w:t>
      </w:r>
      <w:r w:rsidRPr="009D7967">
        <w:rPr>
          <w:rFonts w:ascii="Times New Roman" w:hAnsi="Times New Roman" w:cs="Times New Roman"/>
          <w:sz w:val="24"/>
          <w:szCs w:val="24"/>
        </w:rPr>
        <w:t xml:space="preserve">ensures readiness for these evolving standards. </w:t>
      </w:r>
      <w:r w:rsidR="00165378" w:rsidRPr="009D7967">
        <w:rPr>
          <w:rFonts w:ascii="Times New Roman" w:hAnsi="Times New Roman" w:cs="Times New Roman"/>
          <w:sz w:val="24"/>
          <w:szCs w:val="24"/>
        </w:rPr>
        <w:t>,</w:t>
      </w:r>
      <w:r w:rsidRPr="009D7967">
        <w:rPr>
          <w:rFonts w:ascii="Times New Roman" w:hAnsi="Times New Roman" w:cs="Times New Roman"/>
          <w:sz w:val="24"/>
          <w:szCs w:val="24"/>
        </w:rPr>
        <w:t xml:space="preserve"> integrating reflective learning with </w:t>
      </w:r>
      <w:r w:rsidRPr="009D7967">
        <w:rPr>
          <w:rFonts w:ascii="Times New Roman" w:hAnsi="Times New Roman" w:cs="Times New Roman"/>
          <w:sz w:val="24"/>
          <w:szCs w:val="24"/>
        </w:rPr>
        <w:lastRenderedPageBreak/>
        <w:t>explainable AI, The Institute positions INSIGHTA as both a regional first mover and a globally responsible innovation that converts disruption into inclusive growth.</w:t>
      </w:r>
    </w:p>
    <w:p w14:paraId="7D29471C"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32" w:name="_Toc213223770"/>
      <w:bookmarkStart w:id="33" w:name="_Toc213589875"/>
      <w:r w:rsidRPr="009D7967">
        <w:rPr>
          <w:rFonts w:ascii="Times New Roman" w:hAnsi="Times New Roman" w:cs="Times New Roman"/>
          <w:sz w:val="24"/>
          <w:szCs w:val="24"/>
        </w:rPr>
        <w:t>3.5 Quantitative Summary and Expected Outcomes (USD)</w:t>
      </w:r>
      <w:bookmarkEnd w:id="32"/>
      <w:bookmarkEnd w:id="3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8"/>
        <w:gridCol w:w="1127"/>
        <w:gridCol w:w="1181"/>
        <w:gridCol w:w="1580"/>
        <w:gridCol w:w="3074"/>
      </w:tblGrid>
      <w:tr w:rsidR="00EE181C" w:rsidRPr="00EE181C" w14:paraId="109BF82D" w14:textId="77777777" w:rsidTr="00251660">
        <w:trPr>
          <w:tblHeader/>
          <w:tblCellSpacing w:w="15" w:type="dxa"/>
        </w:trPr>
        <w:tc>
          <w:tcPr>
            <w:tcW w:w="0" w:type="auto"/>
            <w:vAlign w:val="center"/>
            <w:hideMark/>
          </w:tcPr>
          <w:p w14:paraId="339A01F2"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Metric</w:t>
            </w:r>
          </w:p>
        </w:tc>
        <w:tc>
          <w:tcPr>
            <w:tcW w:w="0" w:type="auto"/>
            <w:vAlign w:val="center"/>
            <w:hideMark/>
          </w:tcPr>
          <w:p w14:paraId="364975A9"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2026 (Pilot)</w:t>
            </w:r>
          </w:p>
        </w:tc>
        <w:tc>
          <w:tcPr>
            <w:tcW w:w="0" w:type="auto"/>
            <w:vAlign w:val="center"/>
            <w:hideMark/>
          </w:tcPr>
          <w:p w14:paraId="3B339894"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2027 (Scale)</w:t>
            </w:r>
          </w:p>
        </w:tc>
        <w:tc>
          <w:tcPr>
            <w:tcW w:w="0" w:type="auto"/>
            <w:vAlign w:val="center"/>
            <w:hideMark/>
          </w:tcPr>
          <w:p w14:paraId="45714AD8"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2028 (Maturity)</w:t>
            </w:r>
          </w:p>
        </w:tc>
        <w:tc>
          <w:tcPr>
            <w:tcW w:w="0" w:type="auto"/>
            <w:vAlign w:val="center"/>
            <w:hideMark/>
          </w:tcPr>
          <w:p w14:paraId="26511B95"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Notes</w:t>
            </w:r>
          </w:p>
        </w:tc>
      </w:tr>
      <w:tr w:rsidR="00EE181C" w:rsidRPr="00EE181C" w14:paraId="50403294" w14:textId="77777777" w:rsidTr="00251660">
        <w:trPr>
          <w:tblCellSpacing w:w="15" w:type="dxa"/>
        </w:trPr>
        <w:tc>
          <w:tcPr>
            <w:tcW w:w="0" w:type="auto"/>
            <w:vAlign w:val="center"/>
            <w:hideMark/>
          </w:tcPr>
          <w:p w14:paraId="4A8C900B"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Total Users (INSIGHTA)</w:t>
            </w:r>
          </w:p>
        </w:tc>
        <w:tc>
          <w:tcPr>
            <w:tcW w:w="0" w:type="auto"/>
            <w:vAlign w:val="center"/>
            <w:hideMark/>
          </w:tcPr>
          <w:p w14:paraId="0D7ECA98"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2 000</w:t>
            </w:r>
          </w:p>
        </w:tc>
        <w:tc>
          <w:tcPr>
            <w:tcW w:w="0" w:type="auto"/>
            <w:vAlign w:val="center"/>
            <w:hideMark/>
          </w:tcPr>
          <w:p w14:paraId="542EDF77"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12 000</w:t>
            </w:r>
          </w:p>
        </w:tc>
        <w:tc>
          <w:tcPr>
            <w:tcW w:w="0" w:type="auto"/>
            <w:vAlign w:val="center"/>
            <w:hideMark/>
          </w:tcPr>
          <w:p w14:paraId="253FC58E"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30 000</w:t>
            </w:r>
          </w:p>
        </w:tc>
        <w:tc>
          <w:tcPr>
            <w:tcW w:w="0" w:type="auto"/>
            <w:vAlign w:val="center"/>
            <w:hideMark/>
          </w:tcPr>
          <w:p w14:paraId="1A8A8C97"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Organic + enterprise subscriptions</w:t>
            </w:r>
          </w:p>
        </w:tc>
      </w:tr>
      <w:tr w:rsidR="00EE181C" w:rsidRPr="00EE181C" w14:paraId="6DF4552D" w14:textId="77777777" w:rsidTr="00251660">
        <w:trPr>
          <w:tblCellSpacing w:w="15" w:type="dxa"/>
        </w:trPr>
        <w:tc>
          <w:tcPr>
            <w:tcW w:w="0" w:type="auto"/>
            <w:vAlign w:val="center"/>
            <w:hideMark/>
          </w:tcPr>
          <w:p w14:paraId="49E13AAC"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Revenue (USD M)</w:t>
            </w:r>
          </w:p>
        </w:tc>
        <w:tc>
          <w:tcPr>
            <w:tcW w:w="0" w:type="auto"/>
            <w:vAlign w:val="center"/>
            <w:hideMark/>
          </w:tcPr>
          <w:p w14:paraId="6094A955"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0.8</w:t>
            </w:r>
          </w:p>
        </w:tc>
        <w:tc>
          <w:tcPr>
            <w:tcW w:w="0" w:type="auto"/>
            <w:vAlign w:val="center"/>
            <w:hideMark/>
          </w:tcPr>
          <w:p w14:paraId="4230FB58"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5.5</w:t>
            </w:r>
          </w:p>
        </w:tc>
        <w:tc>
          <w:tcPr>
            <w:tcW w:w="0" w:type="auto"/>
            <w:vAlign w:val="center"/>
            <w:hideMark/>
          </w:tcPr>
          <w:p w14:paraId="6C273429"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13.2</w:t>
            </w:r>
          </w:p>
        </w:tc>
        <w:tc>
          <w:tcPr>
            <w:tcW w:w="0" w:type="auto"/>
            <w:vAlign w:val="center"/>
            <w:hideMark/>
          </w:tcPr>
          <w:p w14:paraId="3708F6E4"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Subscription and advisory combined</w:t>
            </w:r>
          </w:p>
        </w:tc>
      </w:tr>
      <w:tr w:rsidR="00EE181C" w:rsidRPr="00EE181C" w14:paraId="05CFA62E" w14:textId="77777777" w:rsidTr="00251660">
        <w:trPr>
          <w:tblCellSpacing w:w="15" w:type="dxa"/>
        </w:trPr>
        <w:tc>
          <w:tcPr>
            <w:tcW w:w="0" w:type="auto"/>
            <w:vAlign w:val="center"/>
            <w:hideMark/>
          </w:tcPr>
          <w:p w14:paraId="5174A312"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Operating Cost (USD M)</w:t>
            </w:r>
          </w:p>
        </w:tc>
        <w:tc>
          <w:tcPr>
            <w:tcW w:w="0" w:type="auto"/>
            <w:vAlign w:val="center"/>
            <w:hideMark/>
          </w:tcPr>
          <w:p w14:paraId="02A0CFF8"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1.5</w:t>
            </w:r>
          </w:p>
        </w:tc>
        <w:tc>
          <w:tcPr>
            <w:tcW w:w="0" w:type="auto"/>
            <w:vAlign w:val="center"/>
            <w:hideMark/>
          </w:tcPr>
          <w:p w14:paraId="6E571C2E"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3.2</w:t>
            </w:r>
          </w:p>
        </w:tc>
        <w:tc>
          <w:tcPr>
            <w:tcW w:w="0" w:type="auto"/>
            <w:vAlign w:val="center"/>
            <w:hideMark/>
          </w:tcPr>
          <w:p w14:paraId="1EE10EAC"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5.0</w:t>
            </w:r>
          </w:p>
        </w:tc>
        <w:tc>
          <w:tcPr>
            <w:tcW w:w="0" w:type="auto"/>
            <w:vAlign w:val="center"/>
            <w:hideMark/>
          </w:tcPr>
          <w:p w14:paraId="3AFC8D90"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Development, staff, marketing</w:t>
            </w:r>
          </w:p>
        </w:tc>
      </w:tr>
      <w:tr w:rsidR="00EE181C" w:rsidRPr="00EE181C" w14:paraId="201F490C" w14:textId="77777777" w:rsidTr="00251660">
        <w:trPr>
          <w:tblCellSpacing w:w="15" w:type="dxa"/>
        </w:trPr>
        <w:tc>
          <w:tcPr>
            <w:tcW w:w="0" w:type="auto"/>
            <w:vAlign w:val="center"/>
            <w:hideMark/>
          </w:tcPr>
          <w:p w14:paraId="0A26F686"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EBITDA (USD M)</w:t>
            </w:r>
          </w:p>
        </w:tc>
        <w:tc>
          <w:tcPr>
            <w:tcW w:w="0" w:type="auto"/>
            <w:vAlign w:val="center"/>
            <w:hideMark/>
          </w:tcPr>
          <w:p w14:paraId="13CC34EB"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-0.7</w:t>
            </w:r>
          </w:p>
        </w:tc>
        <w:tc>
          <w:tcPr>
            <w:tcW w:w="0" w:type="auto"/>
            <w:vAlign w:val="center"/>
            <w:hideMark/>
          </w:tcPr>
          <w:p w14:paraId="1C16E4BA"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2.3</w:t>
            </w:r>
          </w:p>
        </w:tc>
        <w:tc>
          <w:tcPr>
            <w:tcW w:w="0" w:type="auto"/>
            <w:vAlign w:val="center"/>
            <w:hideMark/>
          </w:tcPr>
          <w:p w14:paraId="355186BE"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8.2</w:t>
            </w:r>
          </w:p>
        </w:tc>
        <w:tc>
          <w:tcPr>
            <w:tcW w:w="0" w:type="auto"/>
            <w:vAlign w:val="center"/>
            <w:hideMark/>
          </w:tcPr>
          <w:p w14:paraId="13AAF254"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Break-even mid-2027</w:t>
            </w:r>
          </w:p>
        </w:tc>
      </w:tr>
      <w:tr w:rsidR="00EE181C" w:rsidRPr="00EE181C" w14:paraId="347307EF" w14:textId="77777777" w:rsidTr="00251660">
        <w:trPr>
          <w:tblCellSpacing w:w="15" w:type="dxa"/>
        </w:trPr>
        <w:tc>
          <w:tcPr>
            <w:tcW w:w="0" w:type="auto"/>
            <w:vAlign w:val="center"/>
            <w:hideMark/>
          </w:tcPr>
          <w:p w14:paraId="6B42249A"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ROI (3-Year)</w:t>
            </w:r>
          </w:p>
        </w:tc>
        <w:tc>
          <w:tcPr>
            <w:tcW w:w="0" w:type="auto"/>
            <w:vAlign w:val="center"/>
            <w:hideMark/>
          </w:tcPr>
          <w:p w14:paraId="63832094"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w:t>
            </w:r>
          </w:p>
        </w:tc>
        <w:tc>
          <w:tcPr>
            <w:tcW w:w="0" w:type="auto"/>
            <w:vAlign w:val="center"/>
            <w:hideMark/>
          </w:tcPr>
          <w:p w14:paraId="3885B8B0"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w:t>
            </w:r>
          </w:p>
        </w:tc>
        <w:tc>
          <w:tcPr>
            <w:tcW w:w="0" w:type="auto"/>
            <w:vAlign w:val="center"/>
            <w:hideMark/>
          </w:tcPr>
          <w:p w14:paraId="7D0B197E"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185 %</w:t>
            </w:r>
          </w:p>
        </w:tc>
        <w:tc>
          <w:tcPr>
            <w:tcW w:w="0" w:type="auto"/>
            <w:vAlign w:val="center"/>
            <w:hideMark/>
          </w:tcPr>
          <w:p w14:paraId="2DDDE3A5" w14:textId="77777777" w:rsidR="00984D79" w:rsidRPr="00EE181C" w:rsidRDefault="000140B5" w:rsidP="0001618A">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Based on cumulative net returns</w:t>
            </w:r>
          </w:p>
        </w:tc>
      </w:tr>
    </w:tbl>
    <w:p w14:paraId="3C04313E"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Source: Author’s financial modeling (2025) using industry benchmarks from ICF and McKinsey &amp; Company (2024a; 2024b).</w:t>
      </w:r>
    </w:p>
    <w:p w14:paraId="07E1F410" w14:textId="77777777" w:rsidR="0030391F" w:rsidRPr="009D7967" w:rsidRDefault="007E4B2A">
      <w:pPr>
        <w:rPr>
          <w:rFonts w:ascii="Times New Roman" w:hAnsi="Times New Roman" w:cs="Times New Roman"/>
          <w:sz w:val="24"/>
          <w:szCs w:val="24"/>
        </w:rPr>
      </w:pPr>
      <w:r w:rsidRPr="009D7967">
        <w:rPr>
          <w:rFonts w:ascii="Times New Roman" w:hAnsi="Times New Roman" w:cs="Times New Roman"/>
          <w:sz w:val="24"/>
          <w:szCs w:val="24"/>
        </w:rPr>
        <w:t>Behavioral ROI: In addition to financial gains, INSIGHTA’s integration of I² and RCA enables quantification of behavioral ROI, tracking a +15% increase in Influence and Adaptability Index across users by 2028, reinforcing measurable leadership transformation.</w:t>
      </w:r>
    </w:p>
    <w:p w14:paraId="025CC9CE"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These projections indicate financial viability within three years, supported by recurring digital revenue and lower marginal costs relative to human-only consulting.</w:t>
      </w:r>
    </w:p>
    <w:p w14:paraId="3CB69BF5"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34" w:name="_Toc213223771"/>
      <w:bookmarkStart w:id="35" w:name="_Toc213589876"/>
      <w:r w:rsidRPr="009D7967">
        <w:rPr>
          <w:rFonts w:ascii="Times New Roman" w:hAnsi="Times New Roman" w:cs="Times New Roman"/>
          <w:sz w:val="24"/>
          <w:szCs w:val="24"/>
        </w:rPr>
        <w:t>3.6 Alignment with Theoretical Foundations</w:t>
      </w:r>
      <w:bookmarkEnd w:id="34"/>
      <w:bookmarkEnd w:id="35"/>
    </w:p>
    <w:p w14:paraId="4489E1B8"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proposed model translates theory into practice:</w:t>
      </w:r>
    </w:p>
    <w:p w14:paraId="78A526E8" w14:textId="77777777" w:rsidR="00984D79" w:rsidRPr="009D7967" w:rsidRDefault="000140B5" w:rsidP="00EE181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Strategic Ambidexterity: simultaneous exploitation (regional delivery) and exploration (digital innovation).</w:t>
      </w:r>
    </w:p>
    <w:p w14:paraId="72D29507" w14:textId="77777777" w:rsidR="00984D79" w:rsidRPr="009D7967" w:rsidRDefault="000140B5" w:rsidP="00EE181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Human-in-the-</w:t>
      </w:r>
      <w:r w:rsidR="006F1FDE" w:rsidRPr="009D7967">
        <w:rPr>
          <w:rFonts w:ascii="Times New Roman" w:hAnsi="Times New Roman" w:cs="Times New Roman"/>
          <w:sz w:val="24"/>
          <w:szCs w:val="24"/>
        </w:rPr>
        <w:t>Loop AI</w:t>
      </w:r>
      <w:r w:rsidRPr="009D7967">
        <w:rPr>
          <w:rFonts w:ascii="Times New Roman" w:hAnsi="Times New Roman" w:cs="Times New Roman"/>
          <w:sz w:val="24"/>
          <w:szCs w:val="24"/>
        </w:rPr>
        <w:t xml:space="preserve"> ensures ethical transparency and coach oversight (Westerman, 2023).</w:t>
      </w:r>
    </w:p>
    <w:p w14:paraId="13AC2C66" w14:textId="77777777" w:rsidR="00984D79" w:rsidRPr="009D7967" w:rsidRDefault="000140B5" w:rsidP="00EE181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Psychological Safety: promotes user trust and openness (Edmondson, 2021).</w:t>
      </w:r>
    </w:p>
    <w:p w14:paraId="4F300C76" w14:textId="77777777" w:rsidR="00984D79" w:rsidRPr="009D7967" w:rsidRDefault="000140B5" w:rsidP="00EE181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Cross-Cultural Adaptation: reflects Hofstede’s dimensions and regional expectations (Raja, 2022).</w:t>
      </w:r>
    </w:p>
    <w:p w14:paraId="015AE8AE" w14:textId="77777777" w:rsidR="00984D79" w:rsidRPr="009D7967" w:rsidRDefault="000140B5" w:rsidP="00EE181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Learning Organization: continuous reflection through CPSF loops (Schein &amp; Schein, 2017).</w:t>
      </w:r>
    </w:p>
    <w:p w14:paraId="01AAAC33" w14:textId="53B76FE0" w:rsidR="00600AD9" w:rsidRPr="009D7967" w:rsidRDefault="000140B5" w:rsidP="009D7967">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By embedding these principles, </w:t>
      </w:r>
      <w:r w:rsidR="00BB1840" w:rsidRPr="009D7967">
        <w:rPr>
          <w:rFonts w:ascii="Times New Roman" w:hAnsi="Times New Roman" w:cs="Times New Roman"/>
          <w:sz w:val="24"/>
          <w:szCs w:val="24"/>
        </w:rPr>
        <w:t>T</w:t>
      </w:r>
      <w:r w:rsidRPr="009D7967">
        <w:rPr>
          <w:rFonts w:ascii="Times New Roman" w:hAnsi="Times New Roman" w:cs="Times New Roman"/>
          <w:sz w:val="24"/>
          <w:szCs w:val="24"/>
        </w:rPr>
        <w:t>he Institute and INSIGHTA together represent a scalable, ethical, and financially sustainable model for humanizing innovation across global markets.</w:t>
      </w:r>
      <w:r>
        <w:br/>
      </w:r>
    </w:p>
    <w:p w14:paraId="17B3AC2D" w14:textId="3F4BD930" w:rsidR="00984D79" w:rsidRPr="009D7967" w:rsidRDefault="000B757F" w:rsidP="00FE451A">
      <w:pPr>
        <w:rPr>
          <w:rFonts w:ascii="Times New Roman" w:hAnsi="Times New Roman" w:cs="Times New Roman"/>
          <w:sz w:val="24"/>
          <w:szCs w:val="24"/>
        </w:rPr>
      </w:pPr>
      <w:r>
        <w:br w:type="page"/>
      </w:r>
      <w:r w:rsidR="000140B5" w:rsidRPr="009D7967">
        <w:rPr>
          <w:rFonts w:ascii="Times New Roman" w:hAnsi="Times New Roman" w:cs="Times New Roman"/>
          <w:sz w:val="24"/>
          <w:szCs w:val="24"/>
        </w:rPr>
        <w:lastRenderedPageBreak/>
        <w:t>Chapter 4: Implementation and Operational Roadmap</w:t>
      </w:r>
    </w:p>
    <w:p w14:paraId="62E10BD2" w14:textId="77777777" w:rsidR="00984D79" w:rsidRPr="009D7967" w:rsidRDefault="000140B5" w:rsidP="00EE181C">
      <w:pPr>
        <w:spacing w:before="100" w:beforeAutospacing="1" w:after="100" w:afterAutospacing="1" w:line="240" w:lineRule="auto"/>
        <w:outlineLvl w:val="2"/>
        <w:rPr>
          <w:rFonts w:ascii="Times New Roman" w:hAnsi="Times New Roman" w:cs="Times New Roman"/>
          <w:sz w:val="24"/>
          <w:szCs w:val="24"/>
        </w:rPr>
      </w:pPr>
      <w:bookmarkStart w:id="36" w:name="_Toc213223772"/>
      <w:bookmarkStart w:id="37" w:name="_Toc213589877"/>
      <w:r w:rsidRPr="009D7967">
        <w:rPr>
          <w:rFonts w:ascii="Times New Roman" w:hAnsi="Times New Roman" w:cs="Times New Roman"/>
          <w:sz w:val="24"/>
          <w:szCs w:val="24"/>
        </w:rPr>
        <w:t>4.1 Overview</w:t>
      </w:r>
      <w:bookmarkEnd w:id="36"/>
      <w:bookmarkEnd w:id="37"/>
    </w:p>
    <w:p w14:paraId="1AA1425E" w14:textId="4F34EFE1" w:rsidR="00471B88" w:rsidRPr="009D7967" w:rsidRDefault="00471B88" w:rsidP="00EE181C">
      <w:pPr>
        <w:spacing w:before="100" w:beforeAutospacing="1" w:after="100" w:afterAutospacing="1" w:line="240" w:lineRule="auto"/>
        <w:outlineLvl w:val="2"/>
        <w:rPr>
          <w:rFonts w:ascii="Times New Roman" w:eastAsia="Times New Roman" w:hAnsi="Times New Roman" w:cs="Times New Roman"/>
          <w:b/>
          <w:bCs/>
          <w:sz w:val="24"/>
          <w:szCs w:val="24"/>
        </w:rPr>
      </w:pPr>
      <w:r w:rsidRPr="009D7967">
        <w:rPr>
          <w:rFonts w:ascii="Times New Roman" w:hAnsi="Times New Roman" w:cs="Times New Roman"/>
          <w:sz w:val="24"/>
          <w:szCs w:val="24"/>
        </w:rPr>
        <w:t>Delivering the dual strategy requires disciplined implementation, phased market entry, and strong ethical governance. This roadmap integrates financial rigor, CPSF-based learning, and regional cultural adaptation across the period of 2026–2028.</w:t>
      </w:r>
    </w:p>
    <w:p w14:paraId="6E8F698D"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Successful realization of The Institute’s dual innovation strategy depends on disciplined implementation that fuses strategic clarity, financial prudence, and adaptive learning. This chapter presents the phased roadmap for establishing The Institute Middle East Hub and deploying the INSIGHTA platform between 2026 and 2028, integrating governance, finance, and sustainability mechanisms. The roadmap aligns with The Institute’s 2026–2030 Strategic Plan and embeds the Collaborative Problem-Solving Framework (CPSF) as the project’s governance spine.</w:t>
      </w:r>
    </w:p>
    <w:p w14:paraId="0ED14681"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38" w:name="_Toc213223773"/>
      <w:bookmarkStart w:id="39" w:name="_Toc213589878"/>
      <w:r w:rsidRPr="009D7967">
        <w:rPr>
          <w:rFonts w:ascii="Times New Roman" w:hAnsi="Times New Roman" w:cs="Times New Roman"/>
          <w:sz w:val="24"/>
          <w:szCs w:val="24"/>
        </w:rPr>
        <w:t>4.2 Implementation Phases</w:t>
      </w:r>
      <w:bookmarkEnd w:id="38"/>
      <w:bookmarkEnd w:id="3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3"/>
        <w:gridCol w:w="1064"/>
        <w:gridCol w:w="4404"/>
        <w:gridCol w:w="1789"/>
      </w:tblGrid>
      <w:tr w:rsidR="00EE181C" w:rsidRPr="00EE181C" w14:paraId="184E76D3" w14:textId="77777777" w:rsidTr="0020730D">
        <w:trPr>
          <w:tblHeader/>
          <w:tblCellSpacing w:w="15" w:type="dxa"/>
        </w:trPr>
        <w:tc>
          <w:tcPr>
            <w:tcW w:w="0" w:type="auto"/>
            <w:vAlign w:val="center"/>
            <w:hideMark/>
          </w:tcPr>
          <w:p w14:paraId="0D8A7525"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Phase</w:t>
            </w:r>
          </w:p>
        </w:tc>
        <w:tc>
          <w:tcPr>
            <w:tcW w:w="0" w:type="auto"/>
            <w:vAlign w:val="center"/>
            <w:hideMark/>
          </w:tcPr>
          <w:p w14:paraId="13BCBB59"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Timeline</w:t>
            </w:r>
          </w:p>
        </w:tc>
        <w:tc>
          <w:tcPr>
            <w:tcW w:w="0" w:type="auto"/>
            <w:vAlign w:val="center"/>
            <w:hideMark/>
          </w:tcPr>
          <w:p w14:paraId="4A6C13EE"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Core Activities</w:t>
            </w:r>
          </w:p>
        </w:tc>
        <w:tc>
          <w:tcPr>
            <w:tcW w:w="0" w:type="auto"/>
            <w:vAlign w:val="center"/>
            <w:hideMark/>
          </w:tcPr>
          <w:p w14:paraId="2F45800E"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Key Outputs</w:t>
            </w:r>
          </w:p>
        </w:tc>
      </w:tr>
      <w:tr w:rsidR="00EE181C" w:rsidRPr="00EE181C" w14:paraId="793DFD8C" w14:textId="77777777" w:rsidTr="0020730D">
        <w:trPr>
          <w:tblCellSpacing w:w="15" w:type="dxa"/>
        </w:trPr>
        <w:tc>
          <w:tcPr>
            <w:tcW w:w="0" w:type="auto"/>
            <w:vAlign w:val="center"/>
            <w:hideMark/>
          </w:tcPr>
          <w:p w14:paraId="1531390C"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Phase 1 – Foundation &amp; Feasibility</w:t>
            </w:r>
          </w:p>
        </w:tc>
        <w:tc>
          <w:tcPr>
            <w:tcW w:w="0" w:type="auto"/>
            <w:vAlign w:val="center"/>
            <w:hideMark/>
          </w:tcPr>
          <w:p w14:paraId="1C664446"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Q1–Q4 2026</w:t>
            </w:r>
          </w:p>
        </w:tc>
        <w:tc>
          <w:tcPr>
            <w:tcW w:w="0" w:type="auto"/>
            <w:vAlign w:val="center"/>
            <w:hideMark/>
          </w:tcPr>
          <w:p w14:paraId="1A55ECC7"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 xml:space="preserve">Market entry research (Egypt focus), regulatory filings, partnership </w:t>
            </w:r>
            <w:proofErr w:type="spellStart"/>
            <w:r w:rsidRPr="00EE181C">
              <w:rPr>
                <w:rFonts w:ascii="Times New Roman" w:eastAsia="Times New Roman" w:hAnsi="Times New Roman" w:cs="Times New Roman"/>
                <w:sz w:val="24"/>
                <w:szCs w:val="24"/>
              </w:rPr>
              <w:t>MoUs</w:t>
            </w:r>
            <w:proofErr w:type="spellEnd"/>
            <w:r w:rsidRPr="00EE181C">
              <w:rPr>
                <w:rFonts w:ascii="Times New Roman" w:eastAsia="Times New Roman" w:hAnsi="Times New Roman" w:cs="Times New Roman"/>
                <w:sz w:val="24"/>
                <w:szCs w:val="24"/>
              </w:rPr>
              <w:t xml:space="preserve"> with universities and corporates, MVP development for INSIGHTA</w:t>
            </w:r>
          </w:p>
        </w:tc>
        <w:tc>
          <w:tcPr>
            <w:tcW w:w="0" w:type="auto"/>
            <w:vAlign w:val="center"/>
            <w:hideMark/>
          </w:tcPr>
          <w:p w14:paraId="6D693C5F"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Feasibility Report and Prototype v1</w:t>
            </w:r>
          </w:p>
        </w:tc>
      </w:tr>
      <w:tr w:rsidR="00EE181C" w:rsidRPr="00EE181C" w14:paraId="7A9B784D" w14:textId="77777777" w:rsidTr="0020730D">
        <w:trPr>
          <w:tblCellSpacing w:w="15" w:type="dxa"/>
        </w:trPr>
        <w:tc>
          <w:tcPr>
            <w:tcW w:w="0" w:type="auto"/>
            <w:vAlign w:val="center"/>
            <w:hideMark/>
          </w:tcPr>
          <w:p w14:paraId="5A34D992"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Phase 2 – Launch &amp; Regional Hub Setup</w:t>
            </w:r>
          </w:p>
        </w:tc>
        <w:tc>
          <w:tcPr>
            <w:tcW w:w="0" w:type="auto"/>
            <w:vAlign w:val="center"/>
            <w:hideMark/>
          </w:tcPr>
          <w:p w14:paraId="388B9DAA"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Q1–Q4 2027</w:t>
            </w:r>
          </w:p>
        </w:tc>
        <w:tc>
          <w:tcPr>
            <w:tcW w:w="0" w:type="auto"/>
            <w:vAlign w:val="center"/>
            <w:hideMark/>
          </w:tcPr>
          <w:p w14:paraId="5F2C649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 xml:space="preserve">Establish Dubai headquarters, hire regional teams, pilot INSIGHTA with </w:t>
            </w:r>
            <w:r>
              <w:rPr>
                <w:rFonts w:ascii="Times New Roman" w:eastAsia="Times New Roman" w:hAnsi="Times New Roman" w:cs="Times New Roman"/>
                <w:sz w:val="24"/>
                <w:szCs w:val="24"/>
              </w:rPr>
              <w:t>2,000</w:t>
            </w:r>
            <w:r w:rsidRPr="00EE181C">
              <w:rPr>
                <w:rFonts w:ascii="Times New Roman" w:eastAsia="Times New Roman" w:hAnsi="Times New Roman" w:cs="Times New Roman"/>
                <w:sz w:val="24"/>
                <w:szCs w:val="24"/>
              </w:rPr>
              <w:t xml:space="preserve"> users, initiate revenue generation via subscriptions and advisory programs</w:t>
            </w:r>
          </w:p>
        </w:tc>
        <w:tc>
          <w:tcPr>
            <w:tcW w:w="0" w:type="auto"/>
            <w:vAlign w:val="center"/>
            <w:hideMark/>
          </w:tcPr>
          <w:p w14:paraId="451CBD6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Operational Hub and Pilot Evaluation</w:t>
            </w:r>
          </w:p>
        </w:tc>
      </w:tr>
      <w:tr w:rsidR="00EE181C" w:rsidRPr="00EE181C" w14:paraId="098093EF" w14:textId="77777777" w:rsidTr="0020730D">
        <w:trPr>
          <w:tblCellSpacing w:w="15" w:type="dxa"/>
        </w:trPr>
        <w:tc>
          <w:tcPr>
            <w:tcW w:w="0" w:type="auto"/>
            <w:vAlign w:val="center"/>
            <w:hideMark/>
          </w:tcPr>
          <w:p w14:paraId="39631849"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Phase 3 – Scale &amp; Optimization</w:t>
            </w:r>
          </w:p>
        </w:tc>
        <w:tc>
          <w:tcPr>
            <w:tcW w:w="0" w:type="auto"/>
            <w:vAlign w:val="center"/>
            <w:hideMark/>
          </w:tcPr>
          <w:p w14:paraId="29A77B2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Q1–Q4 2028</w:t>
            </w:r>
          </w:p>
        </w:tc>
        <w:tc>
          <w:tcPr>
            <w:tcW w:w="0" w:type="auto"/>
            <w:vAlign w:val="center"/>
            <w:hideMark/>
          </w:tcPr>
          <w:p w14:paraId="192CE183"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 xml:space="preserve">Enter Saudi Arabia, integrate data analytics dashboards, reach </w:t>
            </w:r>
            <w:r>
              <w:rPr>
                <w:rFonts w:ascii="Times New Roman" w:eastAsia="Times New Roman" w:hAnsi="Times New Roman" w:cs="Times New Roman"/>
                <w:sz w:val="24"/>
                <w:szCs w:val="24"/>
              </w:rPr>
              <w:t>30,000</w:t>
            </w:r>
            <w:r w:rsidRPr="00EE181C">
              <w:rPr>
                <w:rFonts w:ascii="Times New Roman" w:eastAsia="Times New Roman" w:hAnsi="Times New Roman" w:cs="Times New Roman"/>
                <w:sz w:val="24"/>
                <w:szCs w:val="24"/>
              </w:rPr>
              <w:t xml:space="preserve"> users, </w:t>
            </w:r>
            <w:r>
              <w:rPr>
                <w:rFonts w:ascii="Times New Roman" w:eastAsia="Times New Roman" w:hAnsi="Times New Roman" w:cs="Times New Roman"/>
                <w:sz w:val="24"/>
                <w:szCs w:val="24"/>
              </w:rPr>
              <w:t xml:space="preserve">and </w:t>
            </w:r>
            <w:r w:rsidRPr="00EE181C">
              <w:rPr>
                <w:rFonts w:ascii="Times New Roman" w:eastAsia="Times New Roman" w:hAnsi="Times New Roman" w:cs="Times New Roman"/>
                <w:sz w:val="24"/>
                <w:szCs w:val="24"/>
              </w:rPr>
              <w:t>achieve positive EBITDA</w:t>
            </w:r>
          </w:p>
        </w:tc>
        <w:tc>
          <w:tcPr>
            <w:tcW w:w="0" w:type="auto"/>
            <w:vAlign w:val="center"/>
            <w:hideMark/>
          </w:tcPr>
          <w:p w14:paraId="69D41D9A"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Regional Scaling and ROI Report</w:t>
            </w:r>
          </w:p>
        </w:tc>
      </w:tr>
    </w:tbl>
    <w:p w14:paraId="24B7FC63"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Each phase incorporates After-Action Reviews (AARs) and quarterly performance dialogues to ensure continuous learning and risk mitigation.</w:t>
      </w:r>
    </w:p>
    <w:p w14:paraId="415A1D29"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40" w:name="_Toc213223774"/>
      <w:bookmarkStart w:id="41" w:name="_Toc213589879"/>
      <w:r w:rsidRPr="009D7967">
        <w:rPr>
          <w:rFonts w:ascii="Times New Roman" w:hAnsi="Times New Roman" w:cs="Times New Roman"/>
          <w:sz w:val="24"/>
          <w:szCs w:val="24"/>
        </w:rPr>
        <w:t>4.3 Governance and Decision Rights</w:t>
      </w:r>
      <w:bookmarkEnd w:id="40"/>
      <w:bookmarkEnd w:id="41"/>
    </w:p>
    <w:p w14:paraId="391D7467"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Governance mirrors the structure validated in LO4’s CPSF model but adapted to an international scale.</w:t>
      </w:r>
    </w:p>
    <w:p w14:paraId="3A076A56" w14:textId="77777777" w:rsidR="00984D79" w:rsidRPr="00EE181C"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Strategic Council: based at The Institute Global; approves capital expenditure, monitors ethics compliance, and ensures strategic alignment.</w:t>
      </w:r>
      <w:r w:rsidRPr="009D7967">
        <w:rPr>
          <w:rFonts w:ascii="Times New Roman" w:hAnsi="Times New Roman" w:cs="Times New Roman"/>
          <w:sz w:val="24"/>
          <w:szCs w:val="24"/>
        </w:rPr>
        <w:br/>
        <w:t>Regional Executive Committee: located in Dubai; oversees daily operations, partnerships, and localized risk registers.</w:t>
      </w:r>
      <w:r w:rsidRPr="009D7967">
        <w:rPr>
          <w:rFonts w:ascii="Times New Roman" w:hAnsi="Times New Roman" w:cs="Times New Roman"/>
          <w:sz w:val="24"/>
          <w:szCs w:val="24"/>
        </w:rPr>
        <w:br/>
        <w:t>Ethics &amp; AI Oversight Board: independent experts and ICF-certified coaches auditing algorithmic fairness, data privacy, and cultural inclusivity.</w:t>
      </w:r>
    </w:p>
    <w:p w14:paraId="62D6EDF5" w14:textId="12CE2E6B" w:rsidR="00CB416B" w:rsidRPr="009D7967" w:rsidRDefault="0087699A">
      <w:pPr>
        <w:rPr>
          <w:rFonts w:ascii="Times New Roman" w:hAnsi="Times New Roman" w:cs="Times New Roman"/>
          <w:sz w:val="24"/>
          <w:szCs w:val="24"/>
        </w:rPr>
      </w:pPr>
      <w:r>
        <w:br w:type="page"/>
      </w:r>
      <w:r w:rsidR="00A83148" w:rsidRPr="009D7967">
        <w:rPr>
          <w:rFonts w:ascii="Times New Roman" w:hAnsi="Times New Roman" w:cs="Times New Roman"/>
          <w:sz w:val="24"/>
          <w:szCs w:val="24"/>
        </w:rPr>
        <w:lastRenderedPageBreak/>
        <w:t>As shown in Figure 3, the governance structure provides transparency, inclusivity, and accountability across all regions.</w:t>
      </w:r>
    </w:p>
    <w:p w14:paraId="6A73B5FB" w14:textId="77777777" w:rsidR="00984D79" w:rsidRPr="009D7967" w:rsidRDefault="000140B5" w:rsidP="00EE181C">
      <w:pPr>
        <w:spacing w:before="100" w:beforeAutospacing="1" w:after="100" w:afterAutospacing="1" w:line="240" w:lineRule="auto"/>
        <w:outlineLvl w:val="3"/>
        <w:rPr>
          <w:rFonts w:ascii="Times New Roman" w:eastAsia="Times New Roman" w:hAnsi="Times New Roman" w:cs="Times New Roman"/>
          <w:b/>
          <w:bCs/>
          <w:sz w:val="24"/>
          <w:szCs w:val="24"/>
        </w:rPr>
      </w:pPr>
      <w:r w:rsidRPr="009D7967">
        <w:rPr>
          <w:rFonts w:ascii="Times New Roman" w:hAnsi="Times New Roman" w:cs="Times New Roman"/>
          <w:sz w:val="24"/>
          <w:szCs w:val="24"/>
        </w:rPr>
        <w:t xml:space="preserve">Figure </w:t>
      </w:r>
      <w:r w:rsidR="00E746D7" w:rsidRPr="009D7967">
        <w:rPr>
          <w:rFonts w:ascii="Times New Roman" w:hAnsi="Times New Roman" w:cs="Times New Roman"/>
          <w:sz w:val="24"/>
          <w:szCs w:val="24"/>
        </w:rPr>
        <w:t>3</w:t>
      </w:r>
      <w:r w:rsidRPr="009D7967">
        <w:rPr>
          <w:rFonts w:ascii="Times New Roman" w:hAnsi="Times New Roman" w:cs="Times New Roman"/>
          <w:sz w:val="24"/>
          <w:szCs w:val="24"/>
        </w:rPr>
        <w:t>: The Institute Middle East Expansion and Governance Framework</w:t>
      </w:r>
    </w:p>
    <w:p w14:paraId="74194030"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Global Strategy Council</w:t>
      </w:r>
    </w:p>
    <w:p w14:paraId="07C061C2"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w:t>
      </w:r>
    </w:p>
    <w:p w14:paraId="7A730DBD"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w:t>
      </w:r>
    </w:p>
    <w:p w14:paraId="2AE309B1"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Regional Executive Committee – Dubai Hub</w:t>
      </w:r>
    </w:p>
    <w:p w14:paraId="62F792DB"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w:t>
      </w:r>
    </w:p>
    <w:p w14:paraId="4EC9C74E" w14:textId="676A40E0"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w:t>
      </w:r>
      <w:r w:rsidR="00004744">
        <w:rPr>
          <w:rFonts w:ascii="Courier New" w:eastAsia="Times New Roman" w:hAnsi="Courier New" w:cs="Courier New"/>
          <w:b/>
          <w:bCs/>
          <w:sz w:val="20"/>
          <w:szCs w:val="20"/>
        </w:rPr>
        <w:t>----------------------</w:t>
      </w:r>
      <w:r w:rsidR="00B46F77">
        <w:rPr>
          <w:rFonts w:ascii="Courier New" w:eastAsia="Times New Roman" w:hAnsi="Courier New" w:cs="Courier New"/>
          <w:b/>
          <w:bCs/>
          <w:sz w:val="20"/>
          <w:szCs w:val="20"/>
        </w:rPr>
        <w:t>-----------</w:t>
      </w:r>
      <w:r w:rsidRPr="004C286D">
        <w:rPr>
          <w:rFonts w:ascii="Courier New" w:eastAsia="Times New Roman" w:hAnsi="Courier New" w:cs="Courier New"/>
          <w:b/>
          <w:bCs/>
          <w:sz w:val="20"/>
          <w:szCs w:val="20"/>
        </w:rPr>
        <w:t>┐</w:t>
      </w:r>
    </w:p>
    <w:p w14:paraId="2DEFDCD2" w14:textId="6DD1964F"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      </w:t>
      </w:r>
      <w:r w:rsidR="002A3B31">
        <w:rPr>
          <w:rFonts w:ascii="Courier New" w:eastAsia="Times New Roman" w:hAnsi="Courier New" w:cs="Courier New"/>
          <w:b/>
          <w:bCs/>
          <w:sz w:val="20"/>
          <w:szCs w:val="20"/>
        </w:rPr>
        <w:t xml:space="preserve">                    </w:t>
      </w:r>
      <w:r w:rsidRPr="004C286D">
        <w:rPr>
          <w:rFonts w:ascii="Courier New" w:eastAsia="Times New Roman" w:hAnsi="Courier New" w:cs="Courier New"/>
          <w:b/>
          <w:bCs/>
          <w:sz w:val="20"/>
          <w:szCs w:val="20"/>
        </w:rPr>
        <w:t xml:space="preserve">│              </w:t>
      </w:r>
      <w:r w:rsidR="00B46F77">
        <w:rPr>
          <w:rFonts w:ascii="Courier New" w:eastAsia="Times New Roman" w:hAnsi="Courier New" w:cs="Courier New"/>
          <w:b/>
          <w:bCs/>
          <w:sz w:val="20"/>
          <w:szCs w:val="20"/>
        </w:rPr>
        <w:t xml:space="preserve">             </w:t>
      </w:r>
      <w:r w:rsidRPr="004C286D">
        <w:rPr>
          <w:rFonts w:ascii="Courier New" w:eastAsia="Times New Roman" w:hAnsi="Courier New" w:cs="Courier New"/>
          <w:b/>
          <w:bCs/>
          <w:sz w:val="20"/>
          <w:szCs w:val="20"/>
        </w:rPr>
        <w:t>│</w:t>
      </w:r>
    </w:p>
    <w:p w14:paraId="65F723D4" w14:textId="12311876"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      </w:t>
      </w:r>
      <w:r w:rsidR="002A3B31">
        <w:rPr>
          <w:rFonts w:ascii="Courier New" w:eastAsia="Times New Roman" w:hAnsi="Courier New" w:cs="Courier New"/>
          <w:b/>
          <w:bCs/>
          <w:sz w:val="20"/>
          <w:szCs w:val="20"/>
        </w:rPr>
        <w:t xml:space="preserve">                    </w:t>
      </w:r>
      <w:r w:rsidRPr="004C286D">
        <w:rPr>
          <w:rFonts w:ascii="Courier New" w:eastAsia="Times New Roman" w:hAnsi="Courier New" w:cs="Courier New"/>
          <w:b/>
          <w:bCs/>
          <w:sz w:val="20"/>
          <w:szCs w:val="20"/>
        </w:rPr>
        <w:t xml:space="preserve">▼ </w:t>
      </w:r>
      <w:r w:rsidR="00B46F77">
        <w:rPr>
          <w:rFonts w:ascii="Courier New" w:eastAsia="Times New Roman" w:hAnsi="Courier New" w:cs="Courier New"/>
          <w:b/>
          <w:bCs/>
          <w:sz w:val="20"/>
          <w:szCs w:val="20"/>
        </w:rPr>
        <w:t xml:space="preserve">                          </w:t>
      </w:r>
      <w:r w:rsidRPr="004C286D">
        <w:rPr>
          <w:rFonts w:ascii="Courier New" w:eastAsia="Times New Roman" w:hAnsi="Courier New" w:cs="Courier New"/>
          <w:b/>
          <w:bCs/>
          <w:sz w:val="20"/>
          <w:szCs w:val="20"/>
        </w:rPr>
        <w:t>▼</w:t>
      </w:r>
    </w:p>
    <w:p w14:paraId="5526570D"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AI &amp; Ethics Board   Partner Advisory Forum   Learning Repository Unit</w:t>
      </w:r>
    </w:p>
    <w:p w14:paraId="3AE68229"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w:t>
      </w:r>
    </w:p>
    <w:p w14:paraId="381C4313" w14:textId="77777777" w:rsidR="004C286D" w:rsidRPr="004C286D" w:rsidRDefault="004C286D" w:rsidP="004C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 xml:space="preserve">        ▼</w:t>
      </w:r>
    </w:p>
    <w:p w14:paraId="2F460420" w14:textId="77777777" w:rsidR="00600AD9" w:rsidRDefault="004C286D" w:rsidP="0038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4C286D">
        <w:rPr>
          <w:rFonts w:ascii="Courier New" w:eastAsia="Times New Roman" w:hAnsi="Courier New" w:cs="Courier New"/>
          <w:b/>
          <w:bCs/>
          <w:sz w:val="20"/>
          <w:szCs w:val="20"/>
        </w:rPr>
        <w:t>Operational Teams Egypt | UAE | Saudi Arabia</w:t>
      </w:r>
    </w:p>
    <w:p w14:paraId="2C18F965" w14:textId="77777777" w:rsidR="00383ED5" w:rsidRPr="00383ED5" w:rsidRDefault="00383ED5" w:rsidP="0038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14:paraId="55247341" w14:textId="77777777" w:rsidR="00984D79" w:rsidRPr="009D7967" w:rsidRDefault="000140B5" w:rsidP="00600AD9">
      <w:pPr>
        <w:spacing w:before="100" w:beforeAutospacing="1" w:after="100" w:afterAutospacing="1" w:line="240" w:lineRule="auto"/>
        <w:rPr>
          <w:rFonts w:ascii="Times New Roman" w:eastAsia="Times New Roman" w:hAnsi="Times New Roman" w:cs="Times New Roman"/>
          <w:b/>
          <w:bCs/>
          <w:sz w:val="24"/>
          <w:szCs w:val="24"/>
        </w:rPr>
      </w:pPr>
      <w:r w:rsidRPr="009D7967">
        <w:rPr>
          <w:rFonts w:ascii="Times New Roman" w:hAnsi="Times New Roman" w:cs="Times New Roman"/>
          <w:sz w:val="24"/>
          <w:szCs w:val="24"/>
        </w:rPr>
        <w:t>4.4 Financial and Resource Plan (USD)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6"/>
        <w:gridCol w:w="1152"/>
        <w:gridCol w:w="1459"/>
        <w:gridCol w:w="1206"/>
        <w:gridCol w:w="1957"/>
      </w:tblGrid>
      <w:tr w:rsidR="00EE181C" w:rsidRPr="00EE181C" w14:paraId="0325E215" w14:textId="77777777" w:rsidTr="0020730D">
        <w:trPr>
          <w:tblHeader/>
          <w:tblCellSpacing w:w="15" w:type="dxa"/>
        </w:trPr>
        <w:tc>
          <w:tcPr>
            <w:tcW w:w="0" w:type="auto"/>
            <w:vAlign w:val="center"/>
            <w:hideMark/>
          </w:tcPr>
          <w:p w14:paraId="72665D1A" w14:textId="77777777" w:rsidR="00984D79" w:rsidRPr="003E39E5" w:rsidRDefault="000140B5" w:rsidP="00EE181C">
            <w:pPr>
              <w:spacing w:after="0" w:line="240" w:lineRule="auto"/>
              <w:jc w:val="center"/>
              <w:rPr>
                <w:rFonts w:ascii="Times New Roman" w:eastAsia="Times New Roman" w:hAnsi="Times New Roman" w:cs="Times New Roman"/>
                <w:b/>
                <w:bCs/>
                <w:sz w:val="24"/>
                <w:szCs w:val="24"/>
                <w:highlight w:val="yellow"/>
              </w:rPr>
            </w:pPr>
            <w:r w:rsidRPr="000F5D25">
              <w:rPr>
                <w:rFonts w:ascii="Times New Roman" w:eastAsia="Times New Roman" w:hAnsi="Times New Roman" w:cs="Times New Roman"/>
                <w:b/>
                <w:bCs/>
                <w:sz w:val="24"/>
                <w:szCs w:val="24"/>
              </w:rPr>
              <w:t>Category</w:t>
            </w:r>
          </w:p>
        </w:tc>
        <w:tc>
          <w:tcPr>
            <w:tcW w:w="0" w:type="auto"/>
            <w:vAlign w:val="center"/>
            <w:hideMark/>
          </w:tcPr>
          <w:p w14:paraId="5C0E9C24"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2026 (Pilot)</w:t>
            </w:r>
          </w:p>
        </w:tc>
        <w:tc>
          <w:tcPr>
            <w:tcW w:w="0" w:type="auto"/>
            <w:vAlign w:val="center"/>
            <w:hideMark/>
          </w:tcPr>
          <w:p w14:paraId="3788E7EC"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2027 (Launch)</w:t>
            </w:r>
          </w:p>
        </w:tc>
        <w:tc>
          <w:tcPr>
            <w:tcW w:w="0" w:type="auto"/>
            <w:vAlign w:val="center"/>
            <w:hideMark/>
          </w:tcPr>
          <w:p w14:paraId="1A361038"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2028 (Scale)</w:t>
            </w:r>
          </w:p>
        </w:tc>
        <w:tc>
          <w:tcPr>
            <w:tcW w:w="0" w:type="auto"/>
            <w:vAlign w:val="center"/>
            <w:hideMark/>
          </w:tcPr>
          <w:p w14:paraId="2718F2C3"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Cumulative USD M</w:t>
            </w:r>
          </w:p>
        </w:tc>
      </w:tr>
      <w:tr w:rsidR="00EE181C" w:rsidRPr="00EE181C" w14:paraId="0CFCAC87" w14:textId="77777777" w:rsidTr="0020730D">
        <w:trPr>
          <w:tblCellSpacing w:w="15" w:type="dxa"/>
        </w:trPr>
        <w:tc>
          <w:tcPr>
            <w:tcW w:w="0" w:type="auto"/>
            <w:vAlign w:val="center"/>
            <w:hideMark/>
          </w:tcPr>
          <w:p w14:paraId="5F5EFECB"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Product Development &amp; AI Infrastructure</w:t>
            </w:r>
          </w:p>
        </w:tc>
        <w:tc>
          <w:tcPr>
            <w:tcW w:w="0" w:type="auto"/>
            <w:vAlign w:val="center"/>
            <w:hideMark/>
          </w:tcPr>
          <w:p w14:paraId="5A61904F"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1.0</w:t>
            </w:r>
          </w:p>
        </w:tc>
        <w:tc>
          <w:tcPr>
            <w:tcW w:w="0" w:type="auto"/>
            <w:vAlign w:val="center"/>
            <w:hideMark/>
          </w:tcPr>
          <w:p w14:paraId="6BE9FA04"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1.2</w:t>
            </w:r>
          </w:p>
        </w:tc>
        <w:tc>
          <w:tcPr>
            <w:tcW w:w="0" w:type="auto"/>
            <w:vAlign w:val="center"/>
            <w:hideMark/>
          </w:tcPr>
          <w:p w14:paraId="0A296B0F"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0.8</w:t>
            </w:r>
          </w:p>
        </w:tc>
        <w:tc>
          <w:tcPr>
            <w:tcW w:w="0" w:type="auto"/>
            <w:vAlign w:val="center"/>
            <w:hideMark/>
          </w:tcPr>
          <w:p w14:paraId="71FCDECF"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3.0</w:t>
            </w:r>
          </w:p>
        </w:tc>
      </w:tr>
      <w:tr w:rsidR="00EE181C" w:rsidRPr="00EE181C" w14:paraId="1190A754" w14:textId="77777777" w:rsidTr="0020730D">
        <w:trPr>
          <w:tblCellSpacing w:w="15" w:type="dxa"/>
        </w:trPr>
        <w:tc>
          <w:tcPr>
            <w:tcW w:w="0" w:type="auto"/>
            <w:vAlign w:val="center"/>
            <w:hideMark/>
          </w:tcPr>
          <w:p w14:paraId="54737E4D"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Regional Operations &amp; Talent</w:t>
            </w:r>
          </w:p>
        </w:tc>
        <w:tc>
          <w:tcPr>
            <w:tcW w:w="0" w:type="auto"/>
            <w:vAlign w:val="center"/>
            <w:hideMark/>
          </w:tcPr>
          <w:p w14:paraId="6DC11FD8"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0.8</w:t>
            </w:r>
          </w:p>
        </w:tc>
        <w:tc>
          <w:tcPr>
            <w:tcW w:w="0" w:type="auto"/>
            <w:vAlign w:val="center"/>
            <w:hideMark/>
          </w:tcPr>
          <w:p w14:paraId="24EF9370"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1.5</w:t>
            </w:r>
          </w:p>
        </w:tc>
        <w:tc>
          <w:tcPr>
            <w:tcW w:w="0" w:type="auto"/>
            <w:vAlign w:val="center"/>
            <w:hideMark/>
          </w:tcPr>
          <w:p w14:paraId="15F7EDCE"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2.0</w:t>
            </w:r>
          </w:p>
        </w:tc>
        <w:tc>
          <w:tcPr>
            <w:tcW w:w="0" w:type="auto"/>
            <w:vAlign w:val="center"/>
            <w:hideMark/>
          </w:tcPr>
          <w:p w14:paraId="636AC190"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4.3</w:t>
            </w:r>
          </w:p>
        </w:tc>
      </w:tr>
      <w:tr w:rsidR="00EE181C" w:rsidRPr="00EE181C" w14:paraId="7D09D968" w14:textId="77777777" w:rsidTr="0020730D">
        <w:trPr>
          <w:tblCellSpacing w:w="15" w:type="dxa"/>
        </w:trPr>
        <w:tc>
          <w:tcPr>
            <w:tcW w:w="0" w:type="auto"/>
            <w:vAlign w:val="center"/>
            <w:hideMark/>
          </w:tcPr>
          <w:p w14:paraId="756FF836"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Marketing &amp; Partnership Development</w:t>
            </w:r>
          </w:p>
        </w:tc>
        <w:tc>
          <w:tcPr>
            <w:tcW w:w="0" w:type="auto"/>
            <w:vAlign w:val="center"/>
            <w:hideMark/>
          </w:tcPr>
          <w:p w14:paraId="63922062"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0.4</w:t>
            </w:r>
          </w:p>
        </w:tc>
        <w:tc>
          <w:tcPr>
            <w:tcW w:w="0" w:type="auto"/>
            <w:vAlign w:val="center"/>
            <w:hideMark/>
          </w:tcPr>
          <w:p w14:paraId="77F137AD"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0.9</w:t>
            </w:r>
          </w:p>
        </w:tc>
        <w:tc>
          <w:tcPr>
            <w:tcW w:w="0" w:type="auto"/>
            <w:vAlign w:val="center"/>
            <w:hideMark/>
          </w:tcPr>
          <w:p w14:paraId="7BF1CD26"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1.2</w:t>
            </w:r>
          </w:p>
        </w:tc>
        <w:tc>
          <w:tcPr>
            <w:tcW w:w="0" w:type="auto"/>
            <w:vAlign w:val="center"/>
            <w:hideMark/>
          </w:tcPr>
          <w:p w14:paraId="06581AD4"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2.5</w:t>
            </w:r>
          </w:p>
        </w:tc>
      </w:tr>
      <w:tr w:rsidR="00EE181C" w:rsidRPr="00EE181C" w14:paraId="1DDA2A47" w14:textId="77777777" w:rsidTr="0020730D">
        <w:trPr>
          <w:tblCellSpacing w:w="15" w:type="dxa"/>
        </w:trPr>
        <w:tc>
          <w:tcPr>
            <w:tcW w:w="0" w:type="auto"/>
            <w:vAlign w:val="center"/>
            <w:hideMark/>
          </w:tcPr>
          <w:p w14:paraId="7DE652EE"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Compliance &amp; Ethics Audits</w:t>
            </w:r>
          </w:p>
        </w:tc>
        <w:tc>
          <w:tcPr>
            <w:tcW w:w="0" w:type="auto"/>
            <w:vAlign w:val="center"/>
            <w:hideMark/>
          </w:tcPr>
          <w:p w14:paraId="080860E3"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0.1</w:t>
            </w:r>
          </w:p>
        </w:tc>
        <w:tc>
          <w:tcPr>
            <w:tcW w:w="0" w:type="auto"/>
            <w:vAlign w:val="center"/>
            <w:hideMark/>
          </w:tcPr>
          <w:p w14:paraId="447991A6"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0.3</w:t>
            </w:r>
          </w:p>
        </w:tc>
        <w:tc>
          <w:tcPr>
            <w:tcW w:w="0" w:type="auto"/>
            <w:vAlign w:val="center"/>
            <w:hideMark/>
          </w:tcPr>
          <w:p w14:paraId="06D55517"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0.4</w:t>
            </w:r>
          </w:p>
        </w:tc>
        <w:tc>
          <w:tcPr>
            <w:tcW w:w="0" w:type="auto"/>
            <w:vAlign w:val="center"/>
            <w:hideMark/>
          </w:tcPr>
          <w:p w14:paraId="412E0748"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0.8</w:t>
            </w:r>
          </w:p>
        </w:tc>
      </w:tr>
      <w:tr w:rsidR="00EE181C" w:rsidRPr="00EE181C" w14:paraId="30B0857E" w14:textId="77777777" w:rsidTr="0020730D">
        <w:trPr>
          <w:tblCellSpacing w:w="15" w:type="dxa"/>
        </w:trPr>
        <w:tc>
          <w:tcPr>
            <w:tcW w:w="0" w:type="auto"/>
            <w:vAlign w:val="center"/>
            <w:hideMark/>
          </w:tcPr>
          <w:p w14:paraId="5594A675"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Contingency Reserve (10%)</w:t>
            </w:r>
          </w:p>
        </w:tc>
        <w:tc>
          <w:tcPr>
            <w:tcW w:w="0" w:type="auto"/>
            <w:vAlign w:val="center"/>
            <w:hideMark/>
          </w:tcPr>
          <w:p w14:paraId="42C2A6FA"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0.2</w:t>
            </w:r>
          </w:p>
        </w:tc>
        <w:tc>
          <w:tcPr>
            <w:tcW w:w="0" w:type="auto"/>
            <w:vAlign w:val="center"/>
            <w:hideMark/>
          </w:tcPr>
          <w:p w14:paraId="408CA1CE"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0.4</w:t>
            </w:r>
          </w:p>
        </w:tc>
        <w:tc>
          <w:tcPr>
            <w:tcW w:w="0" w:type="auto"/>
            <w:vAlign w:val="center"/>
            <w:hideMark/>
          </w:tcPr>
          <w:p w14:paraId="6E2845A2"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0.5</w:t>
            </w:r>
          </w:p>
        </w:tc>
        <w:tc>
          <w:tcPr>
            <w:tcW w:w="0" w:type="auto"/>
            <w:vAlign w:val="center"/>
            <w:hideMark/>
          </w:tcPr>
          <w:p w14:paraId="1A0443FA"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1.1</w:t>
            </w:r>
          </w:p>
        </w:tc>
      </w:tr>
      <w:tr w:rsidR="00EE181C" w:rsidRPr="00EE181C" w14:paraId="70B62B68" w14:textId="77777777" w:rsidTr="0020730D">
        <w:trPr>
          <w:tblCellSpacing w:w="15" w:type="dxa"/>
        </w:trPr>
        <w:tc>
          <w:tcPr>
            <w:tcW w:w="0" w:type="auto"/>
            <w:vAlign w:val="center"/>
            <w:hideMark/>
          </w:tcPr>
          <w:p w14:paraId="7EFE0B09"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Total Investment</w:t>
            </w:r>
          </w:p>
        </w:tc>
        <w:tc>
          <w:tcPr>
            <w:tcW w:w="0" w:type="auto"/>
            <w:vAlign w:val="center"/>
            <w:hideMark/>
          </w:tcPr>
          <w:p w14:paraId="72FA576C"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2.5</w:t>
            </w:r>
          </w:p>
        </w:tc>
        <w:tc>
          <w:tcPr>
            <w:tcW w:w="0" w:type="auto"/>
            <w:vAlign w:val="center"/>
            <w:hideMark/>
          </w:tcPr>
          <w:p w14:paraId="08F8AD85"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4.3</w:t>
            </w:r>
          </w:p>
        </w:tc>
        <w:tc>
          <w:tcPr>
            <w:tcW w:w="0" w:type="auto"/>
            <w:vAlign w:val="center"/>
            <w:hideMark/>
          </w:tcPr>
          <w:p w14:paraId="47256E5B"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4.9</w:t>
            </w:r>
          </w:p>
        </w:tc>
        <w:tc>
          <w:tcPr>
            <w:tcW w:w="0" w:type="auto"/>
            <w:vAlign w:val="center"/>
            <w:hideMark/>
          </w:tcPr>
          <w:p w14:paraId="020764E4" w14:textId="77777777" w:rsidR="00984D79" w:rsidRPr="00EE181C" w:rsidRDefault="000140B5" w:rsidP="00761E75">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11.7</w:t>
            </w:r>
          </w:p>
        </w:tc>
      </w:tr>
    </w:tbl>
    <w:p w14:paraId="59DCE536" w14:textId="77777777" w:rsidR="00A60D38" w:rsidRDefault="00A60D38"/>
    <w:p w14:paraId="44E9AB41" w14:textId="4B460FE7" w:rsidR="00DB1C27" w:rsidRPr="009D7967" w:rsidRDefault="00457EDF">
      <w:pPr>
        <w:rPr>
          <w:rFonts w:ascii="Times New Roman" w:hAnsi="Times New Roman" w:cs="Times New Roman"/>
          <w:sz w:val="24"/>
          <w:szCs w:val="24"/>
        </w:rPr>
      </w:pPr>
      <w:r w:rsidRPr="009D7967">
        <w:rPr>
          <w:rFonts w:ascii="Times New Roman" w:hAnsi="Times New Roman" w:cs="Times New Roman"/>
          <w:sz w:val="24"/>
          <w:szCs w:val="24"/>
        </w:rPr>
        <w:t xml:space="preserve">The figures in Table 4.4 represent </w:t>
      </w:r>
      <w:r w:rsidR="006D773E" w:rsidRPr="009D7967">
        <w:rPr>
          <w:rFonts w:ascii="Times New Roman" w:hAnsi="Times New Roman" w:cs="Times New Roman"/>
          <w:sz w:val="24"/>
          <w:szCs w:val="24"/>
        </w:rPr>
        <w:t>the total projected investment costs (capital expenditure) for the period</w:t>
      </w:r>
      <w:r w:rsidRPr="009D7967">
        <w:rPr>
          <w:rFonts w:ascii="Times New Roman" w:hAnsi="Times New Roman" w:cs="Times New Roman"/>
          <w:sz w:val="24"/>
          <w:szCs w:val="24"/>
        </w:rPr>
        <w:t xml:space="preserve"> 2026–2028, expressed in USD millions. ROI and net profit figures are derived from the detailed revenue–expense model presented in Appendix D. </w:t>
      </w:r>
      <w:r w:rsidR="006D773E" w:rsidRPr="009D7967">
        <w:rPr>
          <w:rFonts w:ascii="Times New Roman" w:hAnsi="Times New Roman" w:cs="Times New Roman"/>
          <w:sz w:val="24"/>
          <w:szCs w:val="24"/>
        </w:rPr>
        <w:t xml:space="preserve">According to this model, the </w:t>
      </w:r>
      <w:r w:rsidRPr="009D7967">
        <w:rPr>
          <w:rFonts w:ascii="Times New Roman" w:hAnsi="Times New Roman" w:cs="Times New Roman"/>
          <w:sz w:val="24"/>
          <w:szCs w:val="24"/>
        </w:rPr>
        <w:t xml:space="preserve">total cumulative net profit of USD 21.9 million yields an estimated 185 percent return on investment (ROI) and a payback period of approximately 28 months post-launch. This distinction clarifies that Table 4.4 </w:t>
      </w:r>
      <w:r w:rsidR="006D773E" w:rsidRPr="009D7967">
        <w:rPr>
          <w:rFonts w:ascii="Times New Roman" w:hAnsi="Times New Roman" w:cs="Times New Roman"/>
          <w:sz w:val="24"/>
          <w:szCs w:val="24"/>
        </w:rPr>
        <w:t>presents input expenditures, whereas Appendix D illustrates the</w:t>
      </w:r>
      <w:r w:rsidRPr="009D7967">
        <w:rPr>
          <w:rFonts w:ascii="Times New Roman" w:hAnsi="Times New Roman" w:cs="Times New Roman"/>
          <w:sz w:val="24"/>
          <w:szCs w:val="24"/>
        </w:rPr>
        <w:t xml:space="preserve"> resulting financial performance and profitability projections.</w:t>
      </w:r>
    </w:p>
    <w:p w14:paraId="7024A0A2" w14:textId="1DBF7FBD" w:rsidR="006D773E" w:rsidRPr="009D7967" w:rsidRDefault="006D773E" w:rsidP="006D773E">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Return-on-investment projections indicate a net profit of USD 21.9 million by 2028, equating to an 185% ROI and a payback period of ~28 months from launch. Funding will be derived from a blend of retained earnings (40%), private equity (40%), and institutional grants (20%), supporting ethical AI research.</w:t>
      </w:r>
    </w:p>
    <w:p w14:paraId="535BACA3" w14:textId="77777777" w:rsidR="00984D79" w:rsidRPr="009D7967" w:rsidRDefault="000140B5" w:rsidP="00600AD9">
      <w:pPr>
        <w:spacing w:before="100" w:beforeAutospacing="1" w:after="100" w:afterAutospacing="1" w:line="240" w:lineRule="auto"/>
        <w:rPr>
          <w:rFonts w:ascii="Times New Roman" w:eastAsia="Times New Roman" w:hAnsi="Times New Roman" w:cs="Times New Roman"/>
          <w:b/>
          <w:bCs/>
          <w:sz w:val="24"/>
          <w:szCs w:val="24"/>
        </w:rPr>
      </w:pPr>
      <w:r w:rsidRPr="009D7967">
        <w:rPr>
          <w:rFonts w:ascii="Times New Roman" w:hAnsi="Times New Roman" w:cs="Times New Roman"/>
          <w:sz w:val="24"/>
          <w:szCs w:val="24"/>
        </w:rPr>
        <w:lastRenderedPageBreak/>
        <w:t>4.5 Technology and Operational Enablement</w:t>
      </w:r>
    </w:p>
    <w:p w14:paraId="7EFAC2C0"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INSIGHTA’s architecture will be cloud-native, utilizing Microsoft Azure OpenAI services in accordance with ISO 27001 standards. Integration with The Institute’s Culture OS enables two-way data flow: organizational culture diagnostics feed into INSIGHTA’s coaching algorithms, while aggregated learning insights enrich future consulting engagements.</w:t>
      </w:r>
    </w:p>
    <w:p w14:paraId="3F116174" w14:textId="48C2EE72" w:rsidR="00984D79" w:rsidRPr="009D7967" w:rsidRDefault="000140B5" w:rsidP="009D7967">
      <w:pPr>
        <w:rPr>
          <w:rFonts w:ascii="Times New Roman" w:hAnsi="Times New Roman" w:cs="Times New Roman"/>
          <w:sz w:val="24"/>
          <w:szCs w:val="24"/>
        </w:rPr>
      </w:pPr>
      <w:r w:rsidRPr="009D7967">
        <w:rPr>
          <w:rFonts w:ascii="Times New Roman" w:hAnsi="Times New Roman" w:cs="Times New Roman"/>
          <w:sz w:val="24"/>
          <w:szCs w:val="24"/>
        </w:rPr>
        <w:t>Key operational roles:</w:t>
      </w:r>
    </w:p>
    <w:p w14:paraId="18D479E2" w14:textId="77777777" w:rsidR="00984D79" w:rsidRPr="009D7967" w:rsidRDefault="000140B5" w:rsidP="00EE181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AI Product Lead – oversees data-science team and model governance.</w:t>
      </w:r>
    </w:p>
    <w:p w14:paraId="2A54854E" w14:textId="77777777" w:rsidR="00984D79" w:rsidRPr="009D7967" w:rsidRDefault="000140B5" w:rsidP="00EE181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Regional Director (MEA) – manages stakeholder relations and CPSF implementation.</w:t>
      </w:r>
    </w:p>
    <w:p w14:paraId="078ACFA4" w14:textId="77777777" w:rsidR="00984D79" w:rsidRPr="009D7967" w:rsidRDefault="000140B5" w:rsidP="00EE181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Learning Curator – translates anonymized INSIGHTA insights into curriculum modules.</w:t>
      </w:r>
    </w:p>
    <w:p w14:paraId="734C72EF" w14:textId="77777777" w:rsidR="00984D79" w:rsidRPr="009D7967" w:rsidRDefault="000140B5" w:rsidP="00EE181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ICF-Certified Ethics Officer – validates content and ensures coaching integrity.</w:t>
      </w:r>
    </w:p>
    <w:p w14:paraId="56E2290B" w14:textId="77777777" w:rsidR="00984D79" w:rsidRPr="009D7967" w:rsidRDefault="000140B5" w:rsidP="00EE181C">
      <w:pPr>
        <w:spacing w:after="0" w:line="240" w:lineRule="auto"/>
        <w:rPr>
          <w:rFonts w:ascii="Times New Roman" w:eastAsia="Times New Roman" w:hAnsi="Times New Roman" w:cs="Times New Roman"/>
          <w:b/>
          <w:bCs/>
          <w:sz w:val="24"/>
          <w:szCs w:val="24"/>
        </w:rPr>
      </w:pPr>
      <w:r w:rsidRPr="009D7967">
        <w:rPr>
          <w:rFonts w:ascii="Times New Roman" w:hAnsi="Times New Roman" w:cs="Times New Roman"/>
          <w:sz w:val="24"/>
          <w:szCs w:val="24"/>
        </w:rPr>
        <w:t xml:space="preserve">4.6 Sustainability and ESG Integration </w:t>
      </w:r>
    </w:p>
    <w:p w14:paraId="3D4D6C54" w14:textId="77777777" w:rsidR="00984D79" w:rsidRPr="009D7967" w:rsidRDefault="000140B5" w:rsidP="001E0B6D">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Institute embeds sustainability into every stage of implementation, aligning with UN SDGs 4, 8, 9, 10, 17, and the UN Global Compact. Beyond programmatic alignment, measurable environmental and social metrics will ensure tangible accountability.</w:t>
      </w:r>
    </w:p>
    <w:p w14:paraId="5E41AA7B" w14:textId="77777777" w:rsidR="00984D79" w:rsidRPr="009D7967" w:rsidRDefault="000140B5" w:rsidP="001E0B6D">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 Environmental Metrics:</w:t>
      </w:r>
    </w:p>
    <w:p w14:paraId="183613F7" w14:textId="77777777" w:rsidR="00984D79" w:rsidRPr="009D7967" w:rsidRDefault="000140B5" w:rsidP="001E0B6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Carbon-Neutral Cloud Operations: Microsoft Azure Green Data Centers with renewable-energy contracts; estimated 45 </w:t>
      </w:r>
      <w:proofErr w:type="spellStart"/>
      <w:r w:rsidRPr="009D7967">
        <w:rPr>
          <w:rFonts w:ascii="Times New Roman" w:hAnsi="Times New Roman" w:cs="Times New Roman"/>
          <w:sz w:val="24"/>
          <w:szCs w:val="24"/>
        </w:rPr>
        <w:t>tCO₂e</w:t>
      </w:r>
      <w:proofErr w:type="spellEnd"/>
      <w:r w:rsidRPr="009D7967">
        <w:rPr>
          <w:rFonts w:ascii="Times New Roman" w:hAnsi="Times New Roman" w:cs="Times New Roman"/>
          <w:sz w:val="24"/>
          <w:szCs w:val="24"/>
        </w:rPr>
        <w:t xml:space="preserve"> offset annually by 2027 through certified renewable credits.</w:t>
      </w:r>
    </w:p>
    <w:p w14:paraId="6DA8B80E" w14:textId="77777777" w:rsidR="00984D79" w:rsidRPr="009D7967" w:rsidRDefault="000140B5" w:rsidP="001E0B6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Remote-First Delivery: 60 % reduction in travel-related emissions compared with the 2023 baseline.</w:t>
      </w:r>
    </w:p>
    <w:p w14:paraId="7CA9DC4E" w14:textId="77777777" w:rsidR="00984D79" w:rsidRPr="009D7967" w:rsidRDefault="000140B5" w:rsidP="001E0B6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Digital Waste Reduction: Transition to paperless workshops and automated dashboards, eliminating ~15,000 pages annually.</w:t>
      </w:r>
    </w:p>
    <w:p w14:paraId="1B7599D8" w14:textId="77777777" w:rsidR="00984D79" w:rsidRPr="009D7967" w:rsidRDefault="000140B5" w:rsidP="001E0B6D">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Social and Economic Metrics:</w:t>
      </w:r>
    </w:p>
    <w:p w14:paraId="099BB08A" w14:textId="77777777" w:rsidR="00984D79" w:rsidRPr="009D7967" w:rsidRDefault="000140B5" w:rsidP="001E0B6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Local Talent Pipeline: Train and certify 50 regional coaches (minimum 50 % female participation) by 2028.</w:t>
      </w:r>
    </w:p>
    <w:p w14:paraId="34D05308" w14:textId="77777777" w:rsidR="00984D79" w:rsidRPr="009D7967" w:rsidRDefault="000140B5" w:rsidP="001E0B6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Inclusive Access: Tiered pricing and Arabic-English bilingual design expand accessibility to SMEs and public-sector users.</w:t>
      </w:r>
    </w:p>
    <w:p w14:paraId="370E3CE3" w14:textId="77777777" w:rsidR="00984D79" w:rsidRPr="009D7967" w:rsidRDefault="000140B5" w:rsidP="001E0B6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Community Learning Grants: Allocate 1 % of annual profit to scholarships and social-impact coaching projects.</w:t>
      </w:r>
    </w:p>
    <w:p w14:paraId="3842A848" w14:textId="77777777" w:rsidR="00984D79" w:rsidRPr="009D7967" w:rsidRDefault="000140B5" w:rsidP="001E0B6D">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Governance Metrics:</w:t>
      </w:r>
    </w:p>
    <w:p w14:paraId="703EA77F" w14:textId="77777777" w:rsidR="00984D79" w:rsidRPr="009D7967" w:rsidRDefault="000140B5" w:rsidP="001E0B6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Annual ESG Report audited by an independent board.</w:t>
      </w:r>
    </w:p>
    <w:p w14:paraId="2EACAF12" w14:textId="77777777" w:rsidR="00984D79" w:rsidRPr="009D7967" w:rsidRDefault="000140B5" w:rsidP="001E0B6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Ethics &amp; AI Oversight Board to publish explainability and sustainability dashboards.</w:t>
      </w:r>
    </w:p>
    <w:p w14:paraId="31C509CD" w14:textId="77777777" w:rsidR="00984D79" w:rsidRPr="009D7967" w:rsidRDefault="000140B5" w:rsidP="001E0B6D">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lastRenderedPageBreak/>
        <w:t>These practices demonstrate post-COVID corporate resilience</w:t>
      </w:r>
      <w:r w:rsidR="0039018E" w:rsidRPr="009D7967">
        <w:rPr>
          <w:rFonts w:ascii="Times New Roman" w:hAnsi="Times New Roman" w:cs="Times New Roman"/>
          <w:sz w:val="24"/>
          <w:szCs w:val="24"/>
        </w:rPr>
        <w:t>, striking a balance between economic growth, environmental stewardship,</w:t>
      </w:r>
      <w:r w:rsidRPr="009D7967">
        <w:rPr>
          <w:rFonts w:ascii="Times New Roman" w:hAnsi="Times New Roman" w:cs="Times New Roman"/>
          <w:sz w:val="24"/>
          <w:szCs w:val="24"/>
        </w:rPr>
        <w:t xml:space="preserve"> and social inclusion.</w:t>
      </w:r>
    </w:p>
    <w:p w14:paraId="6F15C327" w14:textId="77777777" w:rsidR="00984D79" w:rsidRPr="009D7967" w:rsidRDefault="000140B5" w:rsidP="00E62747">
      <w:pPr>
        <w:spacing w:before="360" w:after="100" w:afterAutospacing="1" w:line="240" w:lineRule="auto"/>
        <w:outlineLvl w:val="2"/>
        <w:rPr>
          <w:rFonts w:ascii="Times New Roman" w:eastAsia="Times New Roman" w:hAnsi="Times New Roman" w:cs="Times New Roman"/>
          <w:b/>
          <w:bCs/>
          <w:sz w:val="24"/>
          <w:szCs w:val="24"/>
        </w:rPr>
      </w:pPr>
      <w:bookmarkStart w:id="42" w:name="_Toc213223775"/>
      <w:bookmarkStart w:id="43" w:name="_Toc213589880"/>
      <w:r w:rsidRPr="009D7967">
        <w:rPr>
          <w:rFonts w:ascii="Times New Roman" w:hAnsi="Times New Roman" w:cs="Times New Roman"/>
          <w:sz w:val="24"/>
          <w:szCs w:val="24"/>
        </w:rPr>
        <w:t>4.7 Change Management and Capability Building</w:t>
      </w:r>
      <w:bookmarkEnd w:id="42"/>
      <w:bookmarkEnd w:id="43"/>
    </w:p>
    <w:p w14:paraId="30ECAC86"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Adapting Kotter’s (2012) eight-step model, the implementation plan emphasizes communication and ownership:</w:t>
      </w:r>
    </w:p>
    <w:p w14:paraId="02A3662D"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Create Urgency – share the vision for humanized AI coaching.</w:t>
      </w:r>
    </w:p>
    <w:p w14:paraId="5193897D"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Form a Coalition – appoint regional champions from partner organizations.</w:t>
      </w:r>
    </w:p>
    <w:p w14:paraId="240E62A5"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Develop Vision &amp; Strategy – articulate INSIGHTA’s purpose and value proposition.</w:t>
      </w:r>
    </w:p>
    <w:p w14:paraId="56EB2370"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Communicate the Vision – digital campaigns and leadership forums.</w:t>
      </w:r>
    </w:p>
    <w:p w14:paraId="15BB752E"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Empower Action – provide training on AI ethics and data literacy.</w:t>
      </w:r>
    </w:p>
    <w:p w14:paraId="538B11FE"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Generate Short-Term Wins – celebrate pilot successes and positive user feedback.</w:t>
      </w:r>
    </w:p>
    <w:p w14:paraId="193E2487"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Consolidate Gains – embed CPSF feedback loops into operating rhythms.</w:t>
      </w:r>
    </w:p>
    <w:p w14:paraId="000C0E10" w14:textId="77777777" w:rsidR="00984D79" w:rsidRPr="009D7967" w:rsidRDefault="000140B5" w:rsidP="00EE181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Anchor New Approaches – codify INSIGHTA and CPSF in performance systems.</w:t>
      </w:r>
    </w:p>
    <w:p w14:paraId="69842612" w14:textId="77777777" w:rsidR="00984D79" w:rsidRPr="009D7967" w:rsidRDefault="00984D79" w:rsidP="00EE181C">
      <w:pPr>
        <w:spacing w:after="0" w:line="240" w:lineRule="auto"/>
        <w:rPr>
          <w:rFonts w:ascii="Times New Roman" w:eastAsia="Times New Roman" w:hAnsi="Times New Roman" w:cs="Times New Roman"/>
          <w:sz w:val="24"/>
          <w:szCs w:val="24"/>
        </w:rPr>
      </w:pPr>
    </w:p>
    <w:p w14:paraId="0DB56B77"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44" w:name="_Toc213223776"/>
      <w:bookmarkStart w:id="45" w:name="_Toc213589881"/>
      <w:r w:rsidRPr="009D7967">
        <w:rPr>
          <w:rFonts w:ascii="Times New Roman" w:hAnsi="Times New Roman" w:cs="Times New Roman"/>
          <w:sz w:val="24"/>
          <w:szCs w:val="24"/>
        </w:rPr>
        <w:t>4.8 Key Performance Indicators (KPIs)</w:t>
      </w:r>
      <w:bookmarkEnd w:id="44"/>
      <w:bookmarkEnd w:id="4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4"/>
        <w:gridCol w:w="2637"/>
        <w:gridCol w:w="2559"/>
        <w:gridCol w:w="2220"/>
      </w:tblGrid>
      <w:tr w:rsidR="00EE181C" w:rsidRPr="00EE181C" w14:paraId="7CFA90A1" w14:textId="77777777" w:rsidTr="0020730D">
        <w:trPr>
          <w:tblHeader/>
          <w:tblCellSpacing w:w="15" w:type="dxa"/>
        </w:trPr>
        <w:tc>
          <w:tcPr>
            <w:tcW w:w="0" w:type="auto"/>
            <w:vAlign w:val="center"/>
            <w:hideMark/>
          </w:tcPr>
          <w:p w14:paraId="03E87D11"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Dimension</w:t>
            </w:r>
          </w:p>
        </w:tc>
        <w:tc>
          <w:tcPr>
            <w:tcW w:w="0" w:type="auto"/>
            <w:vAlign w:val="center"/>
            <w:hideMark/>
          </w:tcPr>
          <w:p w14:paraId="09129792"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Indicator</w:t>
            </w:r>
          </w:p>
        </w:tc>
        <w:tc>
          <w:tcPr>
            <w:tcW w:w="0" w:type="auto"/>
            <w:vAlign w:val="center"/>
            <w:hideMark/>
          </w:tcPr>
          <w:p w14:paraId="294D7DD4"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Target 2028</w:t>
            </w:r>
          </w:p>
        </w:tc>
        <w:tc>
          <w:tcPr>
            <w:tcW w:w="0" w:type="auto"/>
            <w:vAlign w:val="center"/>
            <w:hideMark/>
          </w:tcPr>
          <w:p w14:paraId="1CE0F3ED"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Measurement Method</w:t>
            </w:r>
          </w:p>
        </w:tc>
      </w:tr>
      <w:tr w:rsidR="00EE181C" w:rsidRPr="00EE181C" w14:paraId="0CB263C1" w14:textId="77777777" w:rsidTr="0020730D">
        <w:trPr>
          <w:tblCellSpacing w:w="15" w:type="dxa"/>
        </w:trPr>
        <w:tc>
          <w:tcPr>
            <w:tcW w:w="0" w:type="auto"/>
            <w:vAlign w:val="center"/>
            <w:hideMark/>
          </w:tcPr>
          <w:p w14:paraId="338B5FE8"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Financial</w:t>
            </w:r>
          </w:p>
        </w:tc>
        <w:tc>
          <w:tcPr>
            <w:tcW w:w="0" w:type="auto"/>
            <w:vAlign w:val="center"/>
            <w:hideMark/>
          </w:tcPr>
          <w:p w14:paraId="04EB2505"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ROI on investment</w:t>
            </w:r>
          </w:p>
        </w:tc>
        <w:tc>
          <w:tcPr>
            <w:tcW w:w="0" w:type="auto"/>
            <w:vAlign w:val="center"/>
            <w:hideMark/>
          </w:tcPr>
          <w:p w14:paraId="4BF7ED35"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 180 %</w:t>
            </w:r>
          </w:p>
        </w:tc>
        <w:tc>
          <w:tcPr>
            <w:tcW w:w="0" w:type="auto"/>
            <w:vAlign w:val="center"/>
            <w:hideMark/>
          </w:tcPr>
          <w:p w14:paraId="0153F388"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Annual audit report</w:t>
            </w:r>
          </w:p>
        </w:tc>
      </w:tr>
      <w:tr w:rsidR="00EE181C" w:rsidRPr="00EE181C" w14:paraId="5BC48588" w14:textId="77777777" w:rsidTr="0020730D">
        <w:trPr>
          <w:tblCellSpacing w:w="15" w:type="dxa"/>
        </w:trPr>
        <w:tc>
          <w:tcPr>
            <w:tcW w:w="0" w:type="auto"/>
            <w:vAlign w:val="center"/>
            <w:hideMark/>
          </w:tcPr>
          <w:p w14:paraId="32A99132" w14:textId="77777777" w:rsidR="00984D79" w:rsidRPr="00EE181C" w:rsidRDefault="00984D79" w:rsidP="00EE181C">
            <w:pPr>
              <w:spacing w:after="0" w:line="240" w:lineRule="auto"/>
              <w:rPr>
                <w:rFonts w:ascii="Times New Roman" w:eastAsia="Times New Roman" w:hAnsi="Times New Roman" w:cs="Times New Roman"/>
                <w:sz w:val="24"/>
                <w:szCs w:val="24"/>
              </w:rPr>
            </w:pPr>
          </w:p>
        </w:tc>
        <w:tc>
          <w:tcPr>
            <w:tcW w:w="0" w:type="auto"/>
            <w:vAlign w:val="center"/>
            <w:hideMark/>
          </w:tcPr>
          <w:p w14:paraId="2E340557"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EBITDA margin</w:t>
            </w:r>
          </w:p>
        </w:tc>
        <w:tc>
          <w:tcPr>
            <w:tcW w:w="0" w:type="auto"/>
            <w:vAlign w:val="center"/>
            <w:hideMark/>
          </w:tcPr>
          <w:p w14:paraId="1CBDB875"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 30 %</w:t>
            </w:r>
          </w:p>
        </w:tc>
        <w:tc>
          <w:tcPr>
            <w:tcW w:w="0" w:type="auto"/>
            <w:vAlign w:val="center"/>
            <w:hideMark/>
          </w:tcPr>
          <w:p w14:paraId="355A142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Management accounts</w:t>
            </w:r>
          </w:p>
        </w:tc>
      </w:tr>
      <w:tr w:rsidR="00EE181C" w:rsidRPr="00EE181C" w14:paraId="694FA40B" w14:textId="77777777" w:rsidTr="0020730D">
        <w:trPr>
          <w:tblCellSpacing w:w="15" w:type="dxa"/>
        </w:trPr>
        <w:tc>
          <w:tcPr>
            <w:tcW w:w="0" w:type="auto"/>
            <w:vAlign w:val="center"/>
            <w:hideMark/>
          </w:tcPr>
          <w:p w14:paraId="1D4394A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Cultural Impact</w:t>
            </w:r>
          </w:p>
        </w:tc>
        <w:tc>
          <w:tcPr>
            <w:tcW w:w="0" w:type="auto"/>
            <w:vAlign w:val="center"/>
            <w:hideMark/>
          </w:tcPr>
          <w:p w14:paraId="44AB7FF9"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Employee Engagement Score</w:t>
            </w:r>
          </w:p>
        </w:tc>
        <w:tc>
          <w:tcPr>
            <w:tcW w:w="0" w:type="auto"/>
            <w:vAlign w:val="center"/>
            <w:hideMark/>
          </w:tcPr>
          <w:p w14:paraId="0259461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+15 points vs. 2025 baseline</w:t>
            </w:r>
          </w:p>
        </w:tc>
        <w:tc>
          <w:tcPr>
            <w:tcW w:w="0" w:type="auto"/>
            <w:vAlign w:val="center"/>
            <w:hideMark/>
          </w:tcPr>
          <w:p w14:paraId="35E33AB3"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Culture OS survey</w:t>
            </w:r>
          </w:p>
        </w:tc>
      </w:tr>
      <w:tr w:rsidR="00EE181C" w:rsidRPr="00EE181C" w14:paraId="3922462D" w14:textId="77777777" w:rsidTr="0020730D">
        <w:trPr>
          <w:tblCellSpacing w:w="15" w:type="dxa"/>
        </w:trPr>
        <w:tc>
          <w:tcPr>
            <w:tcW w:w="0" w:type="auto"/>
            <w:vAlign w:val="center"/>
            <w:hideMark/>
          </w:tcPr>
          <w:p w14:paraId="2F5521A0"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Digital Adoption</w:t>
            </w:r>
          </w:p>
        </w:tc>
        <w:tc>
          <w:tcPr>
            <w:tcW w:w="0" w:type="auto"/>
            <w:vAlign w:val="center"/>
            <w:hideMark/>
          </w:tcPr>
          <w:p w14:paraId="6FF7B29E"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Active INSIGHTA users</w:t>
            </w:r>
          </w:p>
        </w:tc>
        <w:tc>
          <w:tcPr>
            <w:tcW w:w="0" w:type="auto"/>
            <w:vAlign w:val="center"/>
            <w:hideMark/>
          </w:tcPr>
          <w:p w14:paraId="0C8C39C8"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 30 000</w:t>
            </w:r>
          </w:p>
        </w:tc>
        <w:tc>
          <w:tcPr>
            <w:tcW w:w="0" w:type="auto"/>
            <w:vAlign w:val="center"/>
            <w:hideMark/>
          </w:tcPr>
          <w:p w14:paraId="7A917429"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Platform analytics</w:t>
            </w:r>
          </w:p>
        </w:tc>
      </w:tr>
      <w:tr w:rsidR="00EE181C" w:rsidRPr="00EE181C" w14:paraId="4CBE9F94" w14:textId="77777777" w:rsidTr="0020730D">
        <w:trPr>
          <w:tblCellSpacing w:w="15" w:type="dxa"/>
        </w:trPr>
        <w:tc>
          <w:tcPr>
            <w:tcW w:w="0" w:type="auto"/>
            <w:vAlign w:val="center"/>
            <w:hideMark/>
          </w:tcPr>
          <w:p w14:paraId="72EAFAC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Ethics Compliance</w:t>
            </w:r>
          </w:p>
        </w:tc>
        <w:tc>
          <w:tcPr>
            <w:tcW w:w="0" w:type="auto"/>
            <w:vAlign w:val="center"/>
            <w:hideMark/>
          </w:tcPr>
          <w:p w14:paraId="3BA444C4"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Zero major violations</w:t>
            </w:r>
          </w:p>
        </w:tc>
        <w:tc>
          <w:tcPr>
            <w:tcW w:w="0" w:type="auto"/>
            <w:vAlign w:val="center"/>
            <w:hideMark/>
          </w:tcPr>
          <w:p w14:paraId="27EEF955"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100 %</w:t>
            </w:r>
          </w:p>
        </w:tc>
        <w:tc>
          <w:tcPr>
            <w:tcW w:w="0" w:type="auto"/>
            <w:vAlign w:val="center"/>
            <w:hideMark/>
          </w:tcPr>
          <w:p w14:paraId="15DFFB76"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Ethics audit review</w:t>
            </w:r>
          </w:p>
        </w:tc>
      </w:tr>
      <w:tr w:rsidR="00EE181C" w:rsidRPr="00EE181C" w14:paraId="3A3ACBB3" w14:textId="77777777" w:rsidTr="0020730D">
        <w:trPr>
          <w:tblCellSpacing w:w="15" w:type="dxa"/>
        </w:trPr>
        <w:tc>
          <w:tcPr>
            <w:tcW w:w="0" w:type="auto"/>
            <w:vAlign w:val="center"/>
            <w:hideMark/>
          </w:tcPr>
          <w:p w14:paraId="47FCD612"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Sustainability</w:t>
            </w:r>
          </w:p>
        </w:tc>
        <w:tc>
          <w:tcPr>
            <w:tcW w:w="0" w:type="auto"/>
            <w:vAlign w:val="center"/>
            <w:hideMark/>
          </w:tcPr>
          <w:p w14:paraId="49AD3A31"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SDG contribution index</w:t>
            </w:r>
          </w:p>
        </w:tc>
        <w:tc>
          <w:tcPr>
            <w:tcW w:w="0" w:type="auto"/>
            <w:vAlign w:val="center"/>
            <w:hideMark/>
          </w:tcPr>
          <w:p w14:paraId="159E58D9"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 80 % target achievement</w:t>
            </w:r>
          </w:p>
        </w:tc>
        <w:tc>
          <w:tcPr>
            <w:tcW w:w="0" w:type="auto"/>
            <w:vAlign w:val="center"/>
            <w:hideMark/>
          </w:tcPr>
          <w:p w14:paraId="76C337A6"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Annual ESG report</w:t>
            </w:r>
          </w:p>
        </w:tc>
      </w:tr>
    </w:tbl>
    <w:p w14:paraId="7CA5572F" w14:textId="77777777" w:rsidR="00984D79" w:rsidRPr="00EE181C" w:rsidRDefault="00984D79" w:rsidP="00EE181C">
      <w:pPr>
        <w:spacing w:after="0" w:line="240" w:lineRule="auto"/>
        <w:rPr>
          <w:rFonts w:ascii="Times New Roman" w:eastAsia="Times New Roman" w:hAnsi="Times New Roman" w:cs="Times New Roman"/>
          <w:sz w:val="24"/>
          <w:szCs w:val="24"/>
        </w:rPr>
      </w:pPr>
    </w:p>
    <w:p w14:paraId="74619A1E" w14:textId="77777777" w:rsidR="009D7967" w:rsidRDefault="009D7967">
      <w:pPr>
        <w:rPr>
          <w:rFonts w:ascii="Times New Roman" w:hAnsi="Times New Roman" w:cs="Times New Roman"/>
          <w:sz w:val="24"/>
          <w:szCs w:val="24"/>
        </w:rPr>
      </w:pPr>
      <w:bookmarkStart w:id="46" w:name="_Toc213223777"/>
      <w:bookmarkStart w:id="47" w:name="_Toc213589882"/>
      <w:r>
        <w:rPr>
          <w:rFonts w:ascii="Times New Roman" w:hAnsi="Times New Roman" w:cs="Times New Roman"/>
          <w:sz w:val="24"/>
          <w:szCs w:val="24"/>
        </w:rPr>
        <w:br w:type="page"/>
      </w:r>
    </w:p>
    <w:p w14:paraId="6E0E9903" w14:textId="162A6B43"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r w:rsidRPr="009D7967">
        <w:rPr>
          <w:rFonts w:ascii="Times New Roman" w:hAnsi="Times New Roman" w:cs="Times New Roman"/>
          <w:sz w:val="24"/>
          <w:szCs w:val="24"/>
        </w:rPr>
        <w:lastRenderedPageBreak/>
        <w:t>4.9 Implementation Risks and Mitigation Summary</w:t>
      </w:r>
      <w:bookmarkEnd w:id="46"/>
      <w:bookmarkEnd w:id="4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4"/>
        <w:gridCol w:w="4119"/>
        <w:gridCol w:w="3637"/>
      </w:tblGrid>
      <w:tr w:rsidR="00EE181C" w:rsidRPr="00EE181C" w14:paraId="533AC1A5" w14:textId="77777777" w:rsidTr="00C97DD2">
        <w:trPr>
          <w:tblHeader/>
          <w:tblCellSpacing w:w="15" w:type="dxa"/>
        </w:trPr>
        <w:tc>
          <w:tcPr>
            <w:tcW w:w="0" w:type="auto"/>
            <w:vAlign w:val="center"/>
            <w:hideMark/>
          </w:tcPr>
          <w:p w14:paraId="4110FA81"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Risk</w:t>
            </w:r>
          </w:p>
        </w:tc>
        <w:tc>
          <w:tcPr>
            <w:tcW w:w="0" w:type="auto"/>
            <w:vAlign w:val="center"/>
            <w:hideMark/>
          </w:tcPr>
          <w:p w14:paraId="43670ECA"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Description</w:t>
            </w:r>
          </w:p>
        </w:tc>
        <w:tc>
          <w:tcPr>
            <w:tcW w:w="0" w:type="auto"/>
            <w:vAlign w:val="center"/>
            <w:hideMark/>
          </w:tcPr>
          <w:p w14:paraId="63AF32BF"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Mitigation Mechanism</w:t>
            </w:r>
          </w:p>
        </w:tc>
      </w:tr>
      <w:tr w:rsidR="00EE181C" w:rsidRPr="00EE181C" w14:paraId="223576DD" w14:textId="77777777" w:rsidTr="00C97DD2">
        <w:trPr>
          <w:tblCellSpacing w:w="15" w:type="dxa"/>
        </w:trPr>
        <w:tc>
          <w:tcPr>
            <w:tcW w:w="0" w:type="auto"/>
            <w:vAlign w:val="center"/>
            <w:hideMark/>
          </w:tcPr>
          <w:p w14:paraId="1023C53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Market Risk</w:t>
            </w:r>
          </w:p>
        </w:tc>
        <w:tc>
          <w:tcPr>
            <w:tcW w:w="0" w:type="auto"/>
            <w:vAlign w:val="center"/>
            <w:hideMark/>
          </w:tcPr>
          <w:p w14:paraId="47527706"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Slower-than-expected adoption due to economic fluctuations.</w:t>
            </w:r>
          </w:p>
        </w:tc>
        <w:tc>
          <w:tcPr>
            <w:tcW w:w="0" w:type="auto"/>
            <w:vAlign w:val="center"/>
            <w:hideMark/>
          </w:tcPr>
          <w:p w14:paraId="41ACEE0E"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Phased rollout and pricing flexibility.</w:t>
            </w:r>
          </w:p>
        </w:tc>
      </w:tr>
      <w:tr w:rsidR="00EE181C" w:rsidRPr="00EE181C" w14:paraId="2825ADB1" w14:textId="77777777" w:rsidTr="00C97DD2">
        <w:trPr>
          <w:tblCellSpacing w:w="15" w:type="dxa"/>
        </w:trPr>
        <w:tc>
          <w:tcPr>
            <w:tcW w:w="0" w:type="auto"/>
            <w:vAlign w:val="center"/>
            <w:hideMark/>
          </w:tcPr>
          <w:p w14:paraId="781DC5B6"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Technology Risk</w:t>
            </w:r>
          </w:p>
        </w:tc>
        <w:tc>
          <w:tcPr>
            <w:tcW w:w="0" w:type="auto"/>
            <w:vAlign w:val="center"/>
            <w:hideMark/>
          </w:tcPr>
          <w:p w14:paraId="2936D79F"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AI bias or data breach incidents.</w:t>
            </w:r>
          </w:p>
        </w:tc>
        <w:tc>
          <w:tcPr>
            <w:tcW w:w="0" w:type="auto"/>
            <w:vAlign w:val="center"/>
            <w:hideMark/>
          </w:tcPr>
          <w:p w14:paraId="37FAB605"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Human-in-the-loop monitoring and third-party audits.</w:t>
            </w:r>
          </w:p>
        </w:tc>
      </w:tr>
      <w:tr w:rsidR="00EE181C" w:rsidRPr="00EE181C" w14:paraId="2B73F2C7" w14:textId="77777777" w:rsidTr="00C97DD2">
        <w:trPr>
          <w:tblCellSpacing w:w="15" w:type="dxa"/>
        </w:trPr>
        <w:tc>
          <w:tcPr>
            <w:tcW w:w="0" w:type="auto"/>
            <w:vAlign w:val="center"/>
            <w:hideMark/>
          </w:tcPr>
          <w:p w14:paraId="48852AE7"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Cultural Risk</w:t>
            </w:r>
          </w:p>
        </w:tc>
        <w:tc>
          <w:tcPr>
            <w:tcW w:w="0" w:type="auto"/>
            <w:vAlign w:val="center"/>
            <w:hideMark/>
          </w:tcPr>
          <w:p w14:paraId="37CBC453"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Misalignment with local norms or values.</w:t>
            </w:r>
          </w:p>
        </w:tc>
        <w:tc>
          <w:tcPr>
            <w:tcW w:w="0" w:type="auto"/>
            <w:vAlign w:val="center"/>
            <w:hideMark/>
          </w:tcPr>
          <w:p w14:paraId="1F3766EA"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Arabic-localized content and local coaches.</w:t>
            </w:r>
          </w:p>
        </w:tc>
      </w:tr>
      <w:tr w:rsidR="00EE181C" w:rsidRPr="00EE181C" w14:paraId="09DDA1F9" w14:textId="77777777" w:rsidTr="00C97DD2">
        <w:trPr>
          <w:tblCellSpacing w:w="15" w:type="dxa"/>
        </w:trPr>
        <w:tc>
          <w:tcPr>
            <w:tcW w:w="0" w:type="auto"/>
            <w:vAlign w:val="center"/>
            <w:hideMark/>
          </w:tcPr>
          <w:p w14:paraId="1A3598F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Financial Risk</w:t>
            </w:r>
          </w:p>
        </w:tc>
        <w:tc>
          <w:tcPr>
            <w:tcW w:w="0" w:type="auto"/>
            <w:vAlign w:val="center"/>
            <w:hideMark/>
          </w:tcPr>
          <w:p w14:paraId="153AA31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Cost overruns in early phases.</w:t>
            </w:r>
          </w:p>
        </w:tc>
        <w:tc>
          <w:tcPr>
            <w:tcW w:w="0" w:type="auto"/>
            <w:vAlign w:val="center"/>
            <w:hideMark/>
          </w:tcPr>
          <w:p w14:paraId="05903F6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Stage-gate funding and quarterly reviews.</w:t>
            </w:r>
          </w:p>
        </w:tc>
      </w:tr>
      <w:tr w:rsidR="00EE181C" w:rsidRPr="00EE181C" w14:paraId="30FDA746" w14:textId="77777777" w:rsidTr="00C97DD2">
        <w:trPr>
          <w:tblCellSpacing w:w="15" w:type="dxa"/>
        </w:trPr>
        <w:tc>
          <w:tcPr>
            <w:tcW w:w="0" w:type="auto"/>
            <w:vAlign w:val="center"/>
            <w:hideMark/>
          </w:tcPr>
          <w:p w14:paraId="169B867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Talent Risk</w:t>
            </w:r>
          </w:p>
        </w:tc>
        <w:tc>
          <w:tcPr>
            <w:tcW w:w="0" w:type="auto"/>
            <w:vAlign w:val="center"/>
            <w:hideMark/>
          </w:tcPr>
          <w:p w14:paraId="6782D8E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Shortage of certified coaches in region.</w:t>
            </w:r>
          </w:p>
        </w:tc>
        <w:tc>
          <w:tcPr>
            <w:tcW w:w="0" w:type="auto"/>
            <w:vAlign w:val="center"/>
            <w:hideMark/>
          </w:tcPr>
          <w:p w14:paraId="21C8D770"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Establish training academies with ICF partners.</w:t>
            </w:r>
          </w:p>
        </w:tc>
      </w:tr>
    </w:tbl>
    <w:p w14:paraId="0E06FC21" w14:textId="77777777" w:rsidR="00984D79" w:rsidRPr="00EE181C" w:rsidRDefault="00984D79" w:rsidP="00EE181C">
      <w:pPr>
        <w:spacing w:after="0" w:line="240" w:lineRule="auto"/>
        <w:rPr>
          <w:rFonts w:ascii="Times New Roman" w:eastAsia="Times New Roman" w:hAnsi="Times New Roman" w:cs="Times New Roman"/>
          <w:sz w:val="24"/>
          <w:szCs w:val="24"/>
        </w:rPr>
      </w:pPr>
    </w:p>
    <w:p w14:paraId="3DEF5B04" w14:textId="60D63E8C" w:rsidR="00984D79" w:rsidRPr="009D7967" w:rsidRDefault="000140B5" w:rsidP="009D7967">
      <w:pPr>
        <w:rPr>
          <w:rFonts w:ascii="Times New Roman" w:hAnsi="Times New Roman" w:cs="Times New Roman"/>
          <w:sz w:val="24"/>
          <w:szCs w:val="24"/>
        </w:rPr>
      </w:pPr>
      <w:bookmarkStart w:id="48" w:name="_Toc213223778"/>
      <w:bookmarkStart w:id="49" w:name="_Toc213589883"/>
      <w:r w:rsidRPr="009D7967">
        <w:rPr>
          <w:rFonts w:ascii="Times New Roman" w:hAnsi="Times New Roman" w:cs="Times New Roman"/>
          <w:sz w:val="24"/>
          <w:szCs w:val="24"/>
        </w:rPr>
        <w:t>4.10 Summary</w:t>
      </w:r>
      <w:bookmarkEnd w:id="48"/>
      <w:bookmarkEnd w:id="49"/>
    </w:p>
    <w:p w14:paraId="22837E53" w14:textId="77777777" w:rsidR="007D2E7B" w:rsidRDefault="000140B5" w:rsidP="008D1EDE">
      <w:pPr>
        <w:spacing w:before="100" w:beforeAutospacing="1" w:after="100" w:afterAutospacing="1" w:line="240" w:lineRule="auto"/>
      </w:pPr>
      <w:r w:rsidRPr="009D7967">
        <w:rPr>
          <w:rFonts w:ascii="Times New Roman" w:hAnsi="Times New Roman" w:cs="Times New Roman"/>
          <w:sz w:val="24"/>
          <w:szCs w:val="24"/>
        </w:rPr>
        <w:t>The implementation plan positions The Institute and INSIGHTA for scalable growth, ethical credibility, and sustainable impact. With governance anchored in CPSF, financial discipline ensured by stage-gate funding, and learning embedded through AARs, the organization is poised to become a global exemplar of humanized innovation. The next chapter examines the risk, ethics, and evaluation framework in greater depth.</w:t>
      </w:r>
      <w:r w:rsidR="007D2E7B">
        <w:br w:type="page"/>
      </w:r>
    </w:p>
    <w:p w14:paraId="2991EFC6" w14:textId="77777777" w:rsidR="00984D79" w:rsidRPr="009D7967" w:rsidRDefault="000140B5" w:rsidP="00EE181C">
      <w:pPr>
        <w:spacing w:before="100" w:beforeAutospacing="1" w:after="100" w:afterAutospacing="1" w:line="240" w:lineRule="auto"/>
        <w:outlineLvl w:val="1"/>
        <w:rPr>
          <w:rFonts w:ascii="Times New Roman" w:eastAsia="Times New Roman" w:hAnsi="Times New Roman" w:cs="Times New Roman"/>
          <w:b/>
          <w:bCs/>
          <w:sz w:val="24"/>
          <w:szCs w:val="24"/>
        </w:rPr>
      </w:pPr>
      <w:bookmarkStart w:id="50" w:name="_Toc213223779"/>
      <w:bookmarkStart w:id="51" w:name="_Toc213589884"/>
      <w:r w:rsidRPr="009D7967">
        <w:rPr>
          <w:rFonts w:ascii="Times New Roman" w:hAnsi="Times New Roman" w:cs="Times New Roman"/>
          <w:sz w:val="24"/>
          <w:szCs w:val="24"/>
        </w:rPr>
        <w:lastRenderedPageBreak/>
        <w:t>Chapter 5: Risk, Ethics, and Evaluation Framework</w:t>
      </w:r>
      <w:bookmarkEnd w:id="50"/>
      <w:bookmarkEnd w:id="51"/>
    </w:p>
    <w:p w14:paraId="5EA84C8E"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52" w:name="_Toc213223780"/>
      <w:bookmarkStart w:id="53" w:name="_Toc213589885"/>
      <w:r w:rsidRPr="009D7967">
        <w:rPr>
          <w:rFonts w:ascii="Times New Roman" w:hAnsi="Times New Roman" w:cs="Times New Roman"/>
          <w:sz w:val="24"/>
          <w:szCs w:val="24"/>
        </w:rPr>
        <w:t>5.1 Overview</w:t>
      </w:r>
      <w:bookmarkEnd w:id="52"/>
      <w:bookmarkEnd w:id="53"/>
    </w:p>
    <w:p w14:paraId="798DC451"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As The Institute scales across new geographies and deploys INSIGHTA, the integrity of its outcomes will depend on rigorous risk governance, ethical oversight, and measurable evaluation. The convergence of technology, coaching psychology, and cross-cultural leadership introduces multidimensional risk, strategic, operational, moral, and reputational. This chapter outlines the framework ensuring that innovation remains responsible, data-driven, and human-centered, consistent with The Institute’s guiding value of “Culture as Glue.”</w:t>
      </w:r>
    </w:p>
    <w:p w14:paraId="4EB1445F" w14:textId="77777777" w:rsidR="0060622A" w:rsidRPr="009D7967" w:rsidRDefault="000140B5" w:rsidP="00F1679F">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5.</w:t>
      </w:r>
      <w:r w:rsidR="0060622A" w:rsidRPr="009D7967">
        <w:rPr>
          <w:rFonts w:ascii="Times New Roman" w:hAnsi="Times New Roman" w:cs="Times New Roman"/>
          <w:sz w:val="24"/>
          <w:szCs w:val="24"/>
        </w:rPr>
        <w:t>1</w:t>
      </w:r>
      <w:r w:rsidRPr="009D7967">
        <w:rPr>
          <w:rFonts w:ascii="Times New Roman" w:hAnsi="Times New Roman" w:cs="Times New Roman"/>
          <w:sz w:val="24"/>
          <w:szCs w:val="24"/>
        </w:rPr>
        <w:t>.1 Frontier Validation Metrics</w:t>
      </w:r>
    </w:p>
    <w:p w14:paraId="0198CE8D" w14:textId="77777777" w:rsidR="00984D79" w:rsidRPr="009D7967" w:rsidRDefault="000140B5" w:rsidP="00F1679F">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To assess the effectiveness of these new processes, five innovation-based metrics are introduced:</w:t>
      </w:r>
    </w:p>
    <w:p w14:paraId="5E38A920" w14:textId="77777777" w:rsidR="00984D79" w:rsidRPr="009D7967" w:rsidRDefault="000140B5" w:rsidP="00F1679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Reflective Depth Index – measures the average number of layered reflections per participant per month.</w:t>
      </w:r>
    </w:p>
    <w:p w14:paraId="3EBD096B" w14:textId="77777777" w:rsidR="00984D79" w:rsidRPr="009D7967" w:rsidRDefault="000140B5" w:rsidP="00F1679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Explainability Uptake – tracks user engagement with “why this prompt” panels.</w:t>
      </w:r>
    </w:p>
    <w:p w14:paraId="751F162D" w14:textId="77777777" w:rsidR="00984D79" w:rsidRPr="009D7967" w:rsidRDefault="000140B5" w:rsidP="00F1679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Cross-Cultural Fidelity – coach-confirmed rate of accurate bilingual interpretation.</w:t>
      </w:r>
    </w:p>
    <w:p w14:paraId="44A2A10D" w14:textId="77777777" w:rsidR="00BD21DB" w:rsidRPr="009D7967" w:rsidRDefault="000140B5" w:rsidP="00BD21DB">
      <w:pPr>
        <w:numPr>
          <w:ilvl w:val="0"/>
          <w:numId w:val="18"/>
        </w:numPr>
        <w:spacing w:before="100" w:beforeAutospacing="1" w:after="100" w:afterAutospacing="1" w:line="240" w:lineRule="auto"/>
        <w:rPr>
          <w:rFonts w:ascii="Times New Roman" w:eastAsia="Times New Roman" w:hAnsi="Times New Roman" w:cs="Times New Roman"/>
          <w:b/>
          <w:bCs/>
          <w:sz w:val="24"/>
          <w:szCs w:val="24"/>
        </w:rPr>
      </w:pPr>
      <w:r w:rsidRPr="009D7967">
        <w:rPr>
          <w:rFonts w:ascii="Times New Roman" w:hAnsi="Times New Roman" w:cs="Times New Roman"/>
          <w:sz w:val="24"/>
          <w:szCs w:val="24"/>
        </w:rPr>
        <w:t>Augmentation Delta – variance in coaching effectiveness between AI-assisted and traditional sessions.</w:t>
      </w:r>
      <w:bookmarkStart w:id="54" w:name="_Toc213223781"/>
    </w:p>
    <w:p w14:paraId="2E094E5C" w14:textId="77777777" w:rsidR="008D1EDE" w:rsidRPr="009D7967" w:rsidRDefault="000140B5" w:rsidP="00BD21DB">
      <w:pPr>
        <w:numPr>
          <w:ilvl w:val="0"/>
          <w:numId w:val="18"/>
        </w:numPr>
        <w:spacing w:before="100" w:beforeAutospacing="1" w:after="100" w:afterAutospacing="1" w:line="240" w:lineRule="auto"/>
        <w:rPr>
          <w:rFonts w:ascii="Times New Roman" w:eastAsia="Times New Roman" w:hAnsi="Times New Roman" w:cs="Times New Roman"/>
          <w:b/>
          <w:bCs/>
          <w:sz w:val="24"/>
          <w:szCs w:val="24"/>
        </w:rPr>
      </w:pPr>
      <w:r w:rsidRPr="009D7967">
        <w:rPr>
          <w:rFonts w:ascii="Times New Roman" w:hAnsi="Times New Roman" w:cs="Times New Roman"/>
          <w:sz w:val="24"/>
          <w:szCs w:val="24"/>
        </w:rPr>
        <w:t>Insight-to-Action Yield – proportion of insights converted into measurable team outcomes within 60 days.</w:t>
      </w:r>
      <w:bookmarkEnd w:id="54"/>
    </w:p>
    <w:p w14:paraId="360FE2B5" w14:textId="77777777" w:rsidR="00984D79" w:rsidRPr="009D7967" w:rsidRDefault="000140B5" w:rsidP="00B5142C">
      <w:pPr>
        <w:spacing w:before="100" w:beforeAutospacing="1" w:after="100" w:afterAutospacing="1" w:line="240" w:lineRule="auto"/>
        <w:outlineLvl w:val="2"/>
        <w:rPr>
          <w:rFonts w:ascii="Times New Roman" w:eastAsia="Times New Roman" w:hAnsi="Times New Roman" w:cs="Times New Roman"/>
          <w:b/>
          <w:bCs/>
          <w:sz w:val="24"/>
          <w:szCs w:val="24"/>
        </w:rPr>
      </w:pPr>
      <w:bookmarkStart w:id="55" w:name="_Toc213223782"/>
      <w:bookmarkStart w:id="56" w:name="_Toc213589886"/>
      <w:r w:rsidRPr="009D7967">
        <w:rPr>
          <w:rFonts w:ascii="Times New Roman" w:hAnsi="Times New Roman" w:cs="Times New Roman"/>
          <w:sz w:val="24"/>
          <w:szCs w:val="24"/>
        </w:rPr>
        <w:t>5.2 Risk Management Framework</w:t>
      </w:r>
      <w:bookmarkEnd w:id="55"/>
      <w:bookmarkEnd w:id="56"/>
    </w:p>
    <w:p w14:paraId="1A7917F1" w14:textId="39F9B44E" w:rsidR="00CB416B" w:rsidRPr="009D7967" w:rsidRDefault="00A83148">
      <w:pPr>
        <w:rPr>
          <w:rFonts w:ascii="Times New Roman" w:hAnsi="Times New Roman" w:cs="Times New Roman"/>
          <w:sz w:val="24"/>
          <w:szCs w:val="24"/>
        </w:rPr>
      </w:pPr>
      <w:r w:rsidRPr="009D7967">
        <w:rPr>
          <w:rFonts w:ascii="Times New Roman" w:hAnsi="Times New Roman" w:cs="Times New Roman"/>
          <w:sz w:val="24"/>
          <w:szCs w:val="24"/>
        </w:rPr>
        <w:t>Historical cases such as algorithmic bias in recruitment algorithms</w:t>
      </w:r>
      <w:r w:rsidR="008F607E" w:rsidRPr="009D7967">
        <w:rPr>
          <w:rFonts w:ascii="Times New Roman" w:hAnsi="Times New Roman" w:cs="Times New Roman"/>
          <w:sz w:val="24"/>
          <w:szCs w:val="24"/>
        </w:rPr>
        <w:t xml:space="preserve"> at Amazon</w:t>
      </w:r>
      <w:r w:rsidRPr="009D7967">
        <w:rPr>
          <w:rFonts w:ascii="Times New Roman" w:hAnsi="Times New Roman" w:cs="Times New Roman"/>
          <w:sz w:val="24"/>
          <w:szCs w:val="24"/>
        </w:rPr>
        <w:t xml:space="preserve"> (</w:t>
      </w:r>
      <w:r w:rsidR="008F607E" w:rsidRPr="009D7967">
        <w:rPr>
          <w:rFonts w:ascii="Times New Roman" w:hAnsi="Times New Roman" w:cs="Times New Roman"/>
          <w:sz w:val="24"/>
          <w:szCs w:val="24"/>
        </w:rPr>
        <w:t>Dastin</w:t>
      </w:r>
      <w:r w:rsidRPr="009D7967">
        <w:rPr>
          <w:rFonts w:ascii="Times New Roman" w:hAnsi="Times New Roman" w:cs="Times New Roman"/>
          <w:sz w:val="24"/>
          <w:szCs w:val="24"/>
        </w:rPr>
        <w:t>, 2018) and privacy controversies surrounding data analytics (Cambridge Analytica, 2019) underscore the importance of proactive ethical governance. These examples reinforce INSIGHTA’s design principle that prevention is achieved through transparency, human oversight, and continuous bias auditing.</w:t>
      </w:r>
    </w:p>
    <w:p w14:paraId="32983864"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risk model builds on McKinsey &amp; Company’s (2023) guidance on “decision governance in the age of urgency” and aligns with COSO’s enterprise risk principles. Risks are identified across five categories: adoption, technology, cultural alignment, data privacy, and financial exposure. Each is tied to specific CPSF-based mitigation mechanisms.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0"/>
        <w:gridCol w:w="2097"/>
        <w:gridCol w:w="1292"/>
        <w:gridCol w:w="2809"/>
        <w:gridCol w:w="1732"/>
      </w:tblGrid>
      <w:tr w:rsidR="00EE181C" w:rsidRPr="00EE181C" w14:paraId="76C1282C" w14:textId="77777777" w:rsidTr="00C27E5A">
        <w:trPr>
          <w:tblHeader/>
          <w:tblCellSpacing w:w="15" w:type="dxa"/>
        </w:trPr>
        <w:tc>
          <w:tcPr>
            <w:tcW w:w="0" w:type="auto"/>
            <w:vAlign w:val="center"/>
            <w:hideMark/>
          </w:tcPr>
          <w:p w14:paraId="14B824E1" w14:textId="77777777" w:rsidR="00984D79" w:rsidRPr="00EE181C" w:rsidRDefault="000140B5" w:rsidP="00C97DD2">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Risk Category</w:t>
            </w:r>
          </w:p>
        </w:tc>
        <w:tc>
          <w:tcPr>
            <w:tcW w:w="0" w:type="auto"/>
            <w:vAlign w:val="center"/>
            <w:hideMark/>
          </w:tcPr>
          <w:p w14:paraId="776B8954" w14:textId="77777777" w:rsidR="00984D79" w:rsidRPr="00EE181C" w:rsidRDefault="000140B5" w:rsidP="00C97DD2">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Potential Impact</w:t>
            </w:r>
          </w:p>
        </w:tc>
        <w:tc>
          <w:tcPr>
            <w:tcW w:w="0" w:type="auto"/>
            <w:vAlign w:val="center"/>
            <w:hideMark/>
          </w:tcPr>
          <w:p w14:paraId="73804131" w14:textId="77777777" w:rsidR="00984D79" w:rsidRPr="00EE181C" w:rsidRDefault="000140B5" w:rsidP="00C97DD2">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Probability</w:t>
            </w:r>
          </w:p>
        </w:tc>
        <w:tc>
          <w:tcPr>
            <w:tcW w:w="0" w:type="auto"/>
            <w:vAlign w:val="center"/>
            <w:hideMark/>
          </w:tcPr>
          <w:p w14:paraId="1A51E160" w14:textId="77777777" w:rsidR="00984D79" w:rsidRPr="00EE181C" w:rsidRDefault="000140B5" w:rsidP="00C97DD2">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Mitigation Strategy</w:t>
            </w:r>
          </w:p>
        </w:tc>
        <w:tc>
          <w:tcPr>
            <w:tcW w:w="0" w:type="auto"/>
            <w:vAlign w:val="center"/>
            <w:hideMark/>
          </w:tcPr>
          <w:p w14:paraId="523FDAFE" w14:textId="77777777" w:rsidR="00984D79" w:rsidRPr="00EE181C" w:rsidRDefault="000140B5" w:rsidP="00C97DD2">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Responsible Entity</w:t>
            </w:r>
          </w:p>
        </w:tc>
      </w:tr>
      <w:tr w:rsidR="00EE181C" w:rsidRPr="00EE181C" w14:paraId="54915784" w14:textId="77777777" w:rsidTr="00C27E5A">
        <w:trPr>
          <w:tblCellSpacing w:w="15" w:type="dxa"/>
        </w:trPr>
        <w:tc>
          <w:tcPr>
            <w:tcW w:w="0" w:type="auto"/>
            <w:vAlign w:val="center"/>
            <w:hideMark/>
          </w:tcPr>
          <w:p w14:paraId="6B2F2162"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Adoption Risk</w:t>
            </w:r>
          </w:p>
        </w:tc>
        <w:tc>
          <w:tcPr>
            <w:tcW w:w="0" w:type="auto"/>
            <w:vAlign w:val="center"/>
            <w:hideMark/>
          </w:tcPr>
          <w:p w14:paraId="0A20A11E"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Slow uptake of INSIGHTA or regional programs</w:t>
            </w:r>
          </w:p>
        </w:tc>
        <w:tc>
          <w:tcPr>
            <w:tcW w:w="0" w:type="auto"/>
            <w:vAlign w:val="center"/>
            <w:hideMark/>
          </w:tcPr>
          <w:p w14:paraId="20D1C0C3"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Medium</w:t>
            </w:r>
          </w:p>
        </w:tc>
        <w:tc>
          <w:tcPr>
            <w:tcW w:w="0" w:type="auto"/>
            <w:vAlign w:val="center"/>
            <w:hideMark/>
          </w:tcPr>
          <w:p w14:paraId="29DCA98B"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Conduct pilot awareness campaigns; offer multilingual onboarding</w:t>
            </w:r>
          </w:p>
        </w:tc>
        <w:tc>
          <w:tcPr>
            <w:tcW w:w="0" w:type="auto"/>
            <w:vAlign w:val="center"/>
            <w:hideMark/>
          </w:tcPr>
          <w:p w14:paraId="116115E3"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Regional Executive Committee</w:t>
            </w:r>
          </w:p>
        </w:tc>
      </w:tr>
      <w:tr w:rsidR="00EE181C" w:rsidRPr="00EE181C" w14:paraId="1339AEBD" w14:textId="77777777" w:rsidTr="00C27E5A">
        <w:trPr>
          <w:tblCellSpacing w:w="15" w:type="dxa"/>
        </w:trPr>
        <w:tc>
          <w:tcPr>
            <w:tcW w:w="0" w:type="auto"/>
            <w:vAlign w:val="center"/>
            <w:hideMark/>
          </w:tcPr>
          <w:p w14:paraId="66D749AE"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Technology Risk</w:t>
            </w:r>
          </w:p>
        </w:tc>
        <w:tc>
          <w:tcPr>
            <w:tcW w:w="0" w:type="auto"/>
            <w:vAlign w:val="center"/>
            <w:hideMark/>
          </w:tcPr>
          <w:p w14:paraId="6C32732C"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Algorithmic bias or AI malfunction</w:t>
            </w:r>
          </w:p>
        </w:tc>
        <w:tc>
          <w:tcPr>
            <w:tcW w:w="0" w:type="auto"/>
            <w:vAlign w:val="center"/>
            <w:hideMark/>
          </w:tcPr>
          <w:p w14:paraId="66794C74"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Medium–High</w:t>
            </w:r>
          </w:p>
        </w:tc>
        <w:tc>
          <w:tcPr>
            <w:tcW w:w="0" w:type="auto"/>
            <w:vAlign w:val="center"/>
            <w:hideMark/>
          </w:tcPr>
          <w:p w14:paraId="5676E684"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Apply “human-in-the-loop” oversight; quarterly model audits</w:t>
            </w:r>
          </w:p>
        </w:tc>
        <w:tc>
          <w:tcPr>
            <w:tcW w:w="0" w:type="auto"/>
            <w:vAlign w:val="center"/>
            <w:hideMark/>
          </w:tcPr>
          <w:p w14:paraId="2A7630C5"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Ethics &amp; AI Oversight Board</w:t>
            </w:r>
          </w:p>
        </w:tc>
      </w:tr>
      <w:tr w:rsidR="00EE181C" w:rsidRPr="00EE181C" w14:paraId="06AD8610" w14:textId="77777777" w:rsidTr="00C27E5A">
        <w:trPr>
          <w:tblCellSpacing w:w="15" w:type="dxa"/>
        </w:trPr>
        <w:tc>
          <w:tcPr>
            <w:tcW w:w="0" w:type="auto"/>
            <w:vAlign w:val="center"/>
            <w:hideMark/>
          </w:tcPr>
          <w:p w14:paraId="26F152D7"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lastRenderedPageBreak/>
              <w:t>Cultural Risk</w:t>
            </w:r>
          </w:p>
        </w:tc>
        <w:tc>
          <w:tcPr>
            <w:tcW w:w="0" w:type="auto"/>
            <w:vAlign w:val="center"/>
            <w:hideMark/>
          </w:tcPr>
          <w:p w14:paraId="1303D534"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Misalignment with local customs or values</w:t>
            </w:r>
          </w:p>
        </w:tc>
        <w:tc>
          <w:tcPr>
            <w:tcW w:w="0" w:type="auto"/>
            <w:vAlign w:val="center"/>
            <w:hideMark/>
          </w:tcPr>
          <w:p w14:paraId="1516F03A"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Medium</w:t>
            </w:r>
          </w:p>
        </w:tc>
        <w:tc>
          <w:tcPr>
            <w:tcW w:w="0" w:type="auto"/>
            <w:vAlign w:val="center"/>
            <w:hideMark/>
          </w:tcPr>
          <w:p w14:paraId="2C0AADB9"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Engage local cultural consultants; adapt content linguistically and contextually</w:t>
            </w:r>
            <w:r w:rsidR="00254DDB">
              <w:rPr>
                <w:rFonts w:ascii="Times New Roman" w:eastAsia="Times New Roman" w:hAnsi="Times New Roman" w:cs="Times New Roman"/>
                <w:sz w:val="24"/>
                <w:szCs w:val="24"/>
              </w:rPr>
              <w:t>.</w:t>
            </w:r>
          </w:p>
        </w:tc>
        <w:tc>
          <w:tcPr>
            <w:tcW w:w="0" w:type="auto"/>
            <w:vAlign w:val="center"/>
            <w:hideMark/>
          </w:tcPr>
          <w:p w14:paraId="30B76514"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Regional Cultural Advisory Panel</w:t>
            </w:r>
          </w:p>
        </w:tc>
      </w:tr>
      <w:tr w:rsidR="00EE181C" w:rsidRPr="00EE181C" w14:paraId="225F7880" w14:textId="77777777" w:rsidTr="00C27E5A">
        <w:trPr>
          <w:tblCellSpacing w:w="15" w:type="dxa"/>
        </w:trPr>
        <w:tc>
          <w:tcPr>
            <w:tcW w:w="0" w:type="auto"/>
            <w:vAlign w:val="center"/>
            <w:hideMark/>
          </w:tcPr>
          <w:p w14:paraId="49FCC677"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Data Privacy Risk</w:t>
            </w:r>
          </w:p>
        </w:tc>
        <w:tc>
          <w:tcPr>
            <w:tcW w:w="0" w:type="auto"/>
            <w:vAlign w:val="center"/>
            <w:hideMark/>
          </w:tcPr>
          <w:p w14:paraId="015694FB"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Breach of confidential client data</w:t>
            </w:r>
          </w:p>
        </w:tc>
        <w:tc>
          <w:tcPr>
            <w:tcW w:w="0" w:type="auto"/>
            <w:vAlign w:val="center"/>
            <w:hideMark/>
          </w:tcPr>
          <w:p w14:paraId="719E1B2D"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High</w:t>
            </w:r>
          </w:p>
        </w:tc>
        <w:tc>
          <w:tcPr>
            <w:tcW w:w="0" w:type="auto"/>
            <w:vAlign w:val="center"/>
            <w:hideMark/>
          </w:tcPr>
          <w:p w14:paraId="59857DD1"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ISO 27001 compliance; anonymization; data-protection officer</w:t>
            </w:r>
          </w:p>
        </w:tc>
        <w:tc>
          <w:tcPr>
            <w:tcW w:w="0" w:type="auto"/>
            <w:vAlign w:val="center"/>
            <w:hideMark/>
          </w:tcPr>
          <w:p w14:paraId="713892AA" w14:textId="77777777" w:rsidR="00984D79" w:rsidRPr="00EE181C" w:rsidRDefault="000140B5" w:rsidP="00C97DD2">
            <w:pPr>
              <w:spacing w:after="0" w:line="240" w:lineRule="auto"/>
              <w:jc w:val="center"/>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AI Product Lead</w:t>
            </w:r>
          </w:p>
        </w:tc>
      </w:tr>
      <w:tr w:rsidR="00EE181C" w:rsidRPr="00EE181C" w14:paraId="3A927973" w14:textId="77777777" w:rsidTr="00C27E5A">
        <w:trPr>
          <w:tblCellSpacing w:w="15" w:type="dxa"/>
        </w:trPr>
        <w:tc>
          <w:tcPr>
            <w:tcW w:w="0" w:type="auto"/>
            <w:vAlign w:val="center"/>
            <w:hideMark/>
          </w:tcPr>
          <w:p w14:paraId="439E79FA"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b/>
                <w:bCs/>
                <w:sz w:val="24"/>
                <w:szCs w:val="24"/>
              </w:rPr>
              <w:t>Financial Risk</w:t>
            </w:r>
          </w:p>
        </w:tc>
        <w:tc>
          <w:tcPr>
            <w:tcW w:w="0" w:type="auto"/>
            <w:vAlign w:val="center"/>
            <w:hideMark/>
          </w:tcPr>
          <w:p w14:paraId="31BA3D7E"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Cost overruns or delayed ROI</w:t>
            </w:r>
          </w:p>
        </w:tc>
        <w:tc>
          <w:tcPr>
            <w:tcW w:w="0" w:type="auto"/>
            <w:vAlign w:val="center"/>
            <w:hideMark/>
          </w:tcPr>
          <w:p w14:paraId="50D5E42A"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Medium</w:t>
            </w:r>
          </w:p>
        </w:tc>
        <w:tc>
          <w:tcPr>
            <w:tcW w:w="0" w:type="auto"/>
            <w:vAlign w:val="center"/>
            <w:hideMark/>
          </w:tcPr>
          <w:p w14:paraId="389EED7C"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Stage-gate capital allocation and quarterly financial dashboards</w:t>
            </w:r>
          </w:p>
        </w:tc>
        <w:tc>
          <w:tcPr>
            <w:tcW w:w="0" w:type="auto"/>
            <w:vAlign w:val="center"/>
            <w:hideMark/>
          </w:tcPr>
          <w:p w14:paraId="440979C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Global Finance Council</w:t>
            </w:r>
          </w:p>
        </w:tc>
      </w:tr>
    </w:tbl>
    <w:p w14:paraId="204A11A9"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Each risk owner reports monthly into the CPSF learning repository, transforming risk data into organizational learning rather than mere compliance.</w:t>
      </w:r>
    </w:p>
    <w:p w14:paraId="2CBEADB9" w14:textId="77777777" w:rsidR="000F5D25" w:rsidRPr="009D7967" w:rsidRDefault="00E47107" w:rsidP="00EE181C">
      <w:pPr>
        <w:spacing w:before="100" w:beforeAutospacing="1" w:after="100" w:afterAutospacing="1" w:line="240" w:lineRule="auto"/>
        <w:outlineLvl w:val="2"/>
        <w:rPr>
          <w:rFonts w:ascii="Times New Roman" w:hAnsi="Times New Roman" w:cs="Times New Roman"/>
          <w:sz w:val="24"/>
          <w:szCs w:val="24"/>
        </w:rPr>
      </w:pPr>
      <w:bookmarkStart w:id="57" w:name="_Toc213223783"/>
      <w:bookmarkStart w:id="58" w:name="_Toc213589887"/>
      <w:r w:rsidRPr="009D7967">
        <w:rPr>
          <w:rFonts w:ascii="Times New Roman" w:hAnsi="Times New Roman" w:cs="Times New Roman"/>
          <w:sz w:val="24"/>
          <w:szCs w:val="24"/>
        </w:rPr>
        <w:t>In alignment with the EU AI Act (2025) implementation, the UAE’s National Strategy for Artificial Intelligence 2031, and Saudi Arabia’s SDAIA AI initiatives under Vision 2030 (2025), INSIGHTA integrates transparency, AI literacy, and algorithmic accountability to uphold multi-jurisdictional ethical standards across the EU, UAE, and Saudi frameworks.</w:t>
      </w:r>
    </w:p>
    <w:p w14:paraId="598A6AA6" w14:textId="26E4A5F0"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r w:rsidRPr="009D7967">
        <w:rPr>
          <w:rFonts w:ascii="Times New Roman" w:hAnsi="Times New Roman" w:cs="Times New Roman"/>
          <w:sz w:val="24"/>
          <w:szCs w:val="24"/>
        </w:rPr>
        <w:t>5.3 Ethical Governance Framework</w:t>
      </w:r>
      <w:bookmarkEnd w:id="57"/>
      <w:bookmarkEnd w:id="58"/>
    </w:p>
    <w:p w14:paraId="2E2A53BF"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Ethical integrity forms the cornerstone of both The Institute’s cultural philosophy and INSIGHTA’s technological architecture. Guided by Bardy’s (2022) concept of “systemic accountability” and the ICF (2024) Code of Ethics, the following principles underpin all decisions:</w:t>
      </w:r>
    </w:p>
    <w:p w14:paraId="28DBA061" w14:textId="77777777" w:rsidR="00984D79" w:rsidRPr="009D7967" w:rsidRDefault="000140B5" w:rsidP="00EE181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Transparency – users understand how data are collected, processed, and interpreted.</w:t>
      </w:r>
    </w:p>
    <w:p w14:paraId="0CA4627D" w14:textId="77777777" w:rsidR="00984D79" w:rsidRPr="009D7967" w:rsidRDefault="000140B5" w:rsidP="00EE181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Autonomy – individuals control their participation and consent to data use.</w:t>
      </w:r>
    </w:p>
    <w:p w14:paraId="19630032" w14:textId="77777777" w:rsidR="00984D79" w:rsidRPr="009D7967" w:rsidRDefault="000140B5" w:rsidP="00EE181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Beneficence – technology must serve human well-being and development.</w:t>
      </w:r>
    </w:p>
    <w:p w14:paraId="060B4D24" w14:textId="77777777" w:rsidR="00984D79" w:rsidRPr="009D7967" w:rsidRDefault="000140B5" w:rsidP="00EE181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Justice – equitable access and representation across demographic groups.</w:t>
      </w:r>
    </w:p>
    <w:p w14:paraId="7A9B22C9" w14:textId="77777777" w:rsidR="00984D79" w:rsidRPr="009D7967" w:rsidRDefault="000140B5" w:rsidP="00EE181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Non-Maleficence – systems designed to prevent psychological or social harm.</w:t>
      </w:r>
    </w:p>
    <w:p w14:paraId="2C926884"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To operationalize these principles, </w:t>
      </w:r>
      <w:r w:rsidR="00D32C72" w:rsidRPr="009D7967">
        <w:rPr>
          <w:rFonts w:ascii="Times New Roman" w:hAnsi="Times New Roman" w:cs="Times New Roman"/>
          <w:sz w:val="24"/>
          <w:szCs w:val="24"/>
        </w:rPr>
        <w:t>T</w:t>
      </w:r>
      <w:r w:rsidRPr="009D7967">
        <w:rPr>
          <w:rFonts w:ascii="Times New Roman" w:hAnsi="Times New Roman" w:cs="Times New Roman"/>
          <w:sz w:val="24"/>
          <w:szCs w:val="24"/>
        </w:rPr>
        <w:t>he Institute will implement a three-layer governance model:</w:t>
      </w:r>
    </w:p>
    <w:p w14:paraId="07C04E39" w14:textId="77777777" w:rsidR="00984D79" w:rsidRPr="009D7967" w:rsidRDefault="000140B5" w:rsidP="00EE181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Ethics &amp; AI Oversight Board: reviews algorithms, audits </w:t>
      </w:r>
      <w:r w:rsidR="000A1521" w:rsidRPr="009D7967">
        <w:rPr>
          <w:rFonts w:ascii="Times New Roman" w:hAnsi="Times New Roman" w:cs="Times New Roman"/>
          <w:sz w:val="24"/>
          <w:szCs w:val="24"/>
        </w:rPr>
        <w:t>bias, and</w:t>
      </w:r>
      <w:r w:rsidRPr="009D7967">
        <w:rPr>
          <w:rFonts w:ascii="Times New Roman" w:hAnsi="Times New Roman" w:cs="Times New Roman"/>
          <w:sz w:val="24"/>
          <w:szCs w:val="24"/>
        </w:rPr>
        <w:t xml:space="preserve"> approves feature releases.</w:t>
      </w:r>
    </w:p>
    <w:p w14:paraId="77859202" w14:textId="77777777" w:rsidR="00984D79" w:rsidRPr="009D7967" w:rsidRDefault="000140B5" w:rsidP="00EE181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Coach Integrity Council: ensures that AI insights complement</w:t>
      </w:r>
      <w:r w:rsidR="000A1521" w:rsidRPr="009D7967">
        <w:rPr>
          <w:rFonts w:ascii="Times New Roman" w:hAnsi="Times New Roman" w:cs="Times New Roman"/>
          <w:sz w:val="24"/>
          <w:szCs w:val="24"/>
        </w:rPr>
        <w:t xml:space="preserve">, not replace, </w:t>
      </w:r>
      <w:r w:rsidRPr="009D7967">
        <w:rPr>
          <w:rFonts w:ascii="Times New Roman" w:hAnsi="Times New Roman" w:cs="Times New Roman"/>
          <w:sz w:val="24"/>
          <w:szCs w:val="24"/>
        </w:rPr>
        <w:t>human coaching judgment.</w:t>
      </w:r>
    </w:p>
    <w:p w14:paraId="5A3F447F" w14:textId="77777777" w:rsidR="00984D79" w:rsidRPr="009D7967" w:rsidRDefault="000140B5" w:rsidP="00EE181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User Ethics Portal: provides clients with real-time access to privacy settings and explains how their data informs insights.</w:t>
      </w:r>
    </w:p>
    <w:p w14:paraId="48339A06" w14:textId="77777777" w:rsidR="008D1EDE" w:rsidRPr="009D7967" w:rsidRDefault="000140B5" w:rsidP="008D1EDE">
      <w:pPr>
        <w:spacing w:before="100" w:beforeAutospacing="1" w:after="100" w:afterAutospacing="1" w:line="240" w:lineRule="auto"/>
        <w:rPr>
          <w:rFonts w:ascii="Times New Roman" w:hAnsi="Times New Roman" w:cs="Times New Roman"/>
          <w:sz w:val="24"/>
          <w:szCs w:val="24"/>
        </w:rPr>
      </w:pPr>
      <w:r w:rsidRPr="009D7967">
        <w:rPr>
          <w:rFonts w:ascii="Times New Roman" w:hAnsi="Times New Roman" w:cs="Times New Roman"/>
          <w:sz w:val="24"/>
          <w:szCs w:val="24"/>
        </w:rPr>
        <w:t>This tri-layer model converts abstract ethical values into daily operational standards, ensuring trust and legitimacy across stakeholders.</w:t>
      </w:r>
    </w:p>
    <w:p w14:paraId="266F3643" w14:textId="3C46C9C4" w:rsidR="00984D79" w:rsidRPr="009D7967" w:rsidRDefault="0014457B" w:rsidP="009D7967">
      <w:pPr>
        <w:rPr>
          <w:rFonts w:ascii="Times New Roman" w:hAnsi="Times New Roman" w:cs="Times New Roman"/>
          <w:sz w:val="24"/>
          <w:szCs w:val="24"/>
        </w:rPr>
      </w:pPr>
      <w:r w:rsidRPr="009D7967">
        <w:rPr>
          <w:rFonts w:ascii="Times New Roman" w:hAnsi="Times New Roman" w:cs="Times New Roman"/>
          <w:sz w:val="24"/>
          <w:szCs w:val="24"/>
        </w:rPr>
        <w:br w:type="page"/>
      </w:r>
      <w:r w:rsidR="000140B5" w:rsidRPr="009D7967">
        <w:rPr>
          <w:rFonts w:ascii="Times New Roman" w:hAnsi="Times New Roman" w:cs="Times New Roman"/>
          <w:sz w:val="24"/>
          <w:szCs w:val="24"/>
        </w:rPr>
        <w:lastRenderedPageBreak/>
        <w:t>5.4 Diversity, Equity, and Inclusion (DEI) Integration</w:t>
      </w:r>
    </w:p>
    <w:p w14:paraId="13816483"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INSIGHTA’s mission is inherently inclusive</w:t>
      </w:r>
      <w:r w:rsidR="00CD180B" w:rsidRPr="009D7967">
        <w:rPr>
          <w:rFonts w:ascii="Times New Roman" w:hAnsi="Times New Roman" w:cs="Times New Roman"/>
          <w:sz w:val="24"/>
          <w:szCs w:val="24"/>
        </w:rPr>
        <w:t xml:space="preserve">, </w:t>
      </w:r>
      <w:r w:rsidRPr="009D7967">
        <w:rPr>
          <w:rFonts w:ascii="Times New Roman" w:hAnsi="Times New Roman" w:cs="Times New Roman"/>
          <w:sz w:val="24"/>
          <w:szCs w:val="24"/>
        </w:rPr>
        <w:t>to democratize access to coaching across languages, genders, and socioeconomic contexts. Drawing on Raja (2022) and Denison &amp; Mishra (1995), inclusion is found to enhance learning and decision quality.</w:t>
      </w:r>
    </w:p>
    <w:p w14:paraId="65F9A398" w14:textId="77777777" w:rsidR="00752DC0" w:rsidRPr="009D7967" w:rsidRDefault="00752DC0" w:rsidP="00752DC0">
      <w:pPr>
        <w:pStyle w:val="NormalWeb"/>
      </w:pPr>
      <w:r w:rsidRPr="009D7967">
        <w:t>DEI mechanisms include:</w:t>
      </w:r>
    </w:p>
    <w:p w14:paraId="3505EC4A" w14:textId="77777777" w:rsidR="00752DC0" w:rsidRPr="009D7967" w:rsidRDefault="00752DC0" w:rsidP="00752DC0">
      <w:pPr>
        <w:pStyle w:val="NormalWeb"/>
        <w:numPr>
          <w:ilvl w:val="0"/>
          <w:numId w:val="30"/>
        </w:numPr>
      </w:pPr>
      <w:r w:rsidRPr="009D7967">
        <w:t>Multilingual content (English, Arabic, and Spanish, with plans to include French) to broaden accessibility.</w:t>
      </w:r>
    </w:p>
    <w:p w14:paraId="3F46A634" w14:textId="77777777" w:rsidR="00752DC0" w:rsidRPr="009D7967" w:rsidRDefault="00752DC0" w:rsidP="00752DC0">
      <w:pPr>
        <w:pStyle w:val="NormalWeb"/>
        <w:numPr>
          <w:ilvl w:val="0"/>
          <w:numId w:val="30"/>
        </w:numPr>
      </w:pPr>
      <w:r w:rsidRPr="009D7967">
        <w:t>Inclusive data sets to train algorithms without bias toward Western idioms.</w:t>
      </w:r>
    </w:p>
    <w:p w14:paraId="1462F222" w14:textId="77777777" w:rsidR="00752DC0" w:rsidRPr="009D7967" w:rsidRDefault="00752DC0" w:rsidP="00752DC0">
      <w:pPr>
        <w:pStyle w:val="NormalWeb"/>
        <w:numPr>
          <w:ilvl w:val="0"/>
          <w:numId w:val="30"/>
        </w:numPr>
      </w:pPr>
      <w:r w:rsidRPr="009D7967">
        <w:t>DEI scorecards are reviewed quarterly by the Ethics &amp; AI Board.</w:t>
      </w:r>
    </w:p>
    <w:p w14:paraId="32EFC2A4" w14:textId="77777777" w:rsidR="00752DC0" w:rsidRPr="009D7967" w:rsidRDefault="00752DC0" w:rsidP="00752DC0">
      <w:pPr>
        <w:pStyle w:val="NormalWeb"/>
        <w:numPr>
          <w:ilvl w:val="0"/>
          <w:numId w:val="30"/>
        </w:numPr>
      </w:pPr>
      <w:r w:rsidRPr="009D7967">
        <w:t>Target of 50% female participation in the user base and coach certification programs by 2028.</w:t>
      </w:r>
    </w:p>
    <w:p w14:paraId="330AE193"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In the Middle East, where workplace diversity initiatives are accelerating (PwC, 2024), this inclusion lens positions The Institute as both a pioneer and a responsible innovator.</w:t>
      </w:r>
    </w:p>
    <w:p w14:paraId="437C8FA1"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59" w:name="_Toc213223784"/>
      <w:bookmarkStart w:id="60" w:name="_Toc213589888"/>
      <w:r w:rsidRPr="009D7967">
        <w:rPr>
          <w:rFonts w:ascii="Times New Roman" w:hAnsi="Times New Roman" w:cs="Times New Roman"/>
          <w:sz w:val="24"/>
          <w:szCs w:val="24"/>
        </w:rPr>
        <w:t>5.5 Evaluation Framework</w:t>
      </w:r>
      <w:bookmarkEnd w:id="59"/>
      <w:bookmarkEnd w:id="60"/>
    </w:p>
    <w:p w14:paraId="1C9EFB6B"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Evaluation converts innovation into evidence. Drawing on Sull et al. (2018) and The Institute’s CPSF, the evaluation logic model measures impact across inputs, processes, outputs, and outcomes</w:t>
      </w:r>
      <w:r w:rsidR="00566082" w:rsidRPr="009D7967">
        <w:rPr>
          <w:rFonts w:ascii="Times New Roman" w:hAnsi="Times New Roman" w:cs="Times New Roman"/>
          <w:sz w:val="24"/>
          <w:szCs w:val="24"/>
        </w:rPr>
        <w:t xml:space="preserve"> as seen in Table 2</w:t>
      </w:r>
      <w:r w:rsidRPr="009D7967">
        <w:rPr>
          <w:rFonts w:ascii="Times New Roman" w:hAnsi="Times New Roman" w:cs="Times New Roman"/>
          <w:sz w:val="24"/>
          <w:szCs w:val="24"/>
        </w:rPr>
        <w:t>.</w:t>
      </w:r>
    </w:p>
    <w:p w14:paraId="1A1FE8E0" w14:textId="77777777" w:rsidR="00984D79" w:rsidRPr="009D7967" w:rsidRDefault="000140B5" w:rsidP="00551B3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Table 2. Integrated Evaluation Logic and KPI Framework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6"/>
        <w:gridCol w:w="2543"/>
        <w:gridCol w:w="3059"/>
        <w:gridCol w:w="2032"/>
      </w:tblGrid>
      <w:tr w:rsidR="00551B3C" w:rsidRPr="00551B3C" w14:paraId="380D927D" w14:textId="77777777" w:rsidTr="00C27E5A">
        <w:trPr>
          <w:tblHeader/>
          <w:tblCellSpacing w:w="15" w:type="dxa"/>
        </w:trPr>
        <w:tc>
          <w:tcPr>
            <w:tcW w:w="0" w:type="auto"/>
            <w:vAlign w:val="center"/>
            <w:hideMark/>
          </w:tcPr>
          <w:p w14:paraId="5535AB45" w14:textId="77777777" w:rsidR="00984D79" w:rsidRPr="00551B3C" w:rsidRDefault="000140B5" w:rsidP="00551B3C">
            <w:pPr>
              <w:spacing w:after="0" w:line="240" w:lineRule="auto"/>
              <w:jc w:val="center"/>
              <w:rPr>
                <w:rFonts w:ascii="Times New Roman" w:eastAsia="Times New Roman" w:hAnsi="Times New Roman" w:cs="Times New Roman"/>
                <w:b/>
                <w:bCs/>
                <w:sz w:val="24"/>
                <w:szCs w:val="24"/>
              </w:rPr>
            </w:pPr>
            <w:r w:rsidRPr="00551B3C">
              <w:rPr>
                <w:rFonts w:ascii="Times New Roman" w:eastAsia="Times New Roman" w:hAnsi="Times New Roman" w:cs="Times New Roman"/>
                <w:b/>
                <w:bCs/>
                <w:sz w:val="24"/>
                <w:szCs w:val="24"/>
              </w:rPr>
              <w:t>Element</w:t>
            </w:r>
          </w:p>
        </w:tc>
        <w:tc>
          <w:tcPr>
            <w:tcW w:w="0" w:type="auto"/>
            <w:vAlign w:val="center"/>
            <w:hideMark/>
          </w:tcPr>
          <w:p w14:paraId="06F8645D" w14:textId="77777777" w:rsidR="00984D79" w:rsidRPr="00551B3C" w:rsidRDefault="000140B5" w:rsidP="00551B3C">
            <w:pPr>
              <w:spacing w:after="0" w:line="240" w:lineRule="auto"/>
              <w:jc w:val="center"/>
              <w:rPr>
                <w:rFonts w:ascii="Times New Roman" w:eastAsia="Times New Roman" w:hAnsi="Times New Roman" w:cs="Times New Roman"/>
                <w:b/>
                <w:bCs/>
                <w:sz w:val="24"/>
                <w:szCs w:val="24"/>
              </w:rPr>
            </w:pPr>
            <w:r w:rsidRPr="00551B3C">
              <w:rPr>
                <w:rFonts w:ascii="Times New Roman" w:eastAsia="Times New Roman" w:hAnsi="Times New Roman" w:cs="Times New Roman"/>
                <w:b/>
                <w:bCs/>
                <w:sz w:val="24"/>
                <w:szCs w:val="24"/>
              </w:rPr>
              <w:t>Description</w:t>
            </w:r>
          </w:p>
        </w:tc>
        <w:tc>
          <w:tcPr>
            <w:tcW w:w="0" w:type="auto"/>
            <w:vAlign w:val="center"/>
            <w:hideMark/>
          </w:tcPr>
          <w:p w14:paraId="022F05A7" w14:textId="77777777" w:rsidR="00984D79" w:rsidRPr="00551B3C" w:rsidRDefault="000140B5" w:rsidP="00551B3C">
            <w:pPr>
              <w:spacing w:after="0" w:line="240" w:lineRule="auto"/>
              <w:jc w:val="center"/>
              <w:rPr>
                <w:rFonts w:ascii="Times New Roman" w:eastAsia="Times New Roman" w:hAnsi="Times New Roman" w:cs="Times New Roman"/>
                <w:b/>
                <w:bCs/>
                <w:sz w:val="24"/>
                <w:szCs w:val="24"/>
              </w:rPr>
            </w:pPr>
            <w:r w:rsidRPr="00551B3C">
              <w:rPr>
                <w:rFonts w:ascii="Times New Roman" w:eastAsia="Times New Roman" w:hAnsi="Times New Roman" w:cs="Times New Roman"/>
                <w:b/>
                <w:bCs/>
                <w:sz w:val="24"/>
                <w:szCs w:val="24"/>
              </w:rPr>
              <w:t>Key Performance Indicators (Target</w:t>
            </w:r>
            <w:r w:rsidR="005C7B85">
              <w:rPr>
                <w:rFonts w:ascii="Times New Roman" w:eastAsia="Times New Roman" w:hAnsi="Times New Roman" w:cs="Times New Roman"/>
                <w:b/>
                <w:bCs/>
                <w:sz w:val="24"/>
                <w:szCs w:val="24"/>
              </w:rPr>
              <w:t>,</w:t>
            </w:r>
            <w:r w:rsidRPr="00551B3C">
              <w:rPr>
                <w:rFonts w:ascii="Times New Roman" w:eastAsia="Times New Roman" w:hAnsi="Times New Roman" w:cs="Times New Roman"/>
                <w:b/>
                <w:bCs/>
                <w:sz w:val="24"/>
                <w:szCs w:val="24"/>
              </w:rPr>
              <w:t xml:space="preserve"> 2028)</w:t>
            </w:r>
          </w:p>
        </w:tc>
        <w:tc>
          <w:tcPr>
            <w:tcW w:w="0" w:type="auto"/>
            <w:vAlign w:val="center"/>
            <w:hideMark/>
          </w:tcPr>
          <w:p w14:paraId="60F87E2E" w14:textId="77777777" w:rsidR="00984D79" w:rsidRPr="00551B3C" w:rsidRDefault="000140B5" w:rsidP="00551B3C">
            <w:pPr>
              <w:spacing w:after="0" w:line="240" w:lineRule="auto"/>
              <w:jc w:val="center"/>
              <w:rPr>
                <w:rFonts w:ascii="Times New Roman" w:eastAsia="Times New Roman" w:hAnsi="Times New Roman" w:cs="Times New Roman"/>
                <w:b/>
                <w:bCs/>
                <w:sz w:val="24"/>
                <w:szCs w:val="24"/>
              </w:rPr>
            </w:pPr>
            <w:r w:rsidRPr="00551B3C">
              <w:rPr>
                <w:rFonts w:ascii="Times New Roman" w:eastAsia="Times New Roman" w:hAnsi="Times New Roman" w:cs="Times New Roman"/>
                <w:b/>
                <w:bCs/>
                <w:sz w:val="24"/>
                <w:szCs w:val="24"/>
              </w:rPr>
              <w:t>Data Source</w:t>
            </w:r>
          </w:p>
        </w:tc>
      </w:tr>
      <w:tr w:rsidR="00551B3C" w:rsidRPr="00551B3C" w14:paraId="7DC8EE59" w14:textId="77777777" w:rsidTr="00C27E5A">
        <w:trPr>
          <w:tblCellSpacing w:w="15" w:type="dxa"/>
        </w:trPr>
        <w:tc>
          <w:tcPr>
            <w:tcW w:w="0" w:type="auto"/>
            <w:vAlign w:val="center"/>
            <w:hideMark/>
          </w:tcPr>
          <w:p w14:paraId="7BB9A5D7"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t>Inputs</w:t>
            </w:r>
          </w:p>
        </w:tc>
        <w:tc>
          <w:tcPr>
            <w:tcW w:w="0" w:type="auto"/>
            <w:vAlign w:val="center"/>
            <w:hideMark/>
          </w:tcPr>
          <w:p w14:paraId="1C1C208B"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Investment, partnerships, training</w:t>
            </w:r>
          </w:p>
        </w:tc>
        <w:tc>
          <w:tcPr>
            <w:tcW w:w="0" w:type="auto"/>
            <w:vAlign w:val="center"/>
            <w:hideMark/>
          </w:tcPr>
          <w:p w14:paraId="7E193CA6"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USD 11.7 M investment; 20 coaches certified</w:t>
            </w:r>
          </w:p>
        </w:tc>
        <w:tc>
          <w:tcPr>
            <w:tcW w:w="0" w:type="auto"/>
            <w:vAlign w:val="center"/>
            <w:hideMark/>
          </w:tcPr>
          <w:p w14:paraId="2938A970"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Finance &amp; HR records</w:t>
            </w:r>
          </w:p>
        </w:tc>
      </w:tr>
      <w:tr w:rsidR="00551B3C" w:rsidRPr="00551B3C" w14:paraId="5721E0D3" w14:textId="77777777" w:rsidTr="00C27E5A">
        <w:trPr>
          <w:tblCellSpacing w:w="15" w:type="dxa"/>
        </w:trPr>
        <w:tc>
          <w:tcPr>
            <w:tcW w:w="0" w:type="auto"/>
            <w:vAlign w:val="center"/>
            <w:hideMark/>
          </w:tcPr>
          <w:p w14:paraId="206CC32C"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t>Processes</w:t>
            </w:r>
          </w:p>
        </w:tc>
        <w:tc>
          <w:tcPr>
            <w:tcW w:w="0" w:type="auto"/>
            <w:vAlign w:val="center"/>
            <w:hideMark/>
          </w:tcPr>
          <w:p w14:paraId="078825C3"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CPSF cycles, AI ethics reviews, AARs</w:t>
            </w:r>
          </w:p>
        </w:tc>
        <w:tc>
          <w:tcPr>
            <w:tcW w:w="0" w:type="auto"/>
            <w:vAlign w:val="center"/>
            <w:hideMark/>
          </w:tcPr>
          <w:p w14:paraId="0D1D54DA"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 12 bias audits / year; ≥ 90% completion of LCRs</w:t>
            </w:r>
          </w:p>
        </w:tc>
        <w:tc>
          <w:tcPr>
            <w:tcW w:w="0" w:type="auto"/>
            <w:vAlign w:val="center"/>
            <w:hideMark/>
          </w:tcPr>
          <w:p w14:paraId="394CECB6"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Ethics Board logs</w:t>
            </w:r>
          </w:p>
        </w:tc>
      </w:tr>
      <w:tr w:rsidR="00551B3C" w:rsidRPr="00551B3C" w14:paraId="7CB97FBC" w14:textId="77777777" w:rsidTr="00C27E5A">
        <w:trPr>
          <w:tblCellSpacing w:w="15" w:type="dxa"/>
        </w:trPr>
        <w:tc>
          <w:tcPr>
            <w:tcW w:w="0" w:type="auto"/>
            <w:vAlign w:val="center"/>
            <w:hideMark/>
          </w:tcPr>
          <w:p w14:paraId="49BAEF45"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t>Outputs</w:t>
            </w:r>
          </w:p>
        </w:tc>
        <w:tc>
          <w:tcPr>
            <w:tcW w:w="0" w:type="auto"/>
            <w:vAlign w:val="center"/>
            <w:hideMark/>
          </w:tcPr>
          <w:p w14:paraId="237A0422"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Platform adoption and program delivery</w:t>
            </w:r>
          </w:p>
        </w:tc>
        <w:tc>
          <w:tcPr>
            <w:tcW w:w="0" w:type="auto"/>
            <w:vAlign w:val="center"/>
            <w:hideMark/>
          </w:tcPr>
          <w:p w14:paraId="1AFD4C91" w14:textId="77777777" w:rsidR="00984D79" w:rsidRPr="00551B3C" w:rsidRDefault="00254DDB" w:rsidP="00551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r w:rsidRPr="00551B3C">
              <w:rPr>
                <w:rFonts w:ascii="Times New Roman" w:eastAsia="Times New Roman" w:hAnsi="Times New Roman" w:cs="Times New Roman"/>
                <w:sz w:val="24"/>
                <w:szCs w:val="24"/>
              </w:rPr>
              <w:t xml:space="preserve"> users; 200 enterprise clients</w:t>
            </w:r>
          </w:p>
        </w:tc>
        <w:tc>
          <w:tcPr>
            <w:tcW w:w="0" w:type="auto"/>
            <w:vAlign w:val="center"/>
            <w:hideMark/>
          </w:tcPr>
          <w:p w14:paraId="026F23B5"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INSIGHTA analytics</w:t>
            </w:r>
          </w:p>
        </w:tc>
      </w:tr>
      <w:tr w:rsidR="00551B3C" w:rsidRPr="00551B3C" w14:paraId="53E89311" w14:textId="77777777" w:rsidTr="00C27E5A">
        <w:trPr>
          <w:tblCellSpacing w:w="15" w:type="dxa"/>
        </w:trPr>
        <w:tc>
          <w:tcPr>
            <w:tcW w:w="0" w:type="auto"/>
            <w:vAlign w:val="center"/>
            <w:hideMark/>
          </w:tcPr>
          <w:p w14:paraId="73665D36"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t>Outcomes</w:t>
            </w:r>
          </w:p>
        </w:tc>
        <w:tc>
          <w:tcPr>
            <w:tcW w:w="0" w:type="auto"/>
            <w:vAlign w:val="center"/>
            <w:hideMark/>
          </w:tcPr>
          <w:p w14:paraId="3912D295"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Behavioral and organizational improvement</w:t>
            </w:r>
          </w:p>
        </w:tc>
        <w:tc>
          <w:tcPr>
            <w:tcW w:w="0" w:type="auto"/>
            <w:vAlign w:val="center"/>
            <w:hideMark/>
          </w:tcPr>
          <w:p w14:paraId="2225829C" w14:textId="77777777" w:rsidR="00984D79" w:rsidRPr="00551B3C" w:rsidRDefault="000140B5" w:rsidP="00551B3C">
            <w:pPr>
              <w:spacing w:after="0" w:line="240" w:lineRule="auto"/>
              <w:rPr>
                <w:rFonts w:ascii="Times New Roman" w:eastAsia="Times New Roman" w:hAnsi="Times New Roman" w:cs="Times New Roman"/>
                <w:sz w:val="24"/>
                <w:szCs w:val="24"/>
                <w:lang w:val="fr-FR"/>
              </w:rPr>
            </w:pPr>
            <w:r w:rsidRPr="00551B3C">
              <w:rPr>
                <w:rFonts w:ascii="Times New Roman" w:eastAsia="Times New Roman" w:hAnsi="Times New Roman" w:cs="Times New Roman"/>
                <w:sz w:val="24"/>
                <w:szCs w:val="24"/>
                <w:lang w:val="fr-FR"/>
              </w:rPr>
              <w:t xml:space="preserve">+15 Engagement Score; +12 </w:t>
            </w:r>
            <w:proofErr w:type="spellStart"/>
            <w:r w:rsidRPr="00551B3C">
              <w:rPr>
                <w:rFonts w:ascii="Times New Roman" w:eastAsia="Times New Roman" w:hAnsi="Times New Roman" w:cs="Times New Roman"/>
                <w:sz w:val="24"/>
                <w:szCs w:val="24"/>
                <w:lang w:val="fr-FR"/>
              </w:rPr>
              <w:t>eNPS</w:t>
            </w:r>
            <w:proofErr w:type="spellEnd"/>
            <w:r w:rsidRPr="00551B3C">
              <w:rPr>
                <w:rFonts w:ascii="Times New Roman" w:eastAsia="Times New Roman" w:hAnsi="Times New Roman" w:cs="Times New Roman"/>
                <w:sz w:val="24"/>
                <w:szCs w:val="24"/>
                <w:lang w:val="fr-FR"/>
              </w:rPr>
              <w:t xml:space="preserve">; EBITDA ≥ 30 % </w:t>
            </w:r>
            <w:proofErr w:type="spellStart"/>
            <w:r w:rsidRPr="00551B3C">
              <w:rPr>
                <w:rFonts w:ascii="Times New Roman" w:eastAsia="Times New Roman" w:hAnsi="Times New Roman" w:cs="Times New Roman"/>
                <w:sz w:val="24"/>
                <w:szCs w:val="24"/>
                <w:lang w:val="fr-FR"/>
              </w:rPr>
              <w:t>margin</w:t>
            </w:r>
            <w:proofErr w:type="spellEnd"/>
          </w:p>
        </w:tc>
        <w:tc>
          <w:tcPr>
            <w:tcW w:w="0" w:type="auto"/>
            <w:vAlign w:val="center"/>
            <w:hideMark/>
          </w:tcPr>
          <w:p w14:paraId="14106468"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Culture OS &amp; Finance dashboards</w:t>
            </w:r>
          </w:p>
        </w:tc>
      </w:tr>
      <w:tr w:rsidR="00551B3C" w:rsidRPr="00551B3C" w14:paraId="0DBA77D5" w14:textId="77777777" w:rsidTr="00C27E5A">
        <w:trPr>
          <w:tblCellSpacing w:w="15" w:type="dxa"/>
        </w:trPr>
        <w:tc>
          <w:tcPr>
            <w:tcW w:w="0" w:type="auto"/>
            <w:vAlign w:val="center"/>
            <w:hideMark/>
          </w:tcPr>
          <w:p w14:paraId="1C5ED03D"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t>Cultural Impact</w:t>
            </w:r>
          </w:p>
        </w:tc>
        <w:tc>
          <w:tcPr>
            <w:tcW w:w="0" w:type="auto"/>
            <w:vAlign w:val="center"/>
            <w:hideMark/>
          </w:tcPr>
          <w:p w14:paraId="7C677E90"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Learning and psychological safety</w:t>
            </w:r>
          </w:p>
        </w:tc>
        <w:tc>
          <w:tcPr>
            <w:tcW w:w="0" w:type="auto"/>
            <w:vAlign w:val="center"/>
            <w:hideMark/>
          </w:tcPr>
          <w:p w14:paraId="296F4251"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 80 % report growth in self-awareness</w:t>
            </w:r>
          </w:p>
        </w:tc>
        <w:tc>
          <w:tcPr>
            <w:tcW w:w="0" w:type="auto"/>
            <w:vAlign w:val="center"/>
            <w:hideMark/>
          </w:tcPr>
          <w:p w14:paraId="2C4FD566"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Survey data</w:t>
            </w:r>
          </w:p>
        </w:tc>
      </w:tr>
      <w:tr w:rsidR="00551B3C" w:rsidRPr="00551B3C" w14:paraId="4E3A2812" w14:textId="77777777" w:rsidTr="00C27E5A">
        <w:trPr>
          <w:tblCellSpacing w:w="15" w:type="dxa"/>
        </w:trPr>
        <w:tc>
          <w:tcPr>
            <w:tcW w:w="0" w:type="auto"/>
            <w:vAlign w:val="center"/>
            <w:hideMark/>
          </w:tcPr>
          <w:p w14:paraId="4593EEAF"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t>Ethics &amp; DEI</w:t>
            </w:r>
          </w:p>
        </w:tc>
        <w:tc>
          <w:tcPr>
            <w:tcW w:w="0" w:type="auto"/>
            <w:vAlign w:val="center"/>
            <w:hideMark/>
          </w:tcPr>
          <w:p w14:paraId="57389447"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Compliance and representation</w:t>
            </w:r>
          </w:p>
        </w:tc>
        <w:tc>
          <w:tcPr>
            <w:tcW w:w="0" w:type="auto"/>
            <w:vAlign w:val="center"/>
            <w:hideMark/>
          </w:tcPr>
          <w:p w14:paraId="309D466E"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0 major violations; ≥ 50 % female users</w:t>
            </w:r>
          </w:p>
        </w:tc>
        <w:tc>
          <w:tcPr>
            <w:tcW w:w="0" w:type="auto"/>
            <w:vAlign w:val="center"/>
            <w:hideMark/>
          </w:tcPr>
          <w:p w14:paraId="1CA3AD40"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Ethics audits &amp; platform records</w:t>
            </w:r>
          </w:p>
        </w:tc>
      </w:tr>
      <w:tr w:rsidR="00551B3C" w:rsidRPr="00551B3C" w14:paraId="65088883" w14:textId="77777777" w:rsidTr="00C27E5A">
        <w:trPr>
          <w:tblCellSpacing w:w="15" w:type="dxa"/>
        </w:trPr>
        <w:tc>
          <w:tcPr>
            <w:tcW w:w="0" w:type="auto"/>
            <w:vAlign w:val="center"/>
            <w:hideMark/>
          </w:tcPr>
          <w:p w14:paraId="282020BE"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t>Sustainability</w:t>
            </w:r>
          </w:p>
        </w:tc>
        <w:tc>
          <w:tcPr>
            <w:tcW w:w="0" w:type="auto"/>
            <w:vAlign w:val="center"/>
            <w:hideMark/>
          </w:tcPr>
          <w:p w14:paraId="7394E992"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ESG and SDG alignment</w:t>
            </w:r>
          </w:p>
        </w:tc>
        <w:tc>
          <w:tcPr>
            <w:tcW w:w="0" w:type="auto"/>
            <w:vAlign w:val="center"/>
            <w:hideMark/>
          </w:tcPr>
          <w:p w14:paraId="32D169FF"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 80 % SDG target achievement</w:t>
            </w:r>
          </w:p>
        </w:tc>
        <w:tc>
          <w:tcPr>
            <w:tcW w:w="0" w:type="auto"/>
            <w:vAlign w:val="center"/>
            <w:hideMark/>
          </w:tcPr>
          <w:p w14:paraId="26DC1B1A"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Annual ESG report</w:t>
            </w:r>
          </w:p>
        </w:tc>
      </w:tr>
      <w:tr w:rsidR="00551B3C" w:rsidRPr="00551B3C" w14:paraId="26A12ACB" w14:textId="77777777" w:rsidTr="00C27E5A">
        <w:trPr>
          <w:tblCellSpacing w:w="15" w:type="dxa"/>
        </w:trPr>
        <w:tc>
          <w:tcPr>
            <w:tcW w:w="0" w:type="auto"/>
            <w:vAlign w:val="center"/>
            <w:hideMark/>
          </w:tcPr>
          <w:p w14:paraId="136A0227"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b/>
                <w:bCs/>
                <w:sz w:val="24"/>
                <w:szCs w:val="24"/>
              </w:rPr>
              <w:lastRenderedPageBreak/>
              <w:t>Long-Term Impact</w:t>
            </w:r>
          </w:p>
        </w:tc>
        <w:tc>
          <w:tcPr>
            <w:tcW w:w="0" w:type="auto"/>
            <w:vAlign w:val="center"/>
            <w:hideMark/>
          </w:tcPr>
          <w:p w14:paraId="64E14F9B"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 xml:space="preserve">Trust, research output, </w:t>
            </w:r>
            <w:r w:rsidR="00FE451A">
              <w:rPr>
                <w:rFonts w:ascii="Times New Roman" w:eastAsia="Times New Roman" w:hAnsi="Times New Roman" w:cs="Times New Roman"/>
                <w:sz w:val="24"/>
                <w:szCs w:val="24"/>
              </w:rPr>
              <w:t xml:space="preserve">and </w:t>
            </w:r>
            <w:r w:rsidRPr="00551B3C">
              <w:rPr>
                <w:rFonts w:ascii="Times New Roman" w:eastAsia="Times New Roman" w:hAnsi="Times New Roman" w:cs="Times New Roman"/>
                <w:sz w:val="24"/>
                <w:szCs w:val="24"/>
              </w:rPr>
              <w:t>regional influence</w:t>
            </w:r>
          </w:p>
        </w:tc>
        <w:tc>
          <w:tcPr>
            <w:tcW w:w="0" w:type="auto"/>
            <w:vAlign w:val="center"/>
            <w:hideMark/>
          </w:tcPr>
          <w:p w14:paraId="32B7EB6A"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2+ peer-reviewed publications by 2030</w:t>
            </w:r>
          </w:p>
        </w:tc>
        <w:tc>
          <w:tcPr>
            <w:tcW w:w="0" w:type="auto"/>
            <w:vAlign w:val="center"/>
            <w:hideMark/>
          </w:tcPr>
          <w:p w14:paraId="54CF0FE2" w14:textId="77777777" w:rsidR="00984D79" w:rsidRPr="00551B3C" w:rsidRDefault="000140B5" w:rsidP="00551B3C">
            <w:pPr>
              <w:spacing w:after="0" w:line="240" w:lineRule="auto"/>
              <w:rPr>
                <w:rFonts w:ascii="Times New Roman" w:eastAsia="Times New Roman" w:hAnsi="Times New Roman" w:cs="Times New Roman"/>
                <w:sz w:val="24"/>
                <w:szCs w:val="24"/>
              </w:rPr>
            </w:pPr>
            <w:r w:rsidRPr="00551B3C">
              <w:rPr>
                <w:rFonts w:ascii="Times New Roman" w:eastAsia="Times New Roman" w:hAnsi="Times New Roman" w:cs="Times New Roman"/>
                <w:sz w:val="24"/>
                <w:szCs w:val="24"/>
              </w:rPr>
              <w:t>Institutional repository</w:t>
            </w:r>
          </w:p>
        </w:tc>
      </w:tr>
    </w:tbl>
    <w:p w14:paraId="0FF3717C"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Data will be collected via Culture OS dashboards and INSIGHTA analytics, with quarterly synthesis reports presented to the Strategy Council.</w:t>
      </w:r>
    </w:p>
    <w:p w14:paraId="09555D52" w14:textId="77777777" w:rsidR="00CB416B" w:rsidRPr="009D7967" w:rsidRDefault="00A83148">
      <w:pPr>
        <w:rPr>
          <w:rFonts w:ascii="Times New Roman" w:hAnsi="Times New Roman" w:cs="Times New Roman"/>
          <w:sz w:val="24"/>
          <w:szCs w:val="24"/>
        </w:rPr>
      </w:pPr>
      <w:r w:rsidRPr="009D7967">
        <w:rPr>
          <w:rFonts w:ascii="Times New Roman" w:hAnsi="Times New Roman" w:cs="Times New Roman"/>
          <w:sz w:val="24"/>
          <w:szCs w:val="24"/>
        </w:rPr>
        <w:t>Triangulation ensures data integrity through the convergence of three validation sources: external market benchmarks (PwC, McKinsey), internal analytics (Culture OS, INSIGHTA dashboards), and independent audit verification of behavioral indices (I² and RCA). This multilayered validation enhances both the methodological rigor and the credibility of the reported ROI.</w:t>
      </w:r>
    </w:p>
    <w:p w14:paraId="2AE9B9E7"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61" w:name="_Toc213223785"/>
      <w:bookmarkStart w:id="62" w:name="_Toc213589889"/>
      <w:r w:rsidRPr="009D7967">
        <w:rPr>
          <w:rFonts w:ascii="Times New Roman" w:hAnsi="Times New Roman" w:cs="Times New Roman"/>
          <w:sz w:val="24"/>
          <w:szCs w:val="24"/>
        </w:rPr>
        <w:t>5.6 Measurement Methods and Data Sources</w:t>
      </w:r>
      <w:bookmarkEnd w:id="61"/>
      <w:bookmarkEnd w:id="62"/>
    </w:p>
    <w:p w14:paraId="638DA5B6"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evaluation combines quantitative metrics (usage, ROI, adoption) and qualitative insight (coaching feedback, cultural narratives).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4"/>
        <w:gridCol w:w="5799"/>
        <w:gridCol w:w="1297"/>
      </w:tblGrid>
      <w:tr w:rsidR="00EE181C" w:rsidRPr="00EE181C" w14:paraId="21B15266" w14:textId="77777777" w:rsidTr="00C27E5A">
        <w:trPr>
          <w:tblHeader/>
          <w:tblCellSpacing w:w="15" w:type="dxa"/>
        </w:trPr>
        <w:tc>
          <w:tcPr>
            <w:tcW w:w="0" w:type="auto"/>
            <w:vAlign w:val="center"/>
            <w:hideMark/>
          </w:tcPr>
          <w:p w14:paraId="4C1B2C4E"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Methodology</w:t>
            </w:r>
          </w:p>
        </w:tc>
        <w:tc>
          <w:tcPr>
            <w:tcW w:w="0" w:type="auto"/>
            <w:vAlign w:val="center"/>
            <w:hideMark/>
          </w:tcPr>
          <w:p w14:paraId="497F8979"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Purpose</w:t>
            </w:r>
          </w:p>
        </w:tc>
        <w:tc>
          <w:tcPr>
            <w:tcW w:w="0" w:type="auto"/>
            <w:vAlign w:val="center"/>
            <w:hideMark/>
          </w:tcPr>
          <w:p w14:paraId="3CC9B854" w14:textId="77777777" w:rsidR="00984D79" w:rsidRPr="00EE181C" w:rsidRDefault="000140B5" w:rsidP="00EE181C">
            <w:pPr>
              <w:spacing w:after="0" w:line="240" w:lineRule="auto"/>
              <w:jc w:val="center"/>
              <w:rPr>
                <w:rFonts w:ascii="Times New Roman" w:eastAsia="Times New Roman" w:hAnsi="Times New Roman" w:cs="Times New Roman"/>
                <w:b/>
                <w:bCs/>
                <w:sz w:val="24"/>
                <w:szCs w:val="24"/>
              </w:rPr>
            </w:pPr>
            <w:r w:rsidRPr="00EE181C">
              <w:rPr>
                <w:rFonts w:ascii="Times New Roman" w:eastAsia="Times New Roman" w:hAnsi="Times New Roman" w:cs="Times New Roman"/>
                <w:b/>
                <w:bCs/>
                <w:sz w:val="24"/>
                <w:szCs w:val="24"/>
              </w:rPr>
              <w:t>Frequency</w:t>
            </w:r>
          </w:p>
        </w:tc>
      </w:tr>
      <w:tr w:rsidR="00EE181C" w:rsidRPr="00EE181C" w14:paraId="2F3DB970" w14:textId="77777777" w:rsidTr="00C27E5A">
        <w:trPr>
          <w:tblCellSpacing w:w="15" w:type="dxa"/>
        </w:trPr>
        <w:tc>
          <w:tcPr>
            <w:tcW w:w="0" w:type="auto"/>
            <w:vAlign w:val="center"/>
            <w:hideMark/>
          </w:tcPr>
          <w:p w14:paraId="2AB2CB67"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Platform Analytics</w:t>
            </w:r>
          </w:p>
        </w:tc>
        <w:tc>
          <w:tcPr>
            <w:tcW w:w="0" w:type="auto"/>
            <w:vAlign w:val="center"/>
            <w:hideMark/>
          </w:tcPr>
          <w:p w14:paraId="2831F8AC"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Track user activity, engagement time, and reflection completion</w:t>
            </w:r>
          </w:p>
        </w:tc>
        <w:tc>
          <w:tcPr>
            <w:tcW w:w="0" w:type="auto"/>
            <w:vAlign w:val="center"/>
            <w:hideMark/>
          </w:tcPr>
          <w:p w14:paraId="201DB88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Continuous</w:t>
            </w:r>
          </w:p>
        </w:tc>
      </w:tr>
      <w:tr w:rsidR="00EE181C" w:rsidRPr="00EE181C" w14:paraId="20DC3670" w14:textId="77777777" w:rsidTr="00C27E5A">
        <w:trPr>
          <w:tblCellSpacing w:w="15" w:type="dxa"/>
        </w:trPr>
        <w:tc>
          <w:tcPr>
            <w:tcW w:w="0" w:type="auto"/>
            <w:vAlign w:val="center"/>
            <w:hideMark/>
          </w:tcPr>
          <w:p w14:paraId="6DFFCAB6"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Surveys and Interviews</w:t>
            </w:r>
          </w:p>
        </w:tc>
        <w:tc>
          <w:tcPr>
            <w:tcW w:w="0" w:type="auto"/>
            <w:vAlign w:val="center"/>
            <w:hideMark/>
          </w:tcPr>
          <w:p w14:paraId="09109DD5"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Capture user satisfaction, cultural alignment, and perceived value</w:t>
            </w:r>
          </w:p>
        </w:tc>
        <w:tc>
          <w:tcPr>
            <w:tcW w:w="0" w:type="auto"/>
            <w:vAlign w:val="center"/>
            <w:hideMark/>
          </w:tcPr>
          <w:p w14:paraId="5D83B5A4"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Semi-annual</w:t>
            </w:r>
          </w:p>
        </w:tc>
      </w:tr>
      <w:tr w:rsidR="00EE181C" w:rsidRPr="00EE181C" w14:paraId="5ADD4589" w14:textId="77777777" w:rsidTr="00C27E5A">
        <w:trPr>
          <w:tblCellSpacing w:w="15" w:type="dxa"/>
        </w:trPr>
        <w:tc>
          <w:tcPr>
            <w:tcW w:w="0" w:type="auto"/>
            <w:vAlign w:val="center"/>
            <w:hideMark/>
          </w:tcPr>
          <w:p w14:paraId="3B2122B5"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Red-Team Reviews</w:t>
            </w:r>
          </w:p>
        </w:tc>
        <w:tc>
          <w:tcPr>
            <w:tcW w:w="0" w:type="auto"/>
            <w:vAlign w:val="center"/>
            <w:hideMark/>
          </w:tcPr>
          <w:p w14:paraId="013D4031"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Identify cognitive or algorithmic bias</w:t>
            </w:r>
          </w:p>
        </w:tc>
        <w:tc>
          <w:tcPr>
            <w:tcW w:w="0" w:type="auto"/>
            <w:vAlign w:val="center"/>
            <w:hideMark/>
          </w:tcPr>
          <w:p w14:paraId="25D44163"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Quarterly</w:t>
            </w:r>
          </w:p>
        </w:tc>
      </w:tr>
      <w:tr w:rsidR="00EE181C" w:rsidRPr="00EE181C" w14:paraId="181A9628" w14:textId="77777777" w:rsidTr="00C27E5A">
        <w:trPr>
          <w:tblCellSpacing w:w="15" w:type="dxa"/>
        </w:trPr>
        <w:tc>
          <w:tcPr>
            <w:tcW w:w="0" w:type="auto"/>
            <w:vAlign w:val="center"/>
            <w:hideMark/>
          </w:tcPr>
          <w:p w14:paraId="75C1848D"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Peer Benchmarking</w:t>
            </w:r>
          </w:p>
        </w:tc>
        <w:tc>
          <w:tcPr>
            <w:tcW w:w="0" w:type="auto"/>
            <w:vAlign w:val="center"/>
            <w:hideMark/>
          </w:tcPr>
          <w:p w14:paraId="1C070D69"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Compare performance with global AI-coaching platforms</w:t>
            </w:r>
          </w:p>
        </w:tc>
        <w:tc>
          <w:tcPr>
            <w:tcW w:w="0" w:type="auto"/>
            <w:vAlign w:val="center"/>
            <w:hideMark/>
          </w:tcPr>
          <w:p w14:paraId="559A361B"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Annual</w:t>
            </w:r>
          </w:p>
        </w:tc>
      </w:tr>
      <w:tr w:rsidR="00EE181C" w:rsidRPr="00EE181C" w14:paraId="35E15F5D" w14:textId="77777777" w:rsidTr="00C27E5A">
        <w:trPr>
          <w:tblCellSpacing w:w="15" w:type="dxa"/>
        </w:trPr>
        <w:tc>
          <w:tcPr>
            <w:tcW w:w="0" w:type="auto"/>
            <w:vAlign w:val="center"/>
            <w:hideMark/>
          </w:tcPr>
          <w:p w14:paraId="4EFF4908"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Financial Audits</w:t>
            </w:r>
          </w:p>
        </w:tc>
        <w:tc>
          <w:tcPr>
            <w:tcW w:w="0" w:type="auto"/>
            <w:vAlign w:val="center"/>
            <w:hideMark/>
          </w:tcPr>
          <w:p w14:paraId="32A1A334"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Assess ROI and profitability</w:t>
            </w:r>
          </w:p>
        </w:tc>
        <w:tc>
          <w:tcPr>
            <w:tcW w:w="0" w:type="auto"/>
            <w:vAlign w:val="center"/>
            <w:hideMark/>
          </w:tcPr>
          <w:p w14:paraId="7DFEDFEC" w14:textId="77777777" w:rsidR="00984D79" w:rsidRPr="00EE181C" w:rsidRDefault="000140B5" w:rsidP="00EE181C">
            <w:pPr>
              <w:spacing w:after="0" w:line="240" w:lineRule="auto"/>
              <w:rPr>
                <w:rFonts w:ascii="Times New Roman" w:eastAsia="Times New Roman" w:hAnsi="Times New Roman" w:cs="Times New Roman"/>
                <w:sz w:val="24"/>
                <w:szCs w:val="24"/>
              </w:rPr>
            </w:pPr>
            <w:r w:rsidRPr="00EE181C">
              <w:rPr>
                <w:rFonts w:ascii="Times New Roman" w:eastAsia="Times New Roman" w:hAnsi="Times New Roman" w:cs="Times New Roman"/>
                <w:sz w:val="24"/>
                <w:szCs w:val="24"/>
              </w:rPr>
              <w:t>Annual</w:t>
            </w:r>
          </w:p>
        </w:tc>
      </w:tr>
    </w:tbl>
    <w:p w14:paraId="22144BBA"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Evaluation outcomes will be disseminated internally through The Institute’s Learning Repository and externally via annual Impact and Ethics Reports.</w:t>
      </w:r>
    </w:p>
    <w:p w14:paraId="7FA9E958"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63" w:name="_Toc213223786"/>
      <w:bookmarkStart w:id="64" w:name="_Toc213589890"/>
      <w:r w:rsidRPr="009D7967">
        <w:rPr>
          <w:rFonts w:ascii="Times New Roman" w:hAnsi="Times New Roman" w:cs="Times New Roman"/>
          <w:sz w:val="24"/>
          <w:szCs w:val="24"/>
        </w:rPr>
        <w:t>5.7 Ethical AI and Data-Protection Practices</w:t>
      </w:r>
      <w:bookmarkEnd w:id="63"/>
      <w:bookmarkEnd w:id="64"/>
    </w:p>
    <w:p w14:paraId="3469DFD0" w14:textId="266BAB64"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Adhering to McKinsey</w:t>
      </w:r>
      <w:r w:rsidR="00AE5F07" w:rsidRPr="009D7967">
        <w:rPr>
          <w:rFonts w:ascii="Times New Roman" w:hAnsi="Times New Roman" w:cs="Times New Roman"/>
          <w:sz w:val="24"/>
          <w:szCs w:val="24"/>
        </w:rPr>
        <w:t xml:space="preserve"> &amp; Company</w:t>
      </w:r>
      <w:r w:rsidRPr="009D7967">
        <w:rPr>
          <w:rFonts w:ascii="Times New Roman" w:hAnsi="Times New Roman" w:cs="Times New Roman"/>
          <w:sz w:val="24"/>
          <w:szCs w:val="24"/>
        </w:rPr>
        <w:t xml:space="preserve"> (2025) and Accenture (2024) recommendations, INSIGHTA adopts the following standards:</w:t>
      </w:r>
    </w:p>
    <w:p w14:paraId="5CBBF85E" w14:textId="77777777" w:rsidR="00984D79" w:rsidRPr="009D7967" w:rsidRDefault="000140B5" w:rsidP="00EE181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Explainability: Every algorithm must be interpretable by human auditors.</w:t>
      </w:r>
    </w:p>
    <w:p w14:paraId="323404C4" w14:textId="77777777" w:rsidR="00984D79" w:rsidRPr="009D7967" w:rsidRDefault="000140B5" w:rsidP="00EE181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Data Minimization: only essential data are stored, and anonymization is applied by default.</w:t>
      </w:r>
    </w:p>
    <w:p w14:paraId="10A7AC25" w14:textId="77777777" w:rsidR="00984D79" w:rsidRPr="009D7967" w:rsidRDefault="000140B5" w:rsidP="00EE181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Informed Consent: users opt in explicitly to data sharing for coaching analytics.</w:t>
      </w:r>
    </w:p>
    <w:p w14:paraId="0B83D239" w14:textId="77777777" w:rsidR="00984D79" w:rsidRPr="009D7967" w:rsidRDefault="000140B5" w:rsidP="00EE181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Fairness Testing: demographic parity analysis to detect bias.</w:t>
      </w:r>
    </w:p>
    <w:p w14:paraId="5B2492D2" w14:textId="77777777" w:rsidR="00984D79" w:rsidRPr="009D7967" w:rsidRDefault="000140B5" w:rsidP="00EE181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Accountability Chain: clear documentation linking algorithmic decisions to human oversight.</w:t>
      </w:r>
    </w:p>
    <w:p w14:paraId="25217262"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lastRenderedPageBreak/>
        <w:t xml:space="preserve">The Ethics </w:t>
      </w:r>
      <w:r w:rsidR="00A1344D" w:rsidRPr="009D7967">
        <w:rPr>
          <w:rFonts w:ascii="Times New Roman" w:hAnsi="Times New Roman" w:cs="Times New Roman"/>
          <w:sz w:val="24"/>
          <w:szCs w:val="24"/>
        </w:rPr>
        <w:t xml:space="preserve">and </w:t>
      </w:r>
      <w:r w:rsidRPr="009D7967">
        <w:rPr>
          <w:rFonts w:ascii="Times New Roman" w:hAnsi="Times New Roman" w:cs="Times New Roman"/>
          <w:sz w:val="24"/>
          <w:szCs w:val="24"/>
        </w:rPr>
        <w:t>AI Oversight Board will issue annual transparency statements aligned with ISO 37000 governance standards and GDPR-equivalent compliance even when operating outside the EU.</w:t>
      </w:r>
    </w:p>
    <w:p w14:paraId="0F2DE941"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65" w:name="_Toc213223787"/>
      <w:bookmarkStart w:id="66" w:name="_Toc213589891"/>
      <w:r w:rsidRPr="009D7967">
        <w:rPr>
          <w:rFonts w:ascii="Times New Roman" w:hAnsi="Times New Roman" w:cs="Times New Roman"/>
          <w:sz w:val="24"/>
          <w:szCs w:val="24"/>
        </w:rPr>
        <w:t>5.8 Continuous Learning and Feedback Integration</w:t>
      </w:r>
      <w:bookmarkEnd w:id="65"/>
      <w:bookmarkEnd w:id="66"/>
    </w:p>
    <w:p w14:paraId="6F5A194F"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Consistent with the CPSF philosophy, evaluation and ethics are iterative</w:t>
      </w:r>
      <w:r w:rsidR="00627988" w:rsidRPr="009D7967">
        <w:rPr>
          <w:rFonts w:ascii="Times New Roman" w:hAnsi="Times New Roman" w:cs="Times New Roman"/>
          <w:sz w:val="24"/>
          <w:szCs w:val="24"/>
        </w:rPr>
        <w:t xml:space="preserve">, </w:t>
      </w:r>
      <w:r w:rsidRPr="009D7967">
        <w:rPr>
          <w:rFonts w:ascii="Times New Roman" w:hAnsi="Times New Roman" w:cs="Times New Roman"/>
          <w:sz w:val="24"/>
          <w:szCs w:val="24"/>
        </w:rPr>
        <w:t>not static. Post-project reviews, learning summaries, and cultural pulse checks ensure that each decision informs and improves the system design. Learning Cadence Reviews (LCRs) will occur quarterly, converting insights into refinements of both INSIGHTA algorithms and coaching protocols.</w:t>
      </w:r>
    </w:p>
    <w:p w14:paraId="6E89DC77"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This continuous feedback system creates a “learning organization in action,” validating Schein &amp; Schein’s (2017) premise that reflection institutionalizes resilience.</w:t>
      </w:r>
    </w:p>
    <w:p w14:paraId="39DBA94E"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67" w:name="_Toc213223788"/>
      <w:bookmarkStart w:id="68" w:name="_Toc213589892"/>
      <w:r w:rsidRPr="009D7967">
        <w:rPr>
          <w:rFonts w:ascii="Times New Roman" w:hAnsi="Times New Roman" w:cs="Times New Roman"/>
          <w:sz w:val="24"/>
          <w:szCs w:val="24"/>
        </w:rPr>
        <w:t>5.9 Sustainability and Long-Term Governance</w:t>
      </w:r>
      <w:bookmarkEnd w:id="67"/>
      <w:bookmarkEnd w:id="68"/>
    </w:p>
    <w:p w14:paraId="3AFAFAB7"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Beyond profitability, the Institute’s reinvention will be measured by its ability to sustain trust and social value. Long-term governance will include:</w:t>
      </w:r>
    </w:p>
    <w:p w14:paraId="49710F1A" w14:textId="77777777" w:rsidR="00984D79" w:rsidRPr="009D7967" w:rsidRDefault="000140B5" w:rsidP="00EE181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Annual Ethics &amp; Sustainability Report, combining financial, DEI, and environmental data.</w:t>
      </w:r>
    </w:p>
    <w:p w14:paraId="115D435F" w14:textId="77777777" w:rsidR="00984D79" w:rsidRPr="009D7967" w:rsidRDefault="000140B5" w:rsidP="00EE181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Partnerships with academic institutions to research human–AI interaction outcomes.</w:t>
      </w:r>
    </w:p>
    <w:p w14:paraId="41EE4EB5" w14:textId="77777777" w:rsidR="00984D79" w:rsidRPr="009D7967" w:rsidRDefault="000140B5" w:rsidP="00EE181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Longitudinal user studies tracking behavioral improvement and psychological safety.</w:t>
      </w:r>
    </w:p>
    <w:p w14:paraId="6E4E3C42" w14:textId="77777777" w:rsidR="00984D79" w:rsidRPr="009D7967" w:rsidRDefault="000140B5" w:rsidP="00EE181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Regional Advisory Forums in each country to localize standards and maintain cultural legitimacy.</w:t>
      </w:r>
    </w:p>
    <w:p w14:paraId="4A6AAD42"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These initiatives embed sustainability as an ethos rather than an adjunct function.</w:t>
      </w:r>
    </w:p>
    <w:p w14:paraId="79858B6C" w14:textId="77777777" w:rsidR="00984D79" w:rsidRPr="009D7967" w:rsidRDefault="000140B5" w:rsidP="00EE181C">
      <w:pPr>
        <w:spacing w:before="100" w:beforeAutospacing="1" w:after="100" w:afterAutospacing="1" w:line="240" w:lineRule="auto"/>
        <w:outlineLvl w:val="2"/>
        <w:rPr>
          <w:rFonts w:ascii="Times New Roman" w:eastAsia="Times New Roman" w:hAnsi="Times New Roman" w:cs="Times New Roman"/>
          <w:b/>
          <w:bCs/>
          <w:sz w:val="24"/>
          <w:szCs w:val="24"/>
        </w:rPr>
      </w:pPr>
      <w:bookmarkStart w:id="69" w:name="_Toc213223789"/>
      <w:bookmarkStart w:id="70" w:name="_Toc213589893"/>
      <w:r w:rsidRPr="009D7967">
        <w:rPr>
          <w:rFonts w:ascii="Times New Roman" w:hAnsi="Times New Roman" w:cs="Times New Roman"/>
          <w:sz w:val="24"/>
          <w:szCs w:val="24"/>
        </w:rPr>
        <w:t>5.10 Summary</w:t>
      </w:r>
      <w:bookmarkEnd w:id="69"/>
      <w:bookmarkEnd w:id="70"/>
    </w:p>
    <w:p w14:paraId="1342B542"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 xml:space="preserve">The risk, ethics, and evaluation framework ensures that The Institute and INSIGHTA remain faithful to the humanistic principles that define their mission. Through structured governance, transparent data ethics, and empirical evaluation, the organization transforms uncertainty into a disciplined system of learning and knowledge. The framework reinforces that innovation without integrity </w:t>
      </w:r>
      <w:r w:rsidR="00440AE0" w:rsidRPr="009D7967">
        <w:rPr>
          <w:rFonts w:ascii="Times New Roman" w:hAnsi="Times New Roman" w:cs="Times New Roman"/>
          <w:sz w:val="24"/>
          <w:szCs w:val="24"/>
        </w:rPr>
        <w:t>leads to instability,</w:t>
      </w:r>
      <w:r w:rsidR="004C5437" w:rsidRPr="009D7967">
        <w:rPr>
          <w:rFonts w:ascii="Times New Roman" w:hAnsi="Times New Roman" w:cs="Times New Roman"/>
          <w:sz w:val="24"/>
          <w:szCs w:val="24"/>
        </w:rPr>
        <w:t xml:space="preserve"> </w:t>
      </w:r>
      <w:r w:rsidR="00930F10" w:rsidRPr="009D7967">
        <w:rPr>
          <w:rFonts w:ascii="Times New Roman" w:hAnsi="Times New Roman" w:cs="Times New Roman"/>
          <w:sz w:val="24"/>
          <w:szCs w:val="24"/>
        </w:rPr>
        <w:t>thereby positioning</w:t>
      </w:r>
      <w:r w:rsidRPr="009D7967">
        <w:rPr>
          <w:rFonts w:ascii="Times New Roman" w:hAnsi="Times New Roman" w:cs="Times New Roman"/>
          <w:sz w:val="24"/>
          <w:szCs w:val="24"/>
        </w:rPr>
        <w:t xml:space="preserve"> The Institute as a global exemplar of ethical reinvention.</w:t>
      </w:r>
    </w:p>
    <w:p w14:paraId="013064BF" w14:textId="77777777" w:rsidR="00984D79" w:rsidRPr="009D7967" w:rsidRDefault="000140B5" w:rsidP="00EE181C">
      <w:pPr>
        <w:spacing w:before="100" w:beforeAutospacing="1" w:after="100" w:afterAutospacing="1" w:line="240" w:lineRule="auto"/>
        <w:rPr>
          <w:rFonts w:ascii="Times New Roman" w:eastAsia="Times New Roman" w:hAnsi="Times New Roman" w:cs="Times New Roman"/>
          <w:sz w:val="24"/>
          <w:szCs w:val="24"/>
        </w:rPr>
      </w:pPr>
      <w:r w:rsidRPr="009D7967">
        <w:rPr>
          <w:rFonts w:ascii="Times New Roman" w:hAnsi="Times New Roman" w:cs="Times New Roman"/>
          <w:sz w:val="24"/>
          <w:szCs w:val="24"/>
        </w:rPr>
        <w:t>The final chapter now turns inward, offering reflective insights and critical friend commentary on the doctoral learning journey and the practical evolution of The Institute’s mission.</w:t>
      </w:r>
    </w:p>
    <w:p w14:paraId="3895969B" w14:textId="77777777" w:rsidR="00AA147D" w:rsidRPr="009D7967" w:rsidRDefault="002F41DF" w:rsidP="00440AE0">
      <w:pPr>
        <w:rPr>
          <w:rFonts w:ascii="Times New Roman" w:hAnsi="Times New Roman" w:cs="Times New Roman"/>
          <w:sz w:val="24"/>
          <w:szCs w:val="24"/>
        </w:rPr>
      </w:pPr>
      <w:r w:rsidRPr="009D7967">
        <w:rPr>
          <w:rFonts w:ascii="Times New Roman" w:hAnsi="Times New Roman" w:cs="Times New Roman"/>
          <w:b/>
          <w:bCs/>
          <w:sz w:val="24"/>
          <w:szCs w:val="24"/>
        </w:rPr>
        <w:br w:type="page"/>
      </w:r>
      <w:bookmarkStart w:id="71" w:name="_Toc213223790"/>
      <w:r w:rsidR="007E4B2A" w:rsidRPr="009D7967">
        <w:rPr>
          <w:rFonts w:ascii="Times New Roman" w:hAnsi="Times New Roman" w:cs="Times New Roman"/>
          <w:sz w:val="24"/>
          <w:szCs w:val="24"/>
        </w:rPr>
        <w:lastRenderedPageBreak/>
        <w:t>Chapter 6 – Reflective Synthesis (PhD by Portfolio)</w:t>
      </w:r>
    </w:p>
    <w:p w14:paraId="5DBF7A05" w14:textId="77777777" w:rsidR="00D75D52" w:rsidRPr="009D7967" w:rsidRDefault="007E4B2A" w:rsidP="005C7B85">
      <w:pPr>
        <w:rPr>
          <w:rFonts w:ascii="Times New Roman" w:hAnsi="Times New Roman" w:cs="Times New Roman"/>
          <w:sz w:val="24"/>
          <w:szCs w:val="24"/>
        </w:rPr>
      </w:pPr>
      <w:r w:rsidRPr="009D7967">
        <w:rPr>
          <w:rFonts w:ascii="Times New Roman" w:hAnsi="Times New Roman" w:cs="Times New Roman"/>
          <w:sz w:val="24"/>
          <w:szCs w:val="24"/>
        </w:rPr>
        <w:t>This chapter represents a reflective synthesis of the doctoral journey</w:t>
      </w:r>
      <w:r w:rsidR="00C32DE9" w:rsidRPr="009D7967">
        <w:rPr>
          <w:rFonts w:ascii="Times New Roman" w:hAnsi="Times New Roman" w:cs="Times New Roman"/>
          <w:sz w:val="24"/>
          <w:szCs w:val="24"/>
        </w:rPr>
        <w:t>, as told through a</w:t>
      </w:r>
      <w:r w:rsidRPr="009D7967">
        <w:rPr>
          <w:rFonts w:ascii="Times New Roman" w:hAnsi="Times New Roman" w:cs="Times New Roman"/>
          <w:sz w:val="24"/>
          <w:szCs w:val="24"/>
        </w:rPr>
        <w:t xml:space="preserve"> portfolio, integrating scholarly learning, applied practice, and professional transformation. It captures how the research process evolved from conceptual frameworks into a living model of humanized innovation, anchored in ethics, cultural intelligence, and responsible leadership.</w:t>
      </w:r>
    </w:p>
    <w:p w14:paraId="15B90296" w14:textId="77777777" w:rsidR="00AA147D" w:rsidRPr="009D7967" w:rsidRDefault="007E4B2A" w:rsidP="005C7B85">
      <w:pPr>
        <w:rPr>
          <w:rFonts w:ascii="Times New Roman" w:hAnsi="Times New Roman" w:cs="Times New Roman"/>
          <w:sz w:val="24"/>
          <w:szCs w:val="24"/>
        </w:rPr>
      </w:pPr>
      <w:r w:rsidRPr="009D7967">
        <w:rPr>
          <w:rFonts w:ascii="Times New Roman" w:hAnsi="Times New Roman" w:cs="Times New Roman"/>
          <w:sz w:val="24"/>
          <w:szCs w:val="24"/>
        </w:rPr>
        <w:br/>
        <w:t>6.1 Integrative Reflection on Doctoral Learning</w:t>
      </w:r>
    </w:p>
    <w:p w14:paraId="75A4F620" w14:textId="77777777" w:rsidR="00E64B48" w:rsidRPr="009D7967" w:rsidRDefault="007E4B2A" w:rsidP="00E64B48">
      <w:pPr>
        <w:rPr>
          <w:rFonts w:ascii="Times New Roman" w:hAnsi="Times New Roman" w:cs="Times New Roman"/>
          <w:sz w:val="24"/>
          <w:szCs w:val="24"/>
        </w:rPr>
      </w:pPr>
      <w:r w:rsidRPr="009D7967">
        <w:rPr>
          <w:rFonts w:ascii="Times New Roman" w:hAnsi="Times New Roman" w:cs="Times New Roman"/>
          <w:sz w:val="24"/>
          <w:szCs w:val="24"/>
        </w:rPr>
        <w:t xml:space="preserve">Throughout the PhD by Portfolio, the intersection of scholarship and practice became a laboratory for transformation. Earlier modules established the </w:t>
      </w:r>
      <w:r w:rsidR="00440AE0" w:rsidRPr="009D7967">
        <w:rPr>
          <w:rFonts w:ascii="Times New Roman" w:hAnsi="Times New Roman" w:cs="Times New Roman"/>
          <w:sz w:val="24"/>
          <w:szCs w:val="24"/>
        </w:rPr>
        <w:t xml:space="preserve">foundation of </w:t>
      </w:r>
      <w:r w:rsidRPr="009D7967">
        <w:rPr>
          <w:rFonts w:ascii="Times New Roman" w:hAnsi="Times New Roman" w:cs="Times New Roman"/>
          <w:sz w:val="24"/>
          <w:szCs w:val="24"/>
        </w:rPr>
        <w:t>empowerment, decision governance, and collaborative problem-solving</w:t>
      </w:r>
      <w:r w:rsidR="009A3B38" w:rsidRPr="009D7967">
        <w:rPr>
          <w:rFonts w:ascii="Times New Roman" w:hAnsi="Times New Roman" w:cs="Times New Roman"/>
          <w:sz w:val="24"/>
          <w:szCs w:val="24"/>
        </w:rPr>
        <w:t xml:space="preserve">, </w:t>
      </w:r>
      <w:r w:rsidRPr="009D7967">
        <w:rPr>
          <w:rFonts w:ascii="Times New Roman" w:hAnsi="Times New Roman" w:cs="Times New Roman"/>
          <w:sz w:val="24"/>
          <w:szCs w:val="24"/>
        </w:rPr>
        <w:t xml:space="preserve">while the Capstone unified these strands into an integrated leadership framework. The process redefined professional identity from </w:t>
      </w:r>
      <w:r w:rsidR="00C32DE9" w:rsidRPr="009D7967">
        <w:rPr>
          <w:rFonts w:ascii="Times New Roman" w:hAnsi="Times New Roman" w:cs="Times New Roman"/>
          <w:sz w:val="24"/>
          <w:szCs w:val="24"/>
        </w:rPr>
        <w:t xml:space="preserve">that of a managerial decision-maker to a </w:t>
      </w:r>
      <w:r w:rsidRPr="009D7967">
        <w:rPr>
          <w:rFonts w:ascii="Times New Roman" w:hAnsi="Times New Roman" w:cs="Times New Roman"/>
          <w:sz w:val="24"/>
          <w:szCs w:val="24"/>
        </w:rPr>
        <w:t>reflective scholar-practitioner, capable of balancing evidence, empathy, and impact.</w:t>
      </w:r>
      <w:r w:rsidRPr="009D7967">
        <w:rPr>
          <w:rFonts w:ascii="Times New Roman" w:hAnsi="Times New Roman" w:cs="Times New Roman"/>
          <w:sz w:val="24"/>
          <w:szCs w:val="24"/>
        </w:rPr>
        <w:br/>
      </w:r>
      <w:r w:rsidRPr="009D7967">
        <w:rPr>
          <w:rFonts w:ascii="Times New Roman" w:hAnsi="Times New Roman" w:cs="Times New Roman"/>
          <w:sz w:val="24"/>
          <w:szCs w:val="24"/>
        </w:rPr>
        <w:br/>
        <w:t xml:space="preserve">This evolution was not linear; it required navigating complexity, ambiguity, and competing priorities. By continuously applying reflective inquiry, I developed a disciplined capacity to connect theory to lived </w:t>
      </w:r>
      <w:r w:rsidR="00C32DE9" w:rsidRPr="009D7967">
        <w:rPr>
          <w:rFonts w:ascii="Times New Roman" w:hAnsi="Times New Roman" w:cs="Times New Roman"/>
          <w:sz w:val="24"/>
          <w:szCs w:val="24"/>
        </w:rPr>
        <w:t xml:space="preserve">experience, </w:t>
      </w:r>
      <w:r w:rsidRPr="009D7967">
        <w:rPr>
          <w:rFonts w:ascii="Times New Roman" w:hAnsi="Times New Roman" w:cs="Times New Roman"/>
          <w:sz w:val="24"/>
          <w:szCs w:val="24"/>
        </w:rPr>
        <w:t xml:space="preserve">translating academic rigor into organizational relevance. This iterative learning embodies the principle of praxis, where reflection and </w:t>
      </w:r>
      <w:r w:rsidR="009A3B38" w:rsidRPr="009D7967">
        <w:rPr>
          <w:rFonts w:ascii="Times New Roman" w:hAnsi="Times New Roman" w:cs="Times New Roman"/>
          <w:sz w:val="24"/>
          <w:szCs w:val="24"/>
        </w:rPr>
        <w:t>action cogenerate</w:t>
      </w:r>
      <w:r w:rsidRPr="009D7967">
        <w:rPr>
          <w:rFonts w:ascii="Times New Roman" w:hAnsi="Times New Roman" w:cs="Times New Roman"/>
          <w:sz w:val="24"/>
          <w:szCs w:val="24"/>
        </w:rPr>
        <w:t xml:space="preserve"> knowledge.</w:t>
      </w:r>
      <w:r w:rsidRPr="009D7967">
        <w:rPr>
          <w:rFonts w:ascii="Times New Roman" w:hAnsi="Times New Roman" w:cs="Times New Roman"/>
          <w:sz w:val="24"/>
          <w:szCs w:val="24"/>
        </w:rPr>
        <w:br/>
      </w:r>
    </w:p>
    <w:p w14:paraId="54832E52" w14:textId="77777777" w:rsidR="00B65E36" w:rsidRPr="009D7967" w:rsidRDefault="007E4B2A" w:rsidP="00E64B48">
      <w:pPr>
        <w:rPr>
          <w:rFonts w:ascii="Times New Roman" w:hAnsi="Times New Roman" w:cs="Times New Roman"/>
          <w:sz w:val="24"/>
          <w:szCs w:val="24"/>
        </w:rPr>
      </w:pPr>
      <w:r w:rsidRPr="009D7967">
        <w:rPr>
          <w:rFonts w:ascii="Times New Roman" w:hAnsi="Times New Roman" w:cs="Times New Roman"/>
          <w:sz w:val="24"/>
          <w:szCs w:val="24"/>
        </w:rPr>
        <w:t>6.2 Application to The Institute’s Strategic Journey</w:t>
      </w:r>
    </w:p>
    <w:p w14:paraId="4794F401" w14:textId="77777777" w:rsidR="00710243" w:rsidRPr="009D7967" w:rsidRDefault="007E4B2A" w:rsidP="00B65E36">
      <w:pPr>
        <w:rPr>
          <w:rFonts w:ascii="Times New Roman" w:hAnsi="Times New Roman" w:cs="Times New Roman"/>
          <w:sz w:val="24"/>
          <w:szCs w:val="24"/>
        </w:rPr>
      </w:pPr>
      <w:r w:rsidRPr="009D7967">
        <w:rPr>
          <w:rFonts w:ascii="Times New Roman" w:hAnsi="Times New Roman" w:cs="Times New Roman"/>
          <w:sz w:val="24"/>
          <w:szCs w:val="24"/>
        </w:rPr>
        <w:t xml:space="preserve">The Capstone’s two strategic </w:t>
      </w:r>
      <w:r w:rsidR="00E64B48" w:rsidRPr="009D7967">
        <w:rPr>
          <w:rFonts w:ascii="Times New Roman" w:hAnsi="Times New Roman" w:cs="Times New Roman"/>
          <w:sz w:val="24"/>
          <w:szCs w:val="24"/>
        </w:rPr>
        <w:t xml:space="preserve">pillars, </w:t>
      </w:r>
      <w:r w:rsidRPr="009D7967">
        <w:rPr>
          <w:rFonts w:ascii="Times New Roman" w:hAnsi="Times New Roman" w:cs="Times New Roman"/>
          <w:sz w:val="24"/>
          <w:szCs w:val="24"/>
        </w:rPr>
        <w:t>Middle East expansion and the INSIGHTA platform</w:t>
      </w:r>
      <w:r w:rsidR="00E64B48" w:rsidRPr="009D7967">
        <w:rPr>
          <w:rFonts w:ascii="Times New Roman" w:hAnsi="Times New Roman" w:cs="Times New Roman"/>
          <w:sz w:val="24"/>
          <w:szCs w:val="24"/>
        </w:rPr>
        <w:t xml:space="preserve">, </w:t>
      </w:r>
      <w:r w:rsidRPr="009D7967">
        <w:rPr>
          <w:rFonts w:ascii="Times New Roman" w:hAnsi="Times New Roman" w:cs="Times New Roman"/>
          <w:sz w:val="24"/>
          <w:szCs w:val="24"/>
        </w:rPr>
        <w:t xml:space="preserve">illustrate the synthesis between theoretical insight and practical leadership. Both initiatives </w:t>
      </w:r>
      <w:r w:rsidR="00A367D4" w:rsidRPr="009D7967">
        <w:rPr>
          <w:rFonts w:ascii="Times New Roman" w:hAnsi="Times New Roman" w:cs="Times New Roman"/>
          <w:sz w:val="24"/>
          <w:szCs w:val="24"/>
        </w:rPr>
        <w:t>operate</w:t>
      </w:r>
      <w:r w:rsidRPr="009D7967">
        <w:rPr>
          <w:rFonts w:ascii="Times New Roman" w:hAnsi="Times New Roman" w:cs="Times New Roman"/>
          <w:sz w:val="24"/>
          <w:szCs w:val="24"/>
        </w:rPr>
        <w:t xml:space="preserve"> strategic ambidexterity, balancing exploration (innovation) and exploitation (execution). The doctoral process reinforced that sustainable growth emerges from this dual capacity: preserving institutional identity while adapting to shifting contexts.</w:t>
      </w:r>
      <w:r w:rsidRPr="009D7967">
        <w:rPr>
          <w:rFonts w:ascii="Times New Roman" w:hAnsi="Times New Roman" w:cs="Times New Roman"/>
          <w:sz w:val="24"/>
          <w:szCs w:val="24"/>
        </w:rPr>
        <w:br/>
      </w:r>
      <w:r w:rsidRPr="009D7967">
        <w:rPr>
          <w:rFonts w:ascii="Times New Roman" w:hAnsi="Times New Roman" w:cs="Times New Roman"/>
          <w:sz w:val="24"/>
          <w:szCs w:val="24"/>
        </w:rPr>
        <w:br/>
        <w:t>INSIGHTA exemplifies the human‑in‑the‑loop approach central to ethical AI. Its design mirrors the doctoral journey itself: iterative, reflective, and grounded in moral accountability. By embedding International Coaching Federation (ICF) ethics within algorithmic architecture, the project transforms technology into a medium for human development rather than displacement.</w:t>
      </w:r>
      <w:r w:rsidRPr="009D7967">
        <w:rPr>
          <w:rFonts w:ascii="Times New Roman" w:hAnsi="Times New Roman" w:cs="Times New Roman"/>
          <w:sz w:val="24"/>
          <w:szCs w:val="24"/>
        </w:rPr>
        <w:br/>
      </w:r>
    </w:p>
    <w:p w14:paraId="386199A3" w14:textId="77777777" w:rsidR="00B65E36" w:rsidRPr="009D7967" w:rsidRDefault="007E4B2A" w:rsidP="00710243">
      <w:pPr>
        <w:spacing w:before="100" w:beforeAutospacing="1" w:after="100" w:afterAutospacing="1" w:line="240" w:lineRule="auto"/>
        <w:outlineLvl w:val="2"/>
        <w:rPr>
          <w:rFonts w:ascii="Times New Roman" w:hAnsi="Times New Roman" w:cs="Times New Roman"/>
          <w:sz w:val="24"/>
          <w:szCs w:val="24"/>
        </w:rPr>
      </w:pPr>
      <w:bookmarkStart w:id="72" w:name="_Toc213589894"/>
      <w:r w:rsidRPr="009D7967">
        <w:rPr>
          <w:rFonts w:ascii="Times New Roman" w:hAnsi="Times New Roman" w:cs="Times New Roman"/>
          <w:sz w:val="24"/>
          <w:szCs w:val="24"/>
        </w:rPr>
        <w:t>6.3 Personal and Ethical Transformation</w:t>
      </w:r>
      <w:bookmarkEnd w:id="72"/>
    </w:p>
    <w:p w14:paraId="134FE2CD" w14:textId="77777777" w:rsidR="00574652" w:rsidRPr="009D7967" w:rsidRDefault="007E4B2A" w:rsidP="00B65E36">
      <w:pPr>
        <w:rPr>
          <w:rFonts w:ascii="Times New Roman" w:hAnsi="Times New Roman" w:cs="Times New Roman"/>
          <w:sz w:val="24"/>
          <w:szCs w:val="24"/>
        </w:rPr>
      </w:pPr>
      <w:r w:rsidRPr="009D7967">
        <w:rPr>
          <w:rFonts w:ascii="Times New Roman" w:hAnsi="Times New Roman" w:cs="Times New Roman"/>
          <w:sz w:val="24"/>
          <w:szCs w:val="24"/>
        </w:rPr>
        <w:t>Doctoral reflection extended beyond intellectual growth into ethical and emotional domains. Engaging in action research revealed that leadership is not about control, but about consciousness—seeing systems, assumptions, and power structures with humility</w:t>
      </w:r>
      <w:r w:rsidR="00CB11B9" w:rsidRPr="009D7967">
        <w:rPr>
          <w:rFonts w:ascii="Times New Roman" w:hAnsi="Times New Roman" w:cs="Times New Roman"/>
          <w:sz w:val="24"/>
          <w:szCs w:val="24"/>
        </w:rPr>
        <w:t xml:space="preserve"> and insight</w:t>
      </w:r>
      <w:r w:rsidRPr="009D7967">
        <w:rPr>
          <w:rFonts w:ascii="Times New Roman" w:hAnsi="Times New Roman" w:cs="Times New Roman"/>
          <w:sz w:val="24"/>
          <w:szCs w:val="24"/>
        </w:rPr>
        <w:t xml:space="preserve">. </w:t>
      </w:r>
      <w:r w:rsidRPr="009D7967">
        <w:rPr>
          <w:rFonts w:ascii="Times New Roman" w:hAnsi="Times New Roman" w:cs="Times New Roman"/>
          <w:sz w:val="24"/>
          <w:szCs w:val="24"/>
        </w:rPr>
        <w:lastRenderedPageBreak/>
        <w:t>This awareness cultivated what Schön (1983) describes as the “reflective practitioner”: one who learns in action and through action.</w:t>
      </w:r>
      <w:r w:rsidRPr="009D7967">
        <w:rPr>
          <w:rFonts w:ascii="Times New Roman" w:hAnsi="Times New Roman" w:cs="Times New Roman"/>
          <w:sz w:val="24"/>
          <w:szCs w:val="24"/>
        </w:rPr>
        <w:br/>
      </w:r>
      <w:r w:rsidRPr="009D7967">
        <w:rPr>
          <w:rFonts w:ascii="Times New Roman" w:hAnsi="Times New Roman" w:cs="Times New Roman"/>
          <w:sz w:val="24"/>
          <w:szCs w:val="24"/>
        </w:rPr>
        <w:br/>
        <w:t>Ethical awareness also deepened through the study of Bardy (2022) and Westerman (2023), emphasizing that responsible innovation requires transparency, accountability, and inclusion. These principles now inform how I lead organizational culture programs and digital transformations across diverse geographies. The shift from reactive decision‑making to reflective stewardship marks a profound professional metamorphosis.</w:t>
      </w:r>
      <w:r w:rsidRPr="009D7967">
        <w:rPr>
          <w:rFonts w:ascii="Times New Roman" w:hAnsi="Times New Roman" w:cs="Times New Roman"/>
          <w:sz w:val="24"/>
          <w:szCs w:val="24"/>
        </w:rPr>
        <w:br/>
      </w:r>
    </w:p>
    <w:p w14:paraId="7ABC8B1D" w14:textId="77777777" w:rsidR="00B65E36" w:rsidRPr="009D7967" w:rsidRDefault="007E4B2A" w:rsidP="00574652">
      <w:pPr>
        <w:spacing w:before="100" w:beforeAutospacing="1" w:after="100" w:afterAutospacing="1" w:line="240" w:lineRule="auto"/>
        <w:outlineLvl w:val="2"/>
        <w:rPr>
          <w:rFonts w:ascii="Times New Roman" w:hAnsi="Times New Roman" w:cs="Times New Roman"/>
          <w:sz w:val="24"/>
          <w:szCs w:val="24"/>
        </w:rPr>
      </w:pPr>
      <w:bookmarkStart w:id="73" w:name="_Toc213589895"/>
      <w:r w:rsidRPr="009D7967">
        <w:rPr>
          <w:rFonts w:ascii="Times New Roman" w:hAnsi="Times New Roman" w:cs="Times New Roman"/>
          <w:sz w:val="24"/>
          <w:szCs w:val="24"/>
        </w:rPr>
        <w:t>6.4 Synthesis of Research, Practice, and Identity</w:t>
      </w:r>
      <w:bookmarkEnd w:id="73"/>
    </w:p>
    <w:p w14:paraId="2E31E407" w14:textId="77777777" w:rsidR="00F82E4E" w:rsidRPr="009D7967" w:rsidRDefault="007E4B2A" w:rsidP="00B65E36">
      <w:pPr>
        <w:rPr>
          <w:rFonts w:ascii="Times New Roman" w:hAnsi="Times New Roman" w:cs="Times New Roman"/>
          <w:sz w:val="24"/>
          <w:szCs w:val="24"/>
        </w:rPr>
      </w:pPr>
      <w:r w:rsidRPr="009D7967">
        <w:rPr>
          <w:rFonts w:ascii="Times New Roman" w:hAnsi="Times New Roman" w:cs="Times New Roman"/>
          <w:sz w:val="24"/>
          <w:szCs w:val="24"/>
        </w:rPr>
        <w:t xml:space="preserve">The integrative learning across the doctoral portfolio culminated in what I term the Humanized Innovation Architecture (HIA). This framework integrates human empathy, data intelligence, and cultural adaptability into a </w:t>
      </w:r>
      <w:r w:rsidR="00C32DE9" w:rsidRPr="009D7967">
        <w:rPr>
          <w:rFonts w:ascii="Times New Roman" w:hAnsi="Times New Roman" w:cs="Times New Roman"/>
          <w:sz w:val="24"/>
          <w:szCs w:val="24"/>
        </w:rPr>
        <w:t>unified learning ecosystem</w:t>
      </w:r>
      <w:r w:rsidRPr="009D7967">
        <w:rPr>
          <w:rFonts w:ascii="Times New Roman" w:hAnsi="Times New Roman" w:cs="Times New Roman"/>
          <w:sz w:val="24"/>
          <w:szCs w:val="24"/>
        </w:rPr>
        <w:t xml:space="preserve">. Within HIA, reflection is not </w:t>
      </w:r>
      <w:r w:rsidR="00944D4A" w:rsidRPr="009D7967">
        <w:rPr>
          <w:rFonts w:ascii="Times New Roman" w:hAnsi="Times New Roman" w:cs="Times New Roman"/>
          <w:sz w:val="24"/>
          <w:szCs w:val="24"/>
        </w:rPr>
        <w:t>merely an academic exercise but a strategic tool that enables</w:t>
      </w:r>
      <w:r w:rsidRPr="009D7967">
        <w:rPr>
          <w:rFonts w:ascii="Times New Roman" w:hAnsi="Times New Roman" w:cs="Times New Roman"/>
          <w:sz w:val="24"/>
          <w:szCs w:val="24"/>
        </w:rPr>
        <w:t xml:space="preserve"> leaders to convert awareness into sustainable performance.</w:t>
      </w:r>
    </w:p>
    <w:p w14:paraId="4B05AA32" w14:textId="77777777" w:rsidR="00CB416B" w:rsidRPr="009D7967" w:rsidRDefault="00A83148">
      <w:pPr>
        <w:rPr>
          <w:rFonts w:ascii="Times New Roman" w:hAnsi="Times New Roman" w:cs="Times New Roman"/>
          <w:sz w:val="24"/>
          <w:szCs w:val="24"/>
        </w:rPr>
      </w:pPr>
      <w:r w:rsidRPr="009D7967">
        <w:rPr>
          <w:rFonts w:ascii="Times New Roman" w:hAnsi="Times New Roman" w:cs="Times New Roman"/>
          <w:sz w:val="24"/>
          <w:szCs w:val="24"/>
        </w:rPr>
        <w:t xml:space="preserve">Figure 4 </w:t>
      </w:r>
      <w:r w:rsidR="00895DF2" w:rsidRPr="009D7967">
        <w:rPr>
          <w:rFonts w:ascii="Times New Roman" w:hAnsi="Times New Roman" w:cs="Times New Roman"/>
          <w:sz w:val="24"/>
          <w:szCs w:val="24"/>
        </w:rPr>
        <w:t xml:space="preserve">illustrates </w:t>
      </w:r>
      <w:r w:rsidRPr="009D7967">
        <w:rPr>
          <w:rFonts w:ascii="Times New Roman" w:hAnsi="Times New Roman" w:cs="Times New Roman"/>
          <w:sz w:val="24"/>
          <w:szCs w:val="24"/>
        </w:rPr>
        <w:t>a visual synthesis of data, empathy, and adaptability within the Humanized Innovation Architecture (HIA).</w:t>
      </w:r>
    </w:p>
    <w:p w14:paraId="335F2F35" w14:textId="77777777" w:rsidR="000D1736" w:rsidRPr="009D7967" w:rsidRDefault="000D1736" w:rsidP="00B65E36">
      <w:pPr>
        <w:rPr>
          <w:rFonts w:ascii="Times New Roman" w:hAnsi="Times New Roman" w:cs="Times New Roman"/>
          <w:sz w:val="24"/>
          <w:szCs w:val="24"/>
        </w:rPr>
      </w:pPr>
      <w:r w:rsidRPr="009D7967">
        <w:rPr>
          <w:rFonts w:ascii="Times New Roman" w:hAnsi="Times New Roman" w:cs="Times New Roman"/>
          <w:sz w:val="24"/>
          <w:szCs w:val="24"/>
        </w:rPr>
        <w:t>Figure 4</w:t>
      </w:r>
      <w:r w:rsidR="009A1980" w:rsidRPr="009D7967">
        <w:rPr>
          <w:rFonts w:ascii="Times New Roman" w:hAnsi="Times New Roman" w:cs="Times New Roman"/>
          <w:sz w:val="24"/>
          <w:szCs w:val="24"/>
        </w:rPr>
        <w:t>: Humanized Innovation Architecture (HIA)</w:t>
      </w:r>
      <w:r w:rsidR="00652E48" w:rsidRPr="009D7967">
        <w:rPr>
          <w:rFonts w:ascii="Times New Roman" w:hAnsi="Times New Roman" w:cs="Times New Roman"/>
          <w:sz w:val="24"/>
          <w:szCs w:val="24"/>
        </w:rPr>
        <w:t xml:space="preserve">- </w:t>
      </w:r>
      <w:r w:rsidR="004121BA" w:rsidRPr="009D7967">
        <w:rPr>
          <w:rFonts w:ascii="Times New Roman" w:hAnsi="Times New Roman" w:cs="Times New Roman"/>
          <w:sz w:val="24"/>
          <w:szCs w:val="24"/>
        </w:rPr>
        <w:t>Synthesizes Data</w:t>
      </w:r>
      <w:r w:rsidR="009079AA" w:rsidRPr="009D7967">
        <w:rPr>
          <w:rFonts w:ascii="Times New Roman" w:hAnsi="Times New Roman" w:cs="Times New Roman"/>
          <w:sz w:val="24"/>
          <w:szCs w:val="24"/>
        </w:rPr>
        <w:t>, Empathy, and Adaptability</w:t>
      </w:r>
    </w:p>
    <w:p w14:paraId="65A2E56F" w14:textId="77777777" w:rsidR="002D73F3" w:rsidRDefault="00944D4A" w:rsidP="00B65E36">
      <w:r w:rsidRPr="00BC0FB5">
        <w:rPr>
          <w:rFonts w:ascii="Times New Roman" w:eastAsia="Times New Roman" w:hAnsi="Times New Roman" w:cs="Times New Roman"/>
          <w:noProof/>
          <w:sz w:val="24"/>
          <w:szCs w:val="24"/>
        </w:rPr>
        <w:drawing>
          <wp:inline distT="0" distB="0" distL="0" distR="0" wp14:anchorId="4B388332" wp14:editId="520DF60C">
            <wp:extent cx="5943600" cy="2909134"/>
            <wp:effectExtent l="0" t="0" r="0" b="5715"/>
            <wp:docPr id="1794308242"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08242" name="Picture 3" descr="A diagram of a diagram&#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b="26582"/>
                    <a:stretch>
                      <a:fillRect/>
                    </a:stretch>
                  </pic:blipFill>
                  <pic:spPr bwMode="auto">
                    <a:xfrm>
                      <a:off x="0" y="0"/>
                      <a:ext cx="5943600" cy="2909134"/>
                    </a:xfrm>
                    <a:prstGeom prst="rect">
                      <a:avLst/>
                    </a:prstGeom>
                    <a:noFill/>
                    <a:ln>
                      <a:noFill/>
                    </a:ln>
                    <a:extLst>
                      <a:ext uri="{53640926-AAD7-44D8-BBD7-CCE9431645EC}">
                        <a14:shadowObscured xmlns:a14="http://schemas.microsoft.com/office/drawing/2010/main"/>
                      </a:ext>
                    </a:extLst>
                  </pic:spPr>
                </pic:pic>
              </a:graphicData>
            </a:graphic>
          </wp:inline>
        </w:drawing>
      </w:r>
      <w:r w:rsidR="007E4B2A" w:rsidRPr="008D1EDE">
        <w:br/>
      </w:r>
      <w:r w:rsidR="007E4B2A" w:rsidRPr="008D1EDE">
        <w:br/>
      </w:r>
      <w:r w:rsidR="007E4B2A" w:rsidRPr="009D7967">
        <w:rPr>
          <w:rFonts w:ascii="Times New Roman" w:hAnsi="Times New Roman" w:cs="Times New Roman"/>
          <w:sz w:val="24"/>
          <w:szCs w:val="24"/>
        </w:rPr>
        <w:t xml:space="preserve">At The Institute, this synthesis is manifested through the alignment of the Collaborative Problem-Solving Framework (CPSF), the Influence Indicator (I²), and the Response to Change </w:t>
      </w:r>
      <w:r w:rsidR="007E4B2A" w:rsidRPr="009D7967">
        <w:rPr>
          <w:rFonts w:ascii="Times New Roman" w:hAnsi="Times New Roman" w:cs="Times New Roman"/>
          <w:sz w:val="24"/>
          <w:szCs w:val="24"/>
        </w:rPr>
        <w:lastRenderedPageBreak/>
        <w:t>Assessment (RCA). Together, they operationalize reflection, measuring not only what organizations achieve but how they evolve. These instruments demonstrate that the ultimate ROI of leadership development lies in moral coherence and adaptive capacity.</w:t>
      </w:r>
      <w:r w:rsidR="007E4B2A" w:rsidRPr="009D7967">
        <w:rPr>
          <w:rFonts w:ascii="Times New Roman" w:hAnsi="Times New Roman" w:cs="Times New Roman"/>
          <w:sz w:val="24"/>
          <w:szCs w:val="24"/>
        </w:rPr>
        <w:br/>
      </w:r>
    </w:p>
    <w:p w14:paraId="43892F01" w14:textId="473720A9" w:rsidR="00B65E36" w:rsidRPr="009D7967" w:rsidRDefault="007E4B2A" w:rsidP="009D7967">
      <w:pPr>
        <w:rPr>
          <w:rFonts w:ascii="Times New Roman" w:hAnsi="Times New Roman" w:cs="Times New Roman"/>
          <w:sz w:val="24"/>
          <w:szCs w:val="24"/>
        </w:rPr>
      </w:pPr>
      <w:bookmarkStart w:id="74" w:name="_Toc213589896"/>
      <w:r w:rsidRPr="009D7967">
        <w:rPr>
          <w:rFonts w:ascii="Times New Roman" w:hAnsi="Times New Roman" w:cs="Times New Roman"/>
          <w:sz w:val="24"/>
          <w:szCs w:val="24"/>
        </w:rPr>
        <w:t>6.5 Closing Reflection – Humanizing Innovation</w:t>
      </w:r>
      <w:bookmarkEnd w:id="74"/>
    </w:p>
    <w:bookmarkEnd w:id="71"/>
    <w:p w14:paraId="00DD05F2" w14:textId="77777777" w:rsidR="00E546EF" w:rsidRPr="009D7967" w:rsidRDefault="00E546EF" w:rsidP="00E546EF">
      <w:pPr>
        <w:pStyle w:val="NormalWeb"/>
      </w:pPr>
      <w:r w:rsidRPr="009D7967">
        <w:t xml:space="preserve">Completing the PhD by Portfolio reaffirmed that innovation must remain anchored in humanity. Technology, strategy, and leadership only achieve legitimacy when they advance human dignity and collective well-being. The doctoral process, mirroring the ethos of </w:t>
      </w:r>
      <w:r w:rsidRPr="009D7967">
        <w:rPr>
          <w:rStyle w:val="Emphasis"/>
          <w:i w:val="0"/>
          <w:iCs w:val="0"/>
        </w:rPr>
        <w:t>The Institute</w:t>
      </w:r>
      <w:r w:rsidRPr="009D7967">
        <w:t>, showed that reflection, when institutionalized, becomes a renewable source of integrity.</w:t>
      </w:r>
    </w:p>
    <w:p w14:paraId="3A39BA74" w14:textId="77777777" w:rsidR="00E546EF" w:rsidRPr="009D7967" w:rsidRDefault="00E546EF" w:rsidP="00E546EF">
      <w:pPr>
        <w:pStyle w:val="NormalWeb"/>
      </w:pPr>
      <w:r w:rsidRPr="009D7967">
        <w:t xml:space="preserve">A pivotal reminder of this truth emerged from the story of </w:t>
      </w:r>
      <w:r w:rsidRPr="009D7967">
        <w:rPr>
          <w:rStyle w:val="Strong"/>
          <w:b w:val="0"/>
          <w:bCs w:val="0"/>
        </w:rPr>
        <w:t>Nokia’s CEO</w:t>
      </w:r>
      <w:r w:rsidRPr="009D7967">
        <w:t xml:space="preserve">, Stephen Elop, during the company’s acquisition by Microsoft in 2013. In his closing remarks, he stated, </w:t>
      </w:r>
      <w:r w:rsidRPr="009D7967">
        <w:rPr>
          <w:rStyle w:val="Emphasis"/>
        </w:rPr>
        <w:t xml:space="preserve">“We </w:t>
      </w:r>
      <w:r w:rsidR="00CB11B9" w:rsidRPr="009D7967">
        <w:rPr>
          <w:rStyle w:val="Emphasis"/>
        </w:rPr>
        <w:t>did not</w:t>
      </w:r>
      <w:r w:rsidRPr="009D7967">
        <w:rPr>
          <w:rStyle w:val="Emphasis"/>
        </w:rPr>
        <w:t xml:space="preserve"> do anything wrong, but somehow, we lost.”</w:t>
      </w:r>
      <w:r w:rsidRPr="009D7967">
        <w:t xml:space="preserve"> (</w:t>
      </w:r>
      <w:proofErr w:type="spellStart"/>
      <w:r w:rsidRPr="009D7967">
        <w:t>Elop</w:t>
      </w:r>
      <w:proofErr w:type="spellEnd"/>
      <w:r w:rsidRPr="009D7967">
        <w:t xml:space="preserve">, 2013). His words captured a profound lesson: success is not secured by avoiding mistakes but by continuously learning, adapting, and listening to the people and signals around us. Nokia’s downfall was not a failure of competence, but rather a failure of </w:t>
      </w:r>
      <w:r w:rsidR="00D67D59" w:rsidRPr="009D7967">
        <w:t xml:space="preserve">humility, </w:t>
      </w:r>
      <w:r w:rsidR="009F3AB4" w:rsidRPr="009D7967">
        <w:t>characterized by an</w:t>
      </w:r>
      <w:r w:rsidRPr="009D7967">
        <w:t xml:space="preserve"> inability to </w:t>
      </w:r>
      <w:r w:rsidR="00D67D59" w:rsidRPr="009D7967">
        <w:t>adapt to changing human needs and technological trends</w:t>
      </w:r>
      <w:r w:rsidRPr="009D7967">
        <w:t>. This insight reinforces that innovation divorced from empathy and curiosity ultimately stagnates.</w:t>
      </w:r>
    </w:p>
    <w:p w14:paraId="53B2CE0E" w14:textId="77777777" w:rsidR="00E546EF" w:rsidRPr="009D7967" w:rsidRDefault="00E546EF" w:rsidP="00E546EF">
      <w:pPr>
        <w:pStyle w:val="NormalWeb"/>
      </w:pPr>
      <w:r w:rsidRPr="009D7967">
        <w:t xml:space="preserve">As </w:t>
      </w:r>
      <w:r w:rsidR="00580D5B" w:rsidRPr="009D7967">
        <w:rPr>
          <w:rStyle w:val="Emphasis"/>
          <w:i w:val="0"/>
          <w:iCs w:val="0"/>
        </w:rPr>
        <w:t>the</w:t>
      </w:r>
      <w:r w:rsidRPr="009D7967">
        <w:rPr>
          <w:rStyle w:val="Emphasis"/>
          <w:i w:val="0"/>
          <w:iCs w:val="0"/>
        </w:rPr>
        <w:t xml:space="preserve"> Institute</w:t>
      </w:r>
      <w:r w:rsidRPr="009D7967">
        <w:t xml:space="preserve"> expands and </w:t>
      </w:r>
      <w:r w:rsidRPr="009D7967">
        <w:rPr>
          <w:rStyle w:val="Strong"/>
          <w:b w:val="0"/>
          <w:bCs w:val="0"/>
        </w:rPr>
        <w:t>INSIGHTA</w:t>
      </w:r>
      <w:r w:rsidRPr="009D7967">
        <w:t xml:space="preserve"> scales globally, this reflective synthesis serves as a compass: innovation guided by ethics, leadership informed by empathy, and knowledge shared for the greater good of society. The journey confirms that to humanize innovation is to re-center progress on its true purpose</w:t>
      </w:r>
      <w:r w:rsidR="00D67D59" w:rsidRPr="009D7967">
        <w:t xml:space="preserve">, </w:t>
      </w:r>
      <w:r w:rsidRPr="009D7967">
        <w:t>elevating both people and systems toward a more conscious and learning-oriented future.</w:t>
      </w:r>
    </w:p>
    <w:p w14:paraId="0D97D332" w14:textId="77777777" w:rsidR="009C70E9" w:rsidRPr="001A0E7C" w:rsidRDefault="009C70E9">
      <w:pPr>
        <w:rPr>
          <w:rFonts w:cs="Times New Roman"/>
        </w:rPr>
      </w:pPr>
      <w:r w:rsidRPr="001A0E7C">
        <w:rPr>
          <w:rFonts w:cs="Times New Roman"/>
        </w:rPr>
        <w:br w:type="page"/>
      </w:r>
    </w:p>
    <w:p w14:paraId="148DCC0E" w14:textId="77777777" w:rsidR="00407846" w:rsidRPr="00ED674E" w:rsidRDefault="00ED674E" w:rsidP="0039457A">
      <w:pPr>
        <w:pStyle w:val="NormalWeb"/>
        <w:rPr>
          <w:b/>
          <w:bCs/>
        </w:rPr>
      </w:pPr>
      <w:r w:rsidRPr="00ED674E">
        <w:rPr>
          <w:b/>
          <w:bCs/>
        </w:rPr>
        <w:lastRenderedPageBreak/>
        <w:t>Reference List</w:t>
      </w:r>
    </w:p>
    <w:p w14:paraId="1ED9F2FB" w14:textId="77777777" w:rsidR="0039457A" w:rsidRPr="009D7967" w:rsidRDefault="0039457A" w:rsidP="0039457A">
      <w:pPr>
        <w:pStyle w:val="NormalWeb"/>
      </w:pPr>
      <w:r w:rsidRPr="009D7967">
        <w:t>Accenture (2024)</w:t>
      </w:r>
      <w:r w:rsidR="006A1C7F" w:rsidRPr="009D7967">
        <w:t>.</w:t>
      </w:r>
      <w:r w:rsidRPr="009D7967">
        <w:t xml:space="preserve"> </w:t>
      </w:r>
      <w:r w:rsidRPr="009D7967">
        <w:rPr>
          <w:rStyle w:val="Emphasis"/>
        </w:rPr>
        <w:t>The human side of data: Building intelligent organizations through empowerment and analytics.</w:t>
      </w:r>
      <w:r w:rsidRPr="009D7967">
        <w:t xml:space="preserve"> Dublin: Accenture Research.</w:t>
      </w:r>
    </w:p>
    <w:p w14:paraId="2A03B383" w14:textId="617CFC91" w:rsidR="009D7967" w:rsidRPr="009D7967" w:rsidRDefault="009D7967" w:rsidP="0039457A">
      <w:pPr>
        <w:pStyle w:val="NormalWeb"/>
      </w:pPr>
      <w:proofErr w:type="spellStart"/>
      <w:r w:rsidRPr="009D7967">
        <w:t>Alateeg</w:t>
      </w:r>
      <w:proofErr w:type="spellEnd"/>
      <w:r w:rsidRPr="009D7967">
        <w:t xml:space="preserve">, Sultan &amp; </w:t>
      </w:r>
      <w:proofErr w:type="spellStart"/>
      <w:r w:rsidRPr="009D7967">
        <w:t>Alhammadi</w:t>
      </w:r>
      <w:proofErr w:type="spellEnd"/>
      <w:r w:rsidRPr="009D7967">
        <w:t xml:space="preserve">, Abdulaziz. (2024). The Impact of Organizational Culture on Organizational Innovation with mediation role of Strategic Leadership in Saudi Arabia. Journal of Statistics Applications &amp; Probability. </w:t>
      </w:r>
      <w:r>
        <w:rPr>
          <w:rFonts w:ascii="Roboto" w:hAnsi="Roboto"/>
          <w:color w:val="555555"/>
          <w:sz w:val="21"/>
          <w:szCs w:val="21"/>
          <w:shd w:val="clear" w:color="auto" w:fill="FFFFFF"/>
        </w:rPr>
        <w:t>DOI:</w:t>
      </w:r>
      <w:hyperlink r:id="rId10" w:tgtFrame="_blank" w:history="1">
        <w:r>
          <w:rPr>
            <w:rStyle w:val="Hyperlink"/>
            <w:rFonts w:ascii="Roboto" w:hAnsi="Roboto"/>
            <w:sz w:val="21"/>
            <w:szCs w:val="21"/>
            <w:bdr w:val="none" w:sz="0" w:space="0" w:color="auto" w:frame="1"/>
            <w:shd w:val="clear" w:color="auto" w:fill="FFFFFF"/>
          </w:rPr>
          <w:t>10.18576/</w:t>
        </w:r>
        <w:proofErr w:type="spellStart"/>
        <w:r>
          <w:rPr>
            <w:rStyle w:val="Hyperlink"/>
            <w:rFonts w:ascii="Roboto" w:hAnsi="Roboto"/>
            <w:sz w:val="21"/>
            <w:szCs w:val="21"/>
            <w:bdr w:val="none" w:sz="0" w:space="0" w:color="auto" w:frame="1"/>
            <w:shd w:val="clear" w:color="auto" w:fill="FFFFFF"/>
          </w:rPr>
          <w:t>jsap</w:t>
        </w:r>
        <w:proofErr w:type="spellEnd"/>
        <w:r>
          <w:rPr>
            <w:rStyle w:val="Hyperlink"/>
            <w:rFonts w:ascii="Roboto" w:hAnsi="Roboto"/>
            <w:sz w:val="21"/>
            <w:szCs w:val="21"/>
            <w:bdr w:val="none" w:sz="0" w:space="0" w:color="auto" w:frame="1"/>
            <w:shd w:val="clear" w:color="auto" w:fill="FFFFFF"/>
          </w:rPr>
          <w:t>/130220</w:t>
        </w:r>
      </w:hyperlink>
      <w:r>
        <w:t xml:space="preserve"> (Accessed: 16 November 2025)</w:t>
      </w:r>
    </w:p>
    <w:p w14:paraId="2A4B3C02" w14:textId="3082EE7B" w:rsidR="0039457A" w:rsidRPr="009D7967" w:rsidRDefault="0039457A" w:rsidP="0039457A">
      <w:pPr>
        <w:pStyle w:val="NormalWeb"/>
      </w:pPr>
      <w:r w:rsidRPr="009D7967">
        <w:t>Amabile, T.M. &amp; Kramer, S.J. (2011)</w:t>
      </w:r>
      <w:r w:rsidR="006A1C7F" w:rsidRPr="009D7967">
        <w:t>.</w:t>
      </w:r>
      <w:r w:rsidRPr="009D7967">
        <w:t xml:space="preserve"> ‘The power of small wins’, </w:t>
      </w:r>
      <w:r w:rsidRPr="009D7967">
        <w:rPr>
          <w:rStyle w:val="Emphasis"/>
        </w:rPr>
        <w:t>Harvard Business Review</w:t>
      </w:r>
      <w:r w:rsidRPr="009D7967">
        <w:t>, 89(5), pp. 70–80.</w:t>
      </w:r>
    </w:p>
    <w:p w14:paraId="673ED298" w14:textId="538C9E01" w:rsidR="0039457A" w:rsidRPr="009D7967" w:rsidRDefault="0039457A" w:rsidP="0039457A">
      <w:pPr>
        <w:pStyle w:val="NormalWeb"/>
      </w:pPr>
      <w:r w:rsidRPr="009D7967">
        <w:t>Bardy, R. (2022)</w:t>
      </w:r>
      <w:r w:rsidR="00720942" w:rsidRPr="009D7967">
        <w:t>.</w:t>
      </w:r>
      <w:r w:rsidRPr="009D7967">
        <w:t xml:space="preserve"> ‘Ethical decision making in managerial practice: Rethinking accountability in complex systems’, </w:t>
      </w:r>
      <w:r w:rsidRPr="009D7967">
        <w:rPr>
          <w:rStyle w:val="Emphasis"/>
        </w:rPr>
        <w:t>Journal of Business Ethics</w:t>
      </w:r>
      <w:r w:rsidRPr="009D7967">
        <w:t>, 178(4), pp. 911–925.</w:t>
      </w:r>
    </w:p>
    <w:p w14:paraId="58AFA6A8" w14:textId="2A84BA73" w:rsidR="00346778" w:rsidRPr="009D7967" w:rsidRDefault="00346778" w:rsidP="0039457A">
      <w:pPr>
        <w:pStyle w:val="NormalWeb"/>
      </w:pPr>
      <w:r w:rsidRPr="009D7967">
        <w:rPr>
          <w:rStyle w:val="Strong"/>
          <w:b w:val="0"/>
          <w:bCs w:val="0"/>
          <w:lang w:val="fi-FI"/>
        </w:rPr>
        <w:t>Ben-Zvi, T. &amp; Luftman, J. (2022).</w:t>
      </w:r>
      <w:r w:rsidRPr="009D7967">
        <w:rPr>
          <w:rStyle w:val="Strong"/>
          <w:lang w:val="fi-FI"/>
        </w:rPr>
        <w:t xml:space="preserve"> </w:t>
      </w:r>
      <w:r w:rsidRPr="009D7967">
        <w:rPr>
          <w:rStyle w:val="Emphasis"/>
        </w:rPr>
        <w:t>Post-Pandemic IT: Digital Transformation and Sustainability.</w:t>
      </w:r>
      <w:r w:rsidRPr="009D7967">
        <w:t xml:space="preserve"> Sustainability, 14(22), p.15275.Available at: </w:t>
      </w:r>
      <w:hyperlink r:id="rId11" w:history="1">
        <w:r w:rsidRPr="009D7967">
          <w:rPr>
            <w:rStyle w:val="Hyperlink"/>
          </w:rPr>
          <w:t>https://doi.org/10.3390/su142215275</w:t>
        </w:r>
      </w:hyperlink>
      <w:r w:rsidRPr="009D7967">
        <w:rPr>
          <w:color w:val="365F91" w:themeColor="accent1" w:themeShade="BF"/>
        </w:rPr>
        <w:t xml:space="preserve"> </w:t>
      </w:r>
      <w:r w:rsidRPr="009D7967">
        <w:t>(Accessed: 15 November 2025)</w:t>
      </w:r>
    </w:p>
    <w:p w14:paraId="70220C8C" w14:textId="15B84159" w:rsidR="0039457A" w:rsidRPr="009D7967" w:rsidRDefault="0039457A" w:rsidP="0039457A">
      <w:pPr>
        <w:pStyle w:val="NormalWeb"/>
      </w:pPr>
      <w:r w:rsidRPr="009D7967">
        <w:t>Brown, T. (2009)</w:t>
      </w:r>
      <w:r w:rsidR="00720942" w:rsidRPr="009D7967">
        <w:t>.</w:t>
      </w:r>
      <w:r w:rsidRPr="009D7967">
        <w:t xml:space="preserve"> </w:t>
      </w:r>
      <w:r w:rsidRPr="009D7967">
        <w:rPr>
          <w:rStyle w:val="Emphasis"/>
        </w:rPr>
        <w:t>Change by design: How design thinking transforms organizations and inspires innovation.</w:t>
      </w:r>
      <w:r w:rsidRPr="009D7967">
        <w:t xml:space="preserve"> New York: HarperCollins.</w:t>
      </w:r>
    </w:p>
    <w:p w14:paraId="43A8C854" w14:textId="77777777" w:rsidR="001B2175" w:rsidRPr="009D7967" w:rsidRDefault="001B2175" w:rsidP="0039457A">
      <w:pPr>
        <w:pStyle w:val="NormalWeb"/>
      </w:pPr>
      <w:r w:rsidRPr="009D7967">
        <w:t xml:space="preserve">Cadwalladr, C. &amp; Graham-Harrison, E. (2019). ‘Revealed: 50 million Facebook profiles harvested for Cambridge Analytica in major data breach.’ </w:t>
      </w:r>
      <w:r w:rsidRPr="009D7967">
        <w:rPr>
          <w:rStyle w:val="Emphasis"/>
        </w:rPr>
        <w:t>The Guardian</w:t>
      </w:r>
      <w:r w:rsidRPr="009D7967">
        <w:t xml:space="preserve">, 17 March. Available at: </w:t>
      </w:r>
      <w:hyperlink r:id="rId12" w:tgtFrame="_new" w:history="1">
        <w:r w:rsidRPr="009D7967">
          <w:rPr>
            <w:rStyle w:val="Hyperlink"/>
          </w:rPr>
          <w:t>https://www.theguardian.com/news/2019/mar/17/cambridge-analytica-facebook-influence-us-election</w:t>
        </w:r>
      </w:hyperlink>
      <w:r w:rsidRPr="009D7967">
        <w:t xml:space="preserve"> (Accessed: 11 November 2025).</w:t>
      </w:r>
    </w:p>
    <w:p w14:paraId="232413DB" w14:textId="092DF8A7" w:rsidR="0039457A" w:rsidRPr="009D7967" w:rsidRDefault="0039457A" w:rsidP="0039457A">
      <w:pPr>
        <w:pStyle w:val="NormalWeb"/>
      </w:pPr>
      <w:r w:rsidRPr="009D7967">
        <w:rPr>
          <w:lang w:val="fr-FR"/>
        </w:rPr>
        <w:t>Cameron, K.S. &amp; Quinn, R.E. (2011)</w:t>
      </w:r>
      <w:r w:rsidR="00720942" w:rsidRPr="009D7967">
        <w:rPr>
          <w:lang w:val="fr-FR"/>
        </w:rPr>
        <w:t>.</w:t>
      </w:r>
      <w:r w:rsidRPr="009D7967">
        <w:rPr>
          <w:lang w:val="fr-FR"/>
        </w:rPr>
        <w:t xml:space="preserve"> </w:t>
      </w:r>
      <w:r w:rsidRPr="009D7967">
        <w:rPr>
          <w:rStyle w:val="Emphasis"/>
        </w:rPr>
        <w:t>Diagnosing and changing organizational culture: A framework based on the competing values model.</w:t>
      </w:r>
      <w:r w:rsidRPr="009D7967">
        <w:t xml:space="preserve"> 3rd ed. San Francisco: Jossey-Bass.</w:t>
      </w:r>
    </w:p>
    <w:p w14:paraId="3A1A7567" w14:textId="77777777" w:rsidR="0039457A" w:rsidRPr="009D7967" w:rsidRDefault="0039457A" w:rsidP="0039457A">
      <w:pPr>
        <w:pStyle w:val="NormalWeb"/>
      </w:pPr>
      <w:r w:rsidRPr="009D7967">
        <w:t>Conn, C. &amp; McLean, A. (2020). Six problem-solving mindsets for very uncertain times. McKinsey &amp; Company. Available at:  (Accessed: 24 October 2025).</w:t>
      </w:r>
    </w:p>
    <w:p w14:paraId="13701499" w14:textId="2F4B3AE1" w:rsidR="008F607E" w:rsidRPr="009D7967" w:rsidRDefault="008F607E" w:rsidP="0039457A">
      <w:pPr>
        <w:pStyle w:val="NormalWeb"/>
      </w:pPr>
      <w:r w:rsidRPr="009D7967">
        <w:t xml:space="preserve">Dastin, J. (2018). ‘Amazon scraps secret AI recruiting tool that showed bias against women.’ </w:t>
      </w:r>
      <w:r w:rsidRPr="009D7967">
        <w:rPr>
          <w:rStyle w:val="Emphasis"/>
        </w:rPr>
        <w:t>Reuters</w:t>
      </w:r>
      <w:r w:rsidRPr="009D7967">
        <w:t xml:space="preserve">, 10 October. Available at: </w:t>
      </w:r>
      <w:hyperlink r:id="rId13" w:tgtFrame="_new" w:history="1">
        <w:r w:rsidRPr="009D7967">
          <w:rPr>
            <w:rStyle w:val="Hyperlink"/>
          </w:rPr>
          <w:t>https://www.reuters.com/article/world/insight-amazon-scraps-secret-ai-recruiting-tool-that-showed-bias-against-women-idUSKCN1MK0AG/</w:t>
        </w:r>
      </w:hyperlink>
      <w:r w:rsidRPr="009D7967">
        <w:t xml:space="preserve"> (Accessed: 11 November 2025).</w:t>
      </w:r>
    </w:p>
    <w:p w14:paraId="2416B6C7" w14:textId="7B053FDE" w:rsidR="0039457A" w:rsidRPr="009D7967" w:rsidRDefault="0039457A" w:rsidP="0039457A">
      <w:pPr>
        <w:pStyle w:val="NormalWeb"/>
      </w:pPr>
      <w:proofErr w:type="spellStart"/>
      <w:r w:rsidRPr="009D7967">
        <w:rPr>
          <w:lang w:val="es-ES"/>
        </w:rPr>
        <w:t>Deci</w:t>
      </w:r>
      <w:proofErr w:type="spellEnd"/>
      <w:r w:rsidRPr="009D7967">
        <w:rPr>
          <w:lang w:val="es-ES"/>
        </w:rPr>
        <w:t>, E.L. &amp; Ryan, R.M. (2020)</w:t>
      </w:r>
      <w:r w:rsidR="00841073" w:rsidRPr="009D7967">
        <w:rPr>
          <w:lang w:val="es-ES"/>
        </w:rPr>
        <w:t>.</w:t>
      </w:r>
      <w:r w:rsidRPr="009D7967">
        <w:rPr>
          <w:lang w:val="es-ES"/>
        </w:rPr>
        <w:t xml:space="preserve"> </w:t>
      </w:r>
      <w:r w:rsidRPr="009D7967">
        <w:rPr>
          <w:rStyle w:val="Emphasis"/>
        </w:rPr>
        <w:t>Self-determination theory: Basic psychological needs in motivation, development, and wellness.</w:t>
      </w:r>
      <w:r w:rsidRPr="009D7967">
        <w:t xml:space="preserve"> New York: Guilford Press.</w:t>
      </w:r>
    </w:p>
    <w:p w14:paraId="166EB947" w14:textId="77777777" w:rsidR="0039457A" w:rsidRPr="009D7967" w:rsidRDefault="0039457A" w:rsidP="0039457A">
      <w:pPr>
        <w:pStyle w:val="NormalWeb"/>
      </w:pPr>
      <w:r w:rsidRPr="009D7967">
        <w:t>Denison, D.R. &amp; Mishra, A.K. (1995)</w:t>
      </w:r>
      <w:r w:rsidR="00841073" w:rsidRPr="009D7967">
        <w:t>.</w:t>
      </w:r>
      <w:r w:rsidRPr="009D7967">
        <w:t xml:space="preserve"> ‘Toward a theory of organizational culture and effectiveness’, </w:t>
      </w:r>
      <w:r w:rsidRPr="009D7967">
        <w:rPr>
          <w:rStyle w:val="Emphasis"/>
        </w:rPr>
        <w:t>Organization Science</w:t>
      </w:r>
      <w:r w:rsidRPr="009D7967">
        <w:t>, 6(2), pp. 204–223.</w:t>
      </w:r>
    </w:p>
    <w:p w14:paraId="30C6891F" w14:textId="77777777" w:rsidR="0039457A" w:rsidRPr="009D7967" w:rsidRDefault="0039457A" w:rsidP="0039457A">
      <w:pPr>
        <w:pStyle w:val="NormalWeb"/>
      </w:pPr>
      <w:r w:rsidRPr="009D7967">
        <w:lastRenderedPageBreak/>
        <w:t>Edmondson, A.C. (2021)</w:t>
      </w:r>
      <w:r w:rsidR="00841073" w:rsidRPr="009D7967">
        <w:t>.</w:t>
      </w:r>
      <w:r w:rsidRPr="009D7967">
        <w:t xml:space="preserve"> </w:t>
      </w:r>
      <w:r w:rsidR="00F9057C" w:rsidRPr="009D7967">
        <w:rPr>
          <w:rStyle w:val="Emphasis"/>
        </w:rPr>
        <w:t>Fearless</w:t>
      </w:r>
      <w:r w:rsidRPr="009D7967">
        <w:rPr>
          <w:rStyle w:val="Emphasis"/>
        </w:rPr>
        <w:t xml:space="preserve"> organization: Creating psychological safety in the workplace for learning, innovation, and growth.</w:t>
      </w:r>
      <w:r w:rsidRPr="009D7967">
        <w:t xml:space="preserve"> New York: Wiley.</w:t>
      </w:r>
    </w:p>
    <w:p w14:paraId="64C3F00A" w14:textId="77777777" w:rsidR="00C36538" w:rsidRPr="009D7967" w:rsidRDefault="00C36538" w:rsidP="0039457A">
      <w:pPr>
        <w:pStyle w:val="NormalWeb"/>
      </w:pPr>
      <w:proofErr w:type="spellStart"/>
      <w:r w:rsidRPr="009D7967">
        <w:t>Elop</w:t>
      </w:r>
      <w:proofErr w:type="spellEnd"/>
      <w:r w:rsidRPr="009D7967">
        <w:t xml:space="preserve">, S. (2013). “We didn’t do anything wrong, but somehow, we lost.” </w:t>
      </w:r>
      <w:proofErr w:type="spellStart"/>
      <w:r w:rsidRPr="009D7967">
        <w:t>CUInsight</w:t>
      </w:r>
      <w:proofErr w:type="spellEnd"/>
      <w:r w:rsidRPr="009D7967">
        <w:t xml:space="preserve">, 11 March. Available at: </w:t>
      </w:r>
      <w:hyperlink r:id="rId14" w:tgtFrame="_new" w:history="1">
        <w:r w:rsidRPr="009D7967">
          <w:rPr>
            <w:rStyle w:val="Hyperlink"/>
          </w:rPr>
          <w:t>https://www.cuinsight.com/we-didnt-do-anything-wrong-but-somehow-we-lost/</w:t>
        </w:r>
      </w:hyperlink>
      <w:r w:rsidRPr="009D7967">
        <w:t xml:space="preserve"> (Accessed: 11 November 2025).</w:t>
      </w:r>
    </w:p>
    <w:p w14:paraId="203540A5" w14:textId="39BB62A4" w:rsidR="0039457A" w:rsidRPr="009D7967" w:rsidRDefault="0039457A" w:rsidP="0039457A">
      <w:pPr>
        <w:pStyle w:val="NormalWeb"/>
      </w:pPr>
      <w:r w:rsidRPr="009D7967">
        <w:t>European Commission (2025)</w:t>
      </w:r>
      <w:r w:rsidR="00841073" w:rsidRPr="009D7967">
        <w:t>.</w:t>
      </w:r>
      <w:r w:rsidRPr="009D7967">
        <w:t xml:space="preserve"> </w:t>
      </w:r>
      <w:r w:rsidRPr="009D7967">
        <w:rPr>
          <w:rStyle w:val="Emphasis"/>
        </w:rPr>
        <w:t xml:space="preserve">Guidelines on </w:t>
      </w:r>
      <w:r w:rsidR="00841073" w:rsidRPr="009D7967">
        <w:rPr>
          <w:rStyle w:val="Emphasis"/>
        </w:rPr>
        <w:t>general-purpose</w:t>
      </w:r>
      <w:r w:rsidRPr="009D7967">
        <w:rPr>
          <w:rStyle w:val="Emphasis"/>
        </w:rPr>
        <w:t xml:space="preserve"> AI models under the EU AI Act.</w:t>
      </w:r>
      <w:r w:rsidRPr="009D7967">
        <w:t xml:space="preserve"> Brussels: Publications Office of the European Union.</w:t>
      </w:r>
    </w:p>
    <w:p w14:paraId="35FDB86F" w14:textId="77777777" w:rsidR="0039457A" w:rsidRPr="009D7967" w:rsidRDefault="0039457A" w:rsidP="0039457A">
      <w:pPr>
        <w:pStyle w:val="NormalWeb"/>
      </w:pPr>
      <w:r w:rsidRPr="009D7967">
        <w:t>Fry, L.W. &amp; Nisiewicz, M.J. (2023)</w:t>
      </w:r>
      <w:r w:rsidR="00841073" w:rsidRPr="009D7967">
        <w:t>.</w:t>
      </w:r>
      <w:r w:rsidRPr="009D7967">
        <w:t xml:space="preserve"> </w:t>
      </w:r>
      <w:r w:rsidRPr="009D7967">
        <w:rPr>
          <w:rStyle w:val="Emphasis"/>
        </w:rPr>
        <w:t>Spiritual leadership in action: The celestial spiral of purpose, compassion, and collaboration.</w:t>
      </w:r>
      <w:r w:rsidRPr="009D7967">
        <w:t xml:space="preserve"> Charlotte, NC: Information Age Publishing.</w:t>
      </w:r>
    </w:p>
    <w:p w14:paraId="61994088" w14:textId="77777777" w:rsidR="0039457A" w:rsidRPr="009D7967" w:rsidRDefault="0039457A" w:rsidP="0039457A">
      <w:pPr>
        <w:pStyle w:val="NormalWeb"/>
      </w:pPr>
      <w:r w:rsidRPr="009D7967">
        <w:t>Gibson, C.B. &amp; Birkinshaw, J. (2004)</w:t>
      </w:r>
      <w:r w:rsidR="00841073" w:rsidRPr="009D7967">
        <w:t>.</w:t>
      </w:r>
      <w:r w:rsidRPr="009D7967">
        <w:t xml:space="preserve"> ‘The antecedents, consequences, and mediating role of organizational ambidexterity’, </w:t>
      </w:r>
      <w:r w:rsidRPr="009D7967">
        <w:rPr>
          <w:rStyle w:val="Emphasis"/>
        </w:rPr>
        <w:t>Academy of Management Journal</w:t>
      </w:r>
      <w:r w:rsidRPr="009D7967">
        <w:t>, 47(2), pp. 209–226.</w:t>
      </w:r>
    </w:p>
    <w:p w14:paraId="564CF5C7" w14:textId="5C4D7174" w:rsidR="00C36538" w:rsidRPr="009D7967" w:rsidRDefault="00C36538" w:rsidP="00C36538">
      <w:pPr>
        <w:pStyle w:val="NormalWeb"/>
      </w:pPr>
      <w:r w:rsidRPr="009D7967">
        <w:t xml:space="preserve"> Harvard Business Review. (2017). </w:t>
      </w:r>
      <w:r w:rsidRPr="009D7967">
        <w:rPr>
          <w:rStyle w:val="Emphasis"/>
        </w:rPr>
        <w:t>To Reinvent Your Firm, Do Two Things at the Same Time.</w:t>
      </w:r>
      <w:r w:rsidRPr="009D7967">
        <w:t xml:space="preserve"> HBR </w:t>
      </w:r>
      <w:proofErr w:type="spellStart"/>
      <w:r w:rsidRPr="009D7967">
        <w:t>IdeaCast</w:t>
      </w:r>
      <w:proofErr w:type="spellEnd"/>
      <w:r w:rsidRPr="009D7967">
        <w:t xml:space="preserve"> Podcast, 13 April. Available at: </w:t>
      </w:r>
      <w:hyperlink r:id="rId15" w:tgtFrame="_new" w:history="1">
        <w:r w:rsidRPr="009D7967">
          <w:rPr>
            <w:rStyle w:val="Hyperlink"/>
          </w:rPr>
          <w:t>https://hbr.org/podcast/2017/04/to-reinvent-your-firm-do-two-things-at-the-same-time</w:t>
        </w:r>
      </w:hyperlink>
      <w:r w:rsidRPr="009D7967">
        <w:t xml:space="preserve"> (Accessed: 22 October 2025). </w:t>
      </w:r>
      <w:hyperlink r:id="rId16" w:tgtFrame="_blank" w:history="1">
        <w:r w:rsidRPr="009D7967">
          <w:rPr>
            <w:rStyle w:val="max-w-15ch"/>
            <w:rFonts w:eastAsiaTheme="majorEastAsia"/>
            <w:color w:val="0000FF"/>
            <w:u w:val="single"/>
          </w:rPr>
          <w:t>Harvard Business Review</w:t>
        </w:r>
        <w:r w:rsidRPr="009D7967">
          <w:rPr>
            <w:rStyle w:val="-me-1"/>
            <w:color w:val="0000FF"/>
            <w:u w:val="single"/>
          </w:rPr>
          <w:t>+1</w:t>
        </w:r>
      </w:hyperlink>
    </w:p>
    <w:p w14:paraId="617DC602" w14:textId="67FC41E7" w:rsidR="00C36538" w:rsidRPr="009D7967" w:rsidRDefault="00C36538" w:rsidP="00C36538">
      <w:pPr>
        <w:pStyle w:val="NormalWeb"/>
      </w:pPr>
      <w:r w:rsidRPr="009D7967">
        <w:t xml:space="preserve"> Harvard Business Review. (2019). </w:t>
      </w:r>
      <w:r w:rsidRPr="009D7967">
        <w:rPr>
          <w:rStyle w:val="Emphasis"/>
        </w:rPr>
        <w:t>The 8 Ways Companies Get Work Done — and How to Align Them.</w:t>
      </w:r>
      <w:r w:rsidRPr="009D7967">
        <w:t xml:space="preserve"> Harvard Business Review, 6 August. Available at: </w:t>
      </w:r>
      <w:hyperlink r:id="rId17" w:tgtFrame="_new" w:history="1">
        <w:r w:rsidRPr="009D7967">
          <w:rPr>
            <w:rStyle w:val="Hyperlink"/>
          </w:rPr>
          <w:t>https://hbr.org/2019/08/the-8-ways-companies-get-work-done-and-how-to-align-them</w:t>
        </w:r>
      </w:hyperlink>
      <w:r w:rsidRPr="009D7967">
        <w:t xml:space="preserve"> (Accessed: 4 November 2025). </w:t>
      </w:r>
      <w:hyperlink r:id="rId18" w:tgtFrame="_blank" w:history="1">
        <w:r w:rsidRPr="009D7967">
          <w:rPr>
            <w:rStyle w:val="max-w-15ch"/>
            <w:rFonts w:eastAsiaTheme="majorEastAsia"/>
            <w:color w:val="0000FF"/>
            <w:u w:val="single"/>
          </w:rPr>
          <w:t>Harvard Business Review</w:t>
        </w:r>
      </w:hyperlink>
    </w:p>
    <w:p w14:paraId="31221817" w14:textId="6A7C8159" w:rsidR="00C36538" w:rsidRPr="009D7967" w:rsidRDefault="00C36538" w:rsidP="00C36538">
      <w:pPr>
        <w:pStyle w:val="NormalWeb"/>
      </w:pPr>
      <w:r w:rsidRPr="009D7967">
        <w:t xml:space="preserve"> Harvard Business Review. (2021). </w:t>
      </w:r>
      <w:r w:rsidRPr="009D7967">
        <w:rPr>
          <w:rStyle w:val="Emphasis"/>
        </w:rPr>
        <w:t>Don’t Let Financial Metrics Prematurely Stifle Innovation.</w:t>
      </w:r>
      <w:r w:rsidRPr="009D7967">
        <w:t xml:space="preserve"> Harvard Business Review, 31 March. Available at: </w:t>
      </w:r>
      <w:hyperlink r:id="rId19" w:tgtFrame="_new" w:history="1">
        <w:r w:rsidRPr="009D7967">
          <w:rPr>
            <w:rStyle w:val="Hyperlink"/>
          </w:rPr>
          <w:t>https://hbr.org/2021/03/dont-let-financial-metrics-prematurely-stifle-innovation</w:t>
        </w:r>
      </w:hyperlink>
      <w:r w:rsidRPr="009D7967">
        <w:t xml:space="preserve"> (Accessed: 4 November 2025). </w:t>
      </w:r>
      <w:hyperlink r:id="rId20" w:tgtFrame="_blank" w:history="1">
        <w:r w:rsidRPr="009D7967">
          <w:rPr>
            <w:rStyle w:val="max-w-15ch"/>
            <w:rFonts w:eastAsiaTheme="majorEastAsia"/>
            <w:color w:val="0000FF"/>
            <w:u w:val="single"/>
          </w:rPr>
          <w:t>Harvard Business Review</w:t>
        </w:r>
      </w:hyperlink>
    </w:p>
    <w:p w14:paraId="0402EA46" w14:textId="21163039" w:rsidR="00C36538" w:rsidRPr="009D7967" w:rsidRDefault="00C36538" w:rsidP="00C36538">
      <w:pPr>
        <w:pStyle w:val="NormalWeb"/>
      </w:pPr>
      <w:r w:rsidRPr="009D7967">
        <w:t xml:space="preserve"> Hofstede Insights. (2020). </w:t>
      </w:r>
      <w:r w:rsidRPr="009D7967">
        <w:rPr>
          <w:rStyle w:val="Emphasis"/>
        </w:rPr>
        <w:t>Cultural Dimensions – Country Comparison.</w:t>
      </w:r>
      <w:r w:rsidRPr="009D7967">
        <w:t xml:space="preserve"> Available at: </w:t>
      </w:r>
      <w:hyperlink r:id="rId21" w:tgtFrame="_new" w:history="1">
        <w:r w:rsidRPr="009D7967">
          <w:rPr>
            <w:rStyle w:val="Hyperlink"/>
          </w:rPr>
          <w:t>https://www.hofstede-insights.com/country-comparison</w:t>
        </w:r>
      </w:hyperlink>
      <w:r w:rsidRPr="009D7967">
        <w:t xml:space="preserve"> (Accessed: 18 October 2025).</w:t>
      </w:r>
    </w:p>
    <w:p w14:paraId="2CABE088" w14:textId="77777777" w:rsidR="00C36538" w:rsidRPr="009D7967" w:rsidRDefault="00C36538" w:rsidP="0039457A">
      <w:pPr>
        <w:pStyle w:val="NormalWeb"/>
      </w:pPr>
      <w:r w:rsidRPr="009D7967">
        <w:t xml:space="preserve">International Coaching Federation (ICF). (2024). </w:t>
      </w:r>
      <w:r w:rsidRPr="009D7967">
        <w:rPr>
          <w:rStyle w:val="Emphasis"/>
        </w:rPr>
        <w:t>Code of Ethics and Professional Standards</w:t>
      </w:r>
      <w:r w:rsidRPr="009D7967">
        <w:t xml:space="preserve">. Lexington, KY: ICF Global. Available at: </w:t>
      </w:r>
      <w:hyperlink r:id="rId22" w:tgtFrame="_new" w:history="1">
        <w:r w:rsidRPr="009D7967">
          <w:rPr>
            <w:rStyle w:val="Hyperlink"/>
          </w:rPr>
          <w:t>https://coachingfederation.org/credentialing/coaching-ethics/icf-code-of-ethics/</w:t>
        </w:r>
      </w:hyperlink>
      <w:r w:rsidRPr="009D7967">
        <w:t xml:space="preserve"> (Accessed: 11 November 2025). </w:t>
      </w:r>
    </w:p>
    <w:p w14:paraId="5F536B88" w14:textId="29FEBD2B" w:rsidR="0039457A" w:rsidRPr="009D7967" w:rsidRDefault="0039457A" w:rsidP="0039457A">
      <w:pPr>
        <w:pStyle w:val="NormalWeb"/>
      </w:pPr>
      <w:r w:rsidRPr="009D7967">
        <w:t>International Coaching Federation (ICF) (2025)</w:t>
      </w:r>
      <w:r w:rsidR="003F5C5F" w:rsidRPr="009D7967">
        <w:t>.</w:t>
      </w:r>
      <w:r w:rsidRPr="009D7967">
        <w:t xml:space="preserve"> </w:t>
      </w:r>
      <w:r w:rsidRPr="009D7967">
        <w:rPr>
          <w:rStyle w:val="Emphasis"/>
        </w:rPr>
        <w:t>ICF code of ethics: Revised April 2025.</w:t>
      </w:r>
      <w:r w:rsidRPr="009D7967">
        <w:t xml:space="preserve"> Lexington, KY: International Coaching Federation. Available at: </w:t>
      </w:r>
      <w:hyperlink r:id="rId23" w:tgtFrame="_new" w:history="1">
        <w:r w:rsidRPr="009D7967">
          <w:rPr>
            <w:rStyle w:val="Hyperlink"/>
          </w:rPr>
          <w:t>https://coachingfederation.org/credentialing/coaching-ethics/icf-code-of-ethics</w:t>
        </w:r>
      </w:hyperlink>
      <w:r w:rsidRPr="009D7967">
        <w:t xml:space="preserve"> (Accessed: 4 November 2025).</w:t>
      </w:r>
    </w:p>
    <w:p w14:paraId="11704D4E" w14:textId="2F99F32E" w:rsidR="00346778" w:rsidRPr="009D7967" w:rsidRDefault="00346778" w:rsidP="0039457A">
      <w:pPr>
        <w:pStyle w:val="NormalWeb"/>
      </w:pPr>
      <w:r w:rsidRPr="009D7967">
        <w:rPr>
          <w:rStyle w:val="Strong"/>
          <w:b w:val="0"/>
          <w:bCs w:val="0"/>
        </w:rPr>
        <w:t xml:space="preserve">Lu, X., </w:t>
      </w:r>
      <w:r w:rsidR="009645F3" w:rsidRPr="009D7967">
        <w:rPr>
          <w:rStyle w:val="Strong"/>
          <w:b w:val="0"/>
          <w:bCs w:val="0"/>
        </w:rPr>
        <w:t>Wijayaratna, K., Huang, Y.,</w:t>
      </w:r>
      <w:r w:rsidRPr="009D7967">
        <w:rPr>
          <w:rStyle w:val="Strong"/>
          <w:b w:val="0"/>
          <w:bCs w:val="0"/>
        </w:rPr>
        <w:t xml:space="preserve"> and </w:t>
      </w:r>
      <w:r w:rsidR="009645F3" w:rsidRPr="009D7967">
        <w:rPr>
          <w:rStyle w:val="Strong"/>
          <w:b w:val="0"/>
          <w:bCs w:val="0"/>
        </w:rPr>
        <w:t xml:space="preserve">Qiu, A. </w:t>
      </w:r>
      <w:r w:rsidRPr="009D7967">
        <w:rPr>
          <w:rStyle w:val="Strong"/>
          <w:b w:val="0"/>
          <w:bCs w:val="0"/>
        </w:rPr>
        <w:t>(2022).</w:t>
      </w:r>
      <w:r w:rsidRPr="009D7967">
        <w:rPr>
          <w:rStyle w:val="Strong"/>
        </w:rPr>
        <w:t xml:space="preserve"> </w:t>
      </w:r>
      <w:r w:rsidRPr="009D7967">
        <w:rPr>
          <w:rStyle w:val="Emphasis"/>
        </w:rPr>
        <w:t>AI-Enabled Opportunities and Transformation Challenges for SMEs in the Post-Pandemic Era.</w:t>
      </w:r>
      <w:r w:rsidRPr="009D7967">
        <w:t xml:space="preserve"> Frontiers in Public Health, 10, 885067.</w:t>
      </w:r>
      <w:r w:rsidR="009645F3" w:rsidRPr="009D7967">
        <w:t xml:space="preserve"> </w:t>
      </w:r>
      <w:r w:rsidRPr="009D7967">
        <w:t xml:space="preserve">Available at: </w:t>
      </w:r>
      <w:hyperlink r:id="rId24" w:history="1">
        <w:r w:rsidRPr="009D7967">
          <w:rPr>
            <w:rStyle w:val="Hyperlink"/>
          </w:rPr>
          <w:t>https://www.frontiersin.org/journals/public-health/articles/10.3389/fpubh.2022.885067/full</w:t>
        </w:r>
      </w:hyperlink>
      <w:r w:rsidRPr="009D7967">
        <w:t xml:space="preserve"> (Accessed: 15 November 2025)</w:t>
      </w:r>
    </w:p>
    <w:p w14:paraId="4D2382B7" w14:textId="1F699659" w:rsidR="001B2175" w:rsidRPr="009D7967" w:rsidRDefault="001B2175" w:rsidP="001B2175">
      <w:pPr>
        <w:pStyle w:val="NormalWeb"/>
      </w:pPr>
      <w:r w:rsidRPr="009D7967">
        <w:lastRenderedPageBreak/>
        <w:t xml:space="preserve"> McKinsey &amp; Company. (2023). </w:t>
      </w:r>
      <w:r w:rsidRPr="009D7967">
        <w:rPr>
          <w:rStyle w:val="Emphasis"/>
        </w:rPr>
        <w:t>How to make better decisions in the age of urgency.</w:t>
      </w:r>
      <w:r w:rsidRPr="009D7967">
        <w:t xml:space="preserve"> Available at: </w:t>
      </w:r>
      <w:hyperlink r:id="rId25" w:tgtFrame="_new" w:history="1">
        <w:r w:rsidRPr="009D7967">
          <w:rPr>
            <w:rStyle w:val="Hyperlink"/>
          </w:rPr>
          <w:t>https://www.mckinsey.com/featured-insights/mckinsey-guide-to-excelling-as-a-ceo/how-to-make-better-decisions-in-the-age-of-urgency</w:t>
        </w:r>
      </w:hyperlink>
      <w:r w:rsidRPr="009D7967">
        <w:t xml:space="preserve"> (Accessed: 24 October 2025). </w:t>
      </w:r>
      <w:hyperlink r:id="rId26" w:tgtFrame="_blank" w:history="1">
        <w:r w:rsidRPr="009D7967">
          <w:rPr>
            <w:rStyle w:val="max-w-15ch"/>
            <w:rFonts w:eastAsiaTheme="majorEastAsia"/>
            <w:color w:val="0000FF"/>
            <w:u w:val="single"/>
          </w:rPr>
          <w:t>McKinsey &amp; Company</w:t>
        </w:r>
      </w:hyperlink>
    </w:p>
    <w:p w14:paraId="665A8676" w14:textId="58906263" w:rsidR="001B2175" w:rsidRPr="009D7967" w:rsidRDefault="001B2175" w:rsidP="001B2175">
      <w:pPr>
        <w:pStyle w:val="NormalWeb"/>
      </w:pPr>
      <w:r w:rsidRPr="009D7967">
        <w:t xml:space="preserve"> McKinsey &amp; Company. (2024a). </w:t>
      </w:r>
      <w:r w:rsidRPr="009D7967">
        <w:rPr>
          <w:rStyle w:val="Emphasis"/>
        </w:rPr>
        <w:t>Innovation in a Crisis: Why It Is More Critical Than Ever.</w:t>
      </w:r>
      <w:r w:rsidRPr="009D7967">
        <w:t xml:space="preserve"> Available at: </w:t>
      </w:r>
      <w:hyperlink r:id="rId27" w:tgtFrame="_new" w:history="1">
        <w:r w:rsidRPr="009D7967">
          <w:rPr>
            <w:rStyle w:val="Hyperlink"/>
          </w:rPr>
          <w:t>https://www.mckinsey.com/capabilities/strategy-and-corporate-finance/our-insights/innovation-in-a-crisis-why-it-is-more-critical-than-ever</w:t>
        </w:r>
      </w:hyperlink>
      <w:r w:rsidRPr="009D7967">
        <w:t xml:space="preserve"> (Accessed: 25 October 2025).</w:t>
      </w:r>
    </w:p>
    <w:p w14:paraId="39E550DB" w14:textId="3C4D1A38" w:rsidR="001B2175" w:rsidRPr="009D7967" w:rsidRDefault="001B2175" w:rsidP="001B2175">
      <w:pPr>
        <w:pStyle w:val="NormalWeb"/>
      </w:pPr>
      <w:r w:rsidRPr="009D7967">
        <w:t xml:space="preserve">McKinsey &amp; Company. (2024b). </w:t>
      </w:r>
      <w:r w:rsidRPr="009D7967">
        <w:rPr>
          <w:rStyle w:val="Emphasis"/>
        </w:rPr>
        <w:t>The State of AI in 2024: Creating Value with Responsible Intelligence.</w:t>
      </w:r>
      <w:r w:rsidRPr="009D7967">
        <w:t xml:space="preserve"> New York: McKinsey &amp; Company. Available at: </w:t>
      </w:r>
      <w:hyperlink r:id="rId28" w:tgtFrame="_new" w:history="1">
        <w:r w:rsidRPr="009D7967">
          <w:rPr>
            <w:rStyle w:val="Hyperlink"/>
          </w:rPr>
          <w:t>https://www.mckinsey.com/capabilities/quantumblack/our-insights/the-state-of-ai-in-2024-creating-value-with-responsible-intelligence</w:t>
        </w:r>
      </w:hyperlink>
      <w:r w:rsidRPr="009D7967">
        <w:t xml:space="preserve"> (Accessed: 25 October 2025).</w:t>
      </w:r>
    </w:p>
    <w:p w14:paraId="7C052F8B" w14:textId="3C472F04" w:rsidR="00AE5F07" w:rsidRPr="009D7967" w:rsidRDefault="00AE5F07" w:rsidP="001B2175">
      <w:pPr>
        <w:pStyle w:val="NormalWeb"/>
      </w:pPr>
      <w:r w:rsidRPr="009D7967">
        <w:t xml:space="preserve">McKinsey &amp; Company. (2025). </w:t>
      </w:r>
      <w:r w:rsidRPr="009D7967">
        <w:rPr>
          <w:rStyle w:val="Emphasis"/>
        </w:rPr>
        <w:t>Superagency in the workplace: Empowering people to unlock AI’s full potential at work.</w:t>
      </w:r>
      <w:r w:rsidRPr="009D7967">
        <w:t xml:space="preserve"> January 28. Available at: </w:t>
      </w:r>
      <w:hyperlink r:id="rId29" w:tgtFrame="_new" w:history="1">
        <w:r w:rsidRPr="009D7967">
          <w:rPr>
            <w:rStyle w:val="Hyperlink"/>
          </w:rPr>
          <w:t>https://www.mckinsey.com/capabilities/tech-and-ai/our-insights/superagency-in-the-workplace-empowering-people-to-unlock-ais-full-potential-at-work</w:t>
        </w:r>
      </w:hyperlink>
      <w:r w:rsidRPr="009D7967">
        <w:t xml:space="preserve"> (Accessed: 11 November 2025).</w:t>
      </w:r>
    </w:p>
    <w:p w14:paraId="0E5D59AC" w14:textId="77777777" w:rsidR="0039457A" w:rsidRPr="009D7967" w:rsidRDefault="0039457A" w:rsidP="0039457A">
      <w:pPr>
        <w:pStyle w:val="NormalWeb"/>
      </w:pPr>
      <w:r w:rsidRPr="009D7967">
        <w:t xml:space="preserve">PwC (2024) </w:t>
      </w:r>
      <w:r w:rsidRPr="009D7967">
        <w:rPr>
          <w:rStyle w:val="Emphasis"/>
        </w:rPr>
        <w:t>Middle East economic outlook: Human capital and digital transformation.</w:t>
      </w:r>
      <w:r w:rsidRPr="009D7967">
        <w:t xml:space="preserve"> Dubai: PwC Middle East.</w:t>
      </w:r>
    </w:p>
    <w:p w14:paraId="2E45DC4C" w14:textId="77777777" w:rsidR="0039457A" w:rsidRPr="009D7967" w:rsidRDefault="0039457A" w:rsidP="0039457A">
      <w:pPr>
        <w:pStyle w:val="NormalWeb"/>
      </w:pPr>
      <w:r w:rsidRPr="009D7967">
        <w:t>Raja, W.A. (2022)</w:t>
      </w:r>
      <w:r w:rsidR="003F5C5F" w:rsidRPr="009D7967">
        <w:t>.</w:t>
      </w:r>
      <w:r w:rsidRPr="009D7967">
        <w:t xml:space="preserve"> </w:t>
      </w:r>
      <w:r w:rsidRPr="009D7967">
        <w:rPr>
          <w:rStyle w:val="Emphasis"/>
        </w:rPr>
        <w:t xml:space="preserve">Exploring </w:t>
      </w:r>
      <w:r w:rsidR="00985A66" w:rsidRPr="009D7967">
        <w:rPr>
          <w:rStyle w:val="Emphasis"/>
        </w:rPr>
        <w:t>Students' Emotions and Mathematics Learning in Social Justice Mathematics</w:t>
      </w:r>
      <w:r w:rsidRPr="009D7967">
        <w:rPr>
          <w:rStyle w:val="Emphasis"/>
        </w:rPr>
        <w:t>.</w:t>
      </w:r>
      <w:r w:rsidRPr="009D7967">
        <w:t xml:space="preserve"> Doctoral dissertation, Swiss School of Business Research (SSBR).</w:t>
      </w:r>
    </w:p>
    <w:p w14:paraId="49212E05" w14:textId="77777777" w:rsidR="0039457A" w:rsidRPr="009D7967" w:rsidRDefault="0039457A" w:rsidP="0039457A">
      <w:pPr>
        <w:pStyle w:val="NormalWeb"/>
      </w:pPr>
      <w:r w:rsidRPr="009D7967">
        <w:t>Reason, P. &amp; Bradbury, H. (2008)</w:t>
      </w:r>
      <w:r w:rsidR="00985A66" w:rsidRPr="009D7967">
        <w:t>.</w:t>
      </w:r>
      <w:r w:rsidRPr="009D7967">
        <w:t xml:space="preserve"> </w:t>
      </w:r>
      <w:r w:rsidRPr="009D7967">
        <w:rPr>
          <w:rStyle w:val="Emphasis"/>
        </w:rPr>
        <w:t>The SAGE handbook of action research: Participative inquiry and practice.</w:t>
      </w:r>
      <w:r w:rsidRPr="009D7967">
        <w:t xml:space="preserve"> 2nd ed. London: SAGE Publications.</w:t>
      </w:r>
    </w:p>
    <w:p w14:paraId="2F0C3A80" w14:textId="48918249" w:rsidR="0039457A" w:rsidRPr="009D7967" w:rsidRDefault="001B2175" w:rsidP="0039457A">
      <w:pPr>
        <w:pStyle w:val="NormalWeb"/>
      </w:pPr>
      <w:r w:rsidRPr="009D7967">
        <w:t xml:space="preserve">Reeves, M. (2017). </w:t>
      </w:r>
      <w:r w:rsidRPr="009D7967">
        <w:rPr>
          <w:rStyle w:val="Emphasis"/>
        </w:rPr>
        <w:t>Your Strategy Needs a Strategy</w:t>
      </w:r>
      <w:r w:rsidRPr="009D7967">
        <w:t xml:space="preserve"> [TED Talk]. Available at: </w:t>
      </w:r>
      <w:hyperlink r:id="rId30" w:tgtFrame="_new" w:history="1">
        <w:r w:rsidRPr="009D7967">
          <w:rPr>
            <w:rStyle w:val="Hyperlink"/>
          </w:rPr>
          <w:t>https://www.ted.com/talks/martin_reeves_your_strategy_needs_a_strategy</w:t>
        </w:r>
      </w:hyperlink>
      <w:r w:rsidRPr="009D7967">
        <w:t xml:space="preserve"> (Accessed: 24 October 2025).</w:t>
      </w:r>
      <w:r w:rsidR="0039457A" w:rsidRPr="009D7967">
        <w:t>Saudi Data and AI Authority (SDAIA) (2025)</w:t>
      </w:r>
      <w:r w:rsidR="00985A66" w:rsidRPr="009D7967">
        <w:t>.</w:t>
      </w:r>
      <w:r w:rsidR="0039457A" w:rsidRPr="009D7967">
        <w:t xml:space="preserve"> </w:t>
      </w:r>
      <w:r w:rsidR="0039457A" w:rsidRPr="009D7967">
        <w:rPr>
          <w:rStyle w:val="Emphasis"/>
        </w:rPr>
        <w:t>AI progress under Vision 2030.</w:t>
      </w:r>
      <w:r w:rsidR="0039457A" w:rsidRPr="009D7967">
        <w:t xml:space="preserve"> Riyadh: SDAIA.</w:t>
      </w:r>
    </w:p>
    <w:p w14:paraId="032CFF38" w14:textId="77777777" w:rsidR="0039457A" w:rsidRPr="009D7967" w:rsidRDefault="0039457A" w:rsidP="0039457A">
      <w:pPr>
        <w:pStyle w:val="NormalWeb"/>
      </w:pPr>
      <w:r w:rsidRPr="009D7967">
        <w:t>Schein, E.H. &amp; Schein, P.A. (2017)</w:t>
      </w:r>
      <w:r w:rsidR="00985A66" w:rsidRPr="009D7967">
        <w:t>.</w:t>
      </w:r>
      <w:r w:rsidRPr="009D7967">
        <w:t xml:space="preserve"> </w:t>
      </w:r>
      <w:r w:rsidRPr="009D7967">
        <w:rPr>
          <w:rStyle w:val="Emphasis"/>
        </w:rPr>
        <w:t>Organizational culture and leadership.</w:t>
      </w:r>
      <w:r w:rsidRPr="009D7967">
        <w:t xml:space="preserve"> 5th ed. Hoboken: Wiley.</w:t>
      </w:r>
    </w:p>
    <w:p w14:paraId="7047BC17" w14:textId="77777777" w:rsidR="0039457A" w:rsidRPr="009D7967" w:rsidRDefault="0039457A" w:rsidP="0039457A">
      <w:pPr>
        <w:pStyle w:val="NormalWeb"/>
      </w:pPr>
      <w:r w:rsidRPr="009D7967">
        <w:t>Schön, D.A. (1983)</w:t>
      </w:r>
      <w:r w:rsidR="00985A66" w:rsidRPr="009D7967">
        <w:t>.</w:t>
      </w:r>
      <w:r w:rsidRPr="009D7967">
        <w:t xml:space="preserve"> </w:t>
      </w:r>
      <w:r w:rsidRPr="009D7967">
        <w:rPr>
          <w:rStyle w:val="Emphasis"/>
        </w:rPr>
        <w:t>The reflective practitioner: How professionals think in action.</w:t>
      </w:r>
      <w:r w:rsidRPr="009D7967">
        <w:t xml:space="preserve"> New York: Basic Books.</w:t>
      </w:r>
    </w:p>
    <w:p w14:paraId="0B07B9C5" w14:textId="77777777" w:rsidR="0039457A" w:rsidRPr="009D7967" w:rsidRDefault="0039457A" w:rsidP="0039457A">
      <w:pPr>
        <w:pStyle w:val="NormalWeb"/>
      </w:pPr>
      <w:r w:rsidRPr="009D7967">
        <w:t xml:space="preserve">Sull, D., </w:t>
      </w:r>
      <w:proofErr w:type="spellStart"/>
      <w:r w:rsidRPr="009D7967">
        <w:t>Turconi</w:t>
      </w:r>
      <w:proofErr w:type="spellEnd"/>
      <w:r w:rsidRPr="009D7967">
        <w:t>, S., Sull, C. &amp; Yoder, J. (2018)</w:t>
      </w:r>
      <w:r w:rsidR="003F5C5F" w:rsidRPr="009D7967">
        <w:t>.</w:t>
      </w:r>
      <w:r w:rsidRPr="009D7967">
        <w:t xml:space="preserve"> ‘Turning strategy into results’, </w:t>
      </w:r>
      <w:r w:rsidRPr="009D7967">
        <w:rPr>
          <w:rStyle w:val="Emphasis"/>
        </w:rPr>
        <w:t>MIT Sloan Management Review</w:t>
      </w:r>
      <w:r w:rsidRPr="009D7967">
        <w:t>, 59(3), pp. 55–64.</w:t>
      </w:r>
    </w:p>
    <w:p w14:paraId="426E64E7" w14:textId="77777777" w:rsidR="0039457A" w:rsidRPr="009D7967" w:rsidRDefault="0039457A" w:rsidP="0039457A">
      <w:pPr>
        <w:pStyle w:val="NormalWeb"/>
      </w:pPr>
      <w:r w:rsidRPr="009D7967">
        <w:t xml:space="preserve">Swiss School of Business Research (SSBR) (2024) </w:t>
      </w:r>
      <w:r w:rsidRPr="009D7967">
        <w:rPr>
          <w:rStyle w:val="Emphasis"/>
        </w:rPr>
        <w:t>PhD by portfolio – Reflective synthesis guidelines</w:t>
      </w:r>
      <w:r w:rsidRPr="009D7967">
        <w:t xml:space="preserve"> [YouTube video]. Available at: </w:t>
      </w:r>
      <w:hyperlink r:id="rId31" w:tgtFrame="_new" w:history="1">
        <w:r w:rsidRPr="009D7967">
          <w:rPr>
            <w:rStyle w:val="Hyperlink"/>
          </w:rPr>
          <w:t>https://www.youtube.com</w:t>
        </w:r>
      </w:hyperlink>
      <w:r w:rsidRPr="009D7967">
        <w:t xml:space="preserve"> (Accessed: 24 October 2025).</w:t>
      </w:r>
    </w:p>
    <w:p w14:paraId="2021BD73" w14:textId="77777777" w:rsidR="0039457A" w:rsidRPr="009D7967" w:rsidRDefault="0039457A" w:rsidP="0039457A">
      <w:pPr>
        <w:pStyle w:val="NormalWeb"/>
      </w:pPr>
      <w:r w:rsidRPr="009D7967">
        <w:lastRenderedPageBreak/>
        <w:t>The Institute (2025)</w:t>
      </w:r>
      <w:r w:rsidR="003F5C5F" w:rsidRPr="009D7967">
        <w:t>.</w:t>
      </w:r>
      <w:r w:rsidRPr="009D7967">
        <w:t xml:space="preserve"> </w:t>
      </w:r>
      <w:r w:rsidRPr="009D7967">
        <w:rPr>
          <w:rStyle w:val="Emphasis"/>
        </w:rPr>
        <w:t>The influence indicator: Quantifying ethical impact and relational effectiveness.</w:t>
      </w:r>
      <w:r w:rsidRPr="009D7967">
        <w:t xml:space="preserve"> Houston: The Institute Research Division.</w:t>
      </w:r>
    </w:p>
    <w:p w14:paraId="496D9BD9" w14:textId="77777777" w:rsidR="0039457A" w:rsidRPr="009D7967" w:rsidRDefault="0039457A" w:rsidP="0039457A">
      <w:pPr>
        <w:pStyle w:val="NormalWeb"/>
      </w:pPr>
      <w:r w:rsidRPr="009D7967">
        <w:t>The Institute (2025)</w:t>
      </w:r>
      <w:r w:rsidR="00985A66" w:rsidRPr="009D7967">
        <w:t>.</w:t>
      </w:r>
      <w:r w:rsidRPr="009D7967">
        <w:t xml:space="preserve"> </w:t>
      </w:r>
      <w:r w:rsidRPr="009D7967">
        <w:rPr>
          <w:rStyle w:val="Emphasis"/>
        </w:rPr>
        <w:t>Response to change assessment: A diagnostic framework for adaptive leadership.</w:t>
      </w:r>
      <w:r w:rsidRPr="009D7967">
        <w:t xml:space="preserve"> Houston: The Institute Research Division.</w:t>
      </w:r>
    </w:p>
    <w:p w14:paraId="0D00C115" w14:textId="77777777" w:rsidR="0039457A" w:rsidRPr="009D7967" w:rsidRDefault="0039457A" w:rsidP="0039457A">
      <w:pPr>
        <w:pStyle w:val="NormalWeb"/>
      </w:pPr>
      <w:r w:rsidRPr="009D7967">
        <w:t>UAE Government (2025)</w:t>
      </w:r>
      <w:r w:rsidR="00985A66" w:rsidRPr="009D7967">
        <w:t>.</w:t>
      </w:r>
      <w:r w:rsidRPr="009D7967">
        <w:t xml:space="preserve"> </w:t>
      </w:r>
      <w:r w:rsidRPr="009D7967">
        <w:rPr>
          <w:rStyle w:val="Emphasis"/>
        </w:rPr>
        <w:t>UAE artificial intelligence strategy 2031: 2025 progress report.</w:t>
      </w:r>
      <w:r w:rsidRPr="009D7967">
        <w:t xml:space="preserve"> Abu Dhabi: Ministry of Artificial Intelligence.</w:t>
      </w:r>
    </w:p>
    <w:p w14:paraId="70FBEFA8" w14:textId="77777777" w:rsidR="0039457A" w:rsidRPr="009D7967" w:rsidRDefault="0039457A" w:rsidP="0039457A">
      <w:pPr>
        <w:pStyle w:val="NormalWeb"/>
      </w:pPr>
      <w:r w:rsidRPr="009D7967">
        <w:t>Westerman, G. (2023)</w:t>
      </w:r>
      <w:r w:rsidR="00985A66" w:rsidRPr="009D7967">
        <w:t>.</w:t>
      </w:r>
      <w:r w:rsidRPr="009D7967">
        <w:t xml:space="preserve"> ‘Reinventing leadership in the age of analytics’, </w:t>
      </w:r>
      <w:r w:rsidRPr="009D7967">
        <w:rPr>
          <w:rStyle w:val="Emphasis"/>
        </w:rPr>
        <w:t>MIT Sloan Management Review</w:t>
      </w:r>
      <w:r w:rsidRPr="009D7967">
        <w:t>, 64(3), pp. 22–30.</w:t>
      </w:r>
    </w:p>
    <w:p w14:paraId="0C26069B" w14:textId="057B2BE0" w:rsidR="00204585" w:rsidRPr="009D7967" w:rsidRDefault="009D7967" w:rsidP="000241F7">
      <w:pPr>
        <w:pStyle w:val="NormalWeb"/>
        <w:rPr>
          <w:rFonts w:asciiTheme="minorHAnsi" w:hAnsiTheme="minorHAnsi"/>
          <w:sz w:val="22"/>
          <w:szCs w:val="22"/>
        </w:rPr>
      </w:pPr>
      <w:r w:rsidRPr="000D2B84">
        <w:rPr>
          <w:lang w:val="fi-FI"/>
        </w:rPr>
        <w:t xml:space="preserve">Zaraket, W. S., &amp; Halawi, A. H. (2016). </w:t>
      </w:r>
      <w:r w:rsidRPr="009D7967">
        <w:rPr>
          <w:rStyle w:val="Emphasis"/>
        </w:rPr>
        <w:t>Leadership types in the Middle Eastern context</w:t>
      </w:r>
      <w:r w:rsidRPr="009D7967">
        <w:t xml:space="preserve">. In </w:t>
      </w:r>
      <w:r w:rsidRPr="009D7967">
        <w:rPr>
          <w:rStyle w:val="Strong"/>
          <w:b w:val="0"/>
          <w:bCs w:val="0"/>
        </w:rPr>
        <w:t>Proceedings of the International Conference on Leadership, Innovation and Entrepreneurship</w:t>
      </w:r>
      <w:r w:rsidRPr="009D7967">
        <w:t xml:space="preserve"> (pp. 515–528). Springer. </w:t>
      </w:r>
      <w:r w:rsidRPr="009D7967">
        <w:rPr>
          <w:rFonts w:eastAsiaTheme="minorEastAsia"/>
          <w:color w:val="555555"/>
          <w:shd w:val="clear" w:color="auto" w:fill="FFFFFF"/>
        </w:rPr>
        <w:t>DOI:</w:t>
      </w:r>
      <w:hyperlink r:id="rId32" w:tgtFrame="_blank" w:history="1">
        <w:r w:rsidRPr="009D7967">
          <w:rPr>
            <w:rFonts w:eastAsiaTheme="minorEastAsia"/>
            <w:color w:val="0000FF"/>
            <w:u w:val="single"/>
            <w:bdr w:val="none" w:sz="0" w:space="0" w:color="auto" w:frame="1"/>
            <w:shd w:val="clear" w:color="auto" w:fill="FFFFFF"/>
          </w:rPr>
          <w:t>10.1007/978-3-319-43434-6_40</w:t>
        </w:r>
      </w:hyperlink>
      <w:r w:rsidRPr="009D7967">
        <w:rPr>
          <w:rFonts w:eastAsiaTheme="minorEastAsia"/>
        </w:rPr>
        <w:t xml:space="preserve"> (Accessed 16 November 2025)</w:t>
      </w:r>
    </w:p>
    <w:p w14:paraId="29D8247A" w14:textId="77777777" w:rsidR="00091D12" w:rsidRDefault="00091D12"/>
    <w:p w14:paraId="63FC30B0" w14:textId="77777777" w:rsidR="00D600A5" w:rsidRDefault="007E4B2A">
      <w:r>
        <w:br/>
      </w:r>
    </w:p>
    <w:p w14:paraId="5CE4BE01" w14:textId="77777777" w:rsidR="00AD57EF" w:rsidRDefault="00AD57EF">
      <w:pPr>
        <w:rPr>
          <w:rFonts w:asciiTheme="majorHAnsi" w:eastAsiaTheme="majorEastAsia" w:hAnsiTheme="majorHAnsi" w:cstheme="majorBidi"/>
          <w:b/>
          <w:bCs/>
          <w:color w:val="365F91" w:themeColor="accent1" w:themeShade="BF"/>
          <w:sz w:val="28"/>
          <w:szCs w:val="28"/>
        </w:rPr>
      </w:pPr>
      <w:bookmarkStart w:id="75" w:name="_Toc213223798"/>
      <w:r>
        <w:br w:type="page"/>
      </w:r>
    </w:p>
    <w:p w14:paraId="4E5A260C" w14:textId="77777777" w:rsidR="004E4853" w:rsidRPr="001506E5" w:rsidRDefault="004E4853" w:rsidP="004E4853">
      <w:pPr>
        <w:pStyle w:val="Heading2"/>
        <w:rPr>
          <w:rStyle w:val="Strong"/>
          <w:b/>
          <w:bCs/>
          <w:color w:val="auto"/>
        </w:rPr>
      </w:pPr>
      <w:bookmarkStart w:id="76" w:name="_Toc213589897"/>
      <w:r w:rsidRPr="001506E5">
        <w:rPr>
          <w:rStyle w:val="Strong"/>
          <w:b/>
          <w:bCs/>
          <w:color w:val="auto"/>
        </w:rPr>
        <w:lastRenderedPageBreak/>
        <w:t>Appendix A – Abbreviations and Glossary</w:t>
      </w:r>
      <w:bookmarkEnd w:id="76"/>
    </w:p>
    <w:p w14:paraId="73727399" w14:textId="77777777" w:rsidR="005C6F77" w:rsidRPr="005C6F77" w:rsidRDefault="005C6F77" w:rsidP="005C6F77"/>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9"/>
        <w:gridCol w:w="3294"/>
        <w:gridCol w:w="4657"/>
      </w:tblGrid>
      <w:tr w:rsidR="004E4853" w14:paraId="7CEBCA29" w14:textId="77777777" w:rsidTr="005A577D">
        <w:trPr>
          <w:tblHeader/>
          <w:tblCellSpacing w:w="15" w:type="dxa"/>
        </w:trPr>
        <w:tc>
          <w:tcPr>
            <w:tcW w:w="0" w:type="auto"/>
            <w:vAlign w:val="center"/>
            <w:hideMark/>
          </w:tcPr>
          <w:p w14:paraId="08C99B3D" w14:textId="77777777" w:rsidR="004E4853" w:rsidRDefault="004E4853" w:rsidP="005A577D">
            <w:pPr>
              <w:jc w:val="center"/>
              <w:rPr>
                <w:b/>
                <w:bCs/>
              </w:rPr>
            </w:pPr>
            <w:r>
              <w:rPr>
                <w:rStyle w:val="Strong"/>
              </w:rPr>
              <w:t>Abbreviation</w:t>
            </w:r>
          </w:p>
        </w:tc>
        <w:tc>
          <w:tcPr>
            <w:tcW w:w="0" w:type="auto"/>
            <w:vAlign w:val="center"/>
            <w:hideMark/>
          </w:tcPr>
          <w:p w14:paraId="395520F1" w14:textId="77777777" w:rsidR="004E4853" w:rsidRDefault="004E4853" w:rsidP="005A577D">
            <w:pPr>
              <w:jc w:val="center"/>
              <w:rPr>
                <w:b/>
                <w:bCs/>
              </w:rPr>
            </w:pPr>
            <w:r>
              <w:rPr>
                <w:rStyle w:val="Strong"/>
              </w:rPr>
              <w:t>Full Term</w:t>
            </w:r>
          </w:p>
        </w:tc>
        <w:tc>
          <w:tcPr>
            <w:tcW w:w="0" w:type="auto"/>
            <w:vAlign w:val="center"/>
            <w:hideMark/>
          </w:tcPr>
          <w:p w14:paraId="11DD96B8" w14:textId="77777777" w:rsidR="004E4853" w:rsidRDefault="004E4853" w:rsidP="005A577D">
            <w:pPr>
              <w:jc w:val="center"/>
              <w:rPr>
                <w:b/>
                <w:bCs/>
              </w:rPr>
            </w:pPr>
            <w:r>
              <w:rPr>
                <w:rStyle w:val="Strong"/>
              </w:rPr>
              <w:t>Definition</w:t>
            </w:r>
          </w:p>
        </w:tc>
      </w:tr>
      <w:tr w:rsidR="004E4853" w14:paraId="6111124B" w14:textId="77777777" w:rsidTr="005A577D">
        <w:trPr>
          <w:tblCellSpacing w:w="15" w:type="dxa"/>
        </w:trPr>
        <w:tc>
          <w:tcPr>
            <w:tcW w:w="0" w:type="auto"/>
            <w:vAlign w:val="center"/>
            <w:hideMark/>
          </w:tcPr>
          <w:p w14:paraId="7CB7855F" w14:textId="77777777" w:rsidR="004E4853" w:rsidRDefault="004E4853" w:rsidP="005A577D">
            <w:r>
              <w:rPr>
                <w:rStyle w:val="Strong"/>
              </w:rPr>
              <w:t>AI</w:t>
            </w:r>
          </w:p>
        </w:tc>
        <w:tc>
          <w:tcPr>
            <w:tcW w:w="0" w:type="auto"/>
            <w:vAlign w:val="center"/>
            <w:hideMark/>
          </w:tcPr>
          <w:p w14:paraId="27847EBB" w14:textId="77777777" w:rsidR="004E4853" w:rsidRDefault="004E4853" w:rsidP="005A577D">
            <w:r>
              <w:t>Artificial Intelligence</w:t>
            </w:r>
          </w:p>
        </w:tc>
        <w:tc>
          <w:tcPr>
            <w:tcW w:w="0" w:type="auto"/>
            <w:vAlign w:val="center"/>
            <w:hideMark/>
          </w:tcPr>
          <w:p w14:paraId="20FE9118" w14:textId="77777777" w:rsidR="004E4853" w:rsidRDefault="004E4853" w:rsidP="005A577D">
            <w:r>
              <w:t>The simulation of human intelligence by machines, particularly computer systems, enables learning, reasoning, and self-correction.</w:t>
            </w:r>
          </w:p>
        </w:tc>
      </w:tr>
      <w:tr w:rsidR="004E4853" w14:paraId="4F2CB322" w14:textId="77777777" w:rsidTr="005A577D">
        <w:trPr>
          <w:tblCellSpacing w:w="15" w:type="dxa"/>
        </w:trPr>
        <w:tc>
          <w:tcPr>
            <w:tcW w:w="0" w:type="auto"/>
            <w:vAlign w:val="center"/>
            <w:hideMark/>
          </w:tcPr>
          <w:p w14:paraId="66F7B982" w14:textId="77777777" w:rsidR="004E4853" w:rsidRDefault="004E4853" w:rsidP="005A577D">
            <w:r>
              <w:rPr>
                <w:rStyle w:val="Strong"/>
              </w:rPr>
              <w:t>AAR</w:t>
            </w:r>
          </w:p>
        </w:tc>
        <w:tc>
          <w:tcPr>
            <w:tcW w:w="0" w:type="auto"/>
            <w:vAlign w:val="center"/>
            <w:hideMark/>
          </w:tcPr>
          <w:p w14:paraId="4894B081" w14:textId="77777777" w:rsidR="004E4853" w:rsidRDefault="004E4853" w:rsidP="005A577D">
            <w:r>
              <w:t>After-Action Review</w:t>
            </w:r>
          </w:p>
        </w:tc>
        <w:tc>
          <w:tcPr>
            <w:tcW w:w="0" w:type="auto"/>
            <w:vAlign w:val="center"/>
            <w:hideMark/>
          </w:tcPr>
          <w:p w14:paraId="0B441D82" w14:textId="77777777" w:rsidR="004E4853" w:rsidRDefault="004E4853" w:rsidP="005A577D">
            <w:r>
              <w:t>A structured reflection process evaluating what happened, why it happened, and how to sustain or improve future outcomes.</w:t>
            </w:r>
          </w:p>
        </w:tc>
      </w:tr>
      <w:tr w:rsidR="004E4853" w14:paraId="5DEC6E9B" w14:textId="77777777" w:rsidTr="005A577D">
        <w:trPr>
          <w:tblCellSpacing w:w="15" w:type="dxa"/>
        </w:trPr>
        <w:tc>
          <w:tcPr>
            <w:tcW w:w="0" w:type="auto"/>
            <w:vAlign w:val="center"/>
            <w:hideMark/>
          </w:tcPr>
          <w:p w14:paraId="00E0EDF5" w14:textId="77777777" w:rsidR="004E4853" w:rsidRDefault="004E4853" w:rsidP="005A577D">
            <w:r>
              <w:rPr>
                <w:rStyle w:val="Strong"/>
              </w:rPr>
              <w:t>CAGR</w:t>
            </w:r>
          </w:p>
        </w:tc>
        <w:tc>
          <w:tcPr>
            <w:tcW w:w="0" w:type="auto"/>
            <w:vAlign w:val="center"/>
            <w:hideMark/>
          </w:tcPr>
          <w:p w14:paraId="501571DF" w14:textId="77777777" w:rsidR="004E4853" w:rsidRDefault="004E4853" w:rsidP="005A577D">
            <w:r>
              <w:t>Compound Annual Growth Rate</w:t>
            </w:r>
          </w:p>
        </w:tc>
        <w:tc>
          <w:tcPr>
            <w:tcW w:w="0" w:type="auto"/>
            <w:vAlign w:val="center"/>
            <w:hideMark/>
          </w:tcPr>
          <w:p w14:paraId="61BE55BF" w14:textId="77777777" w:rsidR="004E4853" w:rsidRDefault="004E4853" w:rsidP="005A577D">
            <w:r>
              <w:t>The mean annual growth rate of an investment or metric over a specified multi-year period.</w:t>
            </w:r>
          </w:p>
        </w:tc>
      </w:tr>
      <w:tr w:rsidR="004E4853" w14:paraId="45BC226B" w14:textId="77777777" w:rsidTr="005A577D">
        <w:trPr>
          <w:tblCellSpacing w:w="15" w:type="dxa"/>
        </w:trPr>
        <w:tc>
          <w:tcPr>
            <w:tcW w:w="0" w:type="auto"/>
            <w:vAlign w:val="center"/>
            <w:hideMark/>
          </w:tcPr>
          <w:p w14:paraId="525C1191" w14:textId="77777777" w:rsidR="004E4853" w:rsidRDefault="004E4853" w:rsidP="005A577D">
            <w:r>
              <w:rPr>
                <w:rStyle w:val="Strong"/>
              </w:rPr>
              <w:t>CPSF</w:t>
            </w:r>
          </w:p>
        </w:tc>
        <w:tc>
          <w:tcPr>
            <w:tcW w:w="0" w:type="auto"/>
            <w:vAlign w:val="center"/>
            <w:hideMark/>
          </w:tcPr>
          <w:p w14:paraId="311AB8AD" w14:textId="77777777" w:rsidR="004E4853" w:rsidRDefault="004E4853" w:rsidP="005A577D">
            <w:r>
              <w:t>Collaborative Problem-Solving Framework</w:t>
            </w:r>
          </w:p>
        </w:tc>
        <w:tc>
          <w:tcPr>
            <w:tcW w:w="0" w:type="auto"/>
            <w:vAlign w:val="center"/>
            <w:hideMark/>
          </w:tcPr>
          <w:p w14:paraId="692B85E2" w14:textId="77777777" w:rsidR="004E4853" w:rsidRDefault="004E4853" w:rsidP="005A577D">
            <w:r>
              <w:t>The Institute’s structured model for co-creating solutions through framing, exploring, converging, and learning—integrating data, dialogue, and reflection.</w:t>
            </w:r>
          </w:p>
        </w:tc>
      </w:tr>
      <w:tr w:rsidR="004E4853" w14:paraId="32AE9BE9" w14:textId="77777777" w:rsidTr="005A577D">
        <w:trPr>
          <w:tblCellSpacing w:w="15" w:type="dxa"/>
        </w:trPr>
        <w:tc>
          <w:tcPr>
            <w:tcW w:w="0" w:type="auto"/>
            <w:vAlign w:val="center"/>
            <w:hideMark/>
          </w:tcPr>
          <w:p w14:paraId="5D812B40" w14:textId="77777777" w:rsidR="004E4853" w:rsidRDefault="004E4853" w:rsidP="005A577D">
            <w:r>
              <w:rPr>
                <w:rStyle w:val="Strong"/>
              </w:rPr>
              <w:t>DEI</w:t>
            </w:r>
          </w:p>
        </w:tc>
        <w:tc>
          <w:tcPr>
            <w:tcW w:w="0" w:type="auto"/>
            <w:vAlign w:val="center"/>
            <w:hideMark/>
          </w:tcPr>
          <w:p w14:paraId="3F6521EC" w14:textId="77777777" w:rsidR="004E4853" w:rsidRDefault="004E4853" w:rsidP="005A577D">
            <w:r>
              <w:t>Diversity, Equity, and Inclusion</w:t>
            </w:r>
          </w:p>
        </w:tc>
        <w:tc>
          <w:tcPr>
            <w:tcW w:w="0" w:type="auto"/>
            <w:vAlign w:val="center"/>
            <w:hideMark/>
          </w:tcPr>
          <w:p w14:paraId="25D33540" w14:textId="77777777" w:rsidR="004E4853" w:rsidRDefault="004E4853" w:rsidP="005A577D">
            <w:r>
              <w:t>Practices promoting fair representation, equal access, and belonging across all social and cultural groups.</w:t>
            </w:r>
          </w:p>
        </w:tc>
      </w:tr>
      <w:tr w:rsidR="004E4853" w14:paraId="1704CF33" w14:textId="77777777" w:rsidTr="005A577D">
        <w:trPr>
          <w:tblCellSpacing w:w="15" w:type="dxa"/>
        </w:trPr>
        <w:tc>
          <w:tcPr>
            <w:tcW w:w="0" w:type="auto"/>
            <w:vAlign w:val="center"/>
            <w:hideMark/>
          </w:tcPr>
          <w:p w14:paraId="6FA0144E" w14:textId="77777777" w:rsidR="004E4853" w:rsidRDefault="004E4853" w:rsidP="005A577D">
            <w:r>
              <w:rPr>
                <w:rStyle w:val="Strong"/>
              </w:rPr>
              <w:t>EBITDA</w:t>
            </w:r>
          </w:p>
        </w:tc>
        <w:tc>
          <w:tcPr>
            <w:tcW w:w="0" w:type="auto"/>
            <w:vAlign w:val="center"/>
            <w:hideMark/>
          </w:tcPr>
          <w:p w14:paraId="6B37EC4B" w14:textId="77777777" w:rsidR="004E4853" w:rsidRDefault="004E4853" w:rsidP="005A577D">
            <w:r>
              <w:t>Earnings Before Interest, Taxes, Depreciation, and Amortization</w:t>
            </w:r>
          </w:p>
        </w:tc>
        <w:tc>
          <w:tcPr>
            <w:tcW w:w="0" w:type="auto"/>
            <w:vAlign w:val="center"/>
            <w:hideMark/>
          </w:tcPr>
          <w:p w14:paraId="5B70F21B" w14:textId="77777777" w:rsidR="004E4853" w:rsidRDefault="004E4853" w:rsidP="005A577D">
            <w:r>
              <w:t>A financial metric assessing a company’s core operational profitability.</w:t>
            </w:r>
          </w:p>
        </w:tc>
      </w:tr>
      <w:tr w:rsidR="004E4853" w14:paraId="0AC89303" w14:textId="77777777" w:rsidTr="005A577D">
        <w:trPr>
          <w:tblCellSpacing w:w="15" w:type="dxa"/>
        </w:trPr>
        <w:tc>
          <w:tcPr>
            <w:tcW w:w="0" w:type="auto"/>
            <w:vAlign w:val="center"/>
            <w:hideMark/>
          </w:tcPr>
          <w:p w14:paraId="2E8DA5C1" w14:textId="77777777" w:rsidR="004E4853" w:rsidRDefault="004E4853" w:rsidP="005A577D">
            <w:r>
              <w:rPr>
                <w:rStyle w:val="Strong"/>
              </w:rPr>
              <w:t>ESG</w:t>
            </w:r>
          </w:p>
        </w:tc>
        <w:tc>
          <w:tcPr>
            <w:tcW w:w="0" w:type="auto"/>
            <w:vAlign w:val="center"/>
            <w:hideMark/>
          </w:tcPr>
          <w:p w14:paraId="0B1CA8DF" w14:textId="77777777" w:rsidR="004E4853" w:rsidRDefault="004E4853" w:rsidP="005A577D">
            <w:r>
              <w:t>Environmental, Social, and Governance</w:t>
            </w:r>
          </w:p>
        </w:tc>
        <w:tc>
          <w:tcPr>
            <w:tcW w:w="0" w:type="auto"/>
            <w:vAlign w:val="center"/>
            <w:hideMark/>
          </w:tcPr>
          <w:p w14:paraId="658718A0" w14:textId="77777777" w:rsidR="004E4853" w:rsidRDefault="004E4853" w:rsidP="005A577D">
            <w:r>
              <w:t>A framework for assessing organizational sustainability and ethical responsibility.</w:t>
            </w:r>
          </w:p>
        </w:tc>
      </w:tr>
      <w:tr w:rsidR="004E4853" w14:paraId="2FCE0909" w14:textId="77777777" w:rsidTr="005A577D">
        <w:trPr>
          <w:tblCellSpacing w:w="15" w:type="dxa"/>
        </w:trPr>
        <w:tc>
          <w:tcPr>
            <w:tcW w:w="0" w:type="auto"/>
            <w:vAlign w:val="center"/>
            <w:hideMark/>
          </w:tcPr>
          <w:p w14:paraId="4BBC883F" w14:textId="77777777" w:rsidR="004E4853" w:rsidRDefault="004E4853" w:rsidP="005A577D">
            <w:r>
              <w:rPr>
                <w:rStyle w:val="Strong"/>
              </w:rPr>
              <w:t>EU</w:t>
            </w:r>
          </w:p>
        </w:tc>
        <w:tc>
          <w:tcPr>
            <w:tcW w:w="0" w:type="auto"/>
            <w:vAlign w:val="center"/>
            <w:hideMark/>
          </w:tcPr>
          <w:p w14:paraId="1AC3AE88" w14:textId="77777777" w:rsidR="004E4853" w:rsidRDefault="004E4853" w:rsidP="005A577D">
            <w:r>
              <w:t>European Union</w:t>
            </w:r>
          </w:p>
        </w:tc>
        <w:tc>
          <w:tcPr>
            <w:tcW w:w="0" w:type="auto"/>
            <w:vAlign w:val="center"/>
            <w:hideMark/>
          </w:tcPr>
          <w:p w14:paraId="600B627C" w14:textId="77777777" w:rsidR="004E4853" w:rsidRDefault="004E4853" w:rsidP="005A577D">
            <w:r>
              <w:t>A political and economic union of 27 European countries establishing shared policies and AI/data governance standards.</w:t>
            </w:r>
          </w:p>
        </w:tc>
      </w:tr>
      <w:tr w:rsidR="004E4853" w14:paraId="703E93C2" w14:textId="77777777" w:rsidTr="005A577D">
        <w:trPr>
          <w:tblCellSpacing w:w="15" w:type="dxa"/>
        </w:trPr>
        <w:tc>
          <w:tcPr>
            <w:tcW w:w="0" w:type="auto"/>
            <w:vAlign w:val="center"/>
            <w:hideMark/>
          </w:tcPr>
          <w:p w14:paraId="0E3D7DE2" w14:textId="77777777" w:rsidR="004E4853" w:rsidRDefault="004E4853" w:rsidP="005A577D">
            <w:r>
              <w:rPr>
                <w:rStyle w:val="Strong"/>
              </w:rPr>
              <w:t>GDP</w:t>
            </w:r>
          </w:p>
        </w:tc>
        <w:tc>
          <w:tcPr>
            <w:tcW w:w="0" w:type="auto"/>
            <w:vAlign w:val="center"/>
            <w:hideMark/>
          </w:tcPr>
          <w:p w14:paraId="6812F1E2" w14:textId="77777777" w:rsidR="004E4853" w:rsidRDefault="004E4853" w:rsidP="005A577D">
            <w:r>
              <w:t>Gross Domestic Product</w:t>
            </w:r>
          </w:p>
        </w:tc>
        <w:tc>
          <w:tcPr>
            <w:tcW w:w="0" w:type="auto"/>
            <w:vAlign w:val="center"/>
            <w:hideMark/>
          </w:tcPr>
          <w:p w14:paraId="39D66071" w14:textId="77777777" w:rsidR="004E4853" w:rsidRDefault="004E4853" w:rsidP="005A577D">
            <w:r>
              <w:t>The total monetary value of all goods and services produced within a country over a given period.</w:t>
            </w:r>
          </w:p>
        </w:tc>
      </w:tr>
      <w:tr w:rsidR="004E4853" w14:paraId="1AC2AEC9" w14:textId="77777777" w:rsidTr="005A577D">
        <w:trPr>
          <w:tblCellSpacing w:w="15" w:type="dxa"/>
        </w:trPr>
        <w:tc>
          <w:tcPr>
            <w:tcW w:w="0" w:type="auto"/>
            <w:vAlign w:val="center"/>
            <w:hideMark/>
          </w:tcPr>
          <w:p w14:paraId="2BB768F9" w14:textId="77777777" w:rsidR="004E4853" w:rsidRDefault="004E4853" w:rsidP="005A577D">
            <w:r>
              <w:rPr>
                <w:rStyle w:val="Strong"/>
              </w:rPr>
              <w:t>GCC</w:t>
            </w:r>
          </w:p>
        </w:tc>
        <w:tc>
          <w:tcPr>
            <w:tcW w:w="0" w:type="auto"/>
            <w:vAlign w:val="center"/>
            <w:hideMark/>
          </w:tcPr>
          <w:p w14:paraId="3642D6B9" w14:textId="77777777" w:rsidR="004E4853" w:rsidRDefault="004E4853" w:rsidP="005A577D">
            <w:r>
              <w:t>Gulf Cooperation Council</w:t>
            </w:r>
          </w:p>
        </w:tc>
        <w:tc>
          <w:tcPr>
            <w:tcW w:w="0" w:type="auto"/>
            <w:vAlign w:val="center"/>
            <w:hideMark/>
          </w:tcPr>
          <w:p w14:paraId="3D344EE0" w14:textId="77777777" w:rsidR="004E4853" w:rsidRDefault="004E4853" w:rsidP="005A577D">
            <w:r>
              <w:t>A regional alliance of Bahrain, Kuwait, Oman, Qatar, Saudi Arabia, and the United Arab Emirates.</w:t>
            </w:r>
          </w:p>
        </w:tc>
      </w:tr>
      <w:tr w:rsidR="004E4853" w14:paraId="60E238D3" w14:textId="77777777" w:rsidTr="005A577D">
        <w:trPr>
          <w:tblCellSpacing w:w="15" w:type="dxa"/>
        </w:trPr>
        <w:tc>
          <w:tcPr>
            <w:tcW w:w="0" w:type="auto"/>
            <w:vAlign w:val="center"/>
            <w:hideMark/>
          </w:tcPr>
          <w:p w14:paraId="39B80C78" w14:textId="77777777" w:rsidR="004E4853" w:rsidRDefault="004E4853" w:rsidP="005A577D">
            <w:r>
              <w:rPr>
                <w:rStyle w:val="Strong"/>
              </w:rPr>
              <w:lastRenderedPageBreak/>
              <w:t>HIA</w:t>
            </w:r>
          </w:p>
        </w:tc>
        <w:tc>
          <w:tcPr>
            <w:tcW w:w="0" w:type="auto"/>
            <w:vAlign w:val="center"/>
            <w:hideMark/>
          </w:tcPr>
          <w:p w14:paraId="64C31AF4" w14:textId="77777777" w:rsidR="004E4853" w:rsidRDefault="004E4853" w:rsidP="005A577D">
            <w:r>
              <w:t>Humanized Innovation Architecture</w:t>
            </w:r>
          </w:p>
        </w:tc>
        <w:tc>
          <w:tcPr>
            <w:tcW w:w="0" w:type="auto"/>
            <w:vAlign w:val="center"/>
            <w:hideMark/>
          </w:tcPr>
          <w:p w14:paraId="2BEDE7CC" w14:textId="77777777" w:rsidR="004E4853" w:rsidRDefault="004E4853" w:rsidP="005A577D">
            <w:r>
              <w:t>The Institute’s integrated framework combines empathy, data intelligence, and cultural adaptability to align ethical innovation with learning.</w:t>
            </w:r>
          </w:p>
        </w:tc>
      </w:tr>
      <w:tr w:rsidR="004E4853" w14:paraId="0166DDE7" w14:textId="77777777" w:rsidTr="005A577D">
        <w:trPr>
          <w:tblCellSpacing w:w="15" w:type="dxa"/>
        </w:trPr>
        <w:tc>
          <w:tcPr>
            <w:tcW w:w="0" w:type="auto"/>
            <w:vAlign w:val="center"/>
            <w:hideMark/>
          </w:tcPr>
          <w:p w14:paraId="61AAEDF0" w14:textId="77777777" w:rsidR="004E4853" w:rsidRDefault="004E4853" w:rsidP="005A577D">
            <w:r>
              <w:rPr>
                <w:rStyle w:val="Strong"/>
              </w:rPr>
              <w:t>ICF</w:t>
            </w:r>
          </w:p>
        </w:tc>
        <w:tc>
          <w:tcPr>
            <w:tcW w:w="0" w:type="auto"/>
            <w:vAlign w:val="center"/>
            <w:hideMark/>
          </w:tcPr>
          <w:p w14:paraId="7576F09E" w14:textId="77777777" w:rsidR="004E4853" w:rsidRDefault="004E4853" w:rsidP="005A577D">
            <w:r>
              <w:t>International Coaching Federation</w:t>
            </w:r>
          </w:p>
        </w:tc>
        <w:tc>
          <w:tcPr>
            <w:tcW w:w="0" w:type="auto"/>
            <w:vAlign w:val="center"/>
            <w:hideMark/>
          </w:tcPr>
          <w:p w14:paraId="6EF9D4D5" w14:textId="77777777" w:rsidR="004E4853" w:rsidRDefault="004E4853" w:rsidP="005A577D">
            <w:r>
              <w:t>The global professional organization that sets ethical and competency standards for coaching professionals.</w:t>
            </w:r>
          </w:p>
        </w:tc>
      </w:tr>
      <w:tr w:rsidR="004E4853" w14:paraId="4DA06BD3" w14:textId="77777777" w:rsidTr="005A577D">
        <w:trPr>
          <w:tblCellSpacing w:w="15" w:type="dxa"/>
        </w:trPr>
        <w:tc>
          <w:tcPr>
            <w:tcW w:w="0" w:type="auto"/>
            <w:vAlign w:val="center"/>
            <w:hideMark/>
          </w:tcPr>
          <w:p w14:paraId="625B9765" w14:textId="77777777" w:rsidR="004E4853" w:rsidRDefault="004E4853" w:rsidP="005A577D">
            <w:r>
              <w:rPr>
                <w:rStyle w:val="Strong"/>
              </w:rPr>
              <w:t>I²</w:t>
            </w:r>
          </w:p>
        </w:tc>
        <w:tc>
          <w:tcPr>
            <w:tcW w:w="0" w:type="auto"/>
            <w:vAlign w:val="center"/>
            <w:hideMark/>
          </w:tcPr>
          <w:p w14:paraId="6ECBEB89" w14:textId="77777777" w:rsidR="004E4853" w:rsidRDefault="004E4853" w:rsidP="005A577D">
            <w:r>
              <w:t>Influence Indicator</w:t>
            </w:r>
          </w:p>
        </w:tc>
        <w:tc>
          <w:tcPr>
            <w:tcW w:w="0" w:type="auto"/>
            <w:vAlign w:val="center"/>
            <w:hideMark/>
          </w:tcPr>
          <w:p w14:paraId="2017D704" w14:textId="77777777" w:rsidR="004E4853" w:rsidRDefault="004E4853" w:rsidP="005A577D">
            <w:r>
              <w:t>A proprietary tool measuring relational influence across credibility, connection, clarity, and consistency.</w:t>
            </w:r>
          </w:p>
        </w:tc>
      </w:tr>
      <w:tr w:rsidR="004E4853" w14:paraId="2785A931" w14:textId="77777777" w:rsidTr="005A577D">
        <w:trPr>
          <w:tblCellSpacing w:w="15" w:type="dxa"/>
        </w:trPr>
        <w:tc>
          <w:tcPr>
            <w:tcW w:w="0" w:type="auto"/>
            <w:vAlign w:val="center"/>
            <w:hideMark/>
          </w:tcPr>
          <w:p w14:paraId="1E556069" w14:textId="77777777" w:rsidR="004E4853" w:rsidRDefault="004E4853" w:rsidP="005A577D">
            <w:r>
              <w:rPr>
                <w:rStyle w:val="Strong"/>
              </w:rPr>
              <w:t>INSIGHTA</w:t>
            </w:r>
          </w:p>
        </w:tc>
        <w:tc>
          <w:tcPr>
            <w:tcW w:w="0" w:type="auto"/>
            <w:vAlign w:val="center"/>
            <w:hideMark/>
          </w:tcPr>
          <w:p w14:paraId="4C605F0E" w14:textId="77777777" w:rsidR="004E4853" w:rsidRDefault="004E4853" w:rsidP="005A577D">
            <w:r>
              <w:t>Intelligent Self-Guided Human Transformation Application</w:t>
            </w:r>
          </w:p>
        </w:tc>
        <w:tc>
          <w:tcPr>
            <w:tcW w:w="0" w:type="auto"/>
            <w:vAlign w:val="center"/>
            <w:hideMark/>
          </w:tcPr>
          <w:p w14:paraId="282B7DCB" w14:textId="77777777" w:rsidR="004E4853" w:rsidRDefault="004E4853" w:rsidP="005A577D">
            <w:r>
              <w:t>The Institute’s AI-enabled coaching and self-discovery platform is grounded in ICF ethics.</w:t>
            </w:r>
          </w:p>
        </w:tc>
      </w:tr>
      <w:tr w:rsidR="004E4853" w14:paraId="7E399E96" w14:textId="77777777" w:rsidTr="005A577D">
        <w:trPr>
          <w:tblCellSpacing w:w="15" w:type="dxa"/>
        </w:trPr>
        <w:tc>
          <w:tcPr>
            <w:tcW w:w="0" w:type="auto"/>
            <w:vAlign w:val="center"/>
            <w:hideMark/>
          </w:tcPr>
          <w:p w14:paraId="4DB88B7A" w14:textId="77777777" w:rsidR="004E4853" w:rsidRDefault="004E4853" w:rsidP="005A577D">
            <w:r>
              <w:rPr>
                <w:rStyle w:val="Strong"/>
              </w:rPr>
              <w:t>ISO</w:t>
            </w:r>
          </w:p>
        </w:tc>
        <w:tc>
          <w:tcPr>
            <w:tcW w:w="0" w:type="auto"/>
            <w:vAlign w:val="center"/>
            <w:hideMark/>
          </w:tcPr>
          <w:p w14:paraId="3BCB9685" w14:textId="77777777" w:rsidR="004E4853" w:rsidRDefault="004E4853" w:rsidP="005A577D">
            <w:r>
              <w:t>International Organization for Standardization</w:t>
            </w:r>
          </w:p>
        </w:tc>
        <w:tc>
          <w:tcPr>
            <w:tcW w:w="0" w:type="auto"/>
            <w:vAlign w:val="center"/>
            <w:hideMark/>
          </w:tcPr>
          <w:p w14:paraId="0C5A45EF" w14:textId="77777777" w:rsidR="004E4853" w:rsidRDefault="004E4853" w:rsidP="005A577D">
            <w:r>
              <w:t>An independent body that develops international quality, safety, and efficiency standards.</w:t>
            </w:r>
          </w:p>
        </w:tc>
      </w:tr>
      <w:tr w:rsidR="004E4853" w14:paraId="72FE5318" w14:textId="77777777" w:rsidTr="005A577D">
        <w:trPr>
          <w:tblCellSpacing w:w="15" w:type="dxa"/>
        </w:trPr>
        <w:tc>
          <w:tcPr>
            <w:tcW w:w="0" w:type="auto"/>
            <w:vAlign w:val="center"/>
            <w:hideMark/>
          </w:tcPr>
          <w:p w14:paraId="0385EC9D" w14:textId="77777777" w:rsidR="004E4853" w:rsidRDefault="004E4853" w:rsidP="005A577D">
            <w:r>
              <w:rPr>
                <w:rStyle w:val="Strong"/>
              </w:rPr>
              <w:t>KPI</w:t>
            </w:r>
          </w:p>
        </w:tc>
        <w:tc>
          <w:tcPr>
            <w:tcW w:w="0" w:type="auto"/>
            <w:vAlign w:val="center"/>
            <w:hideMark/>
          </w:tcPr>
          <w:p w14:paraId="43D2E9EC" w14:textId="77777777" w:rsidR="004E4853" w:rsidRDefault="004E4853" w:rsidP="005A577D">
            <w:r>
              <w:t>Key Performance Indicator</w:t>
            </w:r>
          </w:p>
        </w:tc>
        <w:tc>
          <w:tcPr>
            <w:tcW w:w="0" w:type="auto"/>
            <w:vAlign w:val="center"/>
            <w:hideMark/>
          </w:tcPr>
          <w:p w14:paraId="0D64E6FE" w14:textId="77777777" w:rsidR="004E4853" w:rsidRDefault="004E4853" w:rsidP="005A577D">
            <w:r>
              <w:t>A quantifiable metric demonstrating the effectiveness of an organization in achieving its objectives.</w:t>
            </w:r>
          </w:p>
        </w:tc>
      </w:tr>
      <w:tr w:rsidR="004E4853" w14:paraId="64287116" w14:textId="77777777" w:rsidTr="005A577D">
        <w:trPr>
          <w:tblCellSpacing w:w="15" w:type="dxa"/>
        </w:trPr>
        <w:tc>
          <w:tcPr>
            <w:tcW w:w="0" w:type="auto"/>
            <w:vAlign w:val="center"/>
            <w:hideMark/>
          </w:tcPr>
          <w:p w14:paraId="21C6C219" w14:textId="77777777" w:rsidR="004E4853" w:rsidRDefault="004E4853" w:rsidP="005A577D">
            <w:r>
              <w:rPr>
                <w:rStyle w:val="Strong"/>
              </w:rPr>
              <w:t>LCR</w:t>
            </w:r>
          </w:p>
        </w:tc>
        <w:tc>
          <w:tcPr>
            <w:tcW w:w="0" w:type="auto"/>
            <w:vAlign w:val="center"/>
            <w:hideMark/>
          </w:tcPr>
          <w:p w14:paraId="6110EEA7" w14:textId="77777777" w:rsidR="004E4853" w:rsidRDefault="004E4853" w:rsidP="005A577D">
            <w:r>
              <w:t>Learning Cadence Review</w:t>
            </w:r>
          </w:p>
        </w:tc>
        <w:tc>
          <w:tcPr>
            <w:tcW w:w="0" w:type="auto"/>
            <w:vAlign w:val="center"/>
            <w:hideMark/>
          </w:tcPr>
          <w:p w14:paraId="61A07800" w14:textId="77777777" w:rsidR="004E4853" w:rsidRDefault="004E4853" w:rsidP="005A577D">
            <w:r>
              <w:t>A quarterly reflection and feedback mechanism used to refine systems and integrate learning.</w:t>
            </w:r>
          </w:p>
        </w:tc>
      </w:tr>
      <w:tr w:rsidR="004E4853" w14:paraId="37413668" w14:textId="77777777" w:rsidTr="005A577D">
        <w:trPr>
          <w:tblCellSpacing w:w="15" w:type="dxa"/>
        </w:trPr>
        <w:tc>
          <w:tcPr>
            <w:tcW w:w="0" w:type="auto"/>
            <w:vAlign w:val="center"/>
            <w:hideMark/>
          </w:tcPr>
          <w:p w14:paraId="7E875811" w14:textId="77777777" w:rsidR="004E4853" w:rsidRDefault="004E4853" w:rsidP="005A577D">
            <w:r>
              <w:rPr>
                <w:rStyle w:val="Strong"/>
              </w:rPr>
              <w:t>LO</w:t>
            </w:r>
          </w:p>
        </w:tc>
        <w:tc>
          <w:tcPr>
            <w:tcW w:w="0" w:type="auto"/>
            <w:vAlign w:val="center"/>
            <w:hideMark/>
          </w:tcPr>
          <w:p w14:paraId="294A86C7" w14:textId="77777777" w:rsidR="004E4853" w:rsidRDefault="004E4853" w:rsidP="005A577D">
            <w:r>
              <w:t>Learning Outcome</w:t>
            </w:r>
          </w:p>
        </w:tc>
        <w:tc>
          <w:tcPr>
            <w:tcW w:w="0" w:type="auto"/>
            <w:vAlign w:val="center"/>
            <w:hideMark/>
          </w:tcPr>
          <w:p w14:paraId="2B214AD9" w14:textId="77777777" w:rsidR="004E4853" w:rsidRDefault="004E4853" w:rsidP="005A577D">
            <w:r>
              <w:t>A measurable academic or professional achievement within the SSBR PhD by Portfolio framework.</w:t>
            </w:r>
          </w:p>
        </w:tc>
      </w:tr>
      <w:tr w:rsidR="004E4853" w14:paraId="7D0C0DA4" w14:textId="77777777" w:rsidTr="005A577D">
        <w:trPr>
          <w:tblCellSpacing w:w="15" w:type="dxa"/>
        </w:trPr>
        <w:tc>
          <w:tcPr>
            <w:tcW w:w="0" w:type="auto"/>
            <w:vAlign w:val="center"/>
            <w:hideMark/>
          </w:tcPr>
          <w:p w14:paraId="5BD109DF" w14:textId="77777777" w:rsidR="004E4853" w:rsidRDefault="004E4853" w:rsidP="005A577D">
            <w:r>
              <w:rPr>
                <w:rStyle w:val="Strong"/>
              </w:rPr>
              <w:t>MEA</w:t>
            </w:r>
          </w:p>
        </w:tc>
        <w:tc>
          <w:tcPr>
            <w:tcW w:w="0" w:type="auto"/>
            <w:vAlign w:val="center"/>
            <w:hideMark/>
          </w:tcPr>
          <w:p w14:paraId="7D74A4E5" w14:textId="77777777" w:rsidR="004E4853" w:rsidRDefault="004E4853" w:rsidP="005A577D">
            <w:r>
              <w:t>Middle East and Africa</w:t>
            </w:r>
          </w:p>
        </w:tc>
        <w:tc>
          <w:tcPr>
            <w:tcW w:w="0" w:type="auto"/>
            <w:vAlign w:val="center"/>
            <w:hideMark/>
          </w:tcPr>
          <w:p w14:paraId="7EE6F32D" w14:textId="77777777" w:rsidR="004E4853" w:rsidRDefault="004E4853" w:rsidP="005A577D">
            <w:r>
              <w:t>A regional designation used in market segmentation and strategic expansion.</w:t>
            </w:r>
          </w:p>
        </w:tc>
      </w:tr>
      <w:tr w:rsidR="004E4853" w14:paraId="7AEE27C1" w14:textId="77777777" w:rsidTr="005A577D">
        <w:trPr>
          <w:tblCellSpacing w:w="15" w:type="dxa"/>
        </w:trPr>
        <w:tc>
          <w:tcPr>
            <w:tcW w:w="0" w:type="auto"/>
            <w:vAlign w:val="center"/>
            <w:hideMark/>
          </w:tcPr>
          <w:p w14:paraId="52743600" w14:textId="77777777" w:rsidR="004E4853" w:rsidRDefault="004E4853" w:rsidP="005A577D">
            <w:r>
              <w:rPr>
                <w:rStyle w:val="Strong"/>
              </w:rPr>
              <w:t>MVP</w:t>
            </w:r>
          </w:p>
        </w:tc>
        <w:tc>
          <w:tcPr>
            <w:tcW w:w="0" w:type="auto"/>
            <w:vAlign w:val="center"/>
            <w:hideMark/>
          </w:tcPr>
          <w:p w14:paraId="4F488DB8" w14:textId="77777777" w:rsidR="004E4853" w:rsidRDefault="004E4853" w:rsidP="005A577D">
            <w:r>
              <w:t>Minimum Viable Product</w:t>
            </w:r>
          </w:p>
        </w:tc>
        <w:tc>
          <w:tcPr>
            <w:tcW w:w="0" w:type="auto"/>
            <w:vAlign w:val="center"/>
            <w:hideMark/>
          </w:tcPr>
          <w:p w14:paraId="2D719F04" w14:textId="77777777" w:rsidR="004E4853" w:rsidRDefault="004E4853" w:rsidP="005A577D">
            <w:r>
              <w:t>The earliest version of a product used to validate learning with minimal development effort.</w:t>
            </w:r>
          </w:p>
        </w:tc>
      </w:tr>
      <w:tr w:rsidR="004E4853" w14:paraId="45A39958" w14:textId="77777777" w:rsidTr="005A577D">
        <w:trPr>
          <w:tblCellSpacing w:w="15" w:type="dxa"/>
        </w:trPr>
        <w:tc>
          <w:tcPr>
            <w:tcW w:w="0" w:type="auto"/>
            <w:vAlign w:val="center"/>
            <w:hideMark/>
          </w:tcPr>
          <w:p w14:paraId="1D780602" w14:textId="77777777" w:rsidR="004E4853" w:rsidRDefault="004E4853" w:rsidP="005A577D">
            <w:r>
              <w:rPr>
                <w:rStyle w:val="Strong"/>
              </w:rPr>
              <w:t>PwC</w:t>
            </w:r>
          </w:p>
        </w:tc>
        <w:tc>
          <w:tcPr>
            <w:tcW w:w="0" w:type="auto"/>
            <w:vAlign w:val="center"/>
            <w:hideMark/>
          </w:tcPr>
          <w:p w14:paraId="208B4DF9" w14:textId="77777777" w:rsidR="004E4853" w:rsidRDefault="004E4853" w:rsidP="005A577D">
            <w:r>
              <w:t>PricewaterhouseCoopers</w:t>
            </w:r>
          </w:p>
        </w:tc>
        <w:tc>
          <w:tcPr>
            <w:tcW w:w="0" w:type="auto"/>
            <w:vAlign w:val="center"/>
            <w:hideMark/>
          </w:tcPr>
          <w:p w14:paraId="1B3B1BBB" w14:textId="77777777" w:rsidR="004E4853" w:rsidRDefault="004E4853" w:rsidP="005A577D">
            <w:r>
              <w:t>A global professional services firm providing audit, consulting, and advisory expertise.</w:t>
            </w:r>
          </w:p>
        </w:tc>
      </w:tr>
      <w:tr w:rsidR="004E4853" w14:paraId="3A570CF7" w14:textId="77777777" w:rsidTr="005A577D">
        <w:trPr>
          <w:tblCellSpacing w:w="15" w:type="dxa"/>
        </w:trPr>
        <w:tc>
          <w:tcPr>
            <w:tcW w:w="0" w:type="auto"/>
            <w:vAlign w:val="center"/>
            <w:hideMark/>
          </w:tcPr>
          <w:p w14:paraId="303E9897" w14:textId="77777777" w:rsidR="004E4853" w:rsidRDefault="004E4853" w:rsidP="005A577D">
            <w:r>
              <w:rPr>
                <w:rStyle w:val="Strong"/>
              </w:rPr>
              <w:t>RCA</w:t>
            </w:r>
          </w:p>
        </w:tc>
        <w:tc>
          <w:tcPr>
            <w:tcW w:w="0" w:type="auto"/>
            <w:vAlign w:val="center"/>
            <w:hideMark/>
          </w:tcPr>
          <w:p w14:paraId="6C70A79A" w14:textId="77777777" w:rsidR="004E4853" w:rsidRDefault="004E4853" w:rsidP="005A577D">
            <w:r>
              <w:t>Response to Change Assessment</w:t>
            </w:r>
          </w:p>
        </w:tc>
        <w:tc>
          <w:tcPr>
            <w:tcW w:w="0" w:type="auto"/>
            <w:vAlign w:val="center"/>
            <w:hideMark/>
          </w:tcPr>
          <w:p w14:paraId="38DABB7A" w14:textId="77777777" w:rsidR="004E4853" w:rsidRDefault="004E4853" w:rsidP="005A577D">
            <w:r>
              <w:t>A diagnostic tool measuring adaptability, resilience, and openness to transformation.</w:t>
            </w:r>
          </w:p>
        </w:tc>
      </w:tr>
      <w:tr w:rsidR="004E4853" w14:paraId="67C1B381" w14:textId="77777777" w:rsidTr="005A577D">
        <w:trPr>
          <w:tblCellSpacing w:w="15" w:type="dxa"/>
        </w:trPr>
        <w:tc>
          <w:tcPr>
            <w:tcW w:w="0" w:type="auto"/>
            <w:vAlign w:val="center"/>
            <w:hideMark/>
          </w:tcPr>
          <w:p w14:paraId="38992ACF" w14:textId="77777777" w:rsidR="004E4853" w:rsidRDefault="004E4853" w:rsidP="005A577D">
            <w:r>
              <w:rPr>
                <w:rStyle w:val="Strong"/>
              </w:rPr>
              <w:lastRenderedPageBreak/>
              <w:t>ROI</w:t>
            </w:r>
          </w:p>
        </w:tc>
        <w:tc>
          <w:tcPr>
            <w:tcW w:w="0" w:type="auto"/>
            <w:vAlign w:val="center"/>
            <w:hideMark/>
          </w:tcPr>
          <w:p w14:paraId="670C2130" w14:textId="77777777" w:rsidR="004E4853" w:rsidRDefault="004E4853" w:rsidP="005A577D">
            <w:r>
              <w:t>Return on Investment</w:t>
            </w:r>
          </w:p>
        </w:tc>
        <w:tc>
          <w:tcPr>
            <w:tcW w:w="0" w:type="auto"/>
            <w:vAlign w:val="center"/>
            <w:hideMark/>
          </w:tcPr>
          <w:p w14:paraId="57620E0B" w14:textId="77777777" w:rsidR="004E4853" w:rsidRDefault="004E4853" w:rsidP="005A577D">
            <w:r>
              <w:t>A ratio evaluating the profitability or efficiency of an investment.</w:t>
            </w:r>
          </w:p>
        </w:tc>
      </w:tr>
      <w:tr w:rsidR="004E4853" w14:paraId="2F35E288" w14:textId="77777777" w:rsidTr="005A577D">
        <w:trPr>
          <w:tblCellSpacing w:w="15" w:type="dxa"/>
        </w:trPr>
        <w:tc>
          <w:tcPr>
            <w:tcW w:w="0" w:type="auto"/>
            <w:vAlign w:val="center"/>
            <w:hideMark/>
          </w:tcPr>
          <w:p w14:paraId="0D105134" w14:textId="77777777" w:rsidR="004E4853" w:rsidRDefault="004E4853" w:rsidP="005A577D">
            <w:r>
              <w:rPr>
                <w:rStyle w:val="Strong"/>
              </w:rPr>
              <w:t>SDG</w:t>
            </w:r>
          </w:p>
        </w:tc>
        <w:tc>
          <w:tcPr>
            <w:tcW w:w="0" w:type="auto"/>
            <w:vAlign w:val="center"/>
            <w:hideMark/>
          </w:tcPr>
          <w:p w14:paraId="4607FC9A" w14:textId="77777777" w:rsidR="004E4853" w:rsidRDefault="004E4853" w:rsidP="005A577D">
            <w:r>
              <w:t>Sustainable Development Goal</w:t>
            </w:r>
          </w:p>
        </w:tc>
        <w:tc>
          <w:tcPr>
            <w:tcW w:w="0" w:type="auto"/>
            <w:vAlign w:val="center"/>
            <w:hideMark/>
          </w:tcPr>
          <w:p w14:paraId="3B726913" w14:textId="77777777" w:rsidR="004E4853" w:rsidRDefault="004E4853" w:rsidP="005A577D">
            <w:r>
              <w:t>One of the 17 UN global goals aimed at promoting prosperity and sustainability for people and the planet.</w:t>
            </w:r>
          </w:p>
        </w:tc>
      </w:tr>
      <w:tr w:rsidR="004E4853" w14:paraId="365007F4" w14:textId="77777777" w:rsidTr="005A577D">
        <w:trPr>
          <w:tblCellSpacing w:w="15" w:type="dxa"/>
        </w:trPr>
        <w:tc>
          <w:tcPr>
            <w:tcW w:w="0" w:type="auto"/>
            <w:vAlign w:val="center"/>
            <w:hideMark/>
          </w:tcPr>
          <w:p w14:paraId="41405313" w14:textId="77777777" w:rsidR="004E4853" w:rsidRDefault="004E4853" w:rsidP="005A577D">
            <w:r>
              <w:rPr>
                <w:rStyle w:val="Strong"/>
              </w:rPr>
              <w:t>SDAIA</w:t>
            </w:r>
          </w:p>
        </w:tc>
        <w:tc>
          <w:tcPr>
            <w:tcW w:w="0" w:type="auto"/>
            <w:vAlign w:val="center"/>
            <w:hideMark/>
          </w:tcPr>
          <w:p w14:paraId="5BBFC74F" w14:textId="77777777" w:rsidR="004E4853" w:rsidRDefault="004E4853" w:rsidP="005A577D">
            <w:r>
              <w:t>Saudi Data and Artificial Intelligence Authority</w:t>
            </w:r>
          </w:p>
        </w:tc>
        <w:tc>
          <w:tcPr>
            <w:tcW w:w="0" w:type="auto"/>
            <w:vAlign w:val="center"/>
            <w:hideMark/>
          </w:tcPr>
          <w:p w14:paraId="674DFF82" w14:textId="77777777" w:rsidR="004E4853" w:rsidRDefault="004E4853" w:rsidP="005A577D">
            <w:r>
              <w:t>The Saudi government entity leading national AI and data initiatives under Vision 2030.</w:t>
            </w:r>
          </w:p>
        </w:tc>
      </w:tr>
      <w:tr w:rsidR="004E4853" w14:paraId="443F05CE" w14:textId="77777777" w:rsidTr="005A577D">
        <w:trPr>
          <w:tblCellSpacing w:w="15" w:type="dxa"/>
        </w:trPr>
        <w:tc>
          <w:tcPr>
            <w:tcW w:w="0" w:type="auto"/>
            <w:vAlign w:val="center"/>
            <w:hideMark/>
          </w:tcPr>
          <w:p w14:paraId="374DDA6E" w14:textId="77777777" w:rsidR="004E4853" w:rsidRDefault="004E4853" w:rsidP="005A577D">
            <w:r>
              <w:rPr>
                <w:rStyle w:val="Strong"/>
              </w:rPr>
              <w:t>SSBR</w:t>
            </w:r>
          </w:p>
        </w:tc>
        <w:tc>
          <w:tcPr>
            <w:tcW w:w="0" w:type="auto"/>
            <w:vAlign w:val="center"/>
            <w:hideMark/>
          </w:tcPr>
          <w:p w14:paraId="40C1900B" w14:textId="77777777" w:rsidR="004E4853" w:rsidRDefault="004E4853" w:rsidP="005A577D">
            <w:r>
              <w:t>Swiss School of Business Research</w:t>
            </w:r>
          </w:p>
        </w:tc>
        <w:tc>
          <w:tcPr>
            <w:tcW w:w="0" w:type="auto"/>
            <w:vAlign w:val="center"/>
            <w:hideMark/>
          </w:tcPr>
          <w:p w14:paraId="5CBFC6EB" w14:textId="77777777" w:rsidR="004E4853" w:rsidRDefault="004E4853" w:rsidP="005A577D">
            <w:r>
              <w:t>The academic institution conferring the PhD by Portfolio under which this Capstone was completed.</w:t>
            </w:r>
          </w:p>
        </w:tc>
      </w:tr>
      <w:tr w:rsidR="004E4853" w14:paraId="097B6C42" w14:textId="77777777" w:rsidTr="005A577D">
        <w:trPr>
          <w:tblCellSpacing w:w="15" w:type="dxa"/>
        </w:trPr>
        <w:tc>
          <w:tcPr>
            <w:tcW w:w="0" w:type="auto"/>
            <w:vAlign w:val="center"/>
            <w:hideMark/>
          </w:tcPr>
          <w:p w14:paraId="40CE80E9" w14:textId="77777777" w:rsidR="004E4853" w:rsidRDefault="004E4853" w:rsidP="005A577D">
            <w:r>
              <w:rPr>
                <w:rStyle w:val="Strong"/>
              </w:rPr>
              <w:t>UAE</w:t>
            </w:r>
          </w:p>
        </w:tc>
        <w:tc>
          <w:tcPr>
            <w:tcW w:w="0" w:type="auto"/>
            <w:vAlign w:val="center"/>
            <w:hideMark/>
          </w:tcPr>
          <w:p w14:paraId="4D3432A6" w14:textId="77777777" w:rsidR="004E4853" w:rsidRDefault="004E4853" w:rsidP="005A577D">
            <w:r>
              <w:t>United Arab Emirates</w:t>
            </w:r>
          </w:p>
        </w:tc>
        <w:tc>
          <w:tcPr>
            <w:tcW w:w="0" w:type="auto"/>
            <w:vAlign w:val="center"/>
            <w:hideMark/>
          </w:tcPr>
          <w:p w14:paraId="6687F97F" w14:textId="77777777" w:rsidR="004E4853" w:rsidRDefault="004E4853" w:rsidP="005A577D">
            <w:r>
              <w:t>A federation of seven emirates and a leading regional hub for digital transformation and AI innovation.</w:t>
            </w:r>
          </w:p>
        </w:tc>
      </w:tr>
    </w:tbl>
    <w:p w14:paraId="5EF4E1C3" w14:textId="77777777" w:rsidR="005C6F77" w:rsidRDefault="004E4853" w:rsidP="0019111B">
      <w:pPr>
        <w:pStyle w:val="Heading2"/>
      </w:pPr>
      <w:r w:rsidRPr="007D2E7B">
        <w:rPr>
          <w:rFonts w:ascii="Times New Roman" w:hAnsi="Times New Roman" w:cs="Times New Roman"/>
          <w:color w:val="auto"/>
          <w:sz w:val="24"/>
          <w:szCs w:val="24"/>
        </w:rPr>
        <w:br/>
      </w:r>
    </w:p>
    <w:p w14:paraId="7385E21C" w14:textId="77777777" w:rsidR="005C6F77" w:rsidRDefault="005C6F77">
      <w:pPr>
        <w:rPr>
          <w:rFonts w:asciiTheme="majorHAnsi" w:eastAsiaTheme="majorEastAsia" w:hAnsiTheme="majorHAnsi" w:cstheme="majorBidi"/>
          <w:b/>
          <w:bCs/>
          <w:color w:val="4F81BD" w:themeColor="accent1"/>
          <w:sz w:val="26"/>
          <w:szCs w:val="26"/>
        </w:rPr>
      </w:pPr>
      <w:r>
        <w:br w:type="page"/>
      </w:r>
    </w:p>
    <w:p w14:paraId="72403811" w14:textId="77777777" w:rsidR="00D600A5" w:rsidRPr="001506E5" w:rsidRDefault="007E4B2A" w:rsidP="0019111B">
      <w:pPr>
        <w:pStyle w:val="Heading2"/>
        <w:rPr>
          <w:color w:val="auto"/>
        </w:rPr>
      </w:pPr>
      <w:bookmarkStart w:id="77" w:name="_Toc213589898"/>
      <w:r w:rsidRPr="001506E5">
        <w:rPr>
          <w:color w:val="auto"/>
        </w:rPr>
        <w:lastRenderedPageBreak/>
        <w:t>Appendix B – Module 1 Summary: Empowerment and Decision-Making in Complex Systems</w:t>
      </w:r>
      <w:bookmarkEnd w:id="75"/>
      <w:bookmarkEnd w:id="77"/>
    </w:p>
    <w:p w14:paraId="24B3D399" w14:textId="77777777" w:rsidR="00014FCD" w:rsidRPr="00014FCD" w:rsidRDefault="00014FCD" w:rsidP="00014FCD"/>
    <w:p w14:paraId="21C94BF5" w14:textId="77777777" w:rsidR="00D600A5" w:rsidRPr="009D7967" w:rsidRDefault="007E4B2A">
      <w:pPr>
        <w:rPr>
          <w:rFonts w:ascii="Times New Roman" w:hAnsi="Times New Roman" w:cs="Times New Roman"/>
          <w:sz w:val="24"/>
          <w:szCs w:val="24"/>
        </w:rPr>
      </w:pPr>
      <w:r w:rsidRPr="009D7967">
        <w:rPr>
          <w:rFonts w:ascii="Times New Roman" w:hAnsi="Times New Roman" w:cs="Times New Roman"/>
          <w:sz w:val="24"/>
          <w:szCs w:val="24"/>
        </w:rPr>
        <w:t>Module 1 explored empowerment as the foundation of adaptive leadership. Through McKinsey’s (2023) Decision Making in the Age of Urgency and Schein’s (2017) Learning Culture framework, empowerment emerged as a structural and psychological condition for agility. The study emphasized distributing decision-making authority to the point of most excellent knowledge and establishing psychological safety as a precondition for innovation. This learning directly informed The Institute’s Collaborative Problem-Solving Framework (CPSF) and guided the design of INSIGHTA’s reflective prompts, which mirror the 'safe-to-fail' mindset required in complex systems. The outcome was a shift from control to consciousness—equipping leaders to convert uncertainty into collective intelligence.</w:t>
      </w:r>
    </w:p>
    <w:p w14:paraId="4273B265" w14:textId="77777777" w:rsidR="00D600A5" w:rsidRDefault="007E4B2A" w:rsidP="005C6F77">
      <w:pPr>
        <w:pStyle w:val="Heading2"/>
      </w:pPr>
      <w:r>
        <w:br/>
      </w:r>
      <w:bookmarkStart w:id="78" w:name="_Toc213223799"/>
      <w:bookmarkStart w:id="79" w:name="_Toc213589899"/>
      <w:r w:rsidRPr="001506E5">
        <w:rPr>
          <w:color w:val="auto"/>
        </w:rPr>
        <w:t>Appendix C – Module 2 Summary: Collaborative Problem-Solving Framework (CPSF)</w:t>
      </w:r>
      <w:bookmarkEnd w:id="78"/>
      <w:bookmarkEnd w:id="79"/>
    </w:p>
    <w:p w14:paraId="6B8FB5F7" w14:textId="77777777" w:rsidR="00014FCD" w:rsidRPr="00014FCD" w:rsidRDefault="00014FCD" w:rsidP="00014FCD"/>
    <w:p w14:paraId="0344A671" w14:textId="77777777" w:rsidR="00442927" w:rsidRPr="009D7967" w:rsidRDefault="007E4B2A">
      <w:pPr>
        <w:rPr>
          <w:rFonts w:ascii="Times New Roman" w:hAnsi="Times New Roman" w:cs="Times New Roman"/>
          <w:sz w:val="24"/>
          <w:szCs w:val="24"/>
        </w:rPr>
      </w:pPr>
      <w:r w:rsidRPr="009D7967">
        <w:rPr>
          <w:rFonts w:ascii="Times New Roman" w:hAnsi="Times New Roman" w:cs="Times New Roman"/>
          <w:sz w:val="24"/>
          <w:szCs w:val="24"/>
        </w:rPr>
        <w:t xml:space="preserve">Module 2 operationalized empowerment through CPSF—a cycle of framing, exploring, converging, and learning. The framework integrates data, dialogue, and reflection to produce solutions that are both innovative and ethical. Within the Capstone, CPSF underpins the governance of INSIGHTA and the Middle East Hub: after-action reviews, bias audits, and Learning Cadence Reviews translate reflection into measurable improvement. The doctoral insight gained is that collaboration is a discipline, not an event. Embedding CPSF as a cultural operating system ensures that The Institute’s expansion and digital transformation remain adaptive, inclusive, and </w:t>
      </w:r>
      <w:r w:rsidR="00BA2FCF" w:rsidRPr="009D7967">
        <w:rPr>
          <w:rFonts w:ascii="Times New Roman" w:hAnsi="Times New Roman" w:cs="Times New Roman"/>
          <w:sz w:val="24"/>
          <w:szCs w:val="24"/>
        </w:rPr>
        <w:t>evidence-based</w:t>
      </w:r>
      <w:r w:rsidRPr="009D7967">
        <w:rPr>
          <w:rFonts w:ascii="Times New Roman" w:hAnsi="Times New Roman" w:cs="Times New Roman"/>
          <w:sz w:val="24"/>
          <w:szCs w:val="24"/>
        </w:rPr>
        <w:t>.</w:t>
      </w:r>
    </w:p>
    <w:tbl>
      <w:tblPr>
        <w:tblW w:w="0" w:type="auto"/>
        <w:tblLook w:val="04A0" w:firstRow="1" w:lastRow="0" w:firstColumn="1" w:lastColumn="0" w:noHBand="0" w:noVBand="1"/>
      </w:tblPr>
      <w:tblGrid>
        <w:gridCol w:w="8036"/>
        <w:gridCol w:w="662"/>
        <w:gridCol w:w="662"/>
      </w:tblGrid>
      <w:tr w:rsidR="00D600A5" w14:paraId="5B3B7F1C" w14:textId="77777777" w:rsidTr="0019111B">
        <w:tc>
          <w:tcPr>
            <w:tcW w:w="8036" w:type="dxa"/>
          </w:tcPr>
          <w:p w14:paraId="5A5376BB" w14:textId="12F23CEA" w:rsidR="000465A8" w:rsidRDefault="008A485E" w:rsidP="009D7967">
            <w:pPr>
              <w:pStyle w:val="Heading2"/>
              <w:rPr>
                <w:color w:val="auto"/>
              </w:rPr>
            </w:pPr>
            <w:bookmarkStart w:id="80" w:name="_Toc213589900"/>
            <w:r w:rsidRPr="001506E5">
              <w:rPr>
                <w:color w:val="auto"/>
              </w:rPr>
              <w:lastRenderedPageBreak/>
              <w:t xml:space="preserve">Appendix </w:t>
            </w:r>
            <w:r w:rsidR="00AD0F3E" w:rsidRPr="001506E5">
              <w:rPr>
                <w:color w:val="auto"/>
              </w:rPr>
              <w:t>D</w:t>
            </w:r>
            <w:r w:rsidRPr="001506E5">
              <w:rPr>
                <w:color w:val="auto"/>
              </w:rPr>
              <w:t xml:space="preserve"> – Financial Model and ROI Calculations (2025–2028)</w:t>
            </w:r>
            <w:bookmarkEnd w:id="80"/>
          </w:p>
          <w:p w14:paraId="10AC4D14" w14:textId="77777777" w:rsidR="009D7967" w:rsidRPr="009D7967" w:rsidRDefault="009D7967" w:rsidP="009D7967"/>
          <w:p w14:paraId="1DE884EC" w14:textId="3E329A30" w:rsidR="000465A8" w:rsidRPr="009D7967" w:rsidRDefault="000465A8" w:rsidP="000465A8">
            <w:pPr>
              <w:rPr>
                <w:rFonts w:ascii="Times New Roman" w:hAnsi="Times New Roman" w:cs="Times New Roman"/>
                <w:sz w:val="24"/>
                <w:szCs w:val="24"/>
              </w:rPr>
            </w:pPr>
            <w:r w:rsidRPr="009D7967">
              <w:rPr>
                <w:rStyle w:val="Strong"/>
                <w:rFonts w:ascii="Times New Roman" w:hAnsi="Times New Roman" w:cs="Times New Roman"/>
                <w:sz w:val="24"/>
                <w:szCs w:val="24"/>
              </w:rPr>
              <w:t>Note on Forecasting Assumptions</w:t>
            </w:r>
            <w:r w:rsidRPr="009D7967">
              <w:rPr>
                <w:rFonts w:ascii="Times New Roman" w:hAnsi="Times New Roman" w:cs="Times New Roman"/>
                <w:sz w:val="24"/>
                <w:szCs w:val="24"/>
              </w:rPr>
              <w:br/>
              <w:t xml:space="preserve">The financial projections and user-growth forecasts are based on conservative, evidence-informed assumptions aligned with regional market benchmarks and global trends in coaching technology. User growth reflects a phased activation model (pilot → scale → maturity), assuming 2,000 users in the first operational year, expanding to 30,000 users by 2028 through enterprise subscriptions, governmental partnerships, and integration within leadership-development programs. Revenue projections </w:t>
            </w:r>
            <w:r w:rsidR="00B11795" w:rsidRPr="009D7967">
              <w:rPr>
                <w:rFonts w:ascii="Times New Roman" w:hAnsi="Times New Roman" w:cs="Times New Roman"/>
                <w:sz w:val="24"/>
                <w:szCs w:val="24"/>
              </w:rPr>
              <w:t>are based exclusively on annual subscription commitments; monthly plans are not offered to ensure</w:t>
            </w:r>
            <w:r w:rsidRPr="009D7967">
              <w:rPr>
                <w:rFonts w:ascii="Times New Roman" w:hAnsi="Times New Roman" w:cs="Times New Roman"/>
                <w:sz w:val="24"/>
                <w:szCs w:val="24"/>
              </w:rPr>
              <w:t xml:space="preserve"> financial stability and ethical engagement. Subscription rates increase modestly (approximately 5% annually), in line with industry norms for SaaS and professional development platforms. Cost assumptions incorporate AI infrastructure, regional operations, and compliance expenditures based on 2024–2025 benchmarks from ICF, McKinsey, and PwC. The model applies a ±10% sensitivity range, within which ROI remains above 160%, demonstrating resilience under variable adoption scenarios. These assumptions collectively reinforce the credibility and feasibility of the financial outlook.</w:t>
            </w:r>
          </w:p>
          <w:p w14:paraId="73964607" w14:textId="77777777" w:rsidR="00AD0F3E" w:rsidRPr="00AD0F3E" w:rsidRDefault="00AD0F3E" w:rsidP="00AD0F3E"/>
          <w:p w14:paraId="670960D1" w14:textId="77777777" w:rsidR="008A485E" w:rsidRPr="008A485E" w:rsidRDefault="008A485E" w:rsidP="008A485E">
            <w:pPr>
              <w:spacing w:after="0"/>
              <w:rPr>
                <w:b/>
                <w:bCs/>
              </w:rPr>
            </w:pPr>
            <w:r w:rsidRPr="008A485E">
              <w:rPr>
                <w:b/>
                <w:bCs/>
              </w:rPr>
              <w:t xml:space="preserve">Table </w:t>
            </w:r>
            <w:r w:rsidR="00AD0F3E">
              <w:rPr>
                <w:b/>
                <w:bCs/>
              </w:rPr>
              <w:t>D</w:t>
            </w:r>
            <w:r w:rsidRPr="008A485E">
              <w:rPr>
                <w:b/>
                <w:bCs/>
              </w:rPr>
              <w:t>1. Revenue and Profitability Summary (USD Millions)</w:t>
            </w:r>
          </w:p>
          <w:tbl>
            <w:tblPr>
              <w:tblW w:w="78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3"/>
              <w:gridCol w:w="650"/>
              <w:gridCol w:w="1968"/>
              <w:gridCol w:w="957"/>
              <w:gridCol w:w="1098"/>
              <w:gridCol w:w="759"/>
              <w:gridCol w:w="1234"/>
              <w:gridCol w:w="560"/>
            </w:tblGrid>
            <w:tr w:rsidR="008A485E" w:rsidRPr="008A485E" w14:paraId="1501BC3E" w14:textId="77777777" w:rsidTr="00F810D3">
              <w:trPr>
                <w:tblHeader/>
                <w:tblCellSpacing w:w="15" w:type="dxa"/>
              </w:trPr>
              <w:tc>
                <w:tcPr>
                  <w:tcW w:w="0" w:type="auto"/>
                  <w:vAlign w:val="center"/>
                  <w:hideMark/>
                </w:tcPr>
                <w:p w14:paraId="6DD42FE1" w14:textId="77777777" w:rsidR="008A485E" w:rsidRPr="008A485E" w:rsidRDefault="008A485E" w:rsidP="008A485E">
                  <w:pPr>
                    <w:spacing w:after="0"/>
                    <w:jc w:val="center"/>
                    <w:rPr>
                      <w:b/>
                      <w:bCs/>
                    </w:rPr>
                  </w:pPr>
                  <w:r w:rsidRPr="008A485E">
                    <w:rPr>
                      <w:b/>
                      <w:bCs/>
                    </w:rPr>
                    <w:t>Year</w:t>
                  </w:r>
                </w:p>
              </w:tc>
              <w:tc>
                <w:tcPr>
                  <w:tcW w:w="620" w:type="dxa"/>
                  <w:vAlign w:val="center"/>
                  <w:hideMark/>
                </w:tcPr>
                <w:p w14:paraId="003DB18B" w14:textId="77777777" w:rsidR="008A485E" w:rsidRPr="008A485E" w:rsidRDefault="008A485E" w:rsidP="008A485E">
                  <w:pPr>
                    <w:spacing w:after="0"/>
                    <w:jc w:val="center"/>
                    <w:rPr>
                      <w:b/>
                      <w:bCs/>
                    </w:rPr>
                  </w:pPr>
                  <w:r w:rsidRPr="008A485E">
                    <w:rPr>
                      <w:b/>
                      <w:bCs/>
                    </w:rPr>
                    <w:t>Users</w:t>
                  </w:r>
                </w:p>
              </w:tc>
              <w:tc>
                <w:tcPr>
                  <w:tcW w:w="2046" w:type="dxa"/>
                  <w:vAlign w:val="center"/>
                  <w:hideMark/>
                </w:tcPr>
                <w:p w14:paraId="59D0DD10" w14:textId="77777777" w:rsidR="008A485E" w:rsidRPr="008A485E" w:rsidRDefault="008A485E" w:rsidP="008A485E">
                  <w:pPr>
                    <w:spacing w:after="0"/>
                    <w:jc w:val="center"/>
                    <w:rPr>
                      <w:b/>
                      <w:bCs/>
                    </w:rPr>
                  </w:pPr>
                  <w:r w:rsidRPr="008A485E">
                    <w:rPr>
                      <w:b/>
                      <w:bCs/>
                    </w:rPr>
                    <w:t>Avg Subscription Rate (USD/User/Year)</w:t>
                  </w:r>
                </w:p>
              </w:tc>
              <w:tc>
                <w:tcPr>
                  <w:tcW w:w="687" w:type="dxa"/>
                  <w:vAlign w:val="center"/>
                  <w:hideMark/>
                </w:tcPr>
                <w:p w14:paraId="3CBD982A" w14:textId="77777777" w:rsidR="008A485E" w:rsidRPr="008A485E" w:rsidRDefault="008A485E" w:rsidP="008A485E">
                  <w:pPr>
                    <w:spacing w:after="0"/>
                    <w:jc w:val="center"/>
                    <w:rPr>
                      <w:b/>
                      <w:bCs/>
                    </w:rPr>
                  </w:pPr>
                  <w:r w:rsidRPr="008A485E">
                    <w:rPr>
                      <w:b/>
                      <w:bCs/>
                    </w:rPr>
                    <w:t>Revenue (USD M)</w:t>
                  </w:r>
                </w:p>
              </w:tc>
              <w:tc>
                <w:tcPr>
                  <w:tcW w:w="1068" w:type="dxa"/>
                  <w:vAlign w:val="center"/>
                  <w:hideMark/>
                </w:tcPr>
                <w:p w14:paraId="508353F4" w14:textId="77777777" w:rsidR="008A485E" w:rsidRPr="008A485E" w:rsidRDefault="008A485E" w:rsidP="008A485E">
                  <w:pPr>
                    <w:spacing w:after="0"/>
                    <w:jc w:val="center"/>
                    <w:rPr>
                      <w:b/>
                      <w:bCs/>
                    </w:rPr>
                  </w:pPr>
                  <w:r w:rsidRPr="008A485E">
                    <w:rPr>
                      <w:b/>
                      <w:bCs/>
                    </w:rPr>
                    <w:t>Operating Cost (USD M)</w:t>
                  </w:r>
                </w:p>
              </w:tc>
              <w:tc>
                <w:tcPr>
                  <w:tcW w:w="805" w:type="dxa"/>
                  <w:vAlign w:val="center"/>
                  <w:hideMark/>
                </w:tcPr>
                <w:p w14:paraId="5938A988" w14:textId="77777777" w:rsidR="008A485E" w:rsidRPr="008A485E" w:rsidRDefault="008A485E" w:rsidP="008A485E">
                  <w:pPr>
                    <w:spacing w:after="0"/>
                    <w:jc w:val="center"/>
                    <w:rPr>
                      <w:b/>
                      <w:bCs/>
                    </w:rPr>
                  </w:pPr>
                  <w:r w:rsidRPr="008A485E">
                    <w:rPr>
                      <w:b/>
                      <w:bCs/>
                    </w:rPr>
                    <w:t>Net Profit (USD M)</w:t>
                  </w:r>
                </w:p>
              </w:tc>
              <w:tc>
                <w:tcPr>
                  <w:tcW w:w="1204" w:type="dxa"/>
                  <w:vAlign w:val="center"/>
                  <w:hideMark/>
                </w:tcPr>
                <w:p w14:paraId="6DCCA3D7" w14:textId="77777777" w:rsidR="008A485E" w:rsidRPr="008A485E" w:rsidRDefault="008A485E" w:rsidP="008A485E">
                  <w:pPr>
                    <w:spacing w:after="0"/>
                    <w:jc w:val="center"/>
                    <w:rPr>
                      <w:b/>
                      <w:bCs/>
                    </w:rPr>
                  </w:pPr>
                  <w:r w:rsidRPr="008A485E">
                    <w:rPr>
                      <w:b/>
                      <w:bCs/>
                    </w:rPr>
                    <w:t>Cumulative Profit (USD M)</w:t>
                  </w:r>
                </w:p>
              </w:tc>
              <w:tc>
                <w:tcPr>
                  <w:tcW w:w="571" w:type="dxa"/>
                  <w:vAlign w:val="center"/>
                  <w:hideMark/>
                </w:tcPr>
                <w:p w14:paraId="5EB65C59" w14:textId="77777777" w:rsidR="008A485E" w:rsidRPr="008A485E" w:rsidRDefault="008A485E" w:rsidP="008A485E">
                  <w:pPr>
                    <w:spacing w:after="0"/>
                    <w:jc w:val="center"/>
                    <w:rPr>
                      <w:b/>
                      <w:bCs/>
                    </w:rPr>
                  </w:pPr>
                  <w:r w:rsidRPr="008A485E">
                    <w:rPr>
                      <w:b/>
                      <w:bCs/>
                    </w:rPr>
                    <w:t>ROI (%)</w:t>
                  </w:r>
                </w:p>
              </w:tc>
            </w:tr>
            <w:tr w:rsidR="008A485E" w:rsidRPr="008A485E" w14:paraId="761451CA" w14:textId="77777777" w:rsidTr="00F810D3">
              <w:trPr>
                <w:tblCellSpacing w:w="15" w:type="dxa"/>
              </w:trPr>
              <w:tc>
                <w:tcPr>
                  <w:tcW w:w="0" w:type="auto"/>
                  <w:vAlign w:val="center"/>
                  <w:hideMark/>
                </w:tcPr>
                <w:p w14:paraId="7E9F5E4D" w14:textId="77777777" w:rsidR="008A485E" w:rsidRPr="008A485E" w:rsidRDefault="008A485E" w:rsidP="008A485E">
                  <w:pPr>
                    <w:spacing w:after="0"/>
                    <w:jc w:val="center"/>
                  </w:pPr>
                  <w:r w:rsidRPr="008A485E">
                    <w:t>2025</w:t>
                  </w:r>
                </w:p>
              </w:tc>
              <w:tc>
                <w:tcPr>
                  <w:tcW w:w="620" w:type="dxa"/>
                  <w:vAlign w:val="center"/>
                  <w:hideMark/>
                </w:tcPr>
                <w:p w14:paraId="42F1B0A0" w14:textId="77777777" w:rsidR="008A485E" w:rsidRPr="008A485E" w:rsidRDefault="008A485E" w:rsidP="008A485E">
                  <w:pPr>
                    <w:spacing w:after="0"/>
                    <w:jc w:val="center"/>
                  </w:pPr>
                  <w:r w:rsidRPr="008A485E">
                    <w:t>0</w:t>
                  </w:r>
                </w:p>
              </w:tc>
              <w:tc>
                <w:tcPr>
                  <w:tcW w:w="2046" w:type="dxa"/>
                  <w:vAlign w:val="center"/>
                  <w:hideMark/>
                </w:tcPr>
                <w:p w14:paraId="4D11BF51" w14:textId="77777777" w:rsidR="008A485E" w:rsidRPr="008A485E" w:rsidRDefault="008A485E" w:rsidP="008A485E">
                  <w:pPr>
                    <w:spacing w:after="0"/>
                    <w:jc w:val="center"/>
                  </w:pPr>
                  <w:r w:rsidRPr="008A485E">
                    <w:t>–</w:t>
                  </w:r>
                </w:p>
              </w:tc>
              <w:tc>
                <w:tcPr>
                  <w:tcW w:w="687" w:type="dxa"/>
                  <w:vAlign w:val="center"/>
                  <w:hideMark/>
                </w:tcPr>
                <w:p w14:paraId="3CE5746C" w14:textId="77777777" w:rsidR="008A485E" w:rsidRPr="008A485E" w:rsidRDefault="008A485E" w:rsidP="008A485E">
                  <w:pPr>
                    <w:spacing w:after="0"/>
                    <w:jc w:val="center"/>
                  </w:pPr>
                  <w:r w:rsidRPr="008A485E">
                    <w:t>0</w:t>
                  </w:r>
                </w:p>
              </w:tc>
              <w:tc>
                <w:tcPr>
                  <w:tcW w:w="1068" w:type="dxa"/>
                  <w:vAlign w:val="center"/>
                  <w:hideMark/>
                </w:tcPr>
                <w:p w14:paraId="49B01F96" w14:textId="77777777" w:rsidR="008A485E" w:rsidRPr="008A485E" w:rsidRDefault="008A485E" w:rsidP="008A485E">
                  <w:pPr>
                    <w:spacing w:after="0"/>
                    <w:jc w:val="center"/>
                  </w:pPr>
                  <w:r w:rsidRPr="008A485E">
                    <w:t>1.0</w:t>
                  </w:r>
                </w:p>
              </w:tc>
              <w:tc>
                <w:tcPr>
                  <w:tcW w:w="805" w:type="dxa"/>
                  <w:vAlign w:val="center"/>
                  <w:hideMark/>
                </w:tcPr>
                <w:p w14:paraId="04B89ADB" w14:textId="77777777" w:rsidR="008A485E" w:rsidRPr="008A485E" w:rsidRDefault="008A485E" w:rsidP="008A485E">
                  <w:pPr>
                    <w:spacing w:after="0"/>
                    <w:jc w:val="center"/>
                  </w:pPr>
                  <w:r w:rsidRPr="008A485E">
                    <w:t>-1.0</w:t>
                  </w:r>
                </w:p>
              </w:tc>
              <w:tc>
                <w:tcPr>
                  <w:tcW w:w="1204" w:type="dxa"/>
                  <w:vAlign w:val="center"/>
                  <w:hideMark/>
                </w:tcPr>
                <w:p w14:paraId="39198379" w14:textId="77777777" w:rsidR="008A485E" w:rsidRPr="008A485E" w:rsidRDefault="008A485E" w:rsidP="008A485E">
                  <w:pPr>
                    <w:spacing w:after="0"/>
                    <w:jc w:val="center"/>
                  </w:pPr>
                  <w:r w:rsidRPr="008A485E">
                    <w:t>-1.0</w:t>
                  </w:r>
                </w:p>
              </w:tc>
              <w:tc>
                <w:tcPr>
                  <w:tcW w:w="571" w:type="dxa"/>
                  <w:vAlign w:val="center"/>
                  <w:hideMark/>
                </w:tcPr>
                <w:p w14:paraId="22D5907A" w14:textId="77777777" w:rsidR="008A485E" w:rsidRPr="008A485E" w:rsidRDefault="008A485E" w:rsidP="008A485E">
                  <w:pPr>
                    <w:spacing w:after="0"/>
                    <w:jc w:val="center"/>
                  </w:pPr>
                  <w:r w:rsidRPr="008A485E">
                    <w:t>–</w:t>
                  </w:r>
                </w:p>
              </w:tc>
            </w:tr>
            <w:tr w:rsidR="008A485E" w:rsidRPr="008A485E" w14:paraId="349BB72A" w14:textId="77777777" w:rsidTr="00F810D3">
              <w:trPr>
                <w:tblCellSpacing w:w="15" w:type="dxa"/>
              </w:trPr>
              <w:tc>
                <w:tcPr>
                  <w:tcW w:w="0" w:type="auto"/>
                  <w:vAlign w:val="center"/>
                  <w:hideMark/>
                </w:tcPr>
                <w:p w14:paraId="04929870" w14:textId="77777777" w:rsidR="008A485E" w:rsidRPr="008A485E" w:rsidRDefault="008A485E" w:rsidP="008A485E">
                  <w:pPr>
                    <w:spacing w:after="0"/>
                    <w:jc w:val="center"/>
                  </w:pPr>
                  <w:r w:rsidRPr="008A485E">
                    <w:t>2026</w:t>
                  </w:r>
                </w:p>
              </w:tc>
              <w:tc>
                <w:tcPr>
                  <w:tcW w:w="620" w:type="dxa"/>
                  <w:vAlign w:val="center"/>
                  <w:hideMark/>
                </w:tcPr>
                <w:p w14:paraId="06EEC374" w14:textId="77777777" w:rsidR="008A485E" w:rsidRPr="008A485E" w:rsidRDefault="008A485E" w:rsidP="008A485E">
                  <w:pPr>
                    <w:spacing w:after="0"/>
                    <w:jc w:val="center"/>
                  </w:pPr>
                  <w:r w:rsidRPr="008A485E">
                    <w:t>2 000</w:t>
                  </w:r>
                </w:p>
              </w:tc>
              <w:tc>
                <w:tcPr>
                  <w:tcW w:w="2046" w:type="dxa"/>
                  <w:vAlign w:val="center"/>
                  <w:hideMark/>
                </w:tcPr>
                <w:p w14:paraId="10CCE68D" w14:textId="77777777" w:rsidR="008A485E" w:rsidRPr="008A485E" w:rsidRDefault="008A485E" w:rsidP="008A485E">
                  <w:pPr>
                    <w:spacing w:after="0"/>
                    <w:jc w:val="center"/>
                  </w:pPr>
                  <w:r w:rsidRPr="008A485E">
                    <w:rPr>
                      <w:b/>
                      <w:bCs/>
                    </w:rPr>
                    <w:t>440</w:t>
                  </w:r>
                </w:p>
              </w:tc>
              <w:tc>
                <w:tcPr>
                  <w:tcW w:w="687" w:type="dxa"/>
                  <w:vAlign w:val="center"/>
                  <w:hideMark/>
                </w:tcPr>
                <w:p w14:paraId="1FB5658C" w14:textId="77777777" w:rsidR="008A485E" w:rsidRPr="008A485E" w:rsidRDefault="008A485E" w:rsidP="008A485E">
                  <w:pPr>
                    <w:spacing w:after="0"/>
                    <w:jc w:val="center"/>
                  </w:pPr>
                  <w:r w:rsidRPr="008A485E">
                    <w:t>0.8</w:t>
                  </w:r>
                </w:p>
              </w:tc>
              <w:tc>
                <w:tcPr>
                  <w:tcW w:w="1068" w:type="dxa"/>
                  <w:vAlign w:val="center"/>
                  <w:hideMark/>
                </w:tcPr>
                <w:p w14:paraId="0D0579CA" w14:textId="77777777" w:rsidR="008A485E" w:rsidRPr="008A485E" w:rsidRDefault="008A485E" w:rsidP="008A485E">
                  <w:pPr>
                    <w:spacing w:after="0"/>
                    <w:jc w:val="center"/>
                  </w:pPr>
                  <w:r w:rsidRPr="008A485E">
                    <w:t>1.5</w:t>
                  </w:r>
                </w:p>
              </w:tc>
              <w:tc>
                <w:tcPr>
                  <w:tcW w:w="805" w:type="dxa"/>
                  <w:vAlign w:val="center"/>
                  <w:hideMark/>
                </w:tcPr>
                <w:p w14:paraId="261DEA44" w14:textId="77777777" w:rsidR="008A485E" w:rsidRPr="008A485E" w:rsidRDefault="008A485E" w:rsidP="008A485E">
                  <w:pPr>
                    <w:spacing w:after="0"/>
                    <w:jc w:val="center"/>
                  </w:pPr>
                  <w:r w:rsidRPr="008A485E">
                    <w:t>-0.7</w:t>
                  </w:r>
                </w:p>
              </w:tc>
              <w:tc>
                <w:tcPr>
                  <w:tcW w:w="1204" w:type="dxa"/>
                  <w:vAlign w:val="center"/>
                  <w:hideMark/>
                </w:tcPr>
                <w:p w14:paraId="64B0E8CD" w14:textId="77777777" w:rsidR="008A485E" w:rsidRPr="008A485E" w:rsidRDefault="008A485E" w:rsidP="008A485E">
                  <w:pPr>
                    <w:spacing w:after="0"/>
                    <w:jc w:val="center"/>
                  </w:pPr>
                  <w:r w:rsidRPr="008A485E">
                    <w:t>-1.7</w:t>
                  </w:r>
                </w:p>
              </w:tc>
              <w:tc>
                <w:tcPr>
                  <w:tcW w:w="571" w:type="dxa"/>
                  <w:vAlign w:val="center"/>
                  <w:hideMark/>
                </w:tcPr>
                <w:p w14:paraId="71DFDFDB" w14:textId="77777777" w:rsidR="008A485E" w:rsidRPr="008A485E" w:rsidRDefault="008A485E" w:rsidP="008A485E">
                  <w:pPr>
                    <w:spacing w:after="0"/>
                    <w:jc w:val="center"/>
                  </w:pPr>
                  <w:r w:rsidRPr="008A485E">
                    <w:t>–</w:t>
                  </w:r>
                </w:p>
              </w:tc>
            </w:tr>
            <w:tr w:rsidR="008A485E" w:rsidRPr="008A485E" w14:paraId="0E9533C2" w14:textId="77777777" w:rsidTr="00F810D3">
              <w:trPr>
                <w:tblCellSpacing w:w="15" w:type="dxa"/>
              </w:trPr>
              <w:tc>
                <w:tcPr>
                  <w:tcW w:w="0" w:type="auto"/>
                  <w:vAlign w:val="center"/>
                  <w:hideMark/>
                </w:tcPr>
                <w:p w14:paraId="54CEA198" w14:textId="77777777" w:rsidR="008A485E" w:rsidRPr="008A485E" w:rsidRDefault="008A485E" w:rsidP="008A485E">
                  <w:pPr>
                    <w:spacing w:after="0"/>
                    <w:jc w:val="center"/>
                  </w:pPr>
                  <w:r w:rsidRPr="008A485E">
                    <w:t>2027</w:t>
                  </w:r>
                </w:p>
              </w:tc>
              <w:tc>
                <w:tcPr>
                  <w:tcW w:w="620" w:type="dxa"/>
                  <w:vAlign w:val="center"/>
                  <w:hideMark/>
                </w:tcPr>
                <w:p w14:paraId="161A2E2C" w14:textId="77777777" w:rsidR="008A485E" w:rsidRPr="008A485E" w:rsidRDefault="008A485E" w:rsidP="008A485E">
                  <w:pPr>
                    <w:spacing w:after="0"/>
                    <w:jc w:val="center"/>
                  </w:pPr>
                  <w:r w:rsidRPr="008A485E">
                    <w:t>12 000</w:t>
                  </w:r>
                </w:p>
              </w:tc>
              <w:tc>
                <w:tcPr>
                  <w:tcW w:w="2046" w:type="dxa"/>
                  <w:vAlign w:val="center"/>
                  <w:hideMark/>
                </w:tcPr>
                <w:p w14:paraId="0569FB52" w14:textId="77777777" w:rsidR="008A485E" w:rsidRPr="008A485E" w:rsidRDefault="008A485E" w:rsidP="008A485E">
                  <w:pPr>
                    <w:spacing w:after="0"/>
                    <w:jc w:val="center"/>
                  </w:pPr>
                  <w:r w:rsidRPr="008A485E">
                    <w:rPr>
                      <w:b/>
                      <w:bCs/>
                    </w:rPr>
                    <w:t>460 (+5 %)</w:t>
                  </w:r>
                </w:p>
              </w:tc>
              <w:tc>
                <w:tcPr>
                  <w:tcW w:w="687" w:type="dxa"/>
                  <w:vAlign w:val="center"/>
                  <w:hideMark/>
                </w:tcPr>
                <w:p w14:paraId="4DDB2825" w14:textId="77777777" w:rsidR="008A485E" w:rsidRPr="008A485E" w:rsidRDefault="008A485E" w:rsidP="008A485E">
                  <w:pPr>
                    <w:spacing w:after="0"/>
                    <w:jc w:val="center"/>
                  </w:pPr>
                  <w:r w:rsidRPr="008A485E">
                    <w:t>5.5</w:t>
                  </w:r>
                </w:p>
              </w:tc>
              <w:tc>
                <w:tcPr>
                  <w:tcW w:w="1068" w:type="dxa"/>
                  <w:vAlign w:val="center"/>
                  <w:hideMark/>
                </w:tcPr>
                <w:p w14:paraId="6B9FE57C" w14:textId="77777777" w:rsidR="008A485E" w:rsidRPr="008A485E" w:rsidRDefault="008A485E" w:rsidP="008A485E">
                  <w:pPr>
                    <w:spacing w:after="0"/>
                    <w:jc w:val="center"/>
                  </w:pPr>
                  <w:r w:rsidRPr="008A485E">
                    <w:t>3.2</w:t>
                  </w:r>
                </w:p>
              </w:tc>
              <w:tc>
                <w:tcPr>
                  <w:tcW w:w="805" w:type="dxa"/>
                  <w:vAlign w:val="center"/>
                  <w:hideMark/>
                </w:tcPr>
                <w:p w14:paraId="7033C246" w14:textId="77777777" w:rsidR="008A485E" w:rsidRPr="008A485E" w:rsidRDefault="008A485E" w:rsidP="008A485E">
                  <w:pPr>
                    <w:spacing w:after="0"/>
                    <w:jc w:val="center"/>
                  </w:pPr>
                  <w:r w:rsidRPr="008A485E">
                    <w:t>2.3</w:t>
                  </w:r>
                </w:p>
              </w:tc>
              <w:tc>
                <w:tcPr>
                  <w:tcW w:w="1204" w:type="dxa"/>
                  <w:vAlign w:val="center"/>
                  <w:hideMark/>
                </w:tcPr>
                <w:p w14:paraId="0CB0FDEE" w14:textId="77777777" w:rsidR="008A485E" w:rsidRPr="008A485E" w:rsidRDefault="008A485E" w:rsidP="008A485E">
                  <w:pPr>
                    <w:spacing w:after="0"/>
                    <w:jc w:val="center"/>
                  </w:pPr>
                  <w:r w:rsidRPr="008A485E">
                    <w:t>0.6</w:t>
                  </w:r>
                </w:p>
              </w:tc>
              <w:tc>
                <w:tcPr>
                  <w:tcW w:w="571" w:type="dxa"/>
                  <w:vAlign w:val="center"/>
                  <w:hideMark/>
                </w:tcPr>
                <w:p w14:paraId="7D0A48BB" w14:textId="77777777" w:rsidR="008A485E" w:rsidRPr="008A485E" w:rsidRDefault="008A485E" w:rsidP="008A485E">
                  <w:pPr>
                    <w:spacing w:after="0"/>
                    <w:jc w:val="center"/>
                  </w:pPr>
                  <w:r w:rsidRPr="008A485E">
                    <w:t>35 %</w:t>
                  </w:r>
                </w:p>
              </w:tc>
            </w:tr>
            <w:tr w:rsidR="008A485E" w:rsidRPr="008A485E" w14:paraId="4FC72ACC" w14:textId="77777777" w:rsidTr="00F810D3">
              <w:trPr>
                <w:tblCellSpacing w:w="15" w:type="dxa"/>
              </w:trPr>
              <w:tc>
                <w:tcPr>
                  <w:tcW w:w="0" w:type="auto"/>
                  <w:vAlign w:val="center"/>
                  <w:hideMark/>
                </w:tcPr>
                <w:p w14:paraId="0CEF5CD7" w14:textId="77777777" w:rsidR="008A485E" w:rsidRPr="008A485E" w:rsidRDefault="008A485E" w:rsidP="008A485E">
                  <w:pPr>
                    <w:spacing w:after="0"/>
                    <w:jc w:val="center"/>
                  </w:pPr>
                  <w:r w:rsidRPr="008A485E">
                    <w:t>2028</w:t>
                  </w:r>
                </w:p>
              </w:tc>
              <w:tc>
                <w:tcPr>
                  <w:tcW w:w="620" w:type="dxa"/>
                  <w:vAlign w:val="center"/>
                  <w:hideMark/>
                </w:tcPr>
                <w:p w14:paraId="55C962E5" w14:textId="77777777" w:rsidR="008A485E" w:rsidRPr="008A485E" w:rsidRDefault="008A485E" w:rsidP="008A485E">
                  <w:pPr>
                    <w:spacing w:after="0"/>
                    <w:jc w:val="center"/>
                  </w:pPr>
                  <w:r w:rsidRPr="008A485E">
                    <w:t>30 000</w:t>
                  </w:r>
                </w:p>
              </w:tc>
              <w:tc>
                <w:tcPr>
                  <w:tcW w:w="2046" w:type="dxa"/>
                  <w:vAlign w:val="center"/>
                  <w:hideMark/>
                </w:tcPr>
                <w:p w14:paraId="29E3CD46" w14:textId="77777777" w:rsidR="008A485E" w:rsidRPr="008A485E" w:rsidRDefault="008A485E" w:rsidP="008A485E">
                  <w:pPr>
                    <w:spacing w:after="0"/>
                    <w:jc w:val="center"/>
                  </w:pPr>
                  <w:r w:rsidRPr="008A485E">
                    <w:rPr>
                      <w:b/>
                      <w:bCs/>
                    </w:rPr>
                    <w:t>480 (+5 %)</w:t>
                  </w:r>
                </w:p>
              </w:tc>
              <w:tc>
                <w:tcPr>
                  <w:tcW w:w="687" w:type="dxa"/>
                  <w:vAlign w:val="center"/>
                  <w:hideMark/>
                </w:tcPr>
                <w:p w14:paraId="2346C75B" w14:textId="77777777" w:rsidR="008A485E" w:rsidRPr="008A485E" w:rsidRDefault="008A485E" w:rsidP="008A485E">
                  <w:pPr>
                    <w:spacing w:after="0"/>
                    <w:jc w:val="center"/>
                  </w:pPr>
                  <w:r w:rsidRPr="008A485E">
                    <w:t>13.2</w:t>
                  </w:r>
                </w:p>
              </w:tc>
              <w:tc>
                <w:tcPr>
                  <w:tcW w:w="1068" w:type="dxa"/>
                  <w:vAlign w:val="center"/>
                  <w:hideMark/>
                </w:tcPr>
                <w:p w14:paraId="6D5AA820" w14:textId="77777777" w:rsidR="008A485E" w:rsidRPr="008A485E" w:rsidRDefault="008A485E" w:rsidP="008A485E">
                  <w:pPr>
                    <w:spacing w:after="0"/>
                    <w:jc w:val="center"/>
                  </w:pPr>
                  <w:r w:rsidRPr="008A485E">
                    <w:t>5.0</w:t>
                  </w:r>
                </w:p>
              </w:tc>
              <w:tc>
                <w:tcPr>
                  <w:tcW w:w="805" w:type="dxa"/>
                  <w:vAlign w:val="center"/>
                  <w:hideMark/>
                </w:tcPr>
                <w:p w14:paraId="49F0CB0F" w14:textId="77777777" w:rsidR="008A485E" w:rsidRPr="008A485E" w:rsidRDefault="008A485E" w:rsidP="008A485E">
                  <w:pPr>
                    <w:spacing w:after="0"/>
                    <w:jc w:val="center"/>
                  </w:pPr>
                  <w:r w:rsidRPr="008A485E">
                    <w:t>8.2</w:t>
                  </w:r>
                </w:p>
              </w:tc>
              <w:tc>
                <w:tcPr>
                  <w:tcW w:w="1204" w:type="dxa"/>
                  <w:vAlign w:val="center"/>
                  <w:hideMark/>
                </w:tcPr>
                <w:p w14:paraId="35AAECF8" w14:textId="77777777" w:rsidR="008A485E" w:rsidRPr="008A485E" w:rsidRDefault="008A485E" w:rsidP="008A485E">
                  <w:pPr>
                    <w:spacing w:after="0"/>
                    <w:jc w:val="center"/>
                  </w:pPr>
                  <w:r w:rsidRPr="008A485E">
                    <w:t>8.8</w:t>
                  </w:r>
                </w:p>
              </w:tc>
              <w:tc>
                <w:tcPr>
                  <w:tcW w:w="571" w:type="dxa"/>
                  <w:vAlign w:val="center"/>
                  <w:hideMark/>
                </w:tcPr>
                <w:p w14:paraId="7951BCDC" w14:textId="77777777" w:rsidR="008A485E" w:rsidRPr="008A485E" w:rsidRDefault="008A485E" w:rsidP="008A485E">
                  <w:pPr>
                    <w:spacing w:after="0"/>
                    <w:jc w:val="center"/>
                  </w:pPr>
                  <w:r w:rsidRPr="008A485E">
                    <w:rPr>
                      <w:b/>
                      <w:bCs/>
                    </w:rPr>
                    <w:t>185 %</w:t>
                  </w:r>
                </w:p>
              </w:tc>
            </w:tr>
          </w:tbl>
          <w:p w14:paraId="26C1BD16" w14:textId="77777777" w:rsidR="008A485E" w:rsidRPr="008A485E" w:rsidRDefault="008A485E" w:rsidP="008A485E">
            <w:pPr>
              <w:spacing w:after="0"/>
            </w:pPr>
            <w:r w:rsidRPr="008A485E">
              <w:rPr>
                <w:b/>
                <w:bCs/>
              </w:rPr>
              <w:t>Total Investment:</w:t>
            </w:r>
            <w:r w:rsidRPr="008A485E">
              <w:t xml:space="preserve"> USD 11.7 million</w:t>
            </w:r>
            <w:r w:rsidRPr="008A485E">
              <w:br/>
            </w:r>
            <w:r w:rsidRPr="008A485E">
              <w:rPr>
                <w:b/>
                <w:bCs/>
              </w:rPr>
              <w:t>Cumulative Net Profit (2028):</w:t>
            </w:r>
            <w:r w:rsidRPr="008A485E">
              <w:t xml:space="preserve"> USD 21.9 million</w:t>
            </w:r>
            <w:r w:rsidRPr="008A485E">
              <w:br/>
            </w:r>
            <w:r w:rsidRPr="008A485E">
              <w:rPr>
                <w:b/>
                <w:bCs/>
              </w:rPr>
              <w:t>Payback Period:</w:t>
            </w:r>
            <w:r w:rsidRPr="008A485E">
              <w:t xml:space="preserve"> ≈ 28 months (from 2026 launch)</w:t>
            </w:r>
          </w:p>
          <w:p w14:paraId="717FBAD3" w14:textId="77777777" w:rsidR="008A485E" w:rsidRPr="008A485E" w:rsidRDefault="008A485E" w:rsidP="008A485E">
            <w:pPr>
              <w:spacing w:after="0"/>
            </w:pPr>
          </w:p>
          <w:p w14:paraId="4C2F1595" w14:textId="77777777" w:rsidR="008A485E" w:rsidRPr="008A485E" w:rsidRDefault="008A485E" w:rsidP="008A485E">
            <w:pPr>
              <w:spacing w:after="0"/>
              <w:rPr>
                <w:b/>
                <w:bCs/>
              </w:rPr>
            </w:pPr>
            <w:r w:rsidRPr="008A485E">
              <w:rPr>
                <w:b/>
                <w:bCs/>
              </w:rPr>
              <w:t>Calculation Method</w:t>
            </w:r>
          </w:p>
          <w:p w14:paraId="455BC261" w14:textId="77777777" w:rsidR="008A485E" w:rsidRPr="008A485E" w:rsidRDefault="008A485E" w:rsidP="008A485E">
            <w:pPr>
              <w:numPr>
                <w:ilvl w:val="0"/>
                <w:numId w:val="32"/>
              </w:numPr>
              <w:spacing w:after="0"/>
              <w:rPr>
                <w:lang w:val="fr-FR"/>
              </w:rPr>
            </w:pPr>
            <w:r w:rsidRPr="008A485E">
              <w:rPr>
                <w:b/>
                <w:bCs/>
                <w:lang w:val="fr-FR"/>
              </w:rPr>
              <w:t>ROI Formula:</w:t>
            </w:r>
            <w:r w:rsidRPr="008A485E">
              <w:rPr>
                <w:lang w:val="fr-FR"/>
              </w:rPr>
              <w:t xml:space="preserve"> </w:t>
            </w:r>
            <m:oMath>
              <m:r>
                <w:rPr>
                  <w:rFonts w:ascii="Cambria Math" w:hAnsi="Cambria Math"/>
                </w:rPr>
                <m:t>ROI</m:t>
              </m:r>
              <m:r>
                <w:rPr>
                  <w:rFonts w:ascii="Cambria Math" w:hAnsi="Cambria Math"/>
                  <w:lang w:val="fr-FR"/>
                </w:rPr>
                <m:t>=</m:t>
              </m:r>
              <m:f>
                <m:fPr>
                  <m:ctrlPr>
                    <w:rPr>
                      <w:rFonts w:ascii="Cambria Math" w:hAnsi="Cambria Math"/>
                    </w:rPr>
                  </m:ctrlPr>
                </m:fPr>
                <m:num>
                  <m:r>
                    <w:rPr>
                      <w:rFonts w:ascii="Cambria Math" w:hAnsi="Cambria Math"/>
                    </w:rPr>
                    <m:t>NetProfit</m:t>
                  </m:r>
                </m:num>
                <m:den>
                  <m:r>
                    <w:rPr>
                      <w:rFonts w:ascii="Cambria Math" w:hAnsi="Cambria Math"/>
                    </w:rPr>
                    <m:t>TotalInvestment</m:t>
                  </m:r>
                </m:den>
              </m:f>
              <m:r>
                <w:rPr>
                  <w:rFonts w:ascii="Cambria Math" w:hAnsi="Cambria Math"/>
                  <w:lang w:val="fr-FR"/>
                </w:rPr>
                <m:t>×100</m:t>
              </m:r>
            </m:oMath>
          </w:p>
          <w:p w14:paraId="6C3CE77D" w14:textId="77777777" w:rsidR="008A485E" w:rsidRPr="008A485E" w:rsidRDefault="008A485E" w:rsidP="008A485E">
            <w:pPr>
              <w:numPr>
                <w:ilvl w:val="0"/>
                <w:numId w:val="32"/>
              </w:numPr>
              <w:spacing w:after="0"/>
            </w:pPr>
            <w:r w:rsidRPr="008A485E">
              <w:rPr>
                <w:b/>
                <w:bCs/>
              </w:rPr>
              <w:lastRenderedPageBreak/>
              <w:t>Payback Period:</w:t>
            </w:r>
            <w:r w:rsidRPr="008A485E">
              <w:t xml:space="preserve"> Point when cumulative profit ≥ total investment (≈ 2.3 years post-launch).</w:t>
            </w:r>
          </w:p>
          <w:p w14:paraId="7789A7F5" w14:textId="77777777" w:rsidR="008A485E" w:rsidRPr="008A485E" w:rsidRDefault="008A485E" w:rsidP="008A485E">
            <w:pPr>
              <w:numPr>
                <w:ilvl w:val="0"/>
                <w:numId w:val="32"/>
              </w:numPr>
              <w:spacing w:after="0"/>
            </w:pPr>
            <w:r w:rsidRPr="008A485E">
              <w:rPr>
                <w:b/>
                <w:bCs/>
              </w:rPr>
              <w:t>Revenue Composition:</w:t>
            </w:r>
            <w:r w:rsidRPr="008A485E">
              <w:t xml:space="preserve"> 70 % subscription + 30 % advisory and certification.</w:t>
            </w:r>
          </w:p>
          <w:p w14:paraId="76FD6473" w14:textId="77777777" w:rsidR="008A485E" w:rsidRPr="008A485E" w:rsidRDefault="008A485E" w:rsidP="008A485E">
            <w:pPr>
              <w:numPr>
                <w:ilvl w:val="0"/>
                <w:numId w:val="32"/>
              </w:numPr>
              <w:spacing w:after="0"/>
            </w:pPr>
            <w:r w:rsidRPr="008A485E">
              <w:rPr>
                <w:b/>
                <w:bCs/>
              </w:rPr>
              <w:t>Subscription Rate Policy:</w:t>
            </w:r>
          </w:p>
          <w:p w14:paraId="7203991E" w14:textId="77777777" w:rsidR="008A485E" w:rsidRPr="008A485E" w:rsidRDefault="008A485E" w:rsidP="008A485E">
            <w:pPr>
              <w:numPr>
                <w:ilvl w:val="1"/>
                <w:numId w:val="32"/>
              </w:numPr>
              <w:spacing w:after="0"/>
            </w:pPr>
            <w:r w:rsidRPr="008A485E">
              <w:t xml:space="preserve">All users sign an </w:t>
            </w:r>
            <w:r w:rsidRPr="008A485E">
              <w:rPr>
                <w:b/>
                <w:bCs/>
              </w:rPr>
              <w:t>annual subscription agreement</w:t>
            </w:r>
            <w:r w:rsidRPr="008A485E">
              <w:t>; monthly plans are not offered to ensure predictable revenue and ethical client commitment.</w:t>
            </w:r>
          </w:p>
          <w:p w14:paraId="0F161228" w14:textId="77777777" w:rsidR="008A485E" w:rsidRPr="008A485E" w:rsidRDefault="008A485E" w:rsidP="008A485E">
            <w:pPr>
              <w:numPr>
                <w:ilvl w:val="1"/>
                <w:numId w:val="32"/>
              </w:numPr>
              <w:spacing w:after="0"/>
            </w:pPr>
            <w:r w:rsidRPr="008A485E">
              <w:t>2026 rate USD 440 per user/year (enterprise blend)</w:t>
            </w:r>
          </w:p>
          <w:p w14:paraId="5CC33E8E" w14:textId="77777777" w:rsidR="008A485E" w:rsidRPr="008A485E" w:rsidRDefault="008A485E" w:rsidP="008A485E">
            <w:pPr>
              <w:numPr>
                <w:ilvl w:val="1"/>
                <w:numId w:val="32"/>
              </w:numPr>
              <w:spacing w:after="0"/>
            </w:pPr>
            <w:r w:rsidRPr="008A485E">
              <w:t>2027 rate USD 460 per user/year (+5 %)</w:t>
            </w:r>
          </w:p>
          <w:p w14:paraId="4943A600" w14:textId="77777777" w:rsidR="008A485E" w:rsidRPr="008A485E" w:rsidRDefault="008A485E" w:rsidP="008A485E">
            <w:pPr>
              <w:numPr>
                <w:ilvl w:val="1"/>
                <w:numId w:val="32"/>
              </w:numPr>
              <w:spacing w:after="0"/>
            </w:pPr>
            <w:r w:rsidRPr="008A485E">
              <w:t>2028 rate USD 480 per user/year (+5 %)</w:t>
            </w:r>
          </w:p>
          <w:p w14:paraId="434434BA" w14:textId="77777777" w:rsidR="008A485E" w:rsidRPr="008A485E" w:rsidRDefault="008A485E" w:rsidP="008A485E">
            <w:pPr>
              <w:numPr>
                <w:ilvl w:val="0"/>
                <w:numId w:val="32"/>
              </w:numPr>
              <w:spacing w:after="0"/>
            </w:pPr>
            <w:r w:rsidRPr="008A485E">
              <w:rPr>
                <w:b/>
                <w:bCs/>
              </w:rPr>
              <w:t>Cost Structure:</w:t>
            </w:r>
            <w:r w:rsidRPr="008A485E">
              <w:t xml:space="preserve"> AI infrastructure 25 % · Regional operations 35 % · Marketing </w:t>
            </w:r>
            <w:r w:rsidR="0034129E" w:rsidRPr="008A485E">
              <w:t>20 %</w:t>
            </w:r>
            <w:r w:rsidRPr="008A485E">
              <w:t xml:space="preserve"> Ethics &amp; compliance 7 % · Contingency 13 %.</w:t>
            </w:r>
          </w:p>
          <w:p w14:paraId="2AA79E89" w14:textId="77777777" w:rsidR="008A485E" w:rsidRPr="008A485E" w:rsidRDefault="008A485E" w:rsidP="008A485E">
            <w:pPr>
              <w:numPr>
                <w:ilvl w:val="0"/>
                <w:numId w:val="32"/>
              </w:numPr>
              <w:spacing w:after="0"/>
            </w:pPr>
            <w:r w:rsidRPr="008A485E">
              <w:rPr>
                <w:b/>
                <w:bCs/>
              </w:rPr>
              <w:t>Growth Assumptions:</w:t>
            </w:r>
            <w:r w:rsidRPr="008A485E">
              <w:br/>
              <w:t>• No users or revenue in 2025 (development phase).</w:t>
            </w:r>
            <w:r w:rsidRPr="008A485E">
              <w:br/>
              <w:t xml:space="preserve">• User base expands from </w:t>
            </w:r>
            <w:r w:rsidR="00B70DB4">
              <w:t>2,000</w:t>
            </w:r>
            <w:r w:rsidRPr="008A485E">
              <w:t xml:space="preserve"> (2026) → 30 000 (2028).</w:t>
            </w:r>
            <w:r w:rsidRPr="008A485E">
              <w:br/>
              <w:t>• ±10 % adoption variance maintains ROI &gt; 160 %.</w:t>
            </w:r>
          </w:p>
          <w:p w14:paraId="7B79B4E0" w14:textId="77777777" w:rsidR="008A485E" w:rsidRPr="008A485E" w:rsidRDefault="008A485E" w:rsidP="008A485E">
            <w:pPr>
              <w:spacing w:after="0"/>
            </w:pPr>
          </w:p>
          <w:p w14:paraId="071CDDAE" w14:textId="77777777" w:rsidR="008A485E" w:rsidRPr="009D7967" w:rsidRDefault="008A485E" w:rsidP="008A485E">
            <w:pPr>
              <w:spacing w:after="0"/>
              <w:rPr>
                <w:rFonts w:ascii="Times New Roman" w:hAnsi="Times New Roman" w:cs="Times New Roman"/>
                <w:b/>
                <w:bCs/>
                <w:sz w:val="24"/>
                <w:szCs w:val="24"/>
              </w:rPr>
            </w:pPr>
            <w:r w:rsidRPr="009D7967">
              <w:rPr>
                <w:rFonts w:ascii="Times New Roman" w:hAnsi="Times New Roman" w:cs="Times New Roman"/>
                <w:b/>
                <w:bCs/>
                <w:sz w:val="24"/>
                <w:szCs w:val="24"/>
              </w:rPr>
              <w:t>Narrative Summary</w:t>
            </w:r>
          </w:p>
          <w:p w14:paraId="797109B0" w14:textId="77777777" w:rsidR="008A485E" w:rsidRPr="009D7967" w:rsidRDefault="008A485E" w:rsidP="008A485E">
            <w:pPr>
              <w:spacing w:after="0"/>
              <w:rPr>
                <w:rFonts w:ascii="Times New Roman" w:hAnsi="Times New Roman" w:cs="Times New Roman"/>
                <w:sz w:val="24"/>
                <w:szCs w:val="24"/>
              </w:rPr>
            </w:pPr>
            <w:r w:rsidRPr="009D7967">
              <w:rPr>
                <w:rFonts w:ascii="Times New Roman" w:hAnsi="Times New Roman" w:cs="Times New Roman"/>
                <w:sz w:val="24"/>
                <w:szCs w:val="24"/>
              </w:rPr>
              <w:t xml:space="preserve">2025 marks the development and capital investment phase with no revenue. INSIGHTA launches its pilot in 2026 with </w:t>
            </w:r>
            <w:r w:rsidR="00B70DB4" w:rsidRPr="009D7967">
              <w:rPr>
                <w:rFonts w:ascii="Times New Roman" w:hAnsi="Times New Roman" w:cs="Times New Roman"/>
                <w:sz w:val="24"/>
                <w:szCs w:val="24"/>
              </w:rPr>
              <w:t>2,000 annual subscribers at USD 440 each, scaling to 30,000</w:t>
            </w:r>
            <w:r w:rsidRPr="009D7967">
              <w:rPr>
                <w:rFonts w:ascii="Times New Roman" w:hAnsi="Times New Roman" w:cs="Times New Roman"/>
                <w:sz w:val="24"/>
                <w:szCs w:val="24"/>
              </w:rPr>
              <w:t xml:space="preserve"> annual users by 2028. By mid-2027, the initiative achieves break-even, and by 2028</w:t>
            </w:r>
            <w:r w:rsidR="00B70DB4" w:rsidRPr="009D7967">
              <w:rPr>
                <w:rFonts w:ascii="Times New Roman" w:hAnsi="Times New Roman" w:cs="Times New Roman"/>
                <w:sz w:val="24"/>
                <w:szCs w:val="24"/>
              </w:rPr>
              <w:t>,</w:t>
            </w:r>
            <w:r w:rsidRPr="009D7967">
              <w:rPr>
                <w:rFonts w:ascii="Times New Roman" w:hAnsi="Times New Roman" w:cs="Times New Roman"/>
                <w:sz w:val="24"/>
                <w:szCs w:val="24"/>
              </w:rPr>
              <w:t xml:space="preserve"> it generates a net profit of USD 21.9 million and an ROI of 185 %. Requiring annual subscriptions strengthens financial stability and user commitment, aligning with The Institute’s ethos of ethical, long-term engagement. This financial trajectory confirms a sustainable and scalable model for INSIGHTA’s global expansion.</w:t>
            </w:r>
          </w:p>
          <w:p w14:paraId="008DAEF6" w14:textId="77777777" w:rsidR="00D600A5" w:rsidRDefault="00D600A5" w:rsidP="001E0C48">
            <w:pPr>
              <w:spacing w:after="0"/>
            </w:pPr>
          </w:p>
        </w:tc>
        <w:tc>
          <w:tcPr>
            <w:tcW w:w="662" w:type="dxa"/>
          </w:tcPr>
          <w:p w14:paraId="567DB6F5" w14:textId="77777777" w:rsidR="00D600A5" w:rsidRDefault="00D600A5" w:rsidP="001E0C48">
            <w:pPr>
              <w:spacing w:after="0"/>
            </w:pPr>
          </w:p>
        </w:tc>
        <w:tc>
          <w:tcPr>
            <w:tcW w:w="662" w:type="dxa"/>
          </w:tcPr>
          <w:p w14:paraId="2FE0B98F" w14:textId="77777777" w:rsidR="00D600A5" w:rsidRDefault="00D600A5" w:rsidP="001E0C48">
            <w:pPr>
              <w:spacing w:after="0"/>
            </w:pPr>
          </w:p>
        </w:tc>
      </w:tr>
    </w:tbl>
    <w:p w14:paraId="14883F0C" w14:textId="77777777" w:rsidR="00D600A5" w:rsidRDefault="007E4B2A" w:rsidP="001E0C48">
      <w:pPr>
        <w:spacing w:after="0"/>
      </w:pPr>
      <w:r>
        <w:br/>
      </w:r>
    </w:p>
    <w:p w14:paraId="49E77C16" w14:textId="77777777" w:rsidR="005B1EC0" w:rsidRDefault="007E4B2A" w:rsidP="001E0C48">
      <w:pPr>
        <w:spacing w:after="0"/>
      </w:pPr>
      <w:r>
        <w:br/>
      </w:r>
    </w:p>
    <w:p w14:paraId="509031D5" w14:textId="77777777" w:rsidR="005B1EC0" w:rsidRDefault="005B1EC0" w:rsidP="001E0C48">
      <w:pPr>
        <w:pStyle w:val="Heading1"/>
      </w:pPr>
    </w:p>
    <w:p w14:paraId="46D48A0D" w14:textId="77777777" w:rsidR="009D7F96" w:rsidRDefault="009D7F96"/>
    <w:sectPr w:rsidR="009D7F96" w:rsidSect="000346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A6CA9" w14:textId="77777777" w:rsidR="00EB23D5" w:rsidRDefault="00EB23D5" w:rsidP="000B3AEE">
      <w:pPr>
        <w:spacing w:after="0" w:line="240" w:lineRule="auto"/>
      </w:pPr>
      <w:r>
        <w:separator/>
      </w:r>
    </w:p>
  </w:endnote>
  <w:endnote w:type="continuationSeparator" w:id="0">
    <w:p w14:paraId="55538BEF" w14:textId="77777777" w:rsidR="00EB23D5" w:rsidRDefault="00EB23D5" w:rsidP="000B3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54DB7" w14:textId="77777777" w:rsidR="00EB23D5" w:rsidRDefault="00EB23D5" w:rsidP="000B3AEE">
      <w:pPr>
        <w:spacing w:after="0" w:line="240" w:lineRule="auto"/>
      </w:pPr>
      <w:r>
        <w:separator/>
      </w:r>
    </w:p>
  </w:footnote>
  <w:footnote w:type="continuationSeparator" w:id="0">
    <w:p w14:paraId="22D03B9E" w14:textId="77777777" w:rsidR="00EB23D5" w:rsidRDefault="00EB23D5" w:rsidP="000B3A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405818"/>
    <w:lvl w:ilvl="0">
      <w:start w:val="1"/>
      <w:numFmt w:val="decimal"/>
      <w:lvlText w:val="%1."/>
      <w:lvlJc w:val="left"/>
      <w:pPr>
        <w:tabs>
          <w:tab w:val="num" w:pos="1440"/>
        </w:tabs>
        <w:ind w:left="1440" w:hanging="360"/>
      </w:pPr>
      <w:rPr>
        <w:b w:val="0"/>
        <w:bCs w:val="0"/>
      </w:r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AEB6972"/>
    <w:multiLevelType w:val="multilevel"/>
    <w:tmpl w:val="19CE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B5117A"/>
    <w:multiLevelType w:val="multilevel"/>
    <w:tmpl w:val="61522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4E4340"/>
    <w:multiLevelType w:val="multilevel"/>
    <w:tmpl w:val="4344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9F6F17"/>
    <w:multiLevelType w:val="multilevel"/>
    <w:tmpl w:val="28AE2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90744"/>
    <w:multiLevelType w:val="multilevel"/>
    <w:tmpl w:val="BA82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4A7B94"/>
    <w:multiLevelType w:val="hybridMultilevel"/>
    <w:tmpl w:val="38AC860A"/>
    <w:lvl w:ilvl="0" w:tplc="2D1AA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877F2F"/>
    <w:multiLevelType w:val="multilevel"/>
    <w:tmpl w:val="0CEAB276"/>
    <w:lvl w:ilvl="0">
      <w:start w:val="1"/>
      <w:numFmt w:val="decimal"/>
      <w:lvlText w:val="%1."/>
      <w:lvlJc w:val="left"/>
      <w:pPr>
        <w:tabs>
          <w:tab w:val="num" w:pos="1260"/>
        </w:tabs>
        <w:ind w:left="1260" w:hanging="720"/>
      </w:pPr>
      <w:rPr>
        <w:b w:val="0"/>
        <w:bCs w:val="0"/>
      </w:rPr>
    </w:lvl>
    <w:lvl w:ilvl="1">
      <w:start w:val="1"/>
      <w:numFmt w:val="decimal"/>
      <w:lvlText w:val="%2."/>
      <w:lvlJc w:val="left"/>
      <w:pPr>
        <w:tabs>
          <w:tab w:val="num" w:pos="1980"/>
        </w:tabs>
        <w:ind w:left="1980" w:hanging="720"/>
      </w:pPr>
    </w:lvl>
    <w:lvl w:ilvl="2">
      <w:start w:val="1"/>
      <w:numFmt w:val="decimal"/>
      <w:lvlText w:val="%3."/>
      <w:lvlJc w:val="left"/>
      <w:pPr>
        <w:tabs>
          <w:tab w:val="num" w:pos="2700"/>
        </w:tabs>
        <w:ind w:left="2700" w:hanging="720"/>
      </w:pPr>
    </w:lvl>
    <w:lvl w:ilvl="3">
      <w:start w:val="1"/>
      <w:numFmt w:val="decimal"/>
      <w:lvlText w:val="%4."/>
      <w:lvlJc w:val="left"/>
      <w:pPr>
        <w:tabs>
          <w:tab w:val="num" w:pos="3420"/>
        </w:tabs>
        <w:ind w:left="3420" w:hanging="720"/>
      </w:pPr>
    </w:lvl>
    <w:lvl w:ilvl="4">
      <w:start w:val="1"/>
      <w:numFmt w:val="decimal"/>
      <w:lvlText w:val="%5."/>
      <w:lvlJc w:val="left"/>
      <w:pPr>
        <w:tabs>
          <w:tab w:val="num" w:pos="4140"/>
        </w:tabs>
        <w:ind w:left="4140" w:hanging="720"/>
      </w:pPr>
    </w:lvl>
    <w:lvl w:ilvl="5">
      <w:start w:val="1"/>
      <w:numFmt w:val="decimal"/>
      <w:lvlText w:val="%6."/>
      <w:lvlJc w:val="left"/>
      <w:pPr>
        <w:tabs>
          <w:tab w:val="num" w:pos="4860"/>
        </w:tabs>
        <w:ind w:left="4860" w:hanging="720"/>
      </w:pPr>
    </w:lvl>
    <w:lvl w:ilvl="6">
      <w:start w:val="1"/>
      <w:numFmt w:val="decimal"/>
      <w:lvlText w:val="%7."/>
      <w:lvlJc w:val="left"/>
      <w:pPr>
        <w:tabs>
          <w:tab w:val="num" w:pos="5580"/>
        </w:tabs>
        <w:ind w:left="5580" w:hanging="720"/>
      </w:pPr>
    </w:lvl>
    <w:lvl w:ilvl="7">
      <w:start w:val="1"/>
      <w:numFmt w:val="decimal"/>
      <w:lvlText w:val="%8."/>
      <w:lvlJc w:val="left"/>
      <w:pPr>
        <w:tabs>
          <w:tab w:val="num" w:pos="6300"/>
        </w:tabs>
        <w:ind w:left="6300" w:hanging="720"/>
      </w:pPr>
    </w:lvl>
    <w:lvl w:ilvl="8">
      <w:start w:val="1"/>
      <w:numFmt w:val="decimal"/>
      <w:lvlText w:val="%9."/>
      <w:lvlJc w:val="left"/>
      <w:pPr>
        <w:tabs>
          <w:tab w:val="num" w:pos="7020"/>
        </w:tabs>
        <w:ind w:left="7020" w:hanging="720"/>
      </w:pPr>
    </w:lvl>
  </w:abstractNum>
  <w:abstractNum w:abstractNumId="16" w15:restartNumberingAfterBreak="0">
    <w:nsid w:val="5E150E60"/>
    <w:multiLevelType w:val="multilevel"/>
    <w:tmpl w:val="4FA87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E15A3D"/>
    <w:multiLevelType w:val="hybridMultilevel"/>
    <w:tmpl w:val="74D0AD16"/>
    <w:lvl w:ilvl="0" w:tplc="C7F0EE9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8845481">
    <w:abstractNumId w:val="8"/>
  </w:num>
  <w:num w:numId="2" w16cid:durableId="1636712955">
    <w:abstractNumId w:val="6"/>
  </w:num>
  <w:num w:numId="3" w16cid:durableId="1451238687">
    <w:abstractNumId w:val="5"/>
  </w:num>
  <w:num w:numId="4" w16cid:durableId="1828935752">
    <w:abstractNumId w:val="4"/>
  </w:num>
  <w:num w:numId="5" w16cid:durableId="649024299">
    <w:abstractNumId w:val="7"/>
  </w:num>
  <w:num w:numId="6" w16cid:durableId="1781802406">
    <w:abstractNumId w:val="3"/>
  </w:num>
  <w:num w:numId="7" w16cid:durableId="539241818">
    <w:abstractNumId w:val="2"/>
  </w:num>
  <w:num w:numId="8" w16cid:durableId="1554854780">
    <w:abstractNumId w:val="1"/>
  </w:num>
  <w:num w:numId="9" w16cid:durableId="435367148">
    <w:abstractNumId w:val="0"/>
  </w:num>
  <w:num w:numId="10" w16cid:durableId="1326202686">
    <w:abstractNumId w:val="15"/>
  </w:num>
  <w:num w:numId="11" w16cid:durableId="16967363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1449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99072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69418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58940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53385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56860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80980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12183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9262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98810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6230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74167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95412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60679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16217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5279064">
    <w:abstractNumId w:val="10"/>
  </w:num>
  <w:num w:numId="28" w16cid:durableId="1695224752">
    <w:abstractNumId w:val="9"/>
  </w:num>
  <w:num w:numId="29" w16cid:durableId="7221067">
    <w:abstractNumId w:val="13"/>
  </w:num>
  <w:num w:numId="30" w16cid:durableId="2094466505">
    <w:abstractNumId w:val="11"/>
  </w:num>
  <w:num w:numId="31" w16cid:durableId="1314094536">
    <w:abstractNumId w:val="16"/>
  </w:num>
  <w:num w:numId="32" w16cid:durableId="1925991424">
    <w:abstractNumId w:val="12"/>
  </w:num>
  <w:num w:numId="33" w16cid:durableId="280039378">
    <w:abstractNumId w:val="14"/>
  </w:num>
  <w:num w:numId="34" w16cid:durableId="1467774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zNzA0MzIzNbIwNjBV0lEKTi0uzszPAykwsqwFAHaPH5wtAAAA"/>
  </w:docVars>
  <w:rsids>
    <w:rsidRoot w:val="00B47730"/>
    <w:rsid w:val="00004744"/>
    <w:rsid w:val="00005801"/>
    <w:rsid w:val="00005F6E"/>
    <w:rsid w:val="000140B5"/>
    <w:rsid w:val="00014FCD"/>
    <w:rsid w:val="000158B0"/>
    <w:rsid w:val="0002362D"/>
    <w:rsid w:val="0002369D"/>
    <w:rsid w:val="000241F7"/>
    <w:rsid w:val="00025C5D"/>
    <w:rsid w:val="00034079"/>
    <w:rsid w:val="00034616"/>
    <w:rsid w:val="000352E0"/>
    <w:rsid w:val="00036BD8"/>
    <w:rsid w:val="00037B00"/>
    <w:rsid w:val="000410FE"/>
    <w:rsid w:val="000465A8"/>
    <w:rsid w:val="00057D6E"/>
    <w:rsid w:val="0006063C"/>
    <w:rsid w:val="00060D2B"/>
    <w:rsid w:val="00063E69"/>
    <w:rsid w:val="00072E2F"/>
    <w:rsid w:val="000754FC"/>
    <w:rsid w:val="000854FD"/>
    <w:rsid w:val="00091CEA"/>
    <w:rsid w:val="00091D12"/>
    <w:rsid w:val="00094CA8"/>
    <w:rsid w:val="000A1521"/>
    <w:rsid w:val="000A2288"/>
    <w:rsid w:val="000A30E6"/>
    <w:rsid w:val="000A6903"/>
    <w:rsid w:val="000B0985"/>
    <w:rsid w:val="000B3AEE"/>
    <w:rsid w:val="000B757F"/>
    <w:rsid w:val="000D16B1"/>
    <w:rsid w:val="000D1736"/>
    <w:rsid w:val="000D2B84"/>
    <w:rsid w:val="000F3108"/>
    <w:rsid w:val="000F3309"/>
    <w:rsid w:val="000F5D25"/>
    <w:rsid w:val="001033A3"/>
    <w:rsid w:val="00107869"/>
    <w:rsid w:val="00132B44"/>
    <w:rsid w:val="0014457B"/>
    <w:rsid w:val="001506E5"/>
    <w:rsid w:val="0015074B"/>
    <w:rsid w:val="0015390A"/>
    <w:rsid w:val="0015457F"/>
    <w:rsid w:val="00156A73"/>
    <w:rsid w:val="0015718D"/>
    <w:rsid w:val="00160536"/>
    <w:rsid w:val="00161FC6"/>
    <w:rsid w:val="00165378"/>
    <w:rsid w:val="00166248"/>
    <w:rsid w:val="001737F1"/>
    <w:rsid w:val="001826CE"/>
    <w:rsid w:val="0018341B"/>
    <w:rsid w:val="0018467D"/>
    <w:rsid w:val="0019111B"/>
    <w:rsid w:val="00193BE4"/>
    <w:rsid w:val="001A0E7C"/>
    <w:rsid w:val="001A2CA0"/>
    <w:rsid w:val="001A32D4"/>
    <w:rsid w:val="001A6CCA"/>
    <w:rsid w:val="001B2175"/>
    <w:rsid w:val="001B22E9"/>
    <w:rsid w:val="001B6E20"/>
    <w:rsid w:val="001C0894"/>
    <w:rsid w:val="001C4DFE"/>
    <w:rsid w:val="001D45DE"/>
    <w:rsid w:val="001E0C48"/>
    <w:rsid w:val="00203FF4"/>
    <w:rsid w:val="00204585"/>
    <w:rsid w:val="0020730D"/>
    <w:rsid w:val="00210113"/>
    <w:rsid w:val="0022066B"/>
    <w:rsid w:val="00225685"/>
    <w:rsid w:val="00230FD5"/>
    <w:rsid w:val="00235AB4"/>
    <w:rsid w:val="0024482A"/>
    <w:rsid w:val="0024644B"/>
    <w:rsid w:val="00251660"/>
    <w:rsid w:val="00254DDB"/>
    <w:rsid w:val="00260B34"/>
    <w:rsid w:val="00267062"/>
    <w:rsid w:val="0029639D"/>
    <w:rsid w:val="002A3B31"/>
    <w:rsid w:val="002A7DD8"/>
    <w:rsid w:val="002B2E0D"/>
    <w:rsid w:val="002B58EE"/>
    <w:rsid w:val="002B7DDF"/>
    <w:rsid w:val="002C0029"/>
    <w:rsid w:val="002C4765"/>
    <w:rsid w:val="002D3827"/>
    <w:rsid w:val="002D73F3"/>
    <w:rsid w:val="002E171E"/>
    <w:rsid w:val="002F27EA"/>
    <w:rsid w:val="002F41DF"/>
    <w:rsid w:val="002F6A88"/>
    <w:rsid w:val="003018CF"/>
    <w:rsid w:val="0030391F"/>
    <w:rsid w:val="00305450"/>
    <w:rsid w:val="003119B3"/>
    <w:rsid w:val="00312F71"/>
    <w:rsid w:val="00326F90"/>
    <w:rsid w:val="003304BF"/>
    <w:rsid w:val="0034129E"/>
    <w:rsid w:val="00341A3B"/>
    <w:rsid w:val="00342832"/>
    <w:rsid w:val="00342E8B"/>
    <w:rsid w:val="00346778"/>
    <w:rsid w:val="00351162"/>
    <w:rsid w:val="003519D7"/>
    <w:rsid w:val="00354F56"/>
    <w:rsid w:val="00363078"/>
    <w:rsid w:val="003740F0"/>
    <w:rsid w:val="00377718"/>
    <w:rsid w:val="00377AD5"/>
    <w:rsid w:val="00383ED5"/>
    <w:rsid w:val="0039018E"/>
    <w:rsid w:val="0039457A"/>
    <w:rsid w:val="003B3DE6"/>
    <w:rsid w:val="003B4884"/>
    <w:rsid w:val="003C4D4C"/>
    <w:rsid w:val="003D2AEA"/>
    <w:rsid w:val="003D309C"/>
    <w:rsid w:val="003E150F"/>
    <w:rsid w:val="003E39E5"/>
    <w:rsid w:val="003F06A6"/>
    <w:rsid w:val="003F2CFE"/>
    <w:rsid w:val="003F4D6E"/>
    <w:rsid w:val="003F5134"/>
    <w:rsid w:val="003F5C5F"/>
    <w:rsid w:val="00407846"/>
    <w:rsid w:val="004104EC"/>
    <w:rsid w:val="004121BA"/>
    <w:rsid w:val="00425E3B"/>
    <w:rsid w:val="00430149"/>
    <w:rsid w:val="00440AE0"/>
    <w:rsid w:val="00442927"/>
    <w:rsid w:val="00451F44"/>
    <w:rsid w:val="00457EDF"/>
    <w:rsid w:val="00471B88"/>
    <w:rsid w:val="004946F3"/>
    <w:rsid w:val="00497524"/>
    <w:rsid w:val="00497E36"/>
    <w:rsid w:val="004A38E1"/>
    <w:rsid w:val="004A4679"/>
    <w:rsid w:val="004C0D4F"/>
    <w:rsid w:val="004C24BD"/>
    <w:rsid w:val="004C286D"/>
    <w:rsid w:val="004C3363"/>
    <w:rsid w:val="004C5437"/>
    <w:rsid w:val="004C6787"/>
    <w:rsid w:val="004D4B3A"/>
    <w:rsid w:val="004E4853"/>
    <w:rsid w:val="00500813"/>
    <w:rsid w:val="00511323"/>
    <w:rsid w:val="00511E83"/>
    <w:rsid w:val="00522DAC"/>
    <w:rsid w:val="005262AA"/>
    <w:rsid w:val="00534C49"/>
    <w:rsid w:val="00551F4E"/>
    <w:rsid w:val="00555436"/>
    <w:rsid w:val="00556AE5"/>
    <w:rsid w:val="005642E0"/>
    <w:rsid w:val="00566082"/>
    <w:rsid w:val="0057133F"/>
    <w:rsid w:val="00574652"/>
    <w:rsid w:val="00580C53"/>
    <w:rsid w:val="00580D5B"/>
    <w:rsid w:val="00587091"/>
    <w:rsid w:val="00596B20"/>
    <w:rsid w:val="005A7266"/>
    <w:rsid w:val="005B1EC0"/>
    <w:rsid w:val="005B3489"/>
    <w:rsid w:val="005C01E5"/>
    <w:rsid w:val="005C6F77"/>
    <w:rsid w:val="005C7B85"/>
    <w:rsid w:val="005D607A"/>
    <w:rsid w:val="005F3049"/>
    <w:rsid w:val="005F55D6"/>
    <w:rsid w:val="00600AD9"/>
    <w:rsid w:val="0060622A"/>
    <w:rsid w:val="00613384"/>
    <w:rsid w:val="00620ABC"/>
    <w:rsid w:val="006220A9"/>
    <w:rsid w:val="00622C8B"/>
    <w:rsid w:val="00627988"/>
    <w:rsid w:val="00632695"/>
    <w:rsid w:val="00635F10"/>
    <w:rsid w:val="006442A7"/>
    <w:rsid w:val="00651C9F"/>
    <w:rsid w:val="00652E48"/>
    <w:rsid w:val="006711E1"/>
    <w:rsid w:val="006A1C7F"/>
    <w:rsid w:val="006A7D60"/>
    <w:rsid w:val="006B48DE"/>
    <w:rsid w:val="006C0DA4"/>
    <w:rsid w:val="006D4879"/>
    <w:rsid w:val="006D773E"/>
    <w:rsid w:val="006E5932"/>
    <w:rsid w:val="006E6D1D"/>
    <w:rsid w:val="006F11DA"/>
    <w:rsid w:val="006F1FDE"/>
    <w:rsid w:val="006F7BAC"/>
    <w:rsid w:val="00706293"/>
    <w:rsid w:val="00710243"/>
    <w:rsid w:val="00715375"/>
    <w:rsid w:val="00720942"/>
    <w:rsid w:val="00724E89"/>
    <w:rsid w:val="00730C7C"/>
    <w:rsid w:val="007522C8"/>
    <w:rsid w:val="00752DC0"/>
    <w:rsid w:val="00753914"/>
    <w:rsid w:val="0075697E"/>
    <w:rsid w:val="007575F8"/>
    <w:rsid w:val="00770E2A"/>
    <w:rsid w:val="007932DC"/>
    <w:rsid w:val="007A206F"/>
    <w:rsid w:val="007B4762"/>
    <w:rsid w:val="007B4CB5"/>
    <w:rsid w:val="007C1750"/>
    <w:rsid w:val="007D24C4"/>
    <w:rsid w:val="007D2D81"/>
    <w:rsid w:val="007D2E7B"/>
    <w:rsid w:val="007D4311"/>
    <w:rsid w:val="007E4B2A"/>
    <w:rsid w:val="007E5B1D"/>
    <w:rsid w:val="007E7781"/>
    <w:rsid w:val="007F0971"/>
    <w:rsid w:val="007F0D60"/>
    <w:rsid w:val="00801E84"/>
    <w:rsid w:val="00820362"/>
    <w:rsid w:val="0082147F"/>
    <w:rsid w:val="00821ABB"/>
    <w:rsid w:val="00821D0B"/>
    <w:rsid w:val="0082421B"/>
    <w:rsid w:val="0083345E"/>
    <w:rsid w:val="008404A5"/>
    <w:rsid w:val="00841073"/>
    <w:rsid w:val="00845B07"/>
    <w:rsid w:val="0085050A"/>
    <w:rsid w:val="008512F6"/>
    <w:rsid w:val="00853058"/>
    <w:rsid w:val="008566E7"/>
    <w:rsid w:val="0087699A"/>
    <w:rsid w:val="00880D9F"/>
    <w:rsid w:val="00881E77"/>
    <w:rsid w:val="008859EF"/>
    <w:rsid w:val="00895DF2"/>
    <w:rsid w:val="008A485E"/>
    <w:rsid w:val="008A767C"/>
    <w:rsid w:val="008C359A"/>
    <w:rsid w:val="008D1EDE"/>
    <w:rsid w:val="008F607E"/>
    <w:rsid w:val="008F6B2F"/>
    <w:rsid w:val="00903145"/>
    <w:rsid w:val="009079AA"/>
    <w:rsid w:val="00921BF7"/>
    <w:rsid w:val="0092377F"/>
    <w:rsid w:val="009271FD"/>
    <w:rsid w:val="00930F10"/>
    <w:rsid w:val="00932F7E"/>
    <w:rsid w:val="00935DB1"/>
    <w:rsid w:val="00937317"/>
    <w:rsid w:val="00937B01"/>
    <w:rsid w:val="00944D4A"/>
    <w:rsid w:val="009620C4"/>
    <w:rsid w:val="009645F3"/>
    <w:rsid w:val="00980508"/>
    <w:rsid w:val="009825B8"/>
    <w:rsid w:val="00984D79"/>
    <w:rsid w:val="00985532"/>
    <w:rsid w:val="00985A66"/>
    <w:rsid w:val="00991941"/>
    <w:rsid w:val="00994D52"/>
    <w:rsid w:val="009A04FB"/>
    <w:rsid w:val="009A1980"/>
    <w:rsid w:val="009A2C77"/>
    <w:rsid w:val="009A3B38"/>
    <w:rsid w:val="009B21A7"/>
    <w:rsid w:val="009C1C3A"/>
    <w:rsid w:val="009C70E9"/>
    <w:rsid w:val="009D60BA"/>
    <w:rsid w:val="009D7967"/>
    <w:rsid w:val="009D7F96"/>
    <w:rsid w:val="009E624B"/>
    <w:rsid w:val="009F07F9"/>
    <w:rsid w:val="009F3AB4"/>
    <w:rsid w:val="009F7FC0"/>
    <w:rsid w:val="00A0032A"/>
    <w:rsid w:val="00A11EF6"/>
    <w:rsid w:val="00A1344D"/>
    <w:rsid w:val="00A2079F"/>
    <w:rsid w:val="00A25954"/>
    <w:rsid w:val="00A367D4"/>
    <w:rsid w:val="00A40861"/>
    <w:rsid w:val="00A467F4"/>
    <w:rsid w:val="00A57AFC"/>
    <w:rsid w:val="00A60D38"/>
    <w:rsid w:val="00A73D13"/>
    <w:rsid w:val="00A75F2D"/>
    <w:rsid w:val="00A816B5"/>
    <w:rsid w:val="00A82E90"/>
    <w:rsid w:val="00A83148"/>
    <w:rsid w:val="00AA147D"/>
    <w:rsid w:val="00AA1D8D"/>
    <w:rsid w:val="00AC4C29"/>
    <w:rsid w:val="00AC7D80"/>
    <w:rsid w:val="00AD0F3E"/>
    <w:rsid w:val="00AD57EF"/>
    <w:rsid w:val="00AD723C"/>
    <w:rsid w:val="00AE1F7F"/>
    <w:rsid w:val="00AE2537"/>
    <w:rsid w:val="00AE5F07"/>
    <w:rsid w:val="00AE60D7"/>
    <w:rsid w:val="00AF4939"/>
    <w:rsid w:val="00B11795"/>
    <w:rsid w:val="00B20604"/>
    <w:rsid w:val="00B32B60"/>
    <w:rsid w:val="00B37908"/>
    <w:rsid w:val="00B40B3C"/>
    <w:rsid w:val="00B417D9"/>
    <w:rsid w:val="00B447FD"/>
    <w:rsid w:val="00B44A01"/>
    <w:rsid w:val="00B46F77"/>
    <w:rsid w:val="00B47730"/>
    <w:rsid w:val="00B50586"/>
    <w:rsid w:val="00B5142C"/>
    <w:rsid w:val="00B546C6"/>
    <w:rsid w:val="00B65E36"/>
    <w:rsid w:val="00B70DB4"/>
    <w:rsid w:val="00B76E61"/>
    <w:rsid w:val="00B97EA5"/>
    <w:rsid w:val="00BA2FCF"/>
    <w:rsid w:val="00BB1840"/>
    <w:rsid w:val="00BD19EB"/>
    <w:rsid w:val="00BD21DB"/>
    <w:rsid w:val="00BD3834"/>
    <w:rsid w:val="00BE5A20"/>
    <w:rsid w:val="00BF0235"/>
    <w:rsid w:val="00BF1E78"/>
    <w:rsid w:val="00BF28F3"/>
    <w:rsid w:val="00C212F6"/>
    <w:rsid w:val="00C27E5A"/>
    <w:rsid w:val="00C30DA6"/>
    <w:rsid w:val="00C32DE9"/>
    <w:rsid w:val="00C36538"/>
    <w:rsid w:val="00C41AF9"/>
    <w:rsid w:val="00C41BC9"/>
    <w:rsid w:val="00C44EC2"/>
    <w:rsid w:val="00C47E3C"/>
    <w:rsid w:val="00C625FA"/>
    <w:rsid w:val="00C635EB"/>
    <w:rsid w:val="00C829EA"/>
    <w:rsid w:val="00C83B5C"/>
    <w:rsid w:val="00C9183A"/>
    <w:rsid w:val="00C97DD2"/>
    <w:rsid w:val="00CA0A27"/>
    <w:rsid w:val="00CA560B"/>
    <w:rsid w:val="00CB0664"/>
    <w:rsid w:val="00CB11B9"/>
    <w:rsid w:val="00CB416B"/>
    <w:rsid w:val="00CC024B"/>
    <w:rsid w:val="00CC278C"/>
    <w:rsid w:val="00CD180B"/>
    <w:rsid w:val="00CD37E2"/>
    <w:rsid w:val="00CE13B9"/>
    <w:rsid w:val="00CE1992"/>
    <w:rsid w:val="00CF2B97"/>
    <w:rsid w:val="00CF3245"/>
    <w:rsid w:val="00CF570D"/>
    <w:rsid w:val="00D05A75"/>
    <w:rsid w:val="00D105EE"/>
    <w:rsid w:val="00D25A39"/>
    <w:rsid w:val="00D32C72"/>
    <w:rsid w:val="00D33C41"/>
    <w:rsid w:val="00D37C65"/>
    <w:rsid w:val="00D472C6"/>
    <w:rsid w:val="00D600A5"/>
    <w:rsid w:val="00D67D59"/>
    <w:rsid w:val="00D75D52"/>
    <w:rsid w:val="00D7618D"/>
    <w:rsid w:val="00DA072E"/>
    <w:rsid w:val="00DA4353"/>
    <w:rsid w:val="00DA6190"/>
    <w:rsid w:val="00DB0E76"/>
    <w:rsid w:val="00DB1C27"/>
    <w:rsid w:val="00DD022F"/>
    <w:rsid w:val="00DD08EC"/>
    <w:rsid w:val="00DD6377"/>
    <w:rsid w:val="00DE609A"/>
    <w:rsid w:val="00DF65C9"/>
    <w:rsid w:val="00DF6748"/>
    <w:rsid w:val="00E1150D"/>
    <w:rsid w:val="00E2121C"/>
    <w:rsid w:val="00E23251"/>
    <w:rsid w:val="00E46B04"/>
    <w:rsid w:val="00E47107"/>
    <w:rsid w:val="00E546EF"/>
    <w:rsid w:val="00E62747"/>
    <w:rsid w:val="00E64631"/>
    <w:rsid w:val="00E64B48"/>
    <w:rsid w:val="00E7223F"/>
    <w:rsid w:val="00E746D7"/>
    <w:rsid w:val="00E7499B"/>
    <w:rsid w:val="00E807BE"/>
    <w:rsid w:val="00E878A5"/>
    <w:rsid w:val="00E90890"/>
    <w:rsid w:val="00E92309"/>
    <w:rsid w:val="00E939EA"/>
    <w:rsid w:val="00E9424E"/>
    <w:rsid w:val="00EB23D5"/>
    <w:rsid w:val="00EC4F09"/>
    <w:rsid w:val="00ED4820"/>
    <w:rsid w:val="00ED674E"/>
    <w:rsid w:val="00EE546A"/>
    <w:rsid w:val="00F01713"/>
    <w:rsid w:val="00F02C58"/>
    <w:rsid w:val="00F03A2C"/>
    <w:rsid w:val="00F141AB"/>
    <w:rsid w:val="00F159A9"/>
    <w:rsid w:val="00F17180"/>
    <w:rsid w:val="00F21374"/>
    <w:rsid w:val="00F2412C"/>
    <w:rsid w:val="00F42F4D"/>
    <w:rsid w:val="00F43BF0"/>
    <w:rsid w:val="00F45142"/>
    <w:rsid w:val="00F4543B"/>
    <w:rsid w:val="00F478F3"/>
    <w:rsid w:val="00F5090A"/>
    <w:rsid w:val="00F66C11"/>
    <w:rsid w:val="00F810D3"/>
    <w:rsid w:val="00F82E4E"/>
    <w:rsid w:val="00F9057C"/>
    <w:rsid w:val="00F94A1E"/>
    <w:rsid w:val="00FA1FDE"/>
    <w:rsid w:val="00FC3FC5"/>
    <w:rsid w:val="00FC693F"/>
    <w:rsid w:val="00FC72FB"/>
    <w:rsid w:val="00FD2FA0"/>
    <w:rsid w:val="00FE19EC"/>
    <w:rsid w:val="00FE451A"/>
    <w:rsid w:val="00FE6803"/>
    <w:rsid w:val="00FF3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F86AD"/>
  <w14:defaultImageDpi w14:val="300"/>
  <w15:docId w15:val="{B47058C7-5E82-4B91-8A9C-9686EBE3A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3">
    <w:name w:val="toc 3"/>
    <w:basedOn w:val="Normal"/>
    <w:next w:val="Normal"/>
    <w:autoRedefine/>
    <w:uiPriority w:val="39"/>
    <w:unhideWhenUsed/>
    <w:rsid w:val="0024482A"/>
    <w:pPr>
      <w:spacing w:after="100"/>
      <w:ind w:left="440"/>
    </w:pPr>
  </w:style>
  <w:style w:type="paragraph" w:styleId="TOC2">
    <w:name w:val="toc 2"/>
    <w:basedOn w:val="Normal"/>
    <w:next w:val="Normal"/>
    <w:autoRedefine/>
    <w:uiPriority w:val="39"/>
    <w:unhideWhenUsed/>
    <w:rsid w:val="0024482A"/>
    <w:pPr>
      <w:spacing w:after="100"/>
      <w:ind w:left="220"/>
    </w:pPr>
  </w:style>
  <w:style w:type="character" w:styleId="Hyperlink">
    <w:name w:val="Hyperlink"/>
    <w:basedOn w:val="DefaultParagraphFont"/>
    <w:uiPriority w:val="99"/>
    <w:unhideWhenUsed/>
    <w:rsid w:val="0024482A"/>
    <w:rPr>
      <w:color w:val="0000FF" w:themeColor="hyperlink"/>
      <w:u w:val="single"/>
    </w:rPr>
  </w:style>
  <w:style w:type="paragraph" w:styleId="NormalWeb">
    <w:name w:val="Normal (Web)"/>
    <w:basedOn w:val="Normal"/>
    <w:uiPriority w:val="99"/>
    <w:semiHidden/>
    <w:unhideWhenUsed/>
    <w:rsid w:val="007E7781"/>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596B20"/>
    <w:pPr>
      <w:spacing w:after="100"/>
    </w:pPr>
  </w:style>
  <w:style w:type="character" w:customStyle="1" w:styleId="ms-1">
    <w:name w:val="ms-1"/>
    <w:basedOn w:val="DefaultParagraphFont"/>
    <w:rsid w:val="00C36538"/>
  </w:style>
  <w:style w:type="character" w:customStyle="1" w:styleId="max-w-15ch">
    <w:name w:val="max-w-[15ch]"/>
    <w:basedOn w:val="DefaultParagraphFont"/>
    <w:rsid w:val="00C36538"/>
  </w:style>
  <w:style w:type="character" w:customStyle="1" w:styleId="-me-1">
    <w:name w:val="-me-1"/>
    <w:basedOn w:val="DefaultParagraphFont"/>
    <w:rsid w:val="00C36538"/>
  </w:style>
  <w:style w:type="character" w:styleId="FollowedHyperlink">
    <w:name w:val="FollowedHyperlink"/>
    <w:basedOn w:val="DefaultParagraphFont"/>
    <w:uiPriority w:val="99"/>
    <w:semiHidden/>
    <w:unhideWhenUsed/>
    <w:rsid w:val="001B2175"/>
    <w:rPr>
      <w:color w:val="800080" w:themeColor="followedHyperlink"/>
      <w:u w:val="single"/>
    </w:rPr>
  </w:style>
  <w:style w:type="character" w:styleId="CommentReference">
    <w:name w:val="annotation reference"/>
    <w:basedOn w:val="DefaultParagraphFont"/>
    <w:uiPriority w:val="99"/>
    <w:semiHidden/>
    <w:unhideWhenUsed/>
    <w:rsid w:val="00801E84"/>
    <w:rPr>
      <w:sz w:val="16"/>
      <w:szCs w:val="16"/>
    </w:rPr>
  </w:style>
  <w:style w:type="paragraph" w:styleId="CommentText">
    <w:name w:val="annotation text"/>
    <w:basedOn w:val="Normal"/>
    <w:link w:val="CommentTextChar"/>
    <w:uiPriority w:val="99"/>
    <w:semiHidden/>
    <w:unhideWhenUsed/>
    <w:rsid w:val="00801E84"/>
    <w:pPr>
      <w:spacing w:line="240" w:lineRule="auto"/>
    </w:pPr>
    <w:rPr>
      <w:sz w:val="20"/>
      <w:szCs w:val="20"/>
    </w:rPr>
  </w:style>
  <w:style w:type="character" w:customStyle="1" w:styleId="CommentTextChar">
    <w:name w:val="Comment Text Char"/>
    <w:basedOn w:val="DefaultParagraphFont"/>
    <w:link w:val="CommentText"/>
    <w:uiPriority w:val="99"/>
    <w:semiHidden/>
    <w:rsid w:val="00801E84"/>
    <w:rPr>
      <w:sz w:val="20"/>
      <w:szCs w:val="20"/>
    </w:rPr>
  </w:style>
  <w:style w:type="paragraph" w:styleId="CommentSubject">
    <w:name w:val="annotation subject"/>
    <w:basedOn w:val="CommentText"/>
    <w:next w:val="CommentText"/>
    <w:link w:val="CommentSubjectChar"/>
    <w:uiPriority w:val="99"/>
    <w:semiHidden/>
    <w:unhideWhenUsed/>
    <w:rsid w:val="00801E84"/>
    <w:rPr>
      <w:b/>
      <w:bCs/>
    </w:rPr>
  </w:style>
  <w:style w:type="character" w:customStyle="1" w:styleId="CommentSubjectChar">
    <w:name w:val="Comment Subject Char"/>
    <w:basedOn w:val="CommentTextChar"/>
    <w:link w:val="CommentSubject"/>
    <w:uiPriority w:val="99"/>
    <w:semiHidden/>
    <w:rsid w:val="00801E84"/>
    <w:rPr>
      <w:b/>
      <w:bCs/>
      <w:sz w:val="20"/>
      <w:szCs w:val="20"/>
    </w:rPr>
  </w:style>
  <w:style w:type="character" w:styleId="UnresolvedMention">
    <w:name w:val="Unresolved Mention"/>
    <w:basedOn w:val="DefaultParagraphFont"/>
    <w:uiPriority w:val="99"/>
    <w:semiHidden/>
    <w:unhideWhenUsed/>
    <w:rsid w:val="00346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uters.com/article/world/insight-amazon-scraps-secret-ai-recruiting-tool-that-showed-bias-against-women-idUSKCN1MK0AG/?utm_source=chatgpt.com" TargetMode="External"/><Relationship Id="rId18" Type="http://schemas.openxmlformats.org/officeDocument/2006/relationships/hyperlink" Target="https://hbr.org/2019/08/the-8-ways-companies-get-work-done-and-how-to-align-them?utm_source=chatgpt.com" TargetMode="External"/><Relationship Id="rId26" Type="http://schemas.openxmlformats.org/officeDocument/2006/relationships/hyperlink" Target="https://www.mckinsey.com/featured-insights/mckinsey-guide-to-excelling-as-a-ceo/how-to-make-better-decisions-in-the-age-of-urgency?utm_source=chatgpt.com" TargetMode="External"/><Relationship Id="rId3" Type="http://schemas.openxmlformats.org/officeDocument/2006/relationships/styles" Target="styles.xml"/><Relationship Id="rId21" Type="http://schemas.openxmlformats.org/officeDocument/2006/relationships/hyperlink" Target="https://www.hofstede-insights.com/country-comparis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guardian.com/news/2019/mar/17/cambridge-analytica-facebook-influence-us-election" TargetMode="External"/><Relationship Id="rId17" Type="http://schemas.openxmlformats.org/officeDocument/2006/relationships/hyperlink" Target="https://hbr.org/2019/08/the-8-ways-companies-get-work-done-and-how-to-align-them?utm_source=chatgpt.com" TargetMode="External"/><Relationship Id="rId25" Type="http://schemas.openxmlformats.org/officeDocument/2006/relationships/hyperlink" Target="https://www.mckinsey.com/featured-insights/mckinsey-guide-to-excelling-as-a-ceo/how-to-make-better-decisions-in-the-age-of-urgency?utm_source=chatgpt.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br.org/podcast/2017/04/to-reinvent-your-firm-do-two-things-at-the-same-time?utm_source=chatgpt.com" TargetMode="External"/><Relationship Id="rId20" Type="http://schemas.openxmlformats.org/officeDocument/2006/relationships/hyperlink" Target="https://hbr.org/2021/03/dont-let-financial-metrics-prematurely-stifle-innovation?utm_source=chatgpt.com" TargetMode="External"/><Relationship Id="rId29" Type="http://schemas.openxmlformats.org/officeDocument/2006/relationships/hyperlink" Target="https://www.mckinsey.com/capabilities/tech-and-ai/our-insights/superagency-in-the-workplace-empowering-people-to-unlock-ais-full-potential-at-work?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su142215275" TargetMode="External"/><Relationship Id="rId24" Type="http://schemas.openxmlformats.org/officeDocument/2006/relationships/hyperlink" Target="https://www.frontiersin.org/journals/public-health/articles/10.3389/fpubh.2022.885067/full" TargetMode="External"/><Relationship Id="rId32" Type="http://schemas.openxmlformats.org/officeDocument/2006/relationships/hyperlink" Target="https://doi.org/10.1007/978-3-319-43434-6_40" TargetMode="External"/><Relationship Id="rId5" Type="http://schemas.openxmlformats.org/officeDocument/2006/relationships/webSettings" Target="webSettings.xml"/><Relationship Id="rId15" Type="http://schemas.openxmlformats.org/officeDocument/2006/relationships/hyperlink" Target="https://hbr.org/podcast/2017/04/to-reinvent-your-firm-do-two-things-at-the-same-time?utm_source=chatgpt.com" TargetMode="External"/><Relationship Id="rId23" Type="http://schemas.openxmlformats.org/officeDocument/2006/relationships/hyperlink" Target="https://coachingfederation.org/credentialing/coaching-ethics/icf-code-of-ethics" TargetMode="External"/><Relationship Id="rId28" Type="http://schemas.openxmlformats.org/officeDocument/2006/relationships/hyperlink" Target="https://www.mckinsey.com/capabilities/quantumblack/our-insights/the-state-of-ai-in-2024-creating-value-with-responsible-intelligence" TargetMode="External"/><Relationship Id="rId10" Type="http://schemas.openxmlformats.org/officeDocument/2006/relationships/hyperlink" Target="https://doi.org/10.18576/jsap/130220" TargetMode="External"/><Relationship Id="rId19" Type="http://schemas.openxmlformats.org/officeDocument/2006/relationships/hyperlink" Target="https://hbr.org/2021/03/dont-let-financial-metrics-prematurely-stifle-innovation?utm_source=chatgpt.com" TargetMode="External"/><Relationship Id="rId31" Type="http://schemas.openxmlformats.org/officeDocument/2006/relationships/hyperlink" Target="https://www.youtub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uinsight.com/we-didnt-do-anything-wrong-but-somehow-we-lost/?utm_source=chatgpt.com" TargetMode="External"/><Relationship Id="rId22" Type="http://schemas.openxmlformats.org/officeDocument/2006/relationships/hyperlink" Target="https://coachingfederation.org/credentialing/coaching-ethics/icf-code-of-ethics/?utm_source=chatgpt.com" TargetMode="External"/><Relationship Id="rId27" Type="http://schemas.openxmlformats.org/officeDocument/2006/relationships/hyperlink" Target="https://www.mckinsey.com/capabilities/strategy-and-corporate-finance/our-insights/innovation-in-a-crisis-why-it-is-more-critical-than-ever" TargetMode="External"/><Relationship Id="rId30" Type="http://schemas.openxmlformats.org/officeDocument/2006/relationships/hyperlink" Target="https://www.ted.com/talks/martin_reeves_your_strategy_needs_a_strategy"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9976</Words>
  <Characters>66347</Characters>
  <Application>Microsoft Office Word</Application>
  <DocSecurity>0</DocSecurity>
  <Lines>1701</Lines>
  <Paragraphs>942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Ehab Hammad</cp:lastModifiedBy>
  <cp:revision>3</cp:revision>
  <dcterms:created xsi:type="dcterms:W3CDTF">2025-11-16T16:59:00Z</dcterms:created>
  <dcterms:modified xsi:type="dcterms:W3CDTF">2025-11-16T17:00:00Z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62dc4bfa-fd59-499c-93d4-e7db2155d0d6</vt:lpwstr>
  </property>
</Properties>
</file>