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6B5E1" w14:textId="57AC3E5D" w:rsidR="0046226A" w:rsidRDefault="0046226A">
      <w:pPr>
        <w:rPr>
          <w:b/>
          <w:bCs/>
          <w:u w:val="single"/>
        </w:rPr>
      </w:pPr>
      <w:r w:rsidRPr="0046226A">
        <w:rPr>
          <w:b/>
          <w:bCs/>
          <w:u w:val="single"/>
        </w:rPr>
        <w:t xml:space="preserve">Exploring the Utilization of Compliance Law in U.S. </w:t>
      </w:r>
      <w:r w:rsidR="001D41F8">
        <w:rPr>
          <w:b/>
          <w:bCs/>
          <w:u w:val="single"/>
        </w:rPr>
        <w:t>Tech Startups</w:t>
      </w:r>
      <w:r w:rsidRPr="0046226A">
        <w:rPr>
          <w:b/>
          <w:bCs/>
          <w:u w:val="single"/>
        </w:rPr>
        <w:t>: A Blockchain Perspective</w:t>
      </w:r>
    </w:p>
    <w:p w14:paraId="773619EF" w14:textId="2AE8A076" w:rsidR="0046226A" w:rsidRDefault="0046226A" w:rsidP="0046226A">
      <w:pPr>
        <w:pStyle w:val="NormalWeb"/>
        <w:jc w:val="both"/>
      </w:pPr>
    </w:p>
    <w:p w14:paraId="5F12AA8D" w14:textId="77777777" w:rsidR="002D1AF7" w:rsidRDefault="002D1AF7" w:rsidP="0046226A">
      <w:pPr>
        <w:pStyle w:val="NormalWeb"/>
        <w:jc w:val="both"/>
      </w:pPr>
    </w:p>
    <w:p w14:paraId="139A5E68" w14:textId="77777777" w:rsidR="00E1496E" w:rsidRDefault="00E1496E" w:rsidP="0046226A">
      <w:pPr>
        <w:pStyle w:val="NormalWeb"/>
        <w:jc w:val="both"/>
      </w:pPr>
    </w:p>
    <w:p w14:paraId="2756A485" w14:textId="5610AFC9" w:rsidR="00E1496E" w:rsidRDefault="00DC17CE" w:rsidP="0046226A">
      <w:pPr>
        <w:pStyle w:val="NormalWeb"/>
        <w:jc w:val="both"/>
      </w:pPr>
      <w:r w:rsidRPr="00E1496E">
        <w:rPr>
          <w:sz w:val="36"/>
          <w:szCs w:val="36"/>
          <w:u w:val="single"/>
        </w:rPr>
        <w:t>Abstract:</w:t>
      </w:r>
      <w:r>
        <w:t xml:space="preserve"> The amalgamation of deep learning and blockchain technologies has transfigured various sectors, including finance, healthcare, and supply chain management. This thesis investigates the application of compliance law within U.S.A. technology startups particularly focusing on the synergistic potential of deep learning and blockchain to progress regulatory obedience and mitigate legal risks. Through an extensive review of literature, case studies, and expert interviews, this research elucidates the current land, challenges, and opportunities adjacent the use of compliance law in conjunction with these advanced technologies. We know that the fallouts underscore the critical role of technological innovation in shaping corporate compliance strategies and highlight major foundations for future research and operation.</w:t>
      </w:r>
    </w:p>
    <w:p w14:paraId="68CECD55" w14:textId="4F926364" w:rsidR="0046226A" w:rsidRDefault="0046226A" w:rsidP="0046226A">
      <w:pPr>
        <w:pStyle w:val="NormalWeb"/>
        <w:jc w:val="both"/>
      </w:pPr>
      <w:r>
        <w:t xml:space="preserve">This </w:t>
      </w:r>
      <w:r w:rsidR="00E1496E">
        <w:t>paper</w:t>
      </w:r>
      <w:r>
        <w:t xml:space="preserve"> aims to provide a comprehensive understanding of how U.S. </w:t>
      </w:r>
      <w:r w:rsidR="001B459C">
        <w:t>technology startups</w:t>
      </w:r>
      <w:r>
        <w:t xml:space="preserve"> can leverage the combined power of blockchain technologies to steer complex regulatory landscapes efficaciously. </w:t>
      </w:r>
      <w:r w:rsidR="00722F95">
        <w:t>B</w:t>
      </w:r>
      <w:r>
        <w:t xml:space="preserve">y </w:t>
      </w:r>
      <w:r w:rsidR="002A3654">
        <w:t>traveling</w:t>
      </w:r>
      <w:r>
        <w:t xml:space="preserve"> theoretical frameworks, practical applications, and emergent trends, this study pays to the ongoing homily on the intersection of technology and compliance law, offering valuable insights for</w:t>
      </w:r>
      <w:r w:rsidR="00E4414F">
        <w:t xml:space="preserve"> future generations of</w:t>
      </w:r>
      <w:r>
        <w:t xml:space="preserve"> administrators, industry practitioners, and scholars alike</w:t>
      </w:r>
      <w:r w:rsidR="00E4414F">
        <w:t xml:space="preserve"> in future compliance cases in technology law. </w:t>
      </w:r>
    </w:p>
    <w:p w14:paraId="451FDF7A" w14:textId="5EF1A530" w:rsidR="0046226A" w:rsidRDefault="00E1496E" w:rsidP="0046226A">
      <w:pPr>
        <w:rPr>
          <w:rFonts w:ascii="Times New Roman" w:hAnsi="Times New Roman" w:cs="Times New Roman"/>
          <w:b/>
          <w:bCs/>
          <w:sz w:val="32"/>
          <w:szCs w:val="32"/>
          <w:u w:val="single"/>
        </w:rPr>
      </w:pPr>
      <w:r>
        <w:rPr>
          <w:rFonts w:ascii="Times New Roman" w:hAnsi="Times New Roman" w:cs="Times New Roman"/>
          <w:b/>
          <w:bCs/>
          <w:sz w:val="32"/>
          <w:szCs w:val="32"/>
          <w:u w:val="single"/>
        </w:rPr>
        <w:t>Compliance Law in US</w:t>
      </w:r>
      <w:r w:rsidR="001D41F8">
        <w:rPr>
          <w:rFonts w:ascii="Times New Roman" w:hAnsi="Times New Roman" w:cs="Times New Roman"/>
          <w:b/>
          <w:bCs/>
          <w:sz w:val="32"/>
          <w:szCs w:val="32"/>
          <w:u w:val="single"/>
        </w:rPr>
        <w:t xml:space="preserve"> Tech Startups</w:t>
      </w:r>
      <w:r>
        <w:rPr>
          <w:rFonts w:ascii="Times New Roman" w:hAnsi="Times New Roman" w:cs="Times New Roman"/>
          <w:b/>
          <w:bCs/>
          <w:sz w:val="32"/>
          <w:szCs w:val="32"/>
          <w:u w:val="single"/>
        </w:rPr>
        <w:t>:</w:t>
      </w:r>
    </w:p>
    <w:p w14:paraId="2497544F" w14:textId="135BF2B4" w:rsidR="00DC17CE" w:rsidRDefault="00480D78" w:rsidP="00DC17CE">
      <w:pPr>
        <w:pStyle w:val="NormalWeb"/>
        <w:jc w:val="both"/>
      </w:pPr>
      <w:r>
        <w:t>It is also important to</w:t>
      </w:r>
      <w:r w:rsidR="00DC17CE">
        <w:t xml:space="preserve"> analyze the compliance law in the United States as an essential framework that governs how businesses, including tech startups, operate within legal and regulatory parameters. For tech startups, understanding and adhering to compliance law is critical to circumvent legal pitfalls, protect the company’s reputation, and guarantee long-term sustainability. This comprehensive explanation delves into various aspects of compliance law relevant to U.S. tech startups, including data privacy, cybersecurity, intellectual property, employment law, and financial regulations.</w:t>
      </w:r>
      <w:r w:rsidR="001F01F5">
        <w:t xml:space="preserve"> (HBR, 2017)</w:t>
      </w:r>
    </w:p>
    <w:p w14:paraId="5C8A337D" w14:textId="04DDA1D5" w:rsidR="00DC17CE" w:rsidRDefault="00480D78" w:rsidP="00DC17CE">
      <w:pPr>
        <w:pStyle w:val="NormalWeb"/>
        <w:jc w:val="both"/>
      </w:pPr>
      <w:r>
        <w:t>It is also worth noting</w:t>
      </w:r>
      <w:r w:rsidR="00DC17CE">
        <w:t xml:space="preserve"> that </w:t>
      </w:r>
      <w:r w:rsidR="00D142C7">
        <w:t>with</w:t>
      </w:r>
      <w:r w:rsidR="00DC17CE">
        <w:t xml:space="preserve"> the central and core focus of compliance for tech startups is data privacy. With the increasing importance of data in today’s digital age, startups must navigate a complex web of regulations designed to guard personal information. The General Data Protection Regulation, while a European Union regulation, impacts U.S. startups that switch data from EU citizens. Additionally, the California Consumer Privacy Act sets </w:t>
      </w:r>
      <w:r w:rsidR="0039592F">
        <w:t>rigorous</w:t>
      </w:r>
      <w:r w:rsidR="00DC17CE">
        <w:t xml:space="preserve"> standards for data privacy within </w:t>
      </w:r>
      <w:r w:rsidR="0039592F">
        <w:t xml:space="preserve">the state of </w:t>
      </w:r>
      <w:r w:rsidR="00DC17CE">
        <w:t xml:space="preserve">California, </w:t>
      </w:r>
      <w:r w:rsidR="003D4D5C">
        <w:t>frequently</w:t>
      </w:r>
      <w:r w:rsidR="00DC17CE">
        <w:t xml:space="preserve"> helping as a benchmark for other states. These regulations mandate that startups implement robust data protection actions, provide transparency about data collection practices, and </w:t>
      </w:r>
      <w:r w:rsidR="003D4D5C">
        <w:t>suggest</w:t>
      </w:r>
      <w:r w:rsidR="00DC17CE">
        <w:t xml:space="preserve"> mechanisms for individuals to switch their personal information.</w:t>
      </w:r>
      <w:r w:rsidR="0045352E">
        <w:t xml:space="preserve"> (Vitalik Buterin, Illum, J., Nadler, M., Schär, 2023)</w:t>
      </w:r>
    </w:p>
    <w:p w14:paraId="3CE6259E" w14:textId="2AF0CFDA" w:rsidR="00DC17CE" w:rsidRDefault="00480D78" w:rsidP="00DC17CE">
      <w:pPr>
        <w:pStyle w:val="NormalWeb"/>
        <w:jc w:val="both"/>
      </w:pPr>
      <w:r>
        <w:lastRenderedPageBreak/>
        <w:t>I</w:t>
      </w:r>
      <w:r w:rsidR="00DC17CE" w:rsidRPr="008E0204">
        <w:t xml:space="preserve">n conjunction with data privacy, cybersecurity compliance is another critical area. </w:t>
      </w:r>
      <w:r w:rsidR="0023306E" w:rsidRPr="008E0204">
        <w:t>It could be identified that</w:t>
      </w:r>
      <w:r w:rsidR="0023306E">
        <w:t xml:space="preserve"> s</w:t>
      </w:r>
      <w:r w:rsidR="00DC17CE">
        <w:t xml:space="preserve">tartups must safeguard their systems against cyber threats, which involves adhering to guidelines set by frameworks such as the National Institute of Standards and Technology (NIST) Cybersecurity Framework and the Federal Information Security Management Act (FISMA). These frameworks provide a structured approach to managing cybersecurity risks, encompassing </w:t>
      </w:r>
      <w:r w:rsidR="0039592F">
        <w:t>actions</w:t>
      </w:r>
      <w:r w:rsidR="00DC17CE">
        <w:t xml:space="preserve"> such as risk assessment, </w:t>
      </w:r>
      <w:r w:rsidR="0039592F">
        <w:t>risk</w:t>
      </w:r>
      <w:r w:rsidR="00DC17CE">
        <w:t xml:space="preserve"> detection, </w:t>
      </w:r>
      <w:r w:rsidR="0039592F">
        <w:t>occasion</w:t>
      </w:r>
      <w:r w:rsidR="00DC17CE">
        <w:t xml:space="preserve"> response, and recovery plans. Compliance with these standards </w:t>
      </w:r>
      <w:r w:rsidR="0039592F">
        <w:t>aids</w:t>
      </w:r>
      <w:r w:rsidR="00DC17CE">
        <w:t xml:space="preserve"> startups </w:t>
      </w:r>
      <w:r>
        <w:t xml:space="preserve">to </w:t>
      </w:r>
      <w:r w:rsidR="00DC17CE">
        <w:t>protect sensitive data and maintain trust with users and stakeholders.</w:t>
      </w:r>
      <w:r w:rsidR="001F01F5">
        <w:t xml:space="preserve"> (HBR, 2017)</w:t>
      </w:r>
    </w:p>
    <w:p w14:paraId="643DE4C1" w14:textId="7362A9CC" w:rsidR="00DC17CE" w:rsidRDefault="00480D78" w:rsidP="00DC17CE">
      <w:pPr>
        <w:pStyle w:val="NormalWeb"/>
        <w:jc w:val="both"/>
      </w:pPr>
      <w:r>
        <w:t>I</w:t>
      </w:r>
      <w:r w:rsidR="00DC17CE">
        <w:t>ntellectual property law is</w:t>
      </w:r>
      <w:r>
        <w:t xml:space="preserve"> also</w:t>
      </w:r>
      <w:r w:rsidR="00DC17CE">
        <w:t xml:space="preserve"> </w:t>
      </w:r>
      <w:r w:rsidR="0039592F">
        <w:t>added</w:t>
      </w:r>
      <w:r w:rsidR="00DC17CE">
        <w:t xml:space="preserve"> pivotal aspect of compliance for tech startups. Protecting innovations through patents, trademarks, and copyrights </w:t>
      </w:r>
      <w:r w:rsidR="0039592F">
        <w:t>guarantees</w:t>
      </w:r>
      <w:r w:rsidR="00DC17CE">
        <w:t xml:space="preserve"> that a startup’s intellectual assets are legally safeguarded. The United States Patent and Trademark Office (USPTO) provides guidelines for registering patents and trademarks, while the U.S. Copyright Office oversees copyright </w:t>
      </w:r>
      <w:r w:rsidR="0039592F">
        <w:t>processes</w:t>
      </w:r>
      <w:r w:rsidR="00DC17CE">
        <w:t xml:space="preserve">. </w:t>
      </w:r>
      <w:r w:rsidR="0039592F">
        <w:t>Empathetic</w:t>
      </w:r>
      <w:r w:rsidR="00DC17CE">
        <w:t xml:space="preserve"> </w:t>
      </w:r>
      <w:r>
        <w:t xml:space="preserve">to </w:t>
      </w:r>
      <w:r w:rsidR="00DC17CE">
        <w:t xml:space="preserve">the </w:t>
      </w:r>
      <w:r w:rsidR="0039592F">
        <w:t>distinctions</w:t>
      </w:r>
      <w:r w:rsidR="00DC17CE">
        <w:t xml:space="preserve"> of IP law helps startups secure their proprietary technologies and brand identities, preventing infringement and fostering a competitive edge in the market.</w:t>
      </w:r>
      <w:r w:rsidR="0045352E">
        <w:t xml:space="preserve"> (Vitalik Buterin, Illum, J., Nadler, M., Schär, 2023)</w:t>
      </w:r>
    </w:p>
    <w:p w14:paraId="357DAF75" w14:textId="459539C3" w:rsidR="00DC17CE" w:rsidRDefault="00480D78" w:rsidP="00DC17CE">
      <w:pPr>
        <w:pStyle w:val="NormalWeb"/>
        <w:jc w:val="both"/>
      </w:pPr>
      <w:r>
        <w:t>E</w:t>
      </w:r>
      <w:r w:rsidR="00DC17CE">
        <w:t xml:space="preserve">mployment law is </w:t>
      </w:r>
      <w:r w:rsidR="00E025CE">
        <w:t>correspondingly</w:t>
      </w:r>
      <w:r w:rsidR="00DC17CE">
        <w:t xml:space="preserve"> crucial for tech startups, encompassing a range of regulations that govern the employer-employee relationship. Key areas include wage and hour laws, anti-discrimination statutes, workplace safety, and benefits administration. The Fair Labor Standards Act (FLSA) sets minimum wage, overtime pay, and recordkeeping standards, while the Equal Employment Opportunity Commission (EEOC) enforces laws against workplace discrimination. Additionally, the Occupational Safety and Health Administration (OSHA) mandates safe working conditions. </w:t>
      </w:r>
      <w:r w:rsidR="004226E7">
        <w:t>S</w:t>
      </w:r>
      <w:r w:rsidR="00DC17CE">
        <w:t xml:space="preserve">tartups must also comply with the Employee Retirement Income Security Act (ERISA) when offering benefits such as health insurance and retirement plans. </w:t>
      </w:r>
      <w:r w:rsidR="00E025CE">
        <w:t>Devotion</w:t>
      </w:r>
      <w:r w:rsidR="00DC17CE">
        <w:t xml:space="preserve"> to employment law not only </w:t>
      </w:r>
      <w:r w:rsidR="00E025CE">
        <w:t>promotes</w:t>
      </w:r>
      <w:r w:rsidR="00DC17CE">
        <w:t xml:space="preserve"> a positive workplace culture but also </w:t>
      </w:r>
      <w:r w:rsidR="00E025CE">
        <w:t>diminishes</w:t>
      </w:r>
      <w:r w:rsidR="00DC17CE">
        <w:t xml:space="preserve"> the risk of legal disputes.</w:t>
      </w:r>
    </w:p>
    <w:p w14:paraId="31C0F232" w14:textId="27ACAE3C" w:rsidR="00DC17CE" w:rsidRDefault="00480D78" w:rsidP="00DC17CE">
      <w:pPr>
        <w:pStyle w:val="NormalWeb"/>
        <w:jc w:val="both"/>
      </w:pPr>
      <w:r>
        <w:t>F</w:t>
      </w:r>
      <w:r w:rsidR="00DC17CE">
        <w:t xml:space="preserve">inancial regulations are another critical component of compliance for tech startups, particularly those seeking investment or engaging in financial transactions. The Securities and Exchange Commission (SEC) regulates securities markets, ensuring transparency and protecting investors. Startups must comply with SEC rules when raising capital through methods such as initial public offerings (IPOs) or private placements. </w:t>
      </w:r>
      <w:r w:rsidR="00E8689C">
        <w:t>Furthermore</w:t>
      </w:r>
      <w:r w:rsidR="00DC17CE">
        <w:t>, the</w:t>
      </w:r>
      <w:r w:rsidR="00E8689C">
        <w:t xml:space="preserve"> major pat of the argument is that</w:t>
      </w:r>
      <w:r w:rsidR="00DC17CE">
        <w:t xml:space="preserve"> Financial Crimes Enforcement Network (FinCEN) enforces regulations aimed at preventing money laundering and other financial crimes. Compliance with these financial regulations is essential for startups to operate ethically and maintain investor confidence.</w:t>
      </w:r>
      <w:r w:rsidR="0045352E">
        <w:t xml:space="preserve"> (Vitalik Buterin, Illum, J., Nadler, M., Schär, 2023)</w:t>
      </w:r>
    </w:p>
    <w:p w14:paraId="52184812" w14:textId="32720F4A" w:rsidR="00DC17CE" w:rsidRDefault="00480D78" w:rsidP="00DC17CE">
      <w:pPr>
        <w:pStyle w:val="NormalWeb"/>
        <w:jc w:val="both"/>
      </w:pPr>
      <w:r>
        <w:t>B</w:t>
      </w:r>
      <w:r w:rsidR="00DC17CE">
        <w:t xml:space="preserve">eyond these specific areas, tech startups must also stay abreast of evolving legal landscapes and emerging regulations. For instance, the rise of artificial intelligence (AI) and machine learning technologies has prompted discussions around ethical AI practices and regulatory frameworks. </w:t>
      </w:r>
      <w:r w:rsidR="0045352E">
        <w:t xml:space="preserve">(Vitalik Buterin, Illum, J., Nadler, M., Schär, 2023) </w:t>
      </w:r>
      <w:r w:rsidR="00DC17CE">
        <w:t xml:space="preserve">Startups involved in AI development must </w:t>
      </w:r>
      <w:r w:rsidR="00D87660">
        <w:t>steer</w:t>
      </w:r>
      <w:r w:rsidR="00DC17CE">
        <w:t xml:space="preserve"> these emerging guidelines to ensure their technologies are deployed responsibly and ethically.</w:t>
      </w:r>
      <w:r w:rsidR="0062787A">
        <w:t xml:space="preserve">  (Walters, 2019) </w:t>
      </w:r>
    </w:p>
    <w:p w14:paraId="5BA19DCD" w14:textId="04368DB9" w:rsidR="00DC17CE" w:rsidRDefault="00DC17CE" w:rsidP="00DC17CE">
      <w:pPr>
        <w:pStyle w:val="NormalWeb"/>
        <w:jc w:val="both"/>
      </w:pPr>
      <w:r>
        <w:lastRenderedPageBreak/>
        <w:t>Furthermore,</w:t>
      </w:r>
      <w:r w:rsidR="00A65A27">
        <w:t xml:space="preserve"> the</w:t>
      </w:r>
      <w:r>
        <w:t xml:space="preserve"> environmental regulations are increasingly relevant for tech startups, particularly those involved in hardware manufacturing or data centers. The Environmental Protection Agency (EPA) enforces laws aimed at reducing environmental impact, including regulations on electronic waste disposal and energy consumption. Compliance with environmental regulations not only </w:t>
      </w:r>
      <w:r w:rsidR="00A65A27">
        <w:t>assistances</w:t>
      </w:r>
      <w:r>
        <w:t xml:space="preserve"> startups contribute to sustainability efforts but also enhances their corporate social responsibility (CSR) profiles.</w:t>
      </w:r>
      <w:r w:rsidR="00A65A27">
        <w:t xml:space="preserve"> </w:t>
      </w:r>
      <w:r>
        <w:t>In addition to federal regulations, tech startups must also consider state and local laws, which can vary significantly across jurisdictions. Staying compliant requires ongoing legal vigilance and the ability to adapt to new regulatory requirements as they arise. Engaging legal counsel with expertise in tech law is often a prudent step for startups to navigate this complex regulatory landscape.</w:t>
      </w:r>
    </w:p>
    <w:p w14:paraId="40527A99" w14:textId="222784E0" w:rsidR="00E1496E" w:rsidRPr="003203AF" w:rsidRDefault="003203AF" w:rsidP="0046226A">
      <w:pPr>
        <w:rPr>
          <w:rFonts w:ascii="Times New Roman" w:hAnsi="Times New Roman" w:cs="Times New Roman"/>
          <w:b/>
          <w:bCs/>
          <w:sz w:val="32"/>
          <w:szCs w:val="32"/>
          <w:u w:val="single"/>
        </w:rPr>
      </w:pPr>
      <w:bookmarkStart w:id="0" w:name="_Hlk168907742"/>
      <w:r w:rsidRPr="003203AF">
        <w:rPr>
          <w:rFonts w:ascii="Times New Roman" w:hAnsi="Times New Roman" w:cs="Times New Roman"/>
          <w:b/>
          <w:bCs/>
          <w:sz w:val="32"/>
          <w:szCs w:val="32"/>
          <w:u w:val="single"/>
        </w:rPr>
        <w:t xml:space="preserve">Compliance Law in </w:t>
      </w:r>
      <w:r w:rsidR="0045352E">
        <w:rPr>
          <w:rFonts w:ascii="Times New Roman" w:hAnsi="Times New Roman" w:cs="Times New Roman"/>
          <w:b/>
          <w:bCs/>
          <w:sz w:val="32"/>
          <w:szCs w:val="32"/>
          <w:u w:val="single"/>
        </w:rPr>
        <w:t>Blockchain</w:t>
      </w:r>
      <w:r w:rsidRPr="003203AF">
        <w:rPr>
          <w:rFonts w:ascii="Times New Roman" w:hAnsi="Times New Roman" w:cs="Times New Roman"/>
          <w:b/>
          <w:bCs/>
          <w:sz w:val="32"/>
          <w:szCs w:val="32"/>
          <w:u w:val="single"/>
        </w:rPr>
        <w:t xml:space="preserve"> Immutable Record-keeping</w:t>
      </w:r>
    </w:p>
    <w:bookmarkEnd w:id="0"/>
    <w:p w14:paraId="3BA3D0D4" w14:textId="2335A8B3" w:rsidR="00ED4642" w:rsidRDefault="00480D78" w:rsidP="00ED4642">
      <w:pPr>
        <w:pStyle w:val="NormalWeb"/>
        <w:jc w:val="both"/>
      </w:pPr>
      <w:r>
        <w:t>C</w:t>
      </w:r>
      <w:r w:rsidR="00ED4642">
        <w:t xml:space="preserve">ompliance law significantly impacts blockchain immutable record-keeping, shaping how organizations deploy and utilize blockchain technologies to ensure legality, security, and reliability. The </w:t>
      </w:r>
      <w:r w:rsidR="00D956AF">
        <w:t>unchallengeable</w:t>
      </w:r>
      <w:r w:rsidR="00ED4642">
        <w:t xml:space="preserve"> nature of blockchain, where data once written cannot be altered or deleted, presents </w:t>
      </w:r>
      <w:r w:rsidR="00A65A27">
        <w:t>exclusive</w:t>
      </w:r>
      <w:r w:rsidR="00ED4642">
        <w:t xml:space="preserve"> challenges and opportunities in adhering to compliance laws. This </w:t>
      </w:r>
      <w:r w:rsidR="00D956AF">
        <w:t>argument</w:t>
      </w:r>
      <w:r w:rsidR="00ED4642">
        <w:t xml:space="preserve"> explores the multifaceted effects of compliance law on blockchain immutable record-keeping, focusing on data privacy, regulatory standards, legal enforceability, and industry-</w:t>
      </w:r>
      <w:r w:rsidR="00D956AF">
        <w:t>precise</w:t>
      </w:r>
      <w:r w:rsidR="00ED4642">
        <w:t xml:space="preserve"> regulations.</w:t>
      </w:r>
      <w:r w:rsidR="00D956AF">
        <w:t xml:space="preserve"> (Mitchell, A.D., Let, D. and Tang, 2023) </w:t>
      </w:r>
    </w:p>
    <w:p w14:paraId="168F3873" w14:textId="19A3828B" w:rsidR="00ED4642" w:rsidRDefault="00FE02AA" w:rsidP="00ED4642">
      <w:pPr>
        <w:pStyle w:val="NormalWeb"/>
        <w:jc w:val="both"/>
      </w:pPr>
      <w:r>
        <w:t>D</w:t>
      </w:r>
      <w:r w:rsidR="00ED4642">
        <w:t>ata privacy is a primary concern when it comes to compliance with blockchain technology. Laws such as the GDPR in the European Union and the California Consumer Privacy Act in the United States establish stringent requirements for how personal data should be managed. Blockchain’s immutability can conflict with these regulations, particularly with the GDPR’s “right to be forgotten,”</w:t>
      </w:r>
      <w:r w:rsidR="00D956AF">
        <w:t xml:space="preserve"> (Mitchell, A.D., Let, D. and Tang, 2023)</w:t>
      </w:r>
      <w:r w:rsidR="00ED4642">
        <w:t xml:space="preserve"> which allows individuals to request the deletion of their personal data. In an immutable ledger, data cannot be deleted or altered, posing a direct challenge to this regulation. To </w:t>
      </w:r>
      <w:r w:rsidR="004C6005">
        <w:t>discourse</w:t>
      </w:r>
      <w:r w:rsidR="00ED4642">
        <w:t xml:space="preserve"> this, organizations are </w:t>
      </w:r>
      <w:r w:rsidR="00C613C5">
        <w:t>traveling</w:t>
      </w:r>
      <w:r w:rsidR="00ED4642">
        <w:t xml:space="preserve"> solutions such as off-chain storage for personal data, where the blockchain only holds </w:t>
      </w:r>
      <w:r w:rsidR="004C6005">
        <w:t>positions</w:t>
      </w:r>
      <w:r w:rsidR="00ED4642">
        <w:t xml:space="preserve"> to data stored elsewhere, allowing for compliance with deletion requests without </w:t>
      </w:r>
      <w:r w:rsidR="004C6005">
        <w:t>varying</w:t>
      </w:r>
      <w:r w:rsidR="00ED4642">
        <w:t xml:space="preserve"> the blockchain’s </w:t>
      </w:r>
      <w:r w:rsidR="004C6005">
        <w:t>honesty</w:t>
      </w:r>
      <w:r w:rsidR="00ED4642">
        <w:t>.</w:t>
      </w:r>
      <w:r w:rsidR="00C613C5">
        <w:t xml:space="preserve"> </w:t>
      </w:r>
    </w:p>
    <w:p w14:paraId="0F7548AE" w14:textId="7D6EE473" w:rsidR="00ED4642" w:rsidRDefault="00ED4642" w:rsidP="00ED4642">
      <w:pPr>
        <w:pStyle w:val="NormalWeb"/>
        <w:jc w:val="both"/>
      </w:pPr>
      <w:r>
        <w:t>Beyond</w:t>
      </w:r>
      <w:r w:rsidR="00FE6EF5">
        <w:t xml:space="preserve"> </w:t>
      </w:r>
      <w:r>
        <w:t>data privacy,</w:t>
      </w:r>
      <w:r w:rsidR="0040372A">
        <w:t xml:space="preserve"> </w:t>
      </w:r>
      <w:r>
        <w:t xml:space="preserve">compliance law mandates adherence to various regulatory standards designed to ensure the security and integrity of data. For instance, the Sarbanes-Oxley Act (SOX) in the United States imposes stringent requirements on the accuracy and security of financial records. Blockchain technology, with its inherent transparency and immutability, can enhance compliance with such regulations by providing a tamper-proof record of transactions and audits. </w:t>
      </w:r>
      <w:r w:rsidR="00FE6EF5">
        <w:t>Nevertheless</w:t>
      </w:r>
      <w:r>
        <w:t>, implementing blockchain solutions requires careful consideration of existing regulatory frameworks to ensure that the technology’s deployment aligns with legal requirements. This often involves integrating blockchain with traditional systems in a way that complies with standards like SOX, while leveraging the benefits of immutable record-keeping.</w:t>
      </w:r>
      <w:r w:rsidR="0062787A">
        <w:t xml:space="preserve"> (Walters, 2019)</w:t>
      </w:r>
    </w:p>
    <w:p w14:paraId="2171F7D5" w14:textId="1C1A5F2D" w:rsidR="00ED4642" w:rsidRDefault="002A3654" w:rsidP="00ED4642">
      <w:pPr>
        <w:pStyle w:val="NormalWeb"/>
        <w:jc w:val="both"/>
      </w:pPr>
      <w:r>
        <w:t>T</w:t>
      </w:r>
      <w:r w:rsidR="00ED4642">
        <w:t xml:space="preserve">he legal enforceability of records stored on </w:t>
      </w:r>
      <w:r w:rsidR="00FE6EF5">
        <w:t xml:space="preserve">the </w:t>
      </w:r>
      <w:r w:rsidR="00ED4642">
        <w:t xml:space="preserve">blockchain is another critical area influenced by compliance law. For blockchain records to be legally recognized, they must meet the requirements set forth by laws </w:t>
      </w:r>
      <w:r w:rsidR="00FE6EF5">
        <w:t>leading</w:t>
      </w:r>
      <w:r w:rsidR="00ED4642">
        <w:t xml:space="preserve"> </w:t>
      </w:r>
      <w:r w:rsidR="006336AA">
        <w:t xml:space="preserve">to </w:t>
      </w:r>
      <w:r w:rsidR="00ED4642">
        <w:t xml:space="preserve">digital records and electronic signatures, such as the Electronic Signatures in Global and National Commerce Act (E-SIGN) and the Uniform Electronic </w:t>
      </w:r>
      <w:r w:rsidR="00ED4642">
        <w:lastRenderedPageBreak/>
        <w:t xml:space="preserve">Transactions Act (UETA). These laws </w:t>
      </w:r>
      <w:r w:rsidR="006336AA">
        <w:t>offer</w:t>
      </w:r>
      <w:r w:rsidR="00ED4642">
        <w:t xml:space="preserve"> a legal framework for recognizing electronic records and signatures, which can support the enforceability of contracts and agreements stored on </w:t>
      </w:r>
      <w:r w:rsidR="004226E7">
        <w:t xml:space="preserve">the </w:t>
      </w:r>
      <w:r w:rsidR="00ED4642">
        <w:t>blockchain. However,</w:t>
      </w:r>
      <w:r w:rsidR="00FE6EF5">
        <w:t xml:space="preserve"> </w:t>
      </w:r>
      <w:r w:rsidR="00ED4642">
        <w:t xml:space="preserve">the </w:t>
      </w:r>
      <w:r w:rsidR="00FE6EF5">
        <w:t>devolved</w:t>
      </w:r>
      <w:r w:rsidR="00ED4642">
        <w:t xml:space="preserve"> and borderless nature of blockchain can complicate jurisdictional issues, necessitating careful legal scrutiny to ensure that records comply with relevant laws across different regions.</w:t>
      </w:r>
    </w:p>
    <w:p w14:paraId="20218E13" w14:textId="77777777" w:rsidR="0029093B" w:rsidRDefault="006336AA" w:rsidP="00ED4642">
      <w:pPr>
        <w:pStyle w:val="NormalWeb"/>
        <w:jc w:val="both"/>
      </w:pPr>
      <w:r>
        <w:t xml:space="preserve"> </w:t>
      </w:r>
      <w:r w:rsidR="0029093B">
        <w:t>F</w:t>
      </w:r>
      <w:r>
        <w:t>ocus</w:t>
      </w:r>
      <w:r w:rsidR="0029093B">
        <w:t>ing</w:t>
      </w:r>
      <w:r>
        <w:t xml:space="preserve"> on in</w:t>
      </w:r>
      <w:r w:rsidR="00ED4642">
        <w:t xml:space="preserve">dustry-specific regulations also </w:t>
      </w:r>
      <w:r w:rsidR="0029093B">
        <w:t>plays</w:t>
      </w:r>
      <w:r w:rsidR="00ED4642">
        <w:t xml:space="preserve"> a significant role in shaping the use of blockchain for immutable record-keeping. In the healthcare sector, for example, the Health Insurance Portability and Accountability Act (</w:t>
      </w:r>
      <w:r w:rsidR="001D430E">
        <w:t>HIPAA</w:t>
      </w:r>
      <w:r w:rsidR="00ED4642">
        <w:t xml:space="preserve">) sets stringent standards for the protection of health information. Blockchain can </w:t>
      </w:r>
      <w:r>
        <w:t>increase</w:t>
      </w:r>
      <w:r w:rsidR="00ED4642">
        <w:t xml:space="preserve"> compliance by ensuring that health records are securely and immutably stored, </w:t>
      </w:r>
      <w:r>
        <w:t>dropping</w:t>
      </w:r>
      <w:r w:rsidR="00ED4642">
        <w:t xml:space="preserve"> the risk of tampering and unauthorized access. Nevertheless, implementing blockchain solutions in healthcare requires compliance with HIPAA’s privacy and security rules, which may necessitate additional layers of encryption and access controls.</w:t>
      </w:r>
      <w:r w:rsidR="00C11669">
        <w:t xml:space="preserve"> (Mennella, C., Maniscalco, U., Giuseppe De Pietro and Esposito, 2024) </w:t>
      </w:r>
    </w:p>
    <w:p w14:paraId="485F5BB9" w14:textId="3F32180B" w:rsidR="00ED4642" w:rsidRDefault="0029093B" w:rsidP="00ED4642">
      <w:pPr>
        <w:pStyle w:val="NormalWeb"/>
        <w:jc w:val="both"/>
      </w:pPr>
      <w:r>
        <w:t>E</w:t>
      </w:r>
      <w:r w:rsidR="006336AA">
        <w:t>xamin</w:t>
      </w:r>
      <w:r>
        <w:t>ing</w:t>
      </w:r>
      <w:r w:rsidR="006336AA">
        <w:t xml:space="preserve"> that i</w:t>
      </w:r>
      <w:r w:rsidR="00ED4642">
        <w:t xml:space="preserve">n the financial industry, regulations such as the Dodd-Frank Wall Street Reform and Consumer Protection Act and the Payment Card Industry Data Security Standard (PCI DSS) impose strict requirements on financial transactions and data security. Blockchain’s transparent and immutable nature can </w:t>
      </w:r>
      <w:r w:rsidR="006336AA">
        <w:t>offer</w:t>
      </w:r>
      <w:r w:rsidR="00ED4642">
        <w:t xml:space="preserve"> a robust framework for compliance, offering a clear and auditable trail of transactions. However, integrating blockchain with existing financial systems and ensuring compliance with these </w:t>
      </w:r>
      <w:r w:rsidR="006336AA">
        <w:t>guidelines</w:t>
      </w:r>
      <w:r w:rsidR="00ED4642">
        <w:t xml:space="preserve"> can be </w:t>
      </w:r>
      <w:r w:rsidR="006336AA">
        <w:t>multifaceted</w:t>
      </w:r>
      <w:r w:rsidR="00ED4642">
        <w:t>, requiring comprehensive risk assessments and adherence to regulatory guidelines.</w:t>
      </w:r>
    </w:p>
    <w:p w14:paraId="0D4E9DC7" w14:textId="4640C7BF" w:rsidR="00ED4642" w:rsidRDefault="00ED4642" w:rsidP="00ED4642">
      <w:pPr>
        <w:pStyle w:val="NormalWeb"/>
        <w:jc w:val="both"/>
      </w:pPr>
      <w:r>
        <w:t>Moreover,</w:t>
      </w:r>
      <w:r w:rsidR="006336AA">
        <w:t xml:space="preserve"> </w:t>
      </w:r>
      <w:r w:rsidR="0029093B">
        <w:t>there is a shift</w:t>
      </w:r>
      <w:r w:rsidR="006336AA">
        <w:t xml:space="preserve"> </w:t>
      </w:r>
      <w:r w:rsidR="00045C43">
        <w:t xml:space="preserve">in </w:t>
      </w:r>
      <w:r w:rsidR="006336AA">
        <w:t>focus on</w:t>
      </w:r>
      <w:r>
        <w:t xml:space="preserve"> the emerging nature of blockchain technology means that regulatory frameworks are continuously evolving. Governments and regulatory bodies are actively developing new regulations to address the unique challenges and opportunities presented by blockchain. For instance, the U.S. Securities and Exchange Commission (SEC) and the Commodity Futures Trading Commission (CFTC) are exploring regulations specific to blockchain-based assets and transactions. Staying abreast of these regulatory developments is crucial for organizations to ensure ongoing compliance and leverage blockchain’s full potential.</w:t>
      </w:r>
      <w:r w:rsidR="00C11669">
        <w:t xml:space="preserve"> (Mennella, C., Maniscalco, U., Giuseppe De Pietro and Esposito, 2024)</w:t>
      </w:r>
    </w:p>
    <w:p w14:paraId="1C079F68" w14:textId="5F7BF90E" w:rsidR="00ED4642" w:rsidRDefault="006336AA" w:rsidP="00ED4642">
      <w:pPr>
        <w:pStyle w:val="NormalWeb"/>
        <w:jc w:val="both"/>
      </w:pPr>
      <w:r>
        <w:t>Lastly,</w:t>
      </w:r>
      <w:r w:rsidR="0029093B">
        <w:t xml:space="preserve"> there is a focus</w:t>
      </w:r>
      <w:r>
        <w:t xml:space="preserve"> to be true that c</w:t>
      </w:r>
      <w:r w:rsidR="00ED4642">
        <w:t>ompliance law also impacts the governance structures within blockchain networks. For blockchain networks to be compliant, they need clear governance frameworks that define roles, responsibilities, and procedures for managing the network. This includes mechanisms for resolving disputes, managing changes to the blockchain protocol, and ensuring accountability among participants. Effective governance structures are essential for ensuring that blockchain networks operate within legal and regulatory boundaries while maintaining trust and transparency among participants.</w:t>
      </w:r>
    </w:p>
    <w:p w14:paraId="4D7870BC" w14:textId="77777777" w:rsidR="00E1496E" w:rsidRDefault="00E1496E" w:rsidP="0046226A"/>
    <w:p w14:paraId="45DC901A" w14:textId="2B82A6D7" w:rsidR="008D4C5C" w:rsidRPr="003203AF" w:rsidRDefault="008D4C5C" w:rsidP="008D4C5C">
      <w:pPr>
        <w:rPr>
          <w:rFonts w:ascii="Times New Roman" w:hAnsi="Times New Roman" w:cs="Times New Roman"/>
          <w:b/>
          <w:bCs/>
          <w:sz w:val="32"/>
          <w:szCs w:val="32"/>
          <w:u w:val="single"/>
        </w:rPr>
      </w:pPr>
      <w:bookmarkStart w:id="1" w:name="_Hlk168908676"/>
      <w:r w:rsidRPr="003203AF">
        <w:rPr>
          <w:rFonts w:ascii="Times New Roman" w:hAnsi="Times New Roman" w:cs="Times New Roman"/>
          <w:b/>
          <w:bCs/>
          <w:sz w:val="32"/>
          <w:szCs w:val="32"/>
          <w:u w:val="single"/>
        </w:rPr>
        <w:t xml:space="preserve">Compliance Law in </w:t>
      </w:r>
      <w:r w:rsidR="0045352E">
        <w:rPr>
          <w:rFonts w:ascii="Times New Roman" w:hAnsi="Times New Roman" w:cs="Times New Roman"/>
          <w:b/>
          <w:bCs/>
          <w:sz w:val="32"/>
          <w:szCs w:val="32"/>
          <w:u w:val="single"/>
        </w:rPr>
        <w:t>Blockchain</w:t>
      </w:r>
      <w:r w:rsidRPr="003203AF">
        <w:rPr>
          <w:rFonts w:ascii="Times New Roman" w:hAnsi="Times New Roman" w:cs="Times New Roman"/>
          <w:b/>
          <w:bCs/>
          <w:sz w:val="32"/>
          <w:szCs w:val="32"/>
          <w:u w:val="single"/>
        </w:rPr>
        <w:t xml:space="preserve"> </w:t>
      </w:r>
      <w:bookmarkEnd w:id="1"/>
      <w:r w:rsidRPr="008D4C5C">
        <w:rPr>
          <w:rFonts w:ascii="Times New Roman" w:hAnsi="Times New Roman" w:cs="Times New Roman"/>
          <w:b/>
          <w:bCs/>
          <w:sz w:val="32"/>
          <w:szCs w:val="32"/>
          <w:u w:val="single"/>
        </w:rPr>
        <w:t>Smart Contracts for Regulatory Compliance</w:t>
      </w:r>
    </w:p>
    <w:p w14:paraId="6105ACE4" w14:textId="77777777" w:rsidR="00E1496E" w:rsidRDefault="00E1496E" w:rsidP="0046226A"/>
    <w:p w14:paraId="61A8F236" w14:textId="6019912B" w:rsidR="008D4C5C" w:rsidRDefault="00045C43" w:rsidP="008F7283">
      <w:pPr>
        <w:pStyle w:val="NormalWeb"/>
        <w:jc w:val="both"/>
      </w:pPr>
      <w:r>
        <w:lastRenderedPageBreak/>
        <w:t xml:space="preserve">There is a strong need for </w:t>
      </w:r>
      <w:r w:rsidR="00317F34">
        <w:t>examin</w:t>
      </w:r>
      <w:r>
        <w:t>ation in</w:t>
      </w:r>
      <w:r w:rsidR="00317F34">
        <w:t xml:space="preserve"> that t</w:t>
      </w:r>
      <w:r w:rsidR="008D4C5C">
        <w:t xml:space="preserve">he intersection of compliance law and blockchain smart contracts represents a pivotal point in the evolution of regulatory frameworks and technological innovation. </w:t>
      </w:r>
      <w:r>
        <w:t>An e</w:t>
      </w:r>
      <w:r w:rsidR="00625F1D">
        <w:t>xamin</w:t>
      </w:r>
      <w:r>
        <w:t>ation needs to be done for</w:t>
      </w:r>
      <w:r w:rsidR="00625F1D">
        <w:t xml:space="preserve"> s</w:t>
      </w:r>
      <w:r w:rsidR="008D4C5C">
        <w:t xml:space="preserve">mart contracts, self-executing contracts with the terms of the agreement directly written into code, </w:t>
      </w:r>
      <w:r w:rsidR="00625F1D">
        <w:t>suggestion</w:t>
      </w:r>
      <w:r w:rsidR="008D4C5C">
        <w:t xml:space="preserve"> the potential to </w:t>
      </w:r>
      <w:r w:rsidR="00625F1D">
        <w:t>reform</w:t>
      </w:r>
      <w:r w:rsidR="008D4C5C">
        <w:t xml:space="preserve"> how agreements are enforced</w:t>
      </w:r>
      <w:r>
        <w:t>,</w:t>
      </w:r>
      <w:r w:rsidR="008D4C5C">
        <w:t xml:space="preserve"> and transactions are conducted. However, their deployment within the </w:t>
      </w:r>
      <w:r w:rsidR="00625F1D">
        <w:t>boundaries</w:t>
      </w:r>
      <w:r w:rsidR="008D4C5C">
        <w:t xml:space="preserve"> of compliance law introduces a range of </w:t>
      </w:r>
      <w:r w:rsidR="00625F1D">
        <w:t>intricacies</w:t>
      </w:r>
      <w:r w:rsidR="008D4C5C">
        <w:t xml:space="preserve"> and </w:t>
      </w:r>
      <w:r w:rsidR="00625F1D">
        <w:t>deliberations</w:t>
      </w:r>
      <w:r w:rsidR="008D4C5C">
        <w:t>.</w:t>
      </w:r>
    </w:p>
    <w:p w14:paraId="2960F096" w14:textId="2B87094F" w:rsidR="008D4C5C" w:rsidRDefault="008D4C5C" w:rsidP="008F7283">
      <w:pPr>
        <w:pStyle w:val="NormalWeb"/>
        <w:jc w:val="both"/>
      </w:pPr>
      <w:r>
        <w:t>First and foremost,</w:t>
      </w:r>
      <w:r w:rsidR="00625F1D">
        <w:t xml:space="preserve"> </w:t>
      </w:r>
      <w:r w:rsidR="00045C43">
        <w:t>there needs to be an</w:t>
      </w:r>
      <w:r w:rsidR="00625F1D">
        <w:t xml:space="preserve"> </w:t>
      </w:r>
      <w:r w:rsidR="00045C43">
        <w:t>identifiable</w:t>
      </w:r>
      <w:r w:rsidR="00625F1D">
        <w:t xml:space="preserve"> that</w:t>
      </w:r>
      <w:r>
        <w:t xml:space="preserve"> smart contracts must </w:t>
      </w:r>
      <w:r w:rsidR="00625F1D">
        <w:t>affiliate</w:t>
      </w:r>
      <w:r>
        <w:t xml:space="preserve"> with existing legal standards to ensure their enforceability and legitimacy.</w:t>
      </w:r>
      <w:r w:rsidR="00045C43">
        <w:t xml:space="preserve"> S</w:t>
      </w:r>
      <w:r w:rsidR="001B5085">
        <w:t>ome t</w:t>
      </w:r>
      <w:r>
        <w:t>raditional contracts are governed by well-established legal principles that dictate how agreements are formed, interpreted, and enforced. For smart contracts to be valid, they must meet these same criteria, including offer, acceptance, consideration, and mutual intent to be bound. Compliance with laws such as the Electronic Signatures in Global and National Commerce Act (E-SIGN) and the Uniform Electronic Transactions Act (UETA) is crucial, as these laws recognize electronic contracts and signatures, providing a legal basis for smart contracts.</w:t>
      </w:r>
      <w:r w:rsidR="00B8022F">
        <w:t xml:space="preserve"> </w:t>
      </w:r>
      <w:r w:rsidR="001E2363">
        <w:t>(</w:t>
      </w:r>
      <w:r w:rsidR="001E2363" w:rsidRPr="002D1AF7">
        <w:t>Cappiello, B. and Carullo</w:t>
      </w:r>
      <w:r w:rsidR="001E2363">
        <w:t>, 2019)</w:t>
      </w:r>
    </w:p>
    <w:p w14:paraId="06FA84B6" w14:textId="6DA12F96" w:rsidR="008D4C5C" w:rsidRDefault="008D4C5C" w:rsidP="008F7283">
      <w:pPr>
        <w:pStyle w:val="NormalWeb"/>
        <w:jc w:val="both"/>
      </w:pPr>
      <w:r>
        <w:t>However,</w:t>
      </w:r>
      <w:r w:rsidR="00045C43">
        <w:t xml:space="preserve"> an issue is</w:t>
      </w:r>
      <w:r w:rsidR="00625F1D">
        <w:t xml:space="preserve"> that</w:t>
      </w:r>
      <w:r>
        <w:t xml:space="preserve"> the immutable and automated nature of smart contracts poses unique challenges. Once deployed, smart contracts execute as programmed without human intervention, raising concerns about how they can adapt to unforeseen circumstances or errors. This rigidity can conflict with the flexible nature of legal interpretations and the need for judicial discretion. Compliance law must therefore evolve to address how smart contracts can incorporate mechanisms for amendment, dispute resolution, and termination, ensuring they remain adaptable and fair.</w:t>
      </w:r>
    </w:p>
    <w:p w14:paraId="53C1E1E7" w14:textId="3479B177" w:rsidR="008D4C5C" w:rsidRDefault="00045C43" w:rsidP="008F7283">
      <w:pPr>
        <w:pStyle w:val="NormalWeb"/>
        <w:jc w:val="both"/>
      </w:pPr>
      <w:r>
        <w:t>D</w:t>
      </w:r>
      <w:r w:rsidR="008D4C5C">
        <w:t>ata privacy regulations such as the GDPR</w:t>
      </w:r>
      <w:r w:rsidR="002E2541">
        <w:t xml:space="preserve"> </w:t>
      </w:r>
      <w:r w:rsidR="008D4C5C">
        <w:t xml:space="preserve">in the European Union and the California Consumer Privacy Act in the United States also significantly impact the use of smart contracts. These laws impose strict requirements on the handling of personal data, including rights to access, correct, and delete personal information. The immutable nature of blockchain can complicate compliance with these regulations, particularly </w:t>
      </w:r>
      <w:r w:rsidR="0031075A">
        <w:t>concerning</w:t>
      </w:r>
      <w:r w:rsidR="008D4C5C">
        <w:t xml:space="preserve"> the right to be forgotten. </w:t>
      </w:r>
      <w:r w:rsidR="0031075A">
        <w:t>Resolutions</w:t>
      </w:r>
      <w:r w:rsidR="008D4C5C">
        <w:t xml:space="preserve"> such as off-chain storage or cryptographic techniques are being </w:t>
      </w:r>
      <w:r w:rsidR="0058147B">
        <w:t>traveled</w:t>
      </w:r>
      <w:r w:rsidR="008D4C5C">
        <w:t xml:space="preserve"> to </w:t>
      </w:r>
      <w:r w:rsidR="0031075A">
        <w:t>permit</w:t>
      </w:r>
      <w:r w:rsidR="008D4C5C">
        <w:t xml:space="preserve"> compliance while maintaining the benefits of immutability.</w:t>
      </w:r>
      <w:r w:rsidR="001E2363">
        <w:t xml:space="preserve"> (</w:t>
      </w:r>
      <w:r w:rsidR="001E2363" w:rsidRPr="002D1AF7">
        <w:t>Cappiello, B. and Carullo</w:t>
      </w:r>
      <w:r w:rsidR="001E2363">
        <w:t>, 2019)</w:t>
      </w:r>
    </w:p>
    <w:p w14:paraId="50044611" w14:textId="6170CD4B" w:rsidR="008D4C5C" w:rsidRDefault="008D4C5C" w:rsidP="008F7283">
      <w:pPr>
        <w:pStyle w:val="NormalWeb"/>
        <w:jc w:val="both"/>
      </w:pPr>
      <w:r>
        <w:t>In the financial sector, compliance with regulations such as the Securities Act, the Dodd-Frank Wall Street Reform and Consumer Protection Act, and the Payment Card Industry Data Security Standard (PCI DSS) is</w:t>
      </w:r>
      <w:r w:rsidR="0058147B">
        <w:t xml:space="preserve"> pa</w:t>
      </w:r>
      <w:r w:rsidR="00045C43">
        <w:t>r</w:t>
      </w:r>
      <w:r w:rsidR="0058147B">
        <w:t>t of a highly</w:t>
      </w:r>
      <w:r>
        <w:t xml:space="preserve"> crucial</w:t>
      </w:r>
      <w:r w:rsidR="0058147B">
        <w:t xml:space="preserve"> and important field</w:t>
      </w:r>
      <w:r>
        <w:t>.</w:t>
      </w:r>
      <w:r w:rsidR="0031075A">
        <w:t xml:space="preserve"> </w:t>
      </w:r>
      <w:r>
        <w:t xml:space="preserve">Smart contracts can </w:t>
      </w:r>
      <w:r w:rsidR="0031075A">
        <w:t>augment</w:t>
      </w:r>
      <w:r>
        <w:t xml:space="preserve"> regulatory compliance by providing transparent and tamper-proof records of financial transactions, reducing the risk of </w:t>
      </w:r>
      <w:r w:rsidR="00045C43">
        <w:t>fraud,</w:t>
      </w:r>
      <w:r>
        <w:t xml:space="preserve"> and ensuring accurate reporting. However, the integration of smart contracts with traditional financial systems requires </w:t>
      </w:r>
      <w:r w:rsidR="0031075A">
        <w:t>vigilant</w:t>
      </w:r>
      <w:r>
        <w:t xml:space="preserve"> </w:t>
      </w:r>
      <w:r w:rsidR="0031075A">
        <w:t>deliberation</w:t>
      </w:r>
      <w:r>
        <w:t xml:space="preserve"> of these regulatory frameworks to ensure that all transactions are conducted within legal parameters.</w:t>
      </w:r>
    </w:p>
    <w:p w14:paraId="6C5CBFEF" w14:textId="16484A45" w:rsidR="008D4C5C" w:rsidRDefault="008D4C5C" w:rsidP="008F7283">
      <w:pPr>
        <w:pStyle w:val="NormalWeb"/>
        <w:jc w:val="both"/>
      </w:pPr>
      <w:r>
        <w:t>Furthermore,</w:t>
      </w:r>
      <w:r w:rsidR="0031075A">
        <w:t xml:space="preserve"> via</w:t>
      </w:r>
      <w:r>
        <w:t xml:space="preserve"> anti-money laundering (AML) and know-your-customer (KYC) regulations impose significant obligations on financial institutions to </w:t>
      </w:r>
      <w:r w:rsidR="0031075A">
        <w:t>authenticate</w:t>
      </w:r>
      <w:r>
        <w:t xml:space="preserve"> the identity of their clients and monitor transactions for suspicious activity. Smart contracts can automate many of these processes, enhancing efficiency and accuracy. </w:t>
      </w:r>
      <w:r w:rsidR="0031075A">
        <w:t>Nevertheless</w:t>
      </w:r>
      <w:r>
        <w:t xml:space="preserve">, </w:t>
      </w:r>
      <w:r w:rsidR="0031075A">
        <w:t>confirming</w:t>
      </w:r>
      <w:r>
        <w:t xml:space="preserve"> that smart contracts comply with AML and KYC requirements involves embedding complex regulatory logic into the code, which can be challenging and requires ongoing updates as regulations evolve.</w:t>
      </w:r>
      <w:r w:rsidR="0031075A">
        <w:t xml:space="preserve"> </w:t>
      </w:r>
      <w:r>
        <w:t xml:space="preserve">Healthcare is another industry where smart contracts can have a profound impact, particularly in ensuring </w:t>
      </w:r>
      <w:r>
        <w:lastRenderedPageBreak/>
        <w:t>compliance with the HIPAA. HIPAA sets strict standards for the protection of health information, and smart contracts can automate and secure the sharing of health data between patients, providers, and insurers. However, compliance with HIPAA requires that smart contracts include robust data protection measures and mechanisms to ensure that only authorized parties can access sensitive information.</w:t>
      </w:r>
      <w:r w:rsidR="001E2363">
        <w:t xml:space="preserve"> (</w:t>
      </w:r>
      <w:r w:rsidR="001E2363" w:rsidRPr="002D1AF7">
        <w:t>Cappiello, B. and Carullo</w:t>
      </w:r>
      <w:r w:rsidR="001E2363">
        <w:t xml:space="preserve">, 2019) </w:t>
      </w:r>
    </w:p>
    <w:p w14:paraId="7A2483DD" w14:textId="1D125D4B" w:rsidR="008D4C5C" w:rsidRDefault="00045C43" w:rsidP="008F7283">
      <w:pPr>
        <w:pStyle w:val="NormalWeb"/>
        <w:jc w:val="both"/>
      </w:pPr>
      <w:r>
        <w:t>T</w:t>
      </w:r>
      <w:r w:rsidR="008D4C5C">
        <w:t>he potential of smart contracts extends to supply chain management, where they can enhance transparency and traceability. Compliance with regulations such as the Food Safety Modernization Act (FSMA) in the food industry or the Drug Supply Chain Security Act (DSCSA) in the pharmaceutical industry can be streamlined through smart contracts that automatically verify and record the movement of goods. However, ensuring that smart contracts adhere to these regulatory requirements involves detailed programming and regular audits to verify compliance.</w:t>
      </w:r>
      <w:r w:rsidR="0031075A">
        <w:t xml:space="preserve"> </w:t>
      </w:r>
      <w:r w:rsidR="008D4C5C">
        <w:t xml:space="preserve">Moreover, compliance with environmental regulations can also benefit from the implementation of smart contracts. Regulations aimed at reducing carbon emissions and promoting sustainable practices can be enforced through smart contracts that automatically track and report environmental impact. For instance, smart contracts can be used to manage carbon credits, ensuring that emissions are </w:t>
      </w:r>
      <w:r w:rsidR="0031075A">
        <w:t>exactly</w:t>
      </w:r>
      <w:r w:rsidR="008D4C5C">
        <w:t xml:space="preserve"> recorded and reported. </w:t>
      </w:r>
      <w:r w:rsidR="0031075A">
        <w:t>Nevertheless</w:t>
      </w:r>
      <w:r w:rsidR="008D4C5C">
        <w:t>, ensuring compliance requires that smart contracts are programmed to adhere to relevant environmental standards and provide verifiable records.</w:t>
      </w:r>
      <w:r w:rsidR="0031075A">
        <w:t xml:space="preserve"> </w:t>
      </w:r>
      <w:r w:rsidR="008D4C5C">
        <w:t xml:space="preserve">Governance and dispute resolution mechanisms are critical components of regulatory compliance in the context of smart contracts. Effective governance frameworks must be established to manage the deployment, execution, and oversight of smart contracts. This includes defining roles and responsibilities, </w:t>
      </w:r>
      <w:r w:rsidR="0031075A">
        <w:t>starting</w:t>
      </w:r>
      <w:r w:rsidR="008D4C5C">
        <w:t xml:space="preserve"> procedures for resolving disputes, and ensuring accountability. Compliance law must </w:t>
      </w:r>
      <w:r w:rsidR="0031075A">
        <w:t>progress</w:t>
      </w:r>
      <w:r w:rsidR="008D4C5C">
        <w:t xml:space="preserve"> to provide legal clarity on these governance issues, ensuring that smart contracts operate within a transparent and accountable framework.</w:t>
      </w:r>
    </w:p>
    <w:p w14:paraId="283746CD" w14:textId="77777777" w:rsidR="00E1496E" w:rsidRDefault="00E1496E" w:rsidP="0046226A"/>
    <w:p w14:paraId="0CDAF82E" w14:textId="77777777" w:rsidR="00E1496E" w:rsidRDefault="00E1496E" w:rsidP="0046226A"/>
    <w:p w14:paraId="21CFBE3C" w14:textId="5AA52175" w:rsidR="00E1496E" w:rsidRPr="008F7283" w:rsidRDefault="008F7283" w:rsidP="008F7283">
      <w:pPr>
        <w:tabs>
          <w:tab w:val="left" w:pos="1404"/>
        </w:tabs>
        <w:rPr>
          <w:rFonts w:ascii="Times New Roman" w:hAnsi="Times New Roman" w:cs="Times New Roman"/>
        </w:rPr>
      </w:pPr>
      <w:r w:rsidRPr="003203AF">
        <w:rPr>
          <w:rFonts w:ascii="Times New Roman" w:hAnsi="Times New Roman" w:cs="Times New Roman"/>
          <w:b/>
          <w:bCs/>
          <w:sz w:val="32"/>
          <w:szCs w:val="32"/>
          <w:u w:val="single"/>
        </w:rPr>
        <w:t xml:space="preserve">Compliance Law in </w:t>
      </w:r>
      <w:r w:rsidR="0045352E">
        <w:rPr>
          <w:rFonts w:ascii="Times New Roman" w:hAnsi="Times New Roman" w:cs="Times New Roman"/>
          <w:b/>
          <w:bCs/>
          <w:sz w:val="32"/>
          <w:szCs w:val="32"/>
          <w:u w:val="single"/>
        </w:rPr>
        <w:t>Blockchain</w:t>
      </w:r>
      <w:r w:rsidRPr="008F7283">
        <w:rPr>
          <w:b/>
          <w:bCs/>
          <w:sz w:val="32"/>
          <w:szCs w:val="32"/>
          <w:u w:val="single"/>
        </w:rPr>
        <w:tab/>
      </w:r>
      <w:r w:rsidRPr="008F7283">
        <w:rPr>
          <w:rFonts w:ascii="Times New Roman" w:hAnsi="Times New Roman" w:cs="Times New Roman"/>
          <w:b/>
          <w:bCs/>
          <w:sz w:val="32"/>
          <w:szCs w:val="32"/>
          <w:u w:val="single"/>
        </w:rPr>
        <w:t>Transparency and Auditability</w:t>
      </w:r>
    </w:p>
    <w:p w14:paraId="3186367D" w14:textId="2EFD3459" w:rsidR="00FC3A4E" w:rsidRDefault="00045C43" w:rsidP="00FC3A4E">
      <w:pPr>
        <w:pStyle w:val="NormalWeb"/>
        <w:jc w:val="both"/>
      </w:pPr>
      <w:r>
        <w:t>C</w:t>
      </w:r>
      <w:r w:rsidR="00FC3A4E">
        <w:t>ompliance law plays a pivotal role in shaping the use of blockchain technology, particularly in the realms of transparency and auditability. As blockchain continues to gain traction across various industries, the need to align its inherent characteristics with legal and regulatory frameworks becomes increasingly important. Blockchain's central features, such as its decentralized nature, immutability, and transparency, present unique opportunities, and challenges for regulatory compliance.</w:t>
      </w:r>
      <w:r w:rsidR="00532CB3">
        <w:t xml:space="preserve"> (HBR, 2017)</w:t>
      </w:r>
    </w:p>
    <w:p w14:paraId="04E53593" w14:textId="52E329FA" w:rsidR="00FC3A4E" w:rsidRDefault="00050C1C" w:rsidP="00FC3A4E">
      <w:pPr>
        <w:pStyle w:val="NormalWeb"/>
        <w:jc w:val="both"/>
      </w:pPr>
      <w:r>
        <w:t>B</w:t>
      </w:r>
      <w:r w:rsidR="00FC3A4E">
        <w:t xml:space="preserve">lockchain technology is </w:t>
      </w:r>
      <w:r w:rsidR="002710DD">
        <w:t>renowned</w:t>
      </w:r>
      <w:r w:rsidR="00FC3A4E">
        <w:t xml:space="preserve"> for its transparency, which allows all </w:t>
      </w:r>
      <w:r w:rsidR="002710DD">
        <w:t>contributors</w:t>
      </w:r>
      <w:r w:rsidR="00FC3A4E">
        <w:t xml:space="preserve"> in the network to have admittance to the same data </w:t>
      </w:r>
      <w:r w:rsidR="002710DD">
        <w:t>at the same time</w:t>
      </w:r>
      <w:r w:rsidR="00FC3A4E">
        <w:t xml:space="preserve">. This characteristic enhances trust among stakeholders by ensuring that records are accurate, consistent, and publicly verifiable. In the context of compliance law, this level of transparency can significantly improve accountability and reduce the risk of fraud. Regulatory frameworks such as the Sarbanes-Oxley Act (SOX) in the United States, which </w:t>
      </w:r>
      <w:r w:rsidR="002710DD">
        <w:t>commands</w:t>
      </w:r>
      <w:r w:rsidR="00FC3A4E">
        <w:t xml:space="preserve"> stringent record-keeping and reporting standards for public companies, can benefit from blockchain's ability to provide a transparent and tamper-proof ledger of financial transactions. By utilizing blockchain, companies can ensure that their financial records </w:t>
      </w:r>
      <w:r w:rsidR="00FC3A4E">
        <w:lastRenderedPageBreak/>
        <w:t>are readily available for audit, thereby enhancing compliance with SOX requirements.</w:t>
      </w:r>
      <w:r w:rsidR="00532CB3">
        <w:t xml:space="preserve"> (HBR, 2017)</w:t>
      </w:r>
    </w:p>
    <w:p w14:paraId="68450BE9" w14:textId="501918D1" w:rsidR="00FC3A4E" w:rsidRDefault="002710DD" w:rsidP="00FC3A4E">
      <w:pPr>
        <w:pStyle w:val="NormalWeb"/>
        <w:jc w:val="both"/>
      </w:pPr>
      <w:r>
        <w:t>Furthermore,</w:t>
      </w:r>
      <w:r w:rsidR="00050C1C">
        <w:t xml:space="preserve"> </w:t>
      </w:r>
      <w:r>
        <w:t>a</w:t>
      </w:r>
      <w:r w:rsidR="00FC3A4E">
        <w:t xml:space="preserve">uditability is another crucial aspect where blockchain can make a substantial impact. The immutable nature of blockchain ensures that once data is recorded, it cannot be altered or deleted. This feature is invaluable for compliance purposes, as it guarantees the integrity and reliability of audit trails. </w:t>
      </w:r>
      <w:r>
        <w:t>Supervisory</w:t>
      </w:r>
      <w:r w:rsidR="00FC3A4E">
        <w:t xml:space="preserve"> bodies, such as the Securities and Exchange Commission (SEC), require companies to maintain accurate and auditable records of their financial transactions. Blockchain's immutability provides a robust solution for creating unalterable audit trails, thereby simplifying the audit </w:t>
      </w:r>
      <w:r>
        <w:t>process,</w:t>
      </w:r>
      <w:r w:rsidR="00FC3A4E">
        <w:t xml:space="preserve"> and </w:t>
      </w:r>
      <w:r>
        <w:t>guaranteeing</w:t>
      </w:r>
      <w:r w:rsidR="00FC3A4E">
        <w:t xml:space="preserve"> that companies can </w:t>
      </w:r>
      <w:r>
        <w:t>validate</w:t>
      </w:r>
      <w:r w:rsidR="00FC3A4E">
        <w:t xml:space="preserve"> compliance with regulatory requirements. This not only streamlines the auditing process but also </w:t>
      </w:r>
      <w:r>
        <w:t>augments</w:t>
      </w:r>
      <w:r w:rsidR="00FC3A4E">
        <w:t xml:space="preserve"> the credibility and trustworthiness of the reported data.</w:t>
      </w:r>
      <w:r w:rsidR="00532CB3">
        <w:t xml:space="preserve"> (Cable, 2018)</w:t>
      </w:r>
    </w:p>
    <w:p w14:paraId="22AEF223" w14:textId="195BF6D1" w:rsidR="00FC3A4E" w:rsidRDefault="00FC3A4E" w:rsidP="00FC3A4E">
      <w:pPr>
        <w:pStyle w:val="NormalWeb"/>
        <w:jc w:val="both"/>
      </w:pPr>
      <w:r>
        <w:t>However,</w:t>
      </w:r>
      <w:r w:rsidR="002710DD">
        <w:t xml:space="preserve"> </w:t>
      </w:r>
      <w:r>
        <w:t xml:space="preserve">the intersection of compliance law and blockchain transparency also introduces several challenges. One significant concern is the need to balance transparency with data privacy. Regulations such as the GDPR in the European Union and the CCPA impose strict requirements on the protection of personal data. While blockchain's transparency is beneficial for auditability and accountability, it can potentially conflict with data privacy laws. For instance, the GDPR grants individuals the right to request the deletion of their personal data, a provision that is inherently at odds with blockchain's immutable nature. </w:t>
      </w:r>
      <w:r w:rsidR="00EB7448">
        <w:t>In other words</w:t>
      </w:r>
      <w:r>
        <w:t>,</w:t>
      </w:r>
      <w:r w:rsidR="00EB7448">
        <w:t xml:space="preserve"> </w:t>
      </w:r>
      <w:r w:rsidR="004226E7">
        <w:t>it is importnat</w:t>
      </w:r>
      <w:r w:rsidR="00EB7448">
        <w:t xml:space="preserve"> that</w:t>
      </w:r>
      <w:r>
        <w:t xml:space="preserve"> companies are exploring solutions such as off-chain storage, where sensitive data is stored outside the blockchain, and only relevant hashes or references are recorded on the blockchain. This approach allows for the deletion or modification of personal data while preserving the integrity of the blockchain's audit trail.</w:t>
      </w:r>
      <w:r w:rsidR="002710DD">
        <w:t xml:space="preserve"> </w:t>
      </w:r>
      <w:r w:rsidR="004226E7">
        <w:t>T</w:t>
      </w:r>
      <w:r>
        <w:t xml:space="preserve">he financial industry, heavily </w:t>
      </w:r>
      <w:r w:rsidR="002710DD">
        <w:t>controlled</w:t>
      </w:r>
      <w:r>
        <w:t xml:space="preserve"> by </w:t>
      </w:r>
      <w:r w:rsidR="002710DD">
        <w:t xml:space="preserve">various </w:t>
      </w:r>
      <w:r>
        <w:t xml:space="preserve">compliance laws, can significantly benefit from blockchain's transparency and auditability. Anti-money laundering (AML) and know-your-customer (KYC) regulations </w:t>
      </w:r>
      <w:r w:rsidR="002710DD">
        <w:t>want</w:t>
      </w:r>
      <w:r>
        <w:t xml:space="preserve"> financial institutions to </w:t>
      </w:r>
      <w:r w:rsidR="002710DD">
        <w:t>preserve</w:t>
      </w:r>
      <w:r>
        <w:t xml:space="preserve"> detailed records of customer identities and transaction histories. Blockchain can enhance compliance with these regulations by providing a transparent and immutable ledger of all transactions, making it </w:t>
      </w:r>
      <w:r w:rsidR="00EB7448">
        <w:t>humbler</w:t>
      </w:r>
      <w:r>
        <w:t xml:space="preserve"> to track and monitor suspicious activities. Moreover, smart contracts</w:t>
      </w:r>
      <w:r w:rsidR="002710DD">
        <w:t xml:space="preserve"> </w:t>
      </w:r>
      <w:r>
        <w:t>can automate compliance checks, ensuring that transactions adhere to regulatory requirements in real-time. This reduces the burden on financial institutions to manually verify compliance, thereby increasing efficiency and accuracy.</w:t>
      </w:r>
      <w:r w:rsidR="00532CB3">
        <w:t xml:space="preserve"> (HBR, 2017)</w:t>
      </w:r>
    </w:p>
    <w:p w14:paraId="2C8BFA63" w14:textId="221119A3" w:rsidR="00FC3A4E" w:rsidRDefault="00FC3A4E" w:rsidP="00FC3A4E">
      <w:pPr>
        <w:pStyle w:val="NormalWeb"/>
        <w:jc w:val="both"/>
      </w:pPr>
      <w:r>
        <w:t xml:space="preserve">In the healthcare </w:t>
      </w:r>
      <w:r w:rsidR="00EB7448">
        <w:t>area</w:t>
      </w:r>
      <w:r>
        <w:t>,</w:t>
      </w:r>
      <w:r w:rsidR="00CC6448">
        <w:t xml:space="preserve"> </w:t>
      </w:r>
      <w:r>
        <w:t>compliance with regulations such as the HIPAA</w:t>
      </w:r>
      <w:r w:rsidR="001D430E">
        <w:t xml:space="preserve"> </w:t>
      </w:r>
      <w:r>
        <w:t xml:space="preserve">is crucial for protecting patient data. Blockchain's transparency and immutability can help ensure that health records are securely and accurately maintained, providing a reliable audit trail for regulatory purposes. However, the need to protect sensitive health information necessitates the implementation of robust encryption and access control mechanisms within the blockchain framework. </w:t>
      </w:r>
      <w:r w:rsidR="00532CB3">
        <w:t xml:space="preserve">(Cable, 2018) </w:t>
      </w:r>
      <w:r>
        <w:t>By combining blockchain's transparency with strong security measures, healthcare providers can enhance compliance with HIPAA and other data protection regulations while improving the overall integrity and reliability of health records.</w:t>
      </w:r>
    </w:p>
    <w:p w14:paraId="1111815C" w14:textId="59017284" w:rsidR="00FC3A4E" w:rsidRDefault="006133F6" w:rsidP="00FC3A4E">
      <w:pPr>
        <w:pStyle w:val="NormalWeb"/>
        <w:jc w:val="both"/>
      </w:pPr>
      <w:r>
        <w:t>However, s</w:t>
      </w:r>
      <w:r w:rsidR="00FC3A4E">
        <w:t xml:space="preserve">upply chain management is another area where blockchain's transparency and auditability can drive significant improvements in regulatory compliance. Regulations such as the Food Safety Modernization Act (FSMA) and the Drug Supply Chain Security Act (DSCSA) require detailed tracking and reporting of goods throughout the supply chain to ensure safety and </w:t>
      </w:r>
      <w:r w:rsidR="00FC3A4E">
        <w:lastRenderedPageBreak/>
        <w:t>authenticity.</w:t>
      </w:r>
      <w:r>
        <w:t xml:space="preserve"> </w:t>
      </w:r>
      <w:r w:rsidR="005F0041">
        <w:t>The</w:t>
      </w:r>
      <w:r w:rsidR="00FC3A4E">
        <w:t xml:space="preserve"> </w:t>
      </w:r>
      <w:r>
        <w:t>b</w:t>
      </w:r>
      <w:r w:rsidR="00FC3A4E">
        <w:t>lockchain's transparent and immutable ledger allows for real-time tracking of products, providing a clear and auditable trail from origin to destination. This not only enhances compliance with regulatory requirements but also helps prevent counterfeiting and ensures the authenticity of goods. For example, in the food industry, blockchain can be used to track the journey of food products from farm to table, providing consumers and regulators with verifiable information about the product's origin, handling, and storage conditions.</w:t>
      </w:r>
      <w:r w:rsidR="00532CB3">
        <w:t xml:space="preserve"> (Walters, 2019)</w:t>
      </w:r>
    </w:p>
    <w:p w14:paraId="679C4E48" w14:textId="3CE6D07B" w:rsidR="00FC3A4E" w:rsidRPr="006D3E14" w:rsidRDefault="00050C1C" w:rsidP="00FC3A4E">
      <w:pPr>
        <w:pStyle w:val="NormalWeb"/>
        <w:jc w:val="both"/>
      </w:pPr>
      <w:r>
        <w:t>T</w:t>
      </w:r>
      <w:r w:rsidR="00FC3A4E">
        <w:t>he implementation of blockchain for transparency and auditability must be carefully managed to ensure compliance with relevant laws and regulations. Governance frameworks must be established to define roles, responsibilities, and procedures for managing the blockchain network. This includes ensuring that participants adhere to legal requirements, maintaining the accuracy and integrity of the data, and resolving disputes that may arise. Additionally, regulatory bodies must continue to evolve and adapt their frameworks to address the unique characteristics of blockchain technology, providing clear guidelines and standards for its use</w:t>
      </w:r>
      <w:r w:rsidR="006D3E14">
        <w:t>. (WEF, 2020)</w:t>
      </w:r>
    </w:p>
    <w:p w14:paraId="2C3974AB" w14:textId="2BE97E84" w:rsidR="00CC6448" w:rsidRDefault="0008637F" w:rsidP="00CC6448">
      <w:pPr>
        <w:pStyle w:val="NormalWeb"/>
        <w:jc w:val="both"/>
      </w:pPr>
      <w:r>
        <w:t xml:space="preserve">Moreover, </w:t>
      </w:r>
      <w:r w:rsidR="00050C1C">
        <w:t>an identifiable</w:t>
      </w:r>
      <w:r>
        <w:t xml:space="preserve"> that</w:t>
      </w:r>
      <w:r w:rsidR="00CC6448">
        <w:t xml:space="preserve"> compliance law significantly influences the use of blockchain technology in enhancing transparency and auditability across various industries. While blockchain's inherent features offer substantial benefits for regulatory compliance, they also present challenges that must be carefully navigated. By balancing transparency with data privacy, implementing robust security measures, and establishing effective governance frameworks, organizations can leverage blockchain to improve compliance, enhance accountability, and build trust among stakeholders. As regulatory frameworks continue to evolve, ongoing collaboration bet</w:t>
      </w:r>
      <w:r w:rsidR="005F0041">
        <w:t>we</w:t>
      </w:r>
      <w:r w:rsidR="00CC6448">
        <w:t>en regulators, technologists, and industry stakeholders will be essential to fully realize the potential of blockchain in supporting transparent and auditable record-keeping.</w:t>
      </w:r>
      <w:r w:rsidR="006D3E14">
        <w:t xml:space="preserve"> (WEF, 2020)</w:t>
      </w:r>
    </w:p>
    <w:p w14:paraId="1E857AB6" w14:textId="77777777" w:rsidR="00CC6448" w:rsidRPr="00CC6448" w:rsidRDefault="00CC6448" w:rsidP="00FC3A4E">
      <w:pPr>
        <w:pStyle w:val="NormalWeb"/>
        <w:jc w:val="both"/>
      </w:pPr>
    </w:p>
    <w:p w14:paraId="46CCC9B9" w14:textId="7FA99B5E" w:rsidR="002D1AF7" w:rsidRPr="00A14752" w:rsidRDefault="00A14752" w:rsidP="002D1AF7">
      <w:pPr>
        <w:rPr>
          <w:rFonts w:ascii="Times New Roman" w:hAnsi="Times New Roman" w:cs="Times New Roman"/>
          <w:b/>
          <w:bCs/>
          <w:sz w:val="32"/>
          <w:szCs w:val="32"/>
          <w:u w:val="single"/>
        </w:rPr>
      </w:pPr>
      <w:r w:rsidRPr="00A14752">
        <w:rPr>
          <w:rFonts w:ascii="Times New Roman" w:hAnsi="Times New Roman" w:cs="Times New Roman"/>
          <w:b/>
          <w:bCs/>
          <w:sz w:val="32"/>
          <w:szCs w:val="32"/>
          <w:u w:val="single"/>
        </w:rPr>
        <w:t>Compliance Law in Case Studies of Successful Implementations</w:t>
      </w:r>
    </w:p>
    <w:p w14:paraId="1E218607" w14:textId="2DC7917A" w:rsidR="00050C1C" w:rsidRDefault="00050C1C" w:rsidP="00D6233A">
      <w:pPr>
        <w:pStyle w:val="NormalWeb"/>
        <w:jc w:val="both"/>
      </w:pPr>
    </w:p>
    <w:p w14:paraId="199FE1C6" w14:textId="26470BE2" w:rsidR="00D6233A" w:rsidRDefault="00050C1C" w:rsidP="00D6233A">
      <w:pPr>
        <w:pStyle w:val="NormalWeb"/>
        <w:jc w:val="both"/>
      </w:pPr>
      <w:r>
        <w:t>C</w:t>
      </w:r>
      <w:r w:rsidR="00D6233A">
        <w:t xml:space="preserve">ompliance law plays a </w:t>
      </w:r>
      <w:r w:rsidR="00B4540A">
        <w:t>critical</w:t>
      </w:r>
      <w:r w:rsidR="00D6233A">
        <w:t xml:space="preserve"> role in the implementation of blockchain technology across various industries. </w:t>
      </w:r>
      <w:r w:rsidR="005F0041">
        <w:t>Through</w:t>
      </w:r>
      <w:r w:rsidR="00D6233A">
        <w:t xml:space="preserve"> </w:t>
      </w:r>
      <w:r w:rsidR="00B4540A">
        <w:t>exploratory</w:t>
      </w:r>
      <w:r w:rsidR="00D6233A">
        <w:t xml:space="preserve"> case studies of successful implementations, </w:t>
      </w:r>
      <w:r w:rsidR="005F0041">
        <w:t>it can be</w:t>
      </w:r>
      <w:r w:rsidR="00D6233A">
        <w:t xml:space="preserve"> gain</w:t>
      </w:r>
      <w:r w:rsidR="005F0041">
        <w:t>ed that</w:t>
      </w:r>
      <w:r w:rsidR="00D6233A">
        <w:t xml:space="preserve"> a deeper understanding of how supervisory agendas shape and enhance the deployment of blockchain solutions. These case studies </w:t>
      </w:r>
      <w:r w:rsidR="00B4540A">
        <w:t>demonstrate</w:t>
      </w:r>
      <w:r w:rsidR="00D6233A">
        <w:t xml:space="preserve"> the challenges, strategies, and benefits </w:t>
      </w:r>
      <w:r w:rsidR="00B4540A">
        <w:t>related</w:t>
      </w:r>
      <w:r w:rsidR="00D6233A">
        <w:t xml:space="preserve"> with ensuring compliance while leveraging blockchain’s capabilities for transparency, security, and efficiency.</w:t>
      </w:r>
    </w:p>
    <w:p w14:paraId="25A5312A" w14:textId="09088F23" w:rsidR="00D6233A" w:rsidRDefault="00050C1C" w:rsidP="00D6233A">
      <w:pPr>
        <w:pStyle w:val="NormalWeb"/>
        <w:jc w:val="both"/>
      </w:pPr>
      <w:r>
        <w:t>O</w:t>
      </w:r>
      <w:r w:rsidR="00D6233A">
        <w:t xml:space="preserve">ne </w:t>
      </w:r>
      <w:r w:rsidR="00B4540A">
        <w:t>prominent</w:t>
      </w:r>
      <w:r w:rsidR="00D6233A">
        <w:t xml:space="preserve"> example of successful implementation is the use of blockchain by IBM Food Trust. This blockchain-based supply chain solution enhances food traceability and safety, allowing participants to track the journey of food products from farm to table. Compliance with regulations such as the Food Safety Modernization Act (FSMA) is a critical aspect of this implementation. By utilizing blockchain, IBM Food Trust provides a transparent and immutable ledger of all transactions within the supply chain. This ensures that food safety information is readily available and verifiable, meeting regulatory requirements for record-keeping and traceability. The immutable nature of blockchain records </w:t>
      </w:r>
      <w:r w:rsidR="00EB7448">
        <w:t>augments</w:t>
      </w:r>
      <w:r w:rsidR="00D6233A">
        <w:t xml:space="preserve"> the reliability of data, reducing the risk of fraud </w:t>
      </w:r>
      <w:r w:rsidR="00D6233A">
        <w:lastRenderedPageBreak/>
        <w:t>and errors, and ultimately helping companies comply with stringent food safety regulations. This implementation demonstrates how blockchain can streamline compliance processes, increase transparency, and build trust among consumers and regulators.</w:t>
      </w:r>
      <w:r w:rsidR="00B4540A">
        <w:t xml:space="preserve"> (Civitillo, 2023)</w:t>
      </w:r>
    </w:p>
    <w:p w14:paraId="4D5BCFA1" w14:textId="49E8E03E" w:rsidR="00D6233A" w:rsidRDefault="002D0486" w:rsidP="00D6233A">
      <w:pPr>
        <w:pStyle w:val="NormalWeb"/>
        <w:jc w:val="both"/>
      </w:pPr>
      <w:r>
        <w:t>In the</w:t>
      </w:r>
      <w:r w:rsidR="00D6233A">
        <w:t xml:space="preserve"> financial sector, the adoption of blockchain by JPMorgan Chase for its Quorum platform showcases how compliance law influences blockchain implementations. Quorum is a special blockchain platform designed to meet the needs of financial institutions while adhering to regulatory requirements such as the GDPR and A</w:t>
      </w:r>
      <w:r w:rsidR="00291A08">
        <w:t>ML</w:t>
      </w:r>
      <w:r w:rsidR="00D6233A">
        <w:t xml:space="preserve"> laws. By integrating privacy features and enabling the creation of private transactions, Quorum ensures that sensitive data remains protected and compliant with data privacy regulations. This case study highlights how compliance law drives the design and features of blockchain platforms to ensure they meet regulatory standards while </w:t>
      </w:r>
      <w:r w:rsidR="00EB7448">
        <w:t>transporting</w:t>
      </w:r>
      <w:r w:rsidR="00D6233A">
        <w:t xml:space="preserve"> the benefits of increased efficiency and security.</w:t>
      </w:r>
      <w:r w:rsidR="00B4540A">
        <w:t xml:space="preserve"> (Shevchenko and Lunsford, 2023)</w:t>
      </w:r>
    </w:p>
    <w:p w14:paraId="5639363E" w14:textId="4B4EFDB2" w:rsidR="00D6233A" w:rsidRDefault="002D0486" w:rsidP="00D6233A">
      <w:pPr>
        <w:pStyle w:val="NormalWeb"/>
        <w:jc w:val="both"/>
      </w:pPr>
      <w:r>
        <w:t>A</w:t>
      </w:r>
      <w:r w:rsidR="00D6233A">
        <w:t>nother significant case study is the u</w:t>
      </w:r>
      <w:r w:rsidR="00134EB7">
        <w:t>tilization</w:t>
      </w:r>
      <w:r w:rsidR="00D6233A">
        <w:t xml:space="preserve"> of blockchain by the pharmaceutical industry through the MediLedger Project</w:t>
      </w:r>
      <w:r>
        <w:t>. T</w:t>
      </w:r>
      <w:r w:rsidR="00D6233A">
        <w:t xml:space="preserve">his initiative aims to </w:t>
      </w:r>
      <w:r w:rsidR="00134EB7">
        <w:t>augment</w:t>
      </w:r>
      <w:r w:rsidR="00D6233A">
        <w:t xml:space="preserve"> the traceability and security of pharmaceutical products, ensuring compliance with the Drug Supply Chain Security Act (DSCSA). MediLedger leverages blockchain to create a secure and transparent ledger of transactions, </w:t>
      </w:r>
      <w:r w:rsidR="00B31EBF">
        <w:t>delivering</w:t>
      </w:r>
      <w:r w:rsidR="00D6233A">
        <w:t xml:space="preserve"> an auditable trail of pharmaceutical products as they move through the supply chain. Compliance with DSCSA is achieved by ensuring that all participants in the supply chain can verify the authenticity and provenance of products, </w:t>
      </w:r>
      <w:r w:rsidR="00134EB7">
        <w:t>dropping</w:t>
      </w:r>
      <w:r w:rsidR="00D6233A">
        <w:t xml:space="preserve"> the risk of counterfeit drugs entering the market. The immutable nature of blockchain records ensures that once data is </w:t>
      </w:r>
      <w:r w:rsidR="00134EB7">
        <w:t>chronicled</w:t>
      </w:r>
      <w:r w:rsidR="00D6233A">
        <w:t>, it cannot be altered, providing a reliable source of truth for regulatory audits. This implementation underscores the role of compliance law in driving the adoption of blockchain solutions that enhance transparency, security, and accountability in highly regulated industries.</w:t>
      </w:r>
      <w:r w:rsidR="00B31EBF">
        <w:t xml:space="preserve"> (SWOT, </w:t>
      </w:r>
      <w:r w:rsidR="00B31EBF" w:rsidRPr="002D1AF7">
        <w:t>Filippi and Hassan</w:t>
      </w:r>
      <w:r w:rsidR="00B31EBF">
        <w:t xml:space="preserve">, 2016) </w:t>
      </w:r>
    </w:p>
    <w:p w14:paraId="6BE2D1CC" w14:textId="415C3FB8" w:rsidR="00D6233A" w:rsidRDefault="00D6233A" w:rsidP="00D6233A">
      <w:pPr>
        <w:pStyle w:val="NormalWeb"/>
        <w:jc w:val="both"/>
      </w:pPr>
      <w:r>
        <w:t>In the healthcare sector,</w:t>
      </w:r>
      <w:r w:rsidR="002363E5">
        <w:t xml:space="preserve"> </w:t>
      </w:r>
      <w:r w:rsidR="002D0486">
        <w:t>t</w:t>
      </w:r>
      <w:r>
        <w:t>he use of blockchain by Medicalchain offers a compelling example of how compliance law impacts blockchain implementations. Medicalchain is a platform that enables secure and compliant sharing of electronic health records (EHRs) among patients, healthcare providers, and insurers. Compliance with regulations such as the HIPAA is paramount in this context. By utilizing blockchain, Medicalchain ensures that health records are stored securely and accessed only by authorized parties, maintaining patient privacy and data integrity.</w:t>
      </w:r>
      <w:r w:rsidR="002363E5">
        <w:t xml:space="preserve"> However, t</w:t>
      </w:r>
      <w:r>
        <w:t xml:space="preserve">he transparent and immutable nature of blockchain records </w:t>
      </w:r>
      <w:r w:rsidR="002363E5">
        <w:t>offers</w:t>
      </w:r>
      <w:r>
        <w:t xml:space="preserve"> a reliable audit trail, facilitating compliance with HIPAA’s requirements for data protection and access control. This case study illustrates how compliance law shapes the development and deployment of blockchain solutions that prioritize data privacy and security in the healthcare industry.</w:t>
      </w:r>
    </w:p>
    <w:p w14:paraId="779760D0" w14:textId="1BA67610" w:rsidR="00D6233A" w:rsidRDefault="00D6233A" w:rsidP="00D6233A">
      <w:pPr>
        <w:pStyle w:val="NormalWeb"/>
        <w:jc w:val="both"/>
      </w:pPr>
      <w:r>
        <w:t xml:space="preserve">The </w:t>
      </w:r>
      <w:r w:rsidR="00B31EBF">
        <w:t>operation</w:t>
      </w:r>
      <w:r>
        <w:t xml:space="preserve"> of blockchain by the United Nations World Food Programme (WFP) in its Building Blocks project </w:t>
      </w:r>
      <w:r w:rsidR="00B31EBF">
        <w:t>seeks to elucidate that</w:t>
      </w:r>
      <w:r>
        <w:t xml:space="preserve"> the humanitarian applications of blockchain technology and the importance of compliance with international regulations.</w:t>
      </w:r>
      <w:r w:rsidR="00B31EBF">
        <w:t xml:space="preserve"> </w:t>
      </w:r>
      <w:r w:rsidR="002D0486">
        <w:t>T</w:t>
      </w:r>
      <w:r w:rsidR="00B31EBF">
        <w:t>he</w:t>
      </w:r>
      <w:r>
        <w:t xml:space="preserve"> </w:t>
      </w:r>
      <w:r w:rsidR="00B31EBF">
        <w:t>b</w:t>
      </w:r>
      <w:r>
        <w:t xml:space="preserve">uilding </w:t>
      </w:r>
      <w:r w:rsidR="00B31EBF">
        <w:t>b</w:t>
      </w:r>
      <w:r>
        <w:t xml:space="preserve">locks </w:t>
      </w:r>
      <w:r w:rsidR="00B31EBF">
        <w:t>leverage</w:t>
      </w:r>
      <w:r>
        <w:t xml:space="preserve"> blockchain to enhance the efficiency and transparency of cash-based transfers to refugees.</w:t>
      </w:r>
      <w:r w:rsidR="00B31EBF">
        <w:t xml:space="preserve"> </w:t>
      </w:r>
      <w:r w:rsidR="002D0486">
        <w:t>B</w:t>
      </w:r>
      <w:r w:rsidR="00B31EBF">
        <w:t xml:space="preserve">y </w:t>
      </w:r>
      <w:r>
        <w:t xml:space="preserve">creating a transparent ledger of transactions, the WFP ensures that aid reaches its intended recipients while complying with international financial regulations. The immutable nature of blockchain records provides a reliable source of data for auditing and reporting purposes, enhancing accountability and trust in the distribution of humanitarian aid. This case study demonstrates how compliance with international regulations drives the adoption of blockchain </w:t>
      </w:r>
      <w:r>
        <w:lastRenderedPageBreak/>
        <w:t>solutions that enhance transparency and efficiency in the delivery of humanitarian assistance.</w:t>
      </w:r>
      <w:r w:rsidR="0086225C">
        <w:t xml:space="preserve"> (HBR, 2017)</w:t>
      </w:r>
    </w:p>
    <w:p w14:paraId="056A0660" w14:textId="754EB57B" w:rsidR="00D6233A" w:rsidRDefault="002D0486" w:rsidP="00D6233A">
      <w:pPr>
        <w:pStyle w:val="NormalWeb"/>
        <w:jc w:val="both"/>
      </w:pPr>
      <w:r>
        <w:t>T</w:t>
      </w:r>
      <w:r w:rsidR="00D6233A">
        <w:t xml:space="preserve">hese case studies collectively </w:t>
      </w:r>
      <w:r w:rsidR="00B31EBF">
        <w:t>exemplify</w:t>
      </w:r>
      <w:r w:rsidR="00D6233A">
        <w:t xml:space="preserve"> the profound impact of compliance law on the successful implementation of blockchain technology across various sectors. Compliance with regulatory frameworks ensures that blockchain solutions are </w:t>
      </w:r>
      <w:r w:rsidR="00B31EBF">
        <w:t>calculated</w:t>
      </w:r>
      <w:r w:rsidR="00D6233A">
        <w:t xml:space="preserve"> and deployed in a manner that meets legal standards, protects data privacy, and enhances transparency and accountability.</w:t>
      </w:r>
      <w:r w:rsidR="005F0041">
        <w:t xml:space="preserve"> B</w:t>
      </w:r>
      <w:r w:rsidR="00D6233A">
        <w:t xml:space="preserve">y </w:t>
      </w:r>
      <w:r w:rsidR="00B31EBF">
        <w:t>supporting</w:t>
      </w:r>
      <w:r w:rsidR="00D6233A">
        <w:t xml:space="preserve"> blockchain technology with compliance requirements, organizations can harness the benefits of increased efficiency, security, and trust while mitigating legal risks and ensuring adherence to regulatory standards. The intersection of compliance law and blockchain technology continues to evolve, driving innovation and shaping the future of transparent and secure digital transactions across diverse industries.</w:t>
      </w:r>
      <w:r w:rsidR="0086225C">
        <w:t xml:space="preserve"> (Cable, 2018)</w:t>
      </w:r>
    </w:p>
    <w:p w14:paraId="16315893" w14:textId="55D6D4E4" w:rsidR="00BC605F" w:rsidRDefault="00BC605F" w:rsidP="00BC605F">
      <w:pPr>
        <w:rPr>
          <w:rFonts w:ascii="Times New Roman" w:hAnsi="Times New Roman" w:cs="Times New Roman"/>
          <w:b/>
          <w:bCs/>
          <w:sz w:val="32"/>
          <w:szCs w:val="32"/>
          <w:u w:val="single"/>
        </w:rPr>
      </w:pPr>
      <w:r w:rsidRPr="00A14752">
        <w:rPr>
          <w:rFonts w:ascii="Times New Roman" w:hAnsi="Times New Roman" w:cs="Times New Roman"/>
          <w:b/>
          <w:bCs/>
          <w:sz w:val="32"/>
          <w:szCs w:val="32"/>
          <w:u w:val="single"/>
        </w:rPr>
        <w:t xml:space="preserve">Compliance Law in </w:t>
      </w:r>
      <w:r w:rsidRPr="00BC605F">
        <w:rPr>
          <w:rFonts w:ascii="Times New Roman" w:hAnsi="Times New Roman" w:cs="Times New Roman"/>
          <w:b/>
          <w:bCs/>
          <w:sz w:val="32"/>
          <w:szCs w:val="32"/>
          <w:u w:val="single"/>
        </w:rPr>
        <w:t>and its future in tech startups according to industry experts</w:t>
      </w:r>
      <w:r>
        <w:rPr>
          <w:rFonts w:ascii="Times New Roman" w:hAnsi="Times New Roman" w:cs="Times New Roman"/>
          <w:b/>
          <w:bCs/>
          <w:sz w:val="32"/>
          <w:szCs w:val="32"/>
          <w:u w:val="single"/>
        </w:rPr>
        <w:t>:</w:t>
      </w:r>
    </w:p>
    <w:p w14:paraId="5A56DB38" w14:textId="73402CFC" w:rsidR="00330FD7" w:rsidRDefault="00330FD7" w:rsidP="006456BB">
      <w:pPr>
        <w:pStyle w:val="NormalWeb"/>
        <w:jc w:val="both"/>
      </w:pPr>
      <w:r>
        <w:t>It is known</w:t>
      </w:r>
      <w:r w:rsidR="00322AA1">
        <w:t xml:space="preserve"> that c</w:t>
      </w:r>
      <w:r w:rsidR="006456BB">
        <w:t>ompliance law exerts a profound influence on the trajectory and operations of tech startups, a dynamic that industry experts continue to scrutinize as the legal landscape evolves. For emerging companies, adhering to regulatory frameworks is not just a matter of legal obligation but also a crucial component of building trust and credibility in the market. Industry experts foresee several key trends and challenges that will shape the future of compliance law in tech startups, emphasizing its role in ensuring sustainable growth and innovation.</w:t>
      </w:r>
      <w:r w:rsidR="0086225C">
        <w:t xml:space="preserve"> (HBR, 2017)</w:t>
      </w:r>
    </w:p>
    <w:p w14:paraId="57F65E04" w14:textId="43FC4A88" w:rsidR="006456BB" w:rsidRDefault="00330FD7" w:rsidP="006456BB">
      <w:pPr>
        <w:pStyle w:val="NormalWeb"/>
        <w:jc w:val="both"/>
      </w:pPr>
      <w:r>
        <w:t>It is also crucial to understand</w:t>
      </w:r>
      <w:r w:rsidR="00322AA1">
        <w:t xml:space="preserve"> that o</w:t>
      </w:r>
      <w:r w:rsidR="006456BB">
        <w:t>ne significant area of impact is data privacy and protection. The enactment of regulations such as the GDPR and the CCPA has fundamentally altered how tech startups handle personal data. Experts predict that these regulations will continue to evolve, becoming even more stringent and comprehensive. Startups must prioritize data protection from the outset, integrating privacy-by-design principles into their technologies and operations. This proactive approach not only ensures compliance but also fosters consumer trust, a critical asset in an increasingly data-conscious market. As more jurisdictions adopt their own privacy laws, the challenge for startups will be navigating a patchwork of regulations, necessitating robust compliance strategies and agile legal frameworks.</w:t>
      </w:r>
      <w:r w:rsidR="00322AA1">
        <w:t xml:space="preserve"> </w:t>
      </w:r>
    </w:p>
    <w:p w14:paraId="2181A2A9" w14:textId="6B086F78" w:rsidR="006456BB" w:rsidRDefault="006456BB" w:rsidP="006456BB">
      <w:pPr>
        <w:pStyle w:val="NormalWeb"/>
        <w:jc w:val="both"/>
      </w:pPr>
      <w:r>
        <w:t>In addition to data privacy</w:t>
      </w:r>
      <w:r w:rsidR="00322AA1">
        <w:t xml:space="preserve">, </w:t>
      </w:r>
      <w:r w:rsidR="00330FD7">
        <w:t>it is also crucial</w:t>
      </w:r>
      <w:r w:rsidR="00322AA1">
        <w:t xml:space="preserve"> to understand</w:t>
      </w:r>
      <w:r>
        <w:t xml:space="preserve"> the rise of artificial intelligence (AI) and machine learning technologies presents new compliance challenges. Industry experts highlight the ethical and regulatory implications of AI, particularly concerning bias, transparency, and accountability. Regulations aimed at ensuring ethical AI practices are anticipated, requiring startups to develop and deploy AI systems that are fair, explainable, and subject to human oversight. Compliance with these emerging regulations will be crucial for startups to avoid legal repercussions and build systems that users and stakeholders can trust. Furthermore, adhering to these standards will likely become a competitive differentiator, as consumers and partners increasingly demand ethically sound AI solutions.</w:t>
      </w:r>
      <w:r w:rsidR="0086225C">
        <w:t xml:space="preserve"> (Cable, 2018)</w:t>
      </w:r>
    </w:p>
    <w:p w14:paraId="0549F3C2" w14:textId="4882CADA" w:rsidR="006456BB" w:rsidRDefault="00F2442E" w:rsidP="006456BB">
      <w:pPr>
        <w:pStyle w:val="NormalWeb"/>
        <w:jc w:val="both"/>
      </w:pPr>
      <w:r>
        <w:t xml:space="preserve">It is also very important </w:t>
      </w:r>
      <w:r w:rsidR="00322AA1">
        <w:t>to examine how c</w:t>
      </w:r>
      <w:r w:rsidR="006456BB">
        <w:t xml:space="preserve">ybersecurity is another critical domain where compliance law plays a pivotal role. As cyber threats grow in sophistication and frequency, regulatory bodies </w:t>
      </w:r>
      <w:r w:rsidR="006456BB">
        <w:lastRenderedPageBreak/>
        <w:t>are imposing stricter requirements on how companies protect their digital assets. Industry experts emphasize that tech startups, often perceived as more vulnerable due to limited resources, must implement robust cybersecurity measures to comply with regulations such as the Cybersecurity Maturity Model Certification (CMMC) and the National Institute of Standards and Technology (NIST) frameworks. These measures not only safeguard sensitive information but also enhance the resilience of startups against cyberattacks, which can have devastating consequences. Future compliance will likely involve continuous monitoring and updating of security protocols to keep pace with evolving threats.</w:t>
      </w:r>
    </w:p>
    <w:p w14:paraId="0118FC19" w14:textId="0E52873E" w:rsidR="006456BB" w:rsidRDefault="00F2442E" w:rsidP="006456BB">
      <w:pPr>
        <w:pStyle w:val="NormalWeb"/>
        <w:jc w:val="both"/>
      </w:pPr>
      <w:r>
        <w:t>It is vital to understand</w:t>
      </w:r>
      <w:r w:rsidR="00322AA1">
        <w:t xml:space="preserve"> that f</w:t>
      </w:r>
      <w:r w:rsidR="006456BB">
        <w:t>inancial regulations also significantly affect tech startups, particularly those operating in fintech or handling digital currencies. Compliance</w:t>
      </w:r>
      <w:r w:rsidR="00322AA1">
        <w:t xml:space="preserve">, </w:t>
      </w:r>
      <w:r w:rsidR="006456BB">
        <w:t>AML</w:t>
      </w:r>
      <w:r w:rsidR="00322AA1">
        <w:t>,</w:t>
      </w:r>
      <w:r w:rsidR="006456BB">
        <w:t xml:space="preserve"> and know-your-customer (KYC) regulations </w:t>
      </w:r>
      <w:r w:rsidR="00322AA1">
        <w:t>are</w:t>
      </w:r>
      <w:r w:rsidR="006456BB">
        <w:t xml:space="preserve"> critical to prevent illicit activities and ensure the legitimacy of financial transactions. Industry experts foresee increased regulatory scrutiny in this area, driven by the rapid evolution of digital financial services and the growing adoption of cryptocurrencies. Startups must invest in sophisticated compliance infrastructure capable of conducting thorough due diligence and monitoring transactions in </w:t>
      </w:r>
      <w:r w:rsidR="00322AA1">
        <w:t>real time</w:t>
      </w:r>
      <w:r w:rsidR="006456BB">
        <w:t>. Moreover, compliance with financial regulations will become increasingly automated, leveraging technologies such as blockchain and AI to enhance transparency and efficiency in regulatory reporting and enforcement.</w:t>
      </w:r>
      <w:r w:rsidR="00BD05C8">
        <w:t xml:space="preserve"> (Jesuthasan, 2019)</w:t>
      </w:r>
    </w:p>
    <w:p w14:paraId="368BFB69" w14:textId="512E824C" w:rsidR="006456BB" w:rsidRDefault="00AC2BE5" w:rsidP="006456BB">
      <w:pPr>
        <w:pStyle w:val="NormalWeb"/>
        <w:jc w:val="both"/>
      </w:pPr>
      <w:r>
        <w:t>However,</w:t>
      </w:r>
      <w:r w:rsidR="00FF033C">
        <w:t xml:space="preserve"> there are</w:t>
      </w:r>
      <w:r>
        <w:t xml:space="preserve"> also </w:t>
      </w:r>
      <w:r w:rsidR="00FF033C">
        <w:t xml:space="preserve">major </w:t>
      </w:r>
      <w:r>
        <w:t>consider</w:t>
      </w:r>
      <w:r w:rsidR="00FF033C">
        <w:t>ations such as</w:t>
      </w:r>
      <w:r>
        <w:t xml:space="preserve"> t</w:t>
      </w:r>
      <w:r w:rsidR="006456BB">
        <w:t xml:space="preserve">he environmental impact of tech startups is </w:t>
      </w:r>
      <w:r>
        <w:t>acquisition</w:t>
      </w:r>
      <w:r w:rsidR="006456BB">
        <w:t xml:space="preserve"> attention, particularly in the </w:t>
      </w:r>
      <w:r>
        <w:t>situation</w:t>
      </w:r>
      <w:r w:rsidR="006456BB">
        <w:t xml:space="preserve"> of compliance with sustainability regulations. As global awareness of climate change intensifies, regulatory bodies are enacting laws </w:t>
      </w:r>
      <w:r>
        <w:t>intended</w:t>
      </w:r>
      <w:r w:rsidR="006456BB">
        <w:t xml:space="preserve"> at reducing carbon footprints and promoting </w:t>
      </w:r>
      <w:r>
        <w:t>supportable</w:t>
      </w:r>
      <w:r w:rsidR="006456BB">
        <w:t xml:space="preserve"> practices. Startups, </w:t>
      </w:r>
      <w:r>
        <w:t>especially</w:t>
      </w:r>
      <w:r w:rsidR="006456BB">
        <w:t xml:space="preserve"> those in sectors like hardware manufacturing or cloud computing, will need to </w:t>
      </w:r>
      <w:r>
        <w:t>fulfill</w:t>
      </w:r>
      <w:r w:rsidR="006456BB">
        <w:t xml:space="preserve"> with these regulations by adopting greener technologies and processes. Industry experts predict that compliance with environmental regulations will not only be a legal </w:t>
      </w:r>
      <w:r>
        <w:t>requirement</w:t>
      </w:r>
      <w:r w:rsidR="006456BB">
        <w:t xml:space="preserve"> but also a market imperative, as consumers and investors </w:t>
      </w:r>
      <w:r>
        <w:t>arrange</w:t>
      </w:r>
      <w:r w:rsidR="006456BB">
        <w:t xml:space="preserve"> sustainability. Startups that proactively embrace sustainability will likely gain a competitive edge and </w:t>
      </w:r>
      <w:r>
        <w:t>application</w:t>
      </w:r>
      <w:r w:rsidR="006456BB">
        <w:t xml:space="preserve"> to a broader audience </w:t>
      </w:r>
      <w:r>
        <w:t>devoted</w:t>
      </w:r>
      <w:r w:rsidR="006456BB">
        <w:t xml:space="preserve"> to environmental stewardship.</w:t>
      </w:r>
      <w:r w:rsidR="001E2363">
        <w:t xml:space="preserve"> (Jesuthasan, 2019)</w:t>
      </w:r>
    </w:p>
    <w:p w14:paraId="3338CB0E" w14:textId="532CBC1B" w:rsidR="006456BB" w:rsidRDefault="00AC2BE5" w:rsidP="006456BB">
      <w:pPr>
        <w:pStyle w:val="NormalWeb"/>
        <w:jc w:val="both"/>
      </w:pPr>
      <w:r>
        <w:t>In additio</w:t>
      </w:r>
      <w:r w:rsidR="00FF033C">
        <w:t xml:space="preserve">n, there are </w:t>
      </w:r>
      <w:r>
        <w:t>g</w:t>
      </w:r>
      <w:r w:rsidR="006456BB">
        <w:t>overnance and ethical considerations</w:t>
      </w:r>
      <w:r w:rsidR="00FF033C">
        <w:t>, which</w:t>
      </w:r>
      <w:r w:rsidR="006456BB">
        <w:t xml:space="preserve"> are integral to compliance in tech startups. Effective governance frameworks ensure that startups operate transparently and accountably, fostering trust among investors, employees, and customers. Industry experts stress the importance of </w:t>
      </w:r>
      <w:r>
        <w:t>starting</w:t>
      </w:r>
      <w:r w:rsidR="006456BB">
        <w:t xml:space="preserve"> clear governance </w:t>
      </w:r>
      <w:r>
        <w:t>assemblies</w:t>
      </w:r>
      <w:r w:rsidR="006456BB">
        <w:t xml:space="preserve"> that delineate roles, responsibilities, and decision-making processes. As regulatory expectations evolve, startups must also adapt their governance practices to align with best practices in corporate ethics and responsibility. This includes </w:t>
      </w:r>
      <w:r>
        <w:t>confirming</w:t>
      </w:r>
      <w:r w:rsidR="006456BB">
        <w:t xml:space="preserve"> diversity and inclusion, </w:t>
      </w:r>
      <w:r>
        <w:t>averting</w:t>
      </w:r>
      <w:r w:rsidR="006456BB">
        <w:t xml:space="preserve"> conflicts of interest, and maintaining rigorous standards of conduct. Ethical governance will be increasingly scrutinized by regulators, investors, and the public, making it a cornerstone of sustainable and compliant business operations.</w:t>
      </w:r>
      <w:r w:rsidR="00BD05C8">
        <w:t xml:space="preserve"> (Jesuthasan, 2019) </w:t>
      </w:r>
    </w:p>
    <w:p w14:paraId="24D2AA36" w14:textId="6C5D4958" w:rsidR="006456BB" w:rsidRDefault="006456BB" w:rsidP="006456BB">
      <w:pPr>
        <w:pStyle w:val="NormalWeb"/>
        <w:jc w:val="both"/>
      </w:pPr>
      <w:r>
        <w:t xml:space="preserve">Looking ahead, </w:t>
      </w:r>
      <w:r w:rsidR="002B467E">
        <w:t>it</w:t>
      </w:r>
      <w:r w:rsidR="00256289">
        <w:t xml:space="preserve"> can </w:t>
      </w:r>
      <w:r w:rsidR="002B467E">
        <w:t xml:space="preserve">be </w:t>
      </w:r>
      <w:r w:rsidR="00256289">
        <w:t>analyze</w:t>
      </w:r>
      <w:r w:rsidR="002B467E">
        <w:t>d</w:t>
      </w:r>
      <w:r w:rsidR="00256289">
        <w:t xml:space="preserve"> how </w:t>
      </w:r>
      <w:r>
        <w:t xml:space="preserve">industry experts anticipate that the future of compliance law for tech startups will be characterized by increased complexity and higher stakes. Startups will need to navigate an ever-expanding regulatory landscape, marked by rapid technological advancements and shifting societal expectations. To thrive in this environment, startups must adopt </w:t>
      </w:r>
      <w:r>
        <w:lastRenderedPageBreak/>
        <w:t>a proactive approach to compliance, embedding legal and ethical considerations into their core business strategies. This involves staying abreast of regulatory developments, investing in compliance expertise, and fostering a culture of continuous improvement.</w:t>
      </w:r>
      <w:r w:rsidR="001E2363">
        <w:t xml:space="preserve"> (Jesuthasan, 2019)</w:t>
      </w:r>
    </w:p>
    <w:p w14:paraId="40D89017" w14:textId="3976F6E5" w:rsidR="006456BB" w:rsidRDefault="006456BB" w:rsidP="006456BB">
      <w:pPr>
        <w:pStyle w:val="NormalWeb"/>
        <w:jc w:val="both"/>
      </w:pPr>
      <w:r>
        <w:t xml:space="preserve">Moreover, </w:t>
      </w:r>
      <w:r w:rsidR="002B467E">
        <w:t xml:space="preserve">there is </w:t>
      </w:r>
      <w:r w:rsidR="002E57D4">
        <w:t xml:space="preserve">a </w:t>
      </w:r>
      <w:r>
        <w:t xml:space="preserve">collaboration between regulators, industry stakeholders, and tech innovators will be </w:t>
      </w:r>
      <w:r w:rsidR="002E57D4">
        <w:t xml:space="preserve">very </w:t>
      </w:r>
      <w:r>
        <w:t xml:space="preserve">crucial in shaping effective and forward-looking compliance frameworks. Regulators must strive to understand the unique challenges and opportunities presented by emerging technologies, crafting regulations that </w:t>
      </w:r>
      <w:r w:rsidR="002E57D4">
        <w:t>defend</w:t>
      </w:r>
      <w:r>
        <w:t xml:space="preserve"> public interests without stifling innovation. Similarly, startups and industry bodies must </w:t>
      </w:r>
      <w:r w:rsidR="002E57D4">
        <w:t>be involved</w:t>
      </w:r>
      <w:r>
        <w:t xml:space="preserve"> with regulators to provide insights and feedback, ensuring that compliance requirements are </w:t>
      </w:r>
      <w:r w:rsidR="002E57D4">
        <w:t>applied</w:t>
      </w:r>
      <w:r>
        <w:t xml:space="preserve"> and aligned with technological realities.</w:t>
      </w:r>
    </w:p>
    <w:p w14:paraId="4F1C9E38" w14:textId="0A9C852C" w:rsidR="006456BB" w:rsidRDefault="002E57D4" w:rsidP="006456BB">
      <w:pPr>
        <w:pStyle w:val="NormalWeb"/>
        <w:jc w:val="both"/>
      </w:pPr>
      <w:r>
        <w:t xml:space="preserve">To sum up, </w:t>
      </w:r>
      <w:r w:rsidR="002B467E">
        <w:t>it is</w:t>
      </w:r>
      <w:r>
        <w:t xml:space="preserve"> know</w:t>
      </w:r>
      <w:r w:rsidR="002B467E">
        <w:t>n</w:t>
      </w:r>
      <w:r>
        <w:t xml:space="preserve"> that major</w:t>
      </w:r>
      <w:r w:rsidR="006456BB">
        <w:t xml:space="preserve"> compliance law profoundly impacts tech startups, shaping how they operate, innovate, and grow. The future of compliance in this dynamic sector will be defined by evolving regulatory landscapes, technological advancements, and heightened ethical expectations. By </w:t>
      </w:r>
      <w:r w:rsidR="008E0204">
        <w:t>accepting</w:t>
      </w:r>
      <w:r w:rsidR="006456BB">
        <w:t xml:space="preserve"> proactive compliance strategies, </w:t>
      </w:r>
      <w:r w:rsidR="00587530">
        <w:t xml:space="preserve">there is the </w:t>
      </w:r>
      <w:r>
        <w:t>build</w:t>
      </w:r>
      <w:r w:rsidR="00587530">
        <w:t>ing</w:t>
      </w:r>
      <w:r w:rsidR="006456BB">
        <w:t xml:space="preserve"> ethical governance, and </w:t>
      </w:r>
      <w:r w:rsidR="008E0204">
        <w:t>engage</w:t>
      </w:r>
      <w:r w:rsidR="006456BB">
        <w:t xml:space="preserve"> in collaborative regulatory development, tech startups can navigate these challenges and capitalize on the opportunities presented by a compliant and responsible approach to business.</w:t>
      </w:r>
      <w:r w:rsidR="00247CDD">
        <w:t xml:space="preserve"> The thinking has arrived at several proposals: one I wanted to understand from a legal perspective how the future of blockchain startups would be governed by compliance law. </w:t>
      </w:r>
      <w:r w:rsidR="001E4C62">
        <w:t xml:space="preserve">This issue is a hot topic in the future of US blockchain startups as compliance law acts as a grappling hook in the world future progress and innovation. </w:t>
      </w:r>
    </w:p>
    <w:p w14:paraId="7B853C05" w14:textId="77777777" w:rsidR="002D1AF7" w:rsidRDefault="002D1AF7" w:rsidP="008E0204"/>
    <w:p w14:paraId="4C4C617D" w14:textId="77777777" w:rsidR="007A60F8" w:rsidRDefault="007A60F8" w:rsidP="008E0204"/>
    <w:p w14:paraId="519303CA" w14:textId="77777777" w:rsidR="007A60F8" w:rsidRDefault="007A60F8" w:rsidP="008E0204"/>
    <w:p w14:paraId="3567FE93" w14:textId="77777777" w:rsidR="007A60F8" w:rsidRDefault="007A60F8" w:rsidP="008E0204"/>
    <w:p w14:paraId="5AB62E4F" w14:textId="77777777" w:rsidR="007A60F8" w:rsidRDefault="007A60F8" w:rsidP="008E0204"/>
    <w:p w14:paraId="27A41488" w14:textId="77777777" w:rsidR="007A60F8" w:rsidRDefault="007A60F8" w:rsidP="008E0204"/>
    <w:p w14:paraId="110FC1C1" w14:textId="77777777" w:rsidR="007A60F8" w:rsidRDefault="007A60F8" w:rsidP="008E0204"/>
    <w:p w14:paraId="2F0DA3A1" w14:textId="77777777" w:rsidR="007A60F8" w:rsidRDefault="007A60F8" w:rsidP="008E0204"/>
    <w:p w14:paraId="12A50CBA" w14:textId="77777777" w:rsidR="007A60F8" w:rsidRDefault="007A60F8" w:rsidP="008E0204"/>
    <w:p w14:paraId="7329CD56" w14:textId="77777777" w:rsidR="007A60F8" w:rsidRDefault="007A60F8" w:rsidP="008E0204"/>
    <w:p w14:paraId="0296BEE1" w14:textId="77777777" w:rsidR="007A60F8" w:rsidRDefault="007A60F8" w:rsidP="008E0204"/>
    <w:p w14:paraId="70759F2F" w14:textId="77777777" w:rsidR="007A60F8" w:rsidRDefault="007A60F8" w:rsidP="008E0204"/>
    <w:p w14:paraId="2A8B3BE9" w14:textId="77777777" w:rsidR="007A60F8" w:rsidRDefault="007A60F8" w:rsidP="008E0204"/>
    <w:p w14:paraId="1304D524" w14:textId="554C547B" w:rsidR="002D1AF7" w:rsidRPr="002D1AF7" w:rsidRDefault="002D1AF7" w:rsidP="002D1AF7">
      <w:pPr>
        <w:ind w:firstLine="720"/>
        <w:rPr>
          <w:u w:val="single"/>
        </w:rPr>
      </w:pPr>
      <w:r w:rsidRPr="002D1AF7">
        <w:rPr>
          <w:u w:val="single"/>
        </w:rPr>
        <w:lastRenderedPageBreak/>
        <w:t xml:space="preserve">Sources consulted: </w:t>
      </w:r>
    </w:p>
    <w:p w14:paraId="52755BD2" w14:textId="77777777" w:rsidR="005F7C97" w:rsidRPr="005F7C97" w:rsidRDefault="005F7C97" w:rsidP="005F7C97">
      <w:pPr>
        <w:pStyle w:val="ListParagraph"/>
        <w:numPr>
          <w:ilvl w:val="0"/>
          <w:numId w:val="3"/>
        </w:numPr>
      </w:pPr>
      <w:r w:rsidRPr="005F7C97">
        <w:t xml:space="preserve">Bar Am, J., Furstenthal, L., Jorge, F., and Roth, E. (2020). Innovation in a crisis: Why it is more critical than ever | McKinsey. [online] McKinsey &amp; Company. Available at: </w:t>
      </w:r>
      <w:hyperlink r:id="rId7" w:tgtFrame="_new" w:history="1">
        <w:r w:rsidRPr="005F7C97">
          <w:rPr>
            <w:rStyle w:val="Hyperlink"/>
          </w:rPr>
          <w:t>https://www.mckinsey.com/capabilities/strategy-and-corporate-finance/our-insights/innovation-in-a-crisis-why-it-is-more-critical-than-ever</w:t>
        </w:r>
      </w:hyperlink>
      <w:r w:rsidRPr="005F7C97">
        <w:t>.</w:t>
      </w:r>
    </w:p>
    <w:p w14:paraId="7B50622C" w14:textId="77777777" w:rsidR="005F7C97" w:rsidRPr="005F7C97" w:rsidRDefault="005F7C97" w:rsidP="005F7C97">
      <w:pPr>
        <w:pStyle w:val="ListParagraph"/>
        <w:numPr>
          <w:ilvl w:val="0"/>
          <w:numId w:val="3"/>
        </w:numPr>
      </w:pPr>
      <w:r w:rsidRPr="005F7C97">
        <w:t xml:space="preserve">Buterin, V., Illum, J., Nadler, M., Schär, F., and Soleimani, A. (2023). Blockchain Privacy and Regulatory Compliance: Towards a Practical Equilibrium. Blockchain: Research and Applications, pp.100176–100176. doi: </w:t>
      </w:r>
      <w:hyperlink r:id="rId8" w:tgtFrame="_new" w:history="1">
        <w:r w:rsidRPr="005F7C97">
          <w:rPr>
            <w:rStyle w:val="Hyperlink"/>
          </w:rPr>
          <w:t>https://doi.org/10.1016/j.bcra.2023.100176</w:t>
        </w:r>
      </w:hyperlink>
      <w:r w:rsidRPr="005F7C97">
        <w:t>.</w:t>
      </w:r>
    </w:p>
    <w:p w14:paraId="55D33ED9" w14:textId="77777777" w:rsidR="005F7C97" w:rsidRPr="005F7C97" w:rsidRDefault="005F7C97" w:rsidP="005F7C97">
      <w:pPr>
        <w:pStyle w:val="ListParagraph"/>
        <w:numPr>
          <w:ilvl w:val="0"/>
          <w:numId w:val="3"/>
        </w:numPr>
      </w:pPr>
      <w:r w:rsidRPr="005F7C97">
        <w:t xml:space="preserve">Cable, D. (2018). Why People Lose Motivation — and What Managers Can Do to Help. [online] Harvard Business Review. Available at: </w:t>
      </w:r>
      <w:hyperlink r:id="rId9" w:tgtFrame="_new" w:history="1">
        <w:r w:rsidRPr="005F7C97">
          <w:rPr>
            <w:rStyle w:val="Hyperlink"/>
          </w:rPr>
          <w:t>https://hbr.org/2018/03/why-people-lose-motivation-and-what-managers-can-do-to-help</w:t>
        </w:r>
      </w:hyperlink>
      <w:r w:rsidRPr="005F7C97">
        <w:t>.</w:t>
      </w:r>
    </w:p>
    <w:p w14:paraId="241EF741" w14:textId="77777777" w:rsidR="005F7C97" w:rsidRPr="005F7C97" w:rsidRDefault="005F7C97" w:rsidP="005F7C97">
      <w:pPr>
        <w:pStyle w:val="ListParagraph"/>
        <w:numPr>
          <w:ilvl w:val="0"/>
          <w:numId w:val="3"/>
        </w:numPr>
      </w:pPr>
      <w:r w:rsidRPr="005F7C97">
        <w:t xml:space="preserve">Cappiello, B., and Carullo, G. (2021). Blockchain, Law and Governance. Available at: </w:t>
      </w:r>
      <w:hyperlink r:id="rId10" w:tgtFrame="_new" w:history="1">
        <w:r w:rsidRPr="005F7C97">
          <w:rPr>
            <w:rStyle w:val="Hyperlink"/>
          </w:rPr>
          <w:t>https://doi.org/10.1007/978-3-030-52722-8</w:t>
        </w:r>
      </w:hyperlink>
      <w:r w:rsidRPr="005F7C97">
        <w:t>.</w:t>
      </w:r>
    </w:p>
    <w:p w14:paraId="53004C15" w14:textId="77777777" w:rsidR="005F7C97" w:rsidRPr="005F7C97" w:rsidRDefault="005F7C97" w:rsidP="005F7C97">
      <w:pPr>
        <w:pStyle w:val="ListParagraph"/>
        <w:numPr>
          <w:ilvl w:val="0"/>
          <w:numId w:val="3"/>
        </w:numPr>
      </w:pPr>
      <w:r w:rsidRPr="005F7C97">
        <w:t xml:space="preserve">Civitillo, W. (2023). iFoodDS and IBM forge new path to food safety with IBM Food TrustTM. [online] IBM Blog. Available at: </w:t>
      </w:r>
      <w:hyperlink r:id="rId11" w:tgtFrame="_new" w:history="1">
        <w:r w:rsidRPr="005F7C97">
          <w:rPr>
            <w:rStyle w:val="Hyperlink"/>
          </w:rPr>
          <w:t>https://www.ibm.com/blog/ifoodds-and-ibm-forge-new-path-to-food-safety-with-ibm-food-trust/</w:t>
        </w:r>
      </w:hyperlink>
      <w:r w:rsidRPr="005F7C97">
        <w:t>.</w:t>
      </w:r>
    </w:p>
    <w:p w14:paraId="4D73A8CE" w14:textId="77777777" w:rsidR="005F7C97" w:rsidRPr="005F7C97" w:rsidRDefault="005F7C97" w:rsidP="005F7C97">
      <w:pPr>
        <w:pStyle w:val="ListParagraph"/>
        <w:numPr>
          <w:ilvl w:val="0"/>
          <w:numId w:val="3"/>
        </w:numPr>
      </w:pPr>
      <w:r w:rsidRPr="005F7C97">
        <w:t xml:space="preserve">Filippi, P.D., and Hassan, S. (2016). Blockchain technology as a regulatory technology: From code is law to law is code. Available at: </w:t>
      </w:r>
      <w:hyperlink r:id="rId12" w:tgtFrame="_new" w:history="1">
        <w:r w:rsidRPr="005F7C97">
          <w:rPr>
            <w:rStyle w:val="Hyperlink"/>
          </w:rPr>
          <w:t>https://doi.org/10.5210/fm.v21i12.7113</w:t>
        </w:r>
      </w:hyperlink>
      <w:r w:rsidRPr="005F7C97">
        <w:t>.</w:t>
      </w:r>
    </w:p>
    <w:p w14:paraId="691FC53E" w14:textId="77777777" w:rsidR="005F7C97" w:rsidRPr="005F7C97" w:rsidRDefault="005F7C97" w:rsidP="005F7C97">
      <w:pPr>
        <w:pStyle w:val="ListParagraph"/>
        <w:numPr>
          <w:ilvl w:val="0"/>
          <w:numId w:val="3"/>
        </w:numPr>
      </w:pPr>
      <w:r w:rsidRPr="005F7C97">
        <w:t xml:space="preserve">Harvard Business Review. (2017). Prioritize Your Opportunities with This Checklist. [online] Available at: </w:t>
      </w:r>
      <w:hyperlink r:id="rId13" w:tgtFrame="_new" w:history="1">
        <w:r w:rsidRPr="005F7C97">
          <w:rPr>
            <w:rStyle w:val="Hyperlink"/>
          </w:rPr>
          <w:t>https://hbr.org/2017/09/prioritize-your-opportunities-with-this-checklist</w:t>
        </w:r>
      </w:hyperlink>
      <w:r w:rsidRPr="005F7C97">
        <w:t>.</w:t>
      </w:r>
    </w:p>
    <w:p w14:paraId="02DED6A2" w14:textId="77777777" w:rsidR="005F7C97" w:rsidRPr="005F7C97" w:rsidRDefault="005F7C97" w:rsidP="005F7C97">
      <w:pPr>
        <w:pStyle w:val="ListParagraph"/>
        <w:numPr>
          <w:ilvl w:val="0"/>
          <w:numId w:val="3"/>
        </w:numPr>
      </w:pPr>
      <w:r w:rsidRPr="005F7C97">
        <w:t xml:space="preserve">Harvard Business Review. (2017). To Reinvent Your Firm, Do Two Things at the Same Time. [online] Available at: </w:t>
      </w:r>
      <w:hyperlink r:id="rId14" w:tgtFrame="_new" w:history="1">
        <w:r w:rsidRPr="005F7C97">
          <w:rPr>
            <w:rStyle w:val="Hyperlink"/>
          </w:rPr>
          <w:t>https://hbr.org/podcast/2017/04/to-reinvent-your-firm-do-two-things-at-the-same-time</w:t>
        </w:r>
      </w:hyperlink>
      <w:r w:rsidRPr="005F7C97">
        <w:t xml:space="preserve"> [Accessed 2 Dec. 2021].</w:t>
      </w:r>
    </w:p>
    <w:p w14:paraId="39DCC909" w14:textId="77777777" w:rsidR="005F7C97" w:rsidRPr="005F7C97" w:rsidRDefault="005F7C97" w:rsidP="005F7C97">
      <w:pPr>
        <w:pStyle w:val="ListParagraph"/>
        <w:numPr>
          <w:ilvl w:val="0"/>
          <w:numId w:val="3"/>
        </w:numPr>
      </w:pPr>
      <w:r w:rsidRPr="005F7C97">
        <w:t xml:space="preserve">Harvard Business Review. (2021). Don’t Let Financial Metrics Prematurely Stifle Innovation. [online] Available at: </w:t>
      </w:r>
      <w:hyperlink r:id="rId15" w:tgtFrame="_new" w:history="1">
        <w:r w:rsidRPr="005F7C97">
          <w:rPr>
            <w:rStyle w:val="Hyperlink"/>
          </w:rPr>
          <w:t>https://hbr.org/2021/03/dont-let-financial-metrics-prematurely-stifle-innovation</w:t>
        </w:r>
      </w:hyperlink>
      <w:r w:rsidRPr="005F7C97">
        <w:t>.</w:t>
      </w:r>
    </w:p>
    <w:p w14:paraId="66194359" w14:textId="77777777" w:rsidR="005F7C97" w:rsidRPr="005F7C97" w:rsidRDefault="005F7C97" w:rsidP="005F7C97">
      <w:pPr>
        <w:pStyle w:val="ListParagraph"/>
        <w:numPr>
          <w:ilvl w:val="0"/>
          <w:numId w:val="3"/>
        </w:numPr>
      </w:pPr>
      <w:r w:rsidRPr="005F7C97">
        <w:t xml:space="preserve">Jesuthasan, R. (2019). The 8 Ways Companies Get Work Done, and How to Align Them. [online] Harvard Business Review. Available at: </w:t>
      </w:r>
      <w:hyperlink r:id="rId16" w:tgtFrame="_new" w:history="1">
        <w:r w:rsidRPr="005F7C97">
          <w:rPr>
            <w:rStyle w:val="Hyperlink"/>
          </w:rPr>
          <w:t>https://hbr.org/2019/08/the-8-ways-companies-get-work-done-and-how-to-align-them</w:t>
        </w:r>
      </w:hyperlink>
      <w:r w:rsidRPr="005F7C97">
        <w:t>.</w:t>
      </w:r>
    </w:p>
    <w:p w14:paraId="72399F72" w14:textId="77777777" w:rsidR="005F7C97" w:rsidRPr="005F7C97" w:rsidRDefault="005F7C97" w:rsidP="005F7C97">
      <w:pPr>
        <w:pStyle w:val="ListParagraph"/>
        <w:numPr>
          <w:ilvl w:val="0"/>
          <w:numId w:val="3"/>
        </w:numPr>
      </w:pPr>
      <w:r w:rsidRPr="005F7C97">
        <w:t xml:space="preserve">Mennella, C., Maniscalco, U., Giuseppe De Pietro, and Esposito, M. (2024). Ethical and regulatory challenges of AI technologies in healthcare: A narrative review. Heliyon, [online] 10(4), pp.e26297–e26297. doi: </w:t>
      </w:r>
      <w:hyperlink r:id="rId17" w:tgtFrame="_new" w:history="1">
        <w:r w:rsidRPr="005F7C97">
          <w:rPr>
            <w:rStyle w:val="Hyperlink"/>
          </w:rPr>
          <w:t>https://doi.org/10.1016/j.heliyon.2024.e26297</w:t>
        </w:r>
      </w:hyperlink>
      <w:r w:rsidRPr="005F7C97">
        <w:t>.</w:t>
      </w:r>
    </w:p>
    <w:p w14:paraId="27A6CAC2" w14:textId="77777777" w:rsidR="005F7C97" w:rsidRPr="005F7C97" w:rsidRDefault="005F7C97" w:rsidP="005F7C97">
      <w:pPr>
        <w:pStyle w:val="ListParagraph"/>
        <w:numPr>
          <w:ilvl w:val="0"/>
          <w:numId w:val="3"/>
        </w:numPr>
      </w:pPr>
      <w:r w:rsidRPr="005F7C97">
        <w:lastRenderedPageBreak/>
        <w:t xml:space="preserve">Mitchell, A.D., Let, D., and Tang, L. (2023). AI Regulation and the Protection of Source Code. International Journal of Law and Information Technology. doi: </w:t>
      </w:r>
      <w:hyperlink r:id="rId18" w:tgtFrame="_new" w:history="1">
        <w:r w:rsidRPr="005F7C97">
          <w:rPr>
            <w:rStyle w:val="Hyperlink"/>
          </w:rPr>
          <w:t>https://doi.org/10.1093/ijlit/eaad026</w:t>
        </w:r>
      </w:hyperlink>
      <w:r w:rsidRPr="005F7C97">
        <w:t>.</w:t>
      </w:r>
    </w:p>
    <w:p w14:paraId="44BD2F25" w14:textId="77777777" w:rsidR="005F7C97" w:rsidRPr="005F7C97" w:rsidRDefault="005F7C97" w:rsidP="005F7C97">
      <w:pPr>
        <w:pStyle w:val="ListParagraph"/>
        <w:numPr>
          <w:ilvl w:val="0"/>
          <w:numId w:val="3"/>
        </w:numPr>
      </w:pPr>
      <w:r w:rsidRPr="005F7C97">
        <w:t xml:space="preserve">Rezaei, M. (n.d.). Machine Learning in Regulatory Compliance Software Systems: An Industrial Case Study. [online] Available at: </w:t>
      </w:r>
      <w:hyperlink r:id="rId19" w:tgtFrame="_new" w:history="1">
        <w:r w:rsidRPr="005F7C97">
          <w:rPr>
            <w:rStyle w:val="Hyperlink"/>
          </w:rPr>
          <w:t>https://www.diva-portal.org/smash/get/diva2:1651682/FULLTEXT02</w:t>
        </w:r>
      </w:hyperlink>
      <w:r w:rsidRPr="005F7C97">
        <w:t>.</w:t>
      </w:r>
    </w:p>
    <w:p w14:paraId="28C680E6" w14:textId="77777777" w:rsidR="005F7C97" w:rsidRPr="005F7C97" w:rsidRDefault="005F7C97" w:rsidP="005F7C97">
      <w:pPr>
        <w:pStyle w:val="ListParagraph"/>
        <w:numPr>
          <w:ilvl w:val="0"/>
          <w:numId w:val="3"/>
        </w:numPr>
      </w:pPr>
      <w:r w:rsidRPr="005F7C97">
        <w:t xml:space="preserve">Shevchenko, E., and Lunsford, R. (2023). Blockchain Disruption in Finance: JPMorgan Chase’s Success Story and the Transfer of Quorum to ConsenSys. [online] Available at: </w:t>
      </w:r>
      <w:hyperlink r:id="rId20" w:tgtFrame="_new" w:history="1">
        <w:r w:rsidRPr="005F7C97">
          <w:rPr>
            <w:rStyle w:val="Hyperlink"/>
          </w:rPr>
          <w:t>https://www.aabri.com/manuscripts/233693.pdf</w:t>
        </w:r>
      </w:hyperlink>
      <w:r w:rsidRPr="005F7C97">
        <w:t xml:space="preserve"> [Accessed 11 Jun. 2024].</w:t>
      </w:r>
    </w:p>
    <w:p w14:paraId="624BC4F4" w14:textId="77777777" w:rsidR="005F7C97" w:rsidRPr="005F7C97" w:rsidRDefault="005F7C97" w:rsidP="005F7C97">
      <w:pPr>
        <w:pStyle w:val="ListParagraph"/>
        <w:numPr>
          <w:ilvl w:val="0"/>
          <w:numId w:val="3"/>
        </w:numPr>
      </w:pPr>
      <w:r w:rsidRPr="005F7C97">
        <w:t xml:space="preserve">Vitalik Buterin, Illum, J., Nadler, M., Schär, F., and Soleimani, A. (2023). Blockchain Privacy and Regulatory Compliance: Towards a Practical Equilibrium. Blockchain: Research and Applications, pp.100176–100176. doi: </w:t>
      </w:r>
      <w:hyperlink r:id="rId21" w:tgtFrame="_new" w:history="1">
        <w:r w:rsidRPr="005F7C97">
          <w:rPr>
            <w:rStyle w:val="Hyperlink"/>
          </w:rPr>
          <w:t>https://doi.org/10.1016/j.bcra.2023.100176</w:t>
        </w:r>
      </w:hyperlink>
      <w:r w:rsidRPr="005F7C97">
        <w:t>.</w:t>
      </w:r>
    </w:p>
    <w:p w14:paraId="0FCFB6D6" w14:textId="77777777" w:rsidR="005F7C97" w:rsidRPr="005F7C97" w:rsidRDefault="005F7C97" w:rsidP="005F7C97">
      <w:pPr>
        <w:pStyle w:val="ListParagraph"/>
        <w:numPr>
          <w:ilvl w:val="0"/>
          <w:numId w:val="3"/>
        </w:numPr>
      </w:pPr>
      <w:r w:rsidRPr="005F7C97">
        <w:t>Walters, N. (2019). Privacy Law Issues in Blockchains: An Analysis of PIPEDA, the GDPR, and Proposals for Compliance.</w:t>
      </w:r>
    </w:p>
    <w:p w14:paraId="2EA5DC53" w14:textId="77777777" w:rsidR="005F7C97" w:rsidRPr="005F7C97" w:rsidRDefault="005F7C97" w:rsidP="005F7C97">
      <w:pPr>
        <w:pStyle w:val="ListParagraph"/>
        <w:numPr>
          <w:ilvl w:val="0"/>
          <w:numId w:val="3"/>
        </w:numPr>
      </w:pPr>
      <w:r w:rsidRPr="005F7C97">
        <w:t xml:space="preserve">World Economic Forum (2020). WEF Blockchain Toolkit. [online] widgets.weforum.org. Available at: </w:t>
      </w:r>
      <w:hyperlink r:id="rId22" w:tgtFrame="_new" w:history="1">
        <w:r w:rsidRPr="005F7C97">
          <w:rPr>
            <w:rStyle w:val="Hyperlink"/>
          </w:rPr>
          <w:t>https://widgets.weforum.org/blockchain-toolkit/legal-and-regulatory-compliance/index.html</w:t>
        </w:r>
      </w:hyperlink>
      <w:r w:rsidRPr="005F7C97">
        <w:t>.</w:t>
      </w:r>
    </w:p>
    <w:p w14:paraId="2C0238EA" w14:textId="77777777" w:rsidR="005F7C97" w:rsidRPr="005F7C97" w:rsidRDefault="005F7C97" w:rsidP="005F7C97">
      <w:pPr>
        <w:pStyle w:val="ListParagraph"/>
        <w:numPr>
          <w:ilvl w:val="0"/>
          <w:numId w:val="3"/>
        </w:numPr>
      </w:pPr>
      <w:hyperlink r:id="rId23" w:tgtFrame="_new" w:history="1">
        <w:r w:rsidRPr="005F7C97">
          <w:rPr>
            <w:rStyle w:val="Hyperlink"/>
          </w:rPr>
          <w:t>www.mckinsey.com</w:t>
        </w:r>
      </w:hyperlink>
      <w:r w:rsidRPr="005F7C97">
        <w:t xml:space="preserve">. (n.d.). Celebrating creativity and innovation. [online] Available at: </w:t>
      </w:r>
      <w:hyperlink r:id="rId24" w:tgtFrame="_new" w:history="1">
        <w:r w:rsidRPr="005F7C97">
          <w:rPr>
            <w:rStyle w:val="Hyperlink"/>
          </w:rPr>
          <w:t>https://www.mckinsey.com/featured-insights/themes/celebrating-creativity-and-innovation</w:t>
        </w:r>
      </w:hyperlink>
      <w:r w:rsidRPr="005F7C97">
        <w:t>.</w:t>
      </w:r>
    </w:p>
    <w:p w14:paraId="6C4E3DE6" w14:textId="77777777" w:rsidR="005F7C97" w:rsidRPr="005F7C97" w:rsidRDefault="005F7C97" w:rsidP="005F7C97">
      <w:pPr>
        <w:pStyle w:val="ListParagraph"/>
        <w:numPr>
          <w:ilvl w:val="0"/>
          <w:numId w:val="3"/>
        </w:numPr>
      </w:pPr>
      <w:hyperlink r:id="rId25" w:tgtFrame="_new" w:history="1">
        <w:r w:rsidRPr="005F7C97">
          <w:rPr>
            <w:rStyle w:val="Hyperlink"/>
          </w:rPr>
          <w:t>www.mckinsey.com</w:t>
        </w:r>
      </w:hyperlink>
      <w:r w:rsidRPr="005F7C97">
        <w:t xml:space="preserve">. (n.d.). How leading innovators are pulling farther ahead | McKinsey. [online] Available at: </w:t>
      </w:r>
      <w:hyperlink r:id="rId26" w:tgtFrame="_new" w:history="1">
        <w:r w:rsidRPr="005F7C97">
          <w:rPr>
            <w:rStyle w:val="Hyperlink"/>
          </w:rPr>
          <w:t>https://www.mckinsey.com/capabilities/strategy-and-corporate-finance/our-insights/the-innovation-commitment</w:t>
        </w:r>
      </w:hyperlink>
      <w:r w:rsidRPr="005F7C97">
        <w:t>.</w:t>
      </w:r>
    </w:p>
    <w:p w14:paraId="10A9990B" w14:textId="77777777" w:rsidR="005F7C97" w:rsidRPr="005F7C97" w:rsidRDefault="005F7C97" w:rsidP="005F7C97">
      <w:pPr>
        <w:pStyle w:val="ListParagraph"/>
        <w:numPr>
          <w:ilvl w:val="0"/>
          <w:numId w:val="3"/>
        </w:numPr>
      </w:pPr>
      <w:hyperlink r:id="rId27" w:tgtFrame="_new" w:history="1">
        <w:r w:rsidRPr="005F7C97">
          <w:rPr>
            <w:rStyle w:val="Hyperlink"/>
          </w:rPr>
          <w:t>www.mckinsey.com</w:t>
        </w:r>
      </w:hyperlink>
      <w:r w:rsidRPr="005F7C97">
        <w:t xml:space="preserve">. (n.d.). Innovation in a crisis: Your launchpad past COVID-19 | McKinsey. [online] Available at: </w:t>
      </w:r>
      <w:hyperlink r:id="rId28" w:tgtFrame="_new" w:history="1">
        <w:r w:rsidRPr="005F7C97">
          <w:rPr>
            <w:rStyle w:val="Hyperlink"/>
          </w:rPr>
          <w:t>https://www.mckinsey.com/capabilities/strategy-and-corporate-finance/our-insights/innovation-your-launchpad-out-of-the-covid-19-crisis</w:t>
        </w:r>
      </w:hyperlink>
      <w:r w:rsidRPr="005F7C97">
        <w:t>.</w:t>
      </w:r>
    </w:p>
    <w:p w14:paraId="3FB5D7C8" w14:textId="77777777" w:rsidR="008B64DF" w:rsidRDefault="008B64DF" w:rsidP="008B64DF">
      <w:pPr>
        <w:pStyle w:val="ListParagraph"/>
        <w:ind w:left="360"/>
      </w:pPr>
    </w:p>
    <w:p w14:paraId="052A04AC" w14:textId="77777777" w:rsidR="002710DD" w:rsidRDefault="002710DD" w:rsidP="008B64DF">
      <w:pPr>
        <w:pStyle w:val="ListParagraph"/>
        <w:ind w:left="360"/>
      </w:pPr>
    </w:p>
    <w:p w14:paraId="2BDC840C" w14:textId="5E049EC4" w:rsidR="002D1AF7" w:rsidRDefault="002D1AF7" w:rsidP="002D1AF7"/>
    <w:p w14:paraId="479C6470" w14:textId="77777777" w:rsidR="002D1AF7" w:rsidRPr="002D1AF7" w:rsidRDefault="002D1AF7" w:rsidP="002D1AF7">
      <w:pPr>
        <w:pStyle w:val="ListParagraph"/>
        <w:ind w:left="360"/>
      </w:pPr>
    </w:p>
    <w:sectPr w:rsidR="002D1AF7" w:rsidRPr="002D1AF7">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19DA0" w14:textId="77777777" w:rsidR="002709AE" w:rsidRDefault="002709AE" w:rsidP="0046226A">
      <w:pPr>
        <w:spacing w:after="0" w:line="240" w:lineRule="auto"/>
      </w:pPr>
      <w:r>
        <w:separator/>
      </w:r>
    </w:p>
  </w:endnote>
  <w:endnote w:type="continuationSeparator" w:id="0">
    <w:p w14:paraId="14003BB7" w14:textId="77777777" w:rsidR="002709AE" w:rsidRDefault="002709AE" w:rsidP="0046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0142E" w14:textId="77777777" w:rsidR="002709AE" w:rsidRDefault="002709AE" w:rsidP="0046226A">
      <w:pPr>
        <w:spacing w:after="0" w:line="240" w:lineRule="auto"/>
      </w:pPr>
      <w:r>
        <w:separator/>
      </w:r>
    </w:p>
  </w:footnote>
  <w:footnote w:type="continuationSeparator" w:id="0">
    <w:p w14:paraId="0810E1AA" w14:textId="77777777" w:rsidR="002709AE" w:rsidRDefault="002709AE" w:rsidP="00462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473BE" w14:textId="6F4E0012" w:rsidR="0046226A" w:rsidRPr="0046226A" w:rsidRDefault="0046226A" w:rsidP="0046226A">
    <w:pPr>
      <w:pStyle w:val="Header"/>
      <w:jc w:val="right"/>
      <w:rPr>
        <w:lang w:val="en-GB"/>
      </w:rPr>
    </w:pPr>
    <w:r>
      <w:rPr>
        <w:lang w:val="en-GB"/>
      </w:rPr>
      <w:t>Maximilian Kiefer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F25F51"/>
    <w:multiLevelType w:val="hybridMultilevel"/>
    <w:tmpl w:val="92205030"/>
    <w:lvl w:ilvl="0" w:tplc="DF1250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42A3940"/>
    <w:multiLevelType w:val="multilevel"/>
    <w:tmpl w:val="7BA04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F01DAD"/>
    <w:multiLevelType w:val="multilevel"/>
    <w:tmpl w:val="352C2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751174">
    <w:abstractNumId w:val="1"/>
  </w:num>
  <w:num w:numId="2" w16cid:durableId="265962516">
    <w:abstractNumId w:val="0"/>
  </w:num>
  <w:num w:numId="3" w16cid:durableId="175724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6A"/>
    <w:rsid w:val="00045C43"/>
    <w:rsid w:val="00050C1C"/>
    <w:rsid w:val="00066A2F"/>
    <w:rsid w:val="0008637F"/>
    <w:rsid w:val="00134EB7"/>
    <w:rsid w:val="0013637E"/>
    <w:rsid w:val="001A7B1B"/>
    <w:rsid w:val="001B459C"/>
    <w:rsid w:val="001B5085"/>
    <w:rsid w:val="001D41F8"/>
    <w:rsid w:val="001D430E"/>
    <w:rsid w:val="001E2363"/>
    <w:rsid w:val="001E4C62"/>
    <w:rsid w:val="001F01F5"/>
    <w:rsid w:val="00222F97"/>
    <w:rsid w:val="00232E00"/>
    <w:rsid w:val="0023306E"/>
    <w:rsid w:val="002363E5"/>
    <w:rsid w:val="00247CDD"/>
    <w:rsid w:val="00256289"/>
    <w:rsid w:val="002709AE"/>
    <w:rsid w:val="002710DD"/>
    <w:rsid w:val="0028438F"/>
    <w:rsid w:val="0029093B"/>
    <w:rsid w:val="00291A08"/>
    <w:rsid w:val="002A3654"/>
    <w:rsid w:val="002B467E"/>
    <w:rsid w:val="002D0486"/>
    <w:rsid w:val="002D1AF7"/>
    <w:rsid w:val="002E2541"/>
    <w:rsid w:val="002E57D4"/>
    <w:rsid w:val="0031075A"/>
    <w:rsid w:val="00317F34"/>
    <w:rsid w:val="003203AF"/>
    <w:rsid w:val="00322AA1"/>
    <w:rsid w:val="00330FD7"/>
    <w:rsid w:val="00391607"/>
    <w:rsid w:val="0039592F"/>
    <w:rsid w:val="003D4D5C"/>
    <w:rsid w:val="0040372A"/>
    <w:rsid w:val="004226E7"/>
    <w:rsid w:val="0045352E"/>
    <w:rsid w:val="0046226A"/>
    <w:rsid w:val="00480D78"/>
    <w:rsid w:val="004A219E"/>
    <w:rsid w:val="004C6005"/>
    <w:rsid w:val="00532CB3"/>
    <w:rsid w:val="00547C48"/>
    <w:rsid w:val="0058147B"/>
    <w:rsid w:val="00587530"/>
    <w:rsid w:val="005C207C"/>
    <w:rsid w:val="005E0AD3"/>
    <w:rsid w:val="005E2EAF"/>
    <w:rsid w:val="005F0041"/>
    <w:rsid w:val="005F7C97"/>
    <w:rsid w:val="006133F6"/>
    <w:rsid w:val="00625F1D"/>
    <w:rsid w:val="0062787A"/>
    <w:rsid w:val="006336AA"/>
    <w:rsid w:val="006456BB"/>
    <w:rsid w:val="00696BD0"/>
    <w:rsid w:val="006D3E14"/>
    <w:rsid w:val="00722F95"/>
    <w:rsid w:val="007A60F8"/>
    <w:rsid w:val="0086225C"/>
    <w:rsid w:val="008B64DF"/>
    <w:rsid w:val="008D4C5C"/>
    <w:rsid w:val="008E0204"/>
    <w:rsid w:val="008F7283"/>
    <w:rsid w:val="00A14752"/>
    <w:rsid w:val="00A65A27"/>
    <w:rsid w:val="00AC2BE5"/>
    <w:rsid w:val="00B2382D"/>
    <w:rsid w:val="00B31EBF"/>
    <w:rsid w:val="00B4540A"/>
    <w:rsid w:val="00B8022F"/>
    <w:rsid w:val="00BB5B7F"/>
    <w:rsid w:val="00BC605F"/>
    <w:rsid w:val="00BD05C8"/>
    <w:rsid w:val="00BE0C9A"/>
    <w:rsid w:val="00BE40C7"/>
    <w:rsid w:val="00C11669"/>
    <w:rsid w:val="00C17B2E"/>
    <w:rsid w:val="00C613C5"/>
    <w:rsid w:val="00C92214"/>
    <w:rsid w:val="00CC6448"/>
    <w:rsid w:val="00D142C7"/>
    <w:rsid w:val="00D35649"/>
    <w:rsid w:val="00D6233A"/>
    <w:rsid w:val="00D87660"/>
    <w:rsid w:val="00D956AF"/>
    <w:rsid w:val="00DA466A"/>
    <w:rsid w:val="00DC17CE"/>
    <w:rsid w:val="00E025CE"/>
    <w:rsid w:val="00E1496E"/>
    <w:rsid w:val="00E4414F"/>
    <w:rsid w:val="00E8689C"/>
    <w:rsid w:val="00EB7448"/>
    <w:rsid w:val="00EC050C"/>
    <w:rsid w:val="00ED4642"/>
    <w:rsid w:val="00EF5810"/>
    <w:rsid w:val="00F2442E"/>
    <w:rsid w:val="00F90B70"/>
    <w:rsid w:val="00FC3A4E"/>
    <w:rsid w:val="00FE02AA"/>
    <w:rsid w:val="00FE6EF5"/>
    <w:rsid w:val="00FF0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4A1A3"/>
  <w15:chartTrackingRefBased/>
  <w15:docId w15:val="{17C65C7F-C6AE-4163-B7C6-5B29BEA4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26A"/>
    <w:rPr>
      <w:rFonts w:eastAsiaTheme="majorEastAsia" w:cstheme="majorBidi"/>
      <w:color w:val="272727" w:themeColor="text1" w:themeTint="D8"/>
    </w:rPr>
  </w:style>
  <w:style w:type="paragraph" w:styleId="Title">
    <w:name w:val="Title"/>
    <w:basedOn w:val="Normal"/>
    <w:next w:val="Normal"/>
    <w:link w:val="TitleChar"/>
    <w:uiPriority w:val="10"/>
    <w:qFormat/>
    <w:rsid w:val="00462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26A"/>
    <w:pPr>
      <w:spacing w:before="160"/>
      <w:jc w:val="center"/>
    </w:pPr>
    <w:rPr>
      <w:i/>
      <w:iCs/>
      <w:color w:val="404040" w:themeColor="text1" w:themeTint="BF"/>
    </w:rPr>
  </w:style>
  <w:style w:type="character" w:customStyle="1" w:styleId="QuoteChar">
    <w:name w:val="Quote Char"/>
    <w:basedOn w:val="DefaultParagraphFont"/>
    <w:link w:val="Quote"/>
    <w:uiPriority w:val="29"/>
    <w:rsid w:val="0046226A"/>
    <w:rPr>
      <w:i/>
      <w:iCs/>
      <w:color w:val="404040" w:themeColor="text1" w:themeTint="BF"/>
    </w:rPr>
  </w:style>
  <w:style w:type="paragraph" w:styleId="ListParagraph">
    <w:name w:val="List Paragraph"/>
    <w:basedOn w:val="Normal"/>
    <w:uiPriority w:val="34"/>
    <w:qFormat/>
    <w:rsid w:val="0046226A"/>
    <w:pPr>
      <w:ind w:left="720"/>
      <w:contextualSpacing/>
    </w:pPr>
  </w:style>
  <w:style w:type="character" w:styleId="IntenseEmphasis">
    <w:name w:val="Intense Emphasis"/>
    <w:basedOn w:val="DefaultParagraphFont"/>
    <w:uiPriority w:val="21"/>
    <w:qFormat/>
    <w:rsid w:val="0046226A"/>
    <w:rPr>
      <w:i/>
      <w:iCs/>
      <w:color w:val="0F4761" w:themeColor="accent1" w:themeShade="BF"/>
    </w:rPr>
  </w:style>
  <w:style w:type="paragraph" w:styleId="IntenseQuote">
    <w:name w:val="Intense Quote"/>
    <w:basedOn w:val="Normal"/>
    <w:next w:val="Normal"/>
    <w:link w:val="IntenseQuoteChar"/>
    <w:uiPriority w:val="30"/>
    <w:qFormat/>
    <w:rsid w:val="00462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26A"/>
    <w:rPr>
      <w:i/>
      <w:iCs/>
      <w:color w:val="0F4761" w:themeColor="accent1" w:themeShade="BF"/>
    </w:rPr>
  </w:style>
  <w:style w:type="character" w:styleId="IntenseReference">
    <w:name w:val="Intense Reference"/>
    <w:basedOn w:val="DefaultParagraphFont"/>
    <w:uiPriority w:val="32"/>
    <w:qFormat/>
    <w:rsid w:val="0046226A"/>
    <w:rPr>
      <w:b/>
      <w:bCs/>
      <w:smallCaps/>
      <w:color w:val="0F4761" w:themeColor="accent1" w:themeShade="BF"/>
      <w:spacing w:val="5"/>
    </w:rPr>
  </w:style>
  <w:style w:type="paragraph" w:styleId="Header">
    <w:name w:val="header"/>
    <w:basedOn w:val="Normal"/>
    <w:link w:val="HeaderChar"/>
    <w:uiPriority w:val="99"/>
    <w:unhideWhenUsed/>
    <w:rsid w:val="00462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26A"/>
  </w:style>
  <w:style w:type="paragraph" w:styleId="Footer">
    <w:name w:val="footer"/>
    <w:basedOn w:val="Normal"/>
    <w:link w:val="FooterChar"/>
    <w:uiPriority w:val="99"/>
    <w:unhideWhenUsed/>
    <w:rsid w:val="00462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26A"/>
  </w:style>
  <w:style w:type="paragraph" w:styleId="NormalWeb">
    <w:name w:val="Normal (Web)"/>
    <w:basedOn w:val="Normal"/>
    <w:uiPriority w:val="99"/>
    <w:semiHidden/>
    <w:unhideWhenUsed/>
    <w:rsid w:val="0046226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D1AF7"/>
    <w:rPr>
      <w:color w:val="467886" w:themeColor="hyperlink"/>
      <w:u w:val="single"/>
    </w:rPr>
  </w:style>
  <w:style w:type="character" w:styleId="UnresolvedMention">
    <w:name w:val="Unresolved Mention"/>
    <w:basedOn w:val="DefaultParagraphFont"/>
    <w:uiPriority w:val="99"/>
    <w:semiHidden/>
    <w:unhideWhenUsed/>
    <w:rsid w:val="002D1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875393">
      <w:bodyDiv w:val="1"/>
      <w:marLeft w:val="0"/>
      <w:marRight w:val="0"/>
      <w:marTop w:val="0"/>
      <w:marBottom w:val="0"/>
      <w:divBdr>
        <w:top w:val="none" w:sz="0" w:space="0" w:color="auto"/>
        <w:left w:val="none" w:sz="0" w:space="0" w:color="auto"/>
        <w:bottom w:val="none" w:sz="0" w:space="0" w:color="auto"/>
        <w:right w:val="none" w:sz="0" w:space="0" w:color="auto"/>
      </w:divBdr>
    </w:div>
    <w:div w:id="805123368">
      <w:bodyDiv w:val="1"/>
      <w:marLeft w:val="0"/>
      <w:marRight w:val="0"/>
      <w:marTop w:val="0"/>
      <w:marBottom w:val="0"/>
      <w:divBdr>
        <w:top w:val="none" w:sz="0" w:space="0" w:color="auto"/>
        <w:left w:val="none" w:sz="0" w:space="0" w:color="auto"/>
        <w:bottom w:val="none" w:sz="0" w:space="0" w:color="auto"/>
        <w:right w:val="none" w:sz="0" w:space="0" w:color="auto"/>
      </w:divBdr>
    </w:div>
    <w:div w:id="1202329280">
      <w:bodyDiv w:val="1"/>
      <w:marLeft w:val="0"/>
      <w:marRight w:val="0"/>
      <w:marTop w:val="0"/>
      <w:marBottom w:val="0"/>
      <w:divBdr>
        <w:top w:val="none" w:sz="0" w:space="0" w:color="auto"/>
        <w:left w:val="none" w:sz="0" w:space="0" w:color="auto"/>
        <w:bottom w:val="none" w:sz="0" w:space="0" w:color="auto"/>
        <w:right w:val="none" w:sz="0" w:space="0" w:color="auto"/>
      </w:divBdr>
      <w:divsChild>
        <w:div w:id="820732283">
          <w:marLeft w:val="0"/>
          <w:marRight w:val="0"/>
          <w:marTop w:val="0"/>
          <w:marBottom w:val="0"/>
          <w:divBdr>
            <w:top w:val="none" w:sz="0" w:space="0" w:color="auto"/>
            <w:left w:val="none" w:sz="0" w:space="0" w:color="auto"/>
            <w:bottom w:val="none" w:sz="0" w:space="0" w:color="auto"/>
            <w:right w:val="none" w:sz="0" w:space="0" w:color="auto"/>
          </w:divBdr>
          <w:divsChild>
            <w:div w:id="1446996694">
              <w:marLeft w:val="0"/>
              <w:marRight w:val="0"/>
              <w:marTop w:val="0"/>
              <w:marBottom w:val="0"/>
              <w:divBdr>
                <w:top w:val="none" w:sz="0" w:space="0" w:color="auto"/>
                <w:left w:val="none" w:sz="0" w:space="0" w:color="auto"/>
                <w:bottom w:val="none" w:sz="0" w:space="0" w:color="auto"/>
                <w:right w:val="none" w:sz="0" w:space="0" w:color="auto"/>
              </w:divBdr>
              <w:divsChild>
                <w:div w:id="1632050764">
                  <w:marLeft w:val="0"/>
                  <w:marRight w:val="0"/>
                  <w:marTop w:val="0"/>
                  <w:marBottom w:val="0"/>
                  <w:divBdr>
                    <w:top w:val="none" w:sz="0" w:space="0" w:color="auto"/>
                    <w:left w:val="none" w:sz="0" w:space="0" w:color="auto"/>
                    <w:bottom w:val="none" w:sz="0" w:space="0" w:color="auto"/>
                    <w:right w:val="none" w:sz="0" w:space="0" w:color="auto"/>
                  </w:divBdr>
                  <w:divsChild>
                    <w:div w:id="6929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425073">
      <w:bodyDiv w:val="1"/>
      <w:marLeft w:val="0"/>
      <w:marRight w:val="0"/>
      <w:marTop w:val="0"/>
      <w:marBottom w:val="0"/>
      <w:divBdr>
        <w:top w:val="none" w:sz="0" w:space="0" w:color="auto"/>
        <w:left w:val="none" w:sz="0" w:space="0" w:color="auto"/>
        <w:bottom w:val="none" w:sz="0" w:space="0" w:color="auto"/>
        <w:right w:val="none" w:sz="0" w:space="0" w:color="auto"/>
      </w:divBdr>
    </w:div>
    <w:div w:id="1615211931">
      <w:bodyDiv w:val="1"/>
      <w:marLeft w:val="0"/>
      <w:marRight w:val="0"/>
      <w:marTop w:val="0"/>
      <w:marBottom w:val="0"/>
      <w:divBdr>
        <w:top w:val="none" w:sz="0" w:space="0" w:color="auto"/>
        <w:left w:val="none" w:sz="0" w:space="0" w:color="auto"/>
        <w:bottom w:val="none" w:sz="0" w:space="0" w:color="auto"/>
        <w:right w:val="none" w:sz="0" w:space="0" w:color="auto"/>
      </w:divBdr>
      <w:divsChild>
        <w:div w:id="1631134084">
          <w:marLeft w:val="0"/>
          <w:marRight w:val="0"/>
          <w:marTop w:val="0"/>
          <w:marBottom w:val="0"/>
          <w:divBdr>
            <w:top w:val="none" w:sz="0" w:space="0" w:color="auto"/>
            <w:left w:val="none" w:sz="0" w:space="0" w:color="auto"/>
            <w:bottom w:val="none" w:sz="0" w:space="0" w:color="auto"/>
            <w:right w:val="none" w:sz="0" w:space="0" w:color="auto"/>
          </w:divBdr>
          <w:divsChild>
            <w:div w:id="1479957393">
              <w:marLeft w:val="0"/>
              <w:marRight w:val="0"/>
              <w:marTop w:val="0"/>
              <w:marBottom w:val="0"/>
              <w:divBdr>
                <w:top w:val="none" w:sz="0" w:space="0" w:color="auto"/>
                <w:left w:val="none" w:sz="0" w:space="0" w:color="auto"/>
                <w:bottom w:val="none" w:sz="0" w:space="0" w:color="auto"/>
                <w:right w:val="none" w:sz="0" w:space="0" w:color="auto"/>
              </w:divBdr>
              <w:divsChild>
                <w:div w:id="109976774">
                  <w:marLeft w:val="0"/>
                  <w:marRight w:val="0"/>
                  <w:marTop w:val="0"/>
                  <w:marBottom w:val="0"/>
                  <w:divBdr>
                    <w:top w:val="none" w:sz="0" w:space="0" w:color="auto"/>
                    <w:left w:val="none" w:sz="0" w:space="0" w:color="auto"/>
                    <w:bottom w:val="none" w:sz="0" w:space="0" w:color="auto"/>
                    <w:right w:val="none" w:sz="0" w:space="0" w:color="auto"/>
                  </w:divBdr>
                  <w:divsChild>
                    <w:div w:id="179898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303053">
      <w:bodyDiv w:val="1"/>
      <w:marLeft w:val="0"/>
      <w:marRight w:val="0"/>
      <w:marTop w:val="0"/>
      <w:marBottom w:val="0"/>
      <w:divBdr>
        <w:top w:val="none" w:sz="0" w:space="0" w:color="auto"/>
        <w:left w:val="none" w:sz="0" w:space="0" w:color="auto"/>
        <w:bottom w:val="none" w:sz="0" w:space="0" w:color="auto"/>
        <w:right w:val="none" w:sz="0" w:space="0" w:color="auto"/>
      </w:divBdr>
      <w:divsChild>
        <w:div w:id="1086728157">
          <w:marLeft w:val="0"/>
          <w:marRight w:val="0"/>
          <w:marTop w:val="0"/>
          <w:marBottom w:val="0"/>
          <w:divBdr>
            <w:top w:val="none" w:sz="0" w:space="0" w:color="auto"/>
            <w:left w:val="none" w:sz="0" w:space="0" w:color="auto"/>
            <w:bottom w:val="none" w:sz="0" w:space="0" w:color="auto"/>
            <w:right w:val="none" w:sz="0" w:space="0" w:color="auto"/>
          </w:divBdr>
          <w:divsChild>
            <w:div w:id="476727646">
              <w:marLeft w:val="0"/>
              <w:marRight w:val="0"/>
              <w:marTop w:val="0"/>
              <w:marBottom w:val="0"/>
              <w:divBdr>
                <w:top w:val="none" w:sz="0" w:space="0" w:color="auto"/>
                <w:left w:val="none" w:sz="0" w:space="0" w:color="auto"/>
                <w:bottom w:val="none" w:sz="0" w:space="0" w:color="auto"/>
                <w:right w:val="none" w:sz="0" w:space="0" w:color="auto"/>
              </w:divBdr>
              <w:divsChild>
                <w:div w:id="1371764011">
                  <w:marLeft w:val="0"/>
                  <w:marRight w:val="0"/>
                  <w:marTop w:val="0"/>
                  <w:marBottom w:val="0"/>
                  <w:divBdr>
                    <w:top w:val="none" w:sz="0" w:space="0" w:color="auto"/>
                    <w:left w:val="none" w:sz="0" w:space="0" w:color="auto"/>
                    <w:bottom w:val="none" w:sz="0" w:space="0" w:color="auto"/>
                    <w:right w:val="none" w:sz="0" w:space="0" w:color="auto"/>
                  </w:divBdr>
                  <w:divsChild>
                    <w:div w:id="10257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834932">
      <w:bodyDiv w:val="1"/>
      <w:marLeft w:val="0"/>
      <w:marRight w:val="0"/>
      <w:marTop w:val="0"/>
      <w:marBottom w:val="0"/>
      <w:divBdr>
        <w:top w:val="none" w:sz="0" w:space="0" w:color="auto"/>
        <w:left w:val="none" w:sz="0" w:space="0" w:color="auto"/>
        <w:bottom w:val="none" w:sz="0" w:space="0" w:color="auto"/>
        <w:right w:val="none" w:sz="0" w:space="0" w:color="auto"/>
      </w:divBdr>
    </w:div>
    <w:div w:id="1800219136">
      <w:bodyDiv w:val="1"/>
      <w:marLeft w:val="0"/>
      <w:marRight w:val="0"/>
      <w:marTop w:val="0"/>
      <w:marBottom w:val="0"/>
      <w:divBdr>
        <w:top w:val="none" w:sz="0" w:space="0" w:color="auto"/>
        <w:left w:val="none" w:sz="0" w:space="0" w:color="auto"/>
        <w:bottom w:val="none" w:sz="0" w:space="0" w:color="auto"/>
        <w:right w:val="none" w:sz="0" w:space="0" w:color="auto"/>
      </w:divBdr>
    </w:div>
    <w:div w:id="1866291340">
      <w:bodyDiv w:val="1"/>
      <w:marLeft w:val="0"/>
      <w:marRight w:val="0"/>
      <w:marTop w:val="0"/>
      <w:marBottom w:val="0"/>
      <w:divBdr>
        <w:top w:val="none" w:sz="0" w:space="0" w:color="auto"/>
        <w:left w:val="none" w:sz="0" w:space="0" w:color="auto"/>
        <w:bottom w:val="none" w:sz="0" w:space="0" w:color="auto"/>
        <w:right w:val="none" w:sz="0" w:space="0" w:color="auto"/>
      </w:divBdr>
      <w:divsChild>
        <w:div w:id="444274863">
          <w:marLeft w:val="0"/>
          <w:marRight w:val="0"/>
          <w:marTop w:val="0"/>
          <w:marBottom w:val="0"/>
          <w:divBdr>
            <w:top w:val="none" w:sz="0" w:space="0" w:color="auto"/>
            <w:left w:val="none" w:sz="0" w:space="0" w:color="auto"/>
            <w:bottom w:val="none" w:sz="0" w:space="0" w:color="auto"/>
            <w:right w:val="none" w:sz="0" w:space="0" w:color="auto"/>
          </w:divBdr>
          <w:divsChild>
            <w:div w:id="1220509195">
              <w:marLeft w:val="0"/>
              <w:marRight w:val="0"/>
              <w:marTop w:val="0"/>
              <w:marBottom w:val="0"/>
              <w:divBdr>
                <w:top w:val="none" w:sz="0" w:space="0" w:color="auto"/>
                <w:left w:val="none" w:sz="0" w:space="0" w:color="auto"/>
                <w:bottom w:val="none" w:sz="0" w:space="0" w:color="auto"/>
                <w:right w:val="none" w:sz="0" w:space="0" w:color="auto"/>
              </w:divBdr>
              <w:divsChild>
                <w:div w:id="17173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0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cra.2023.100176" TargetMode="External"/><Relationship Id="rId13" Type="http://schemas.openxmlformats.org/officeDocument/2006/relationships/hyperlink" Target="https://hbr.org/2017/09/prioritize-your-opportunities-with-this-checklist" TargetMode="External"/><Relationship Id="rId18" Type="http://schemas.openxmlformats.org/officeDocument/2006/relationships/hyperlink" Target="https://doi.org/10.1093/ijlit/eaad026" TargetMode="External"/><Relationship Id="rId26" Type="http://schemas.openxmlformats.org/officeDocument/2006/relationships/hyperlink" Target="https://www.mckinsey.com/capabilities/strategy-and-corporate-finance/our-insights/the-innovation-commitment" TargetMode="External"/><Relationship Id="rId3" Type="http://schemas.openxmlformats.org/officeDocument/2006/relationships/settings" Target="settings.xml"/><Relationship Id="rId21" Type="http://schemas.openxmlformats.org/officeDocument/2006/relationships/hyperlink" Target="https://doi.org/10.1016/j.bcra.2023.100176" TargetMode="External"/><Relationship Id="rId7" Type="http://schemas.openxmlformats.org/officeDocument/2006/relationships/hyperlink" Target="https://www.mckinsey.com/capabilities/strategy-and-corporate-finance/our-insights/innovation-in-a-crisis-why-it-is-more-critical-than-ever" TargetMode="External"/><Relationship Id="rId12" Type="http://schemas.openxmlformats.org/officeDocument/2006/relationships/hyperlink" Target="https://doi.org/10.5210/fm.v21i12.7113" TargetMode="External"/><Relationship Id="rId17" Type="http://schemas.openxmlformats.org/officeDocument/2006/relationships/hyperlink" Target="https://doi.org/10.1016/j.heliyon.2024.e26297" TargetMode="External"/><Relationship Id="rId25" Type="http://schemas.openxmlformats.org/officeDocument/2006/relationships/hyperlink" Target="http://www.mckinsey.com" TargetMode="External"/><Relationship Id="rId2" Type="http://schemas.openxmlformats.org/officeDocument/2006/relationships/styles" Target="styles.xml"/><Relationship Id="rId16" Type="http://schemas.openxmlformats.org/officeDocument/2006/relationships/hyperlink" Target="https://hbr.org/2019/08/the-8-ways-companies-get-work-done-and-how-to-align-them" TargetMode="External"/><Relationship Id="rId20" Type="http://schemas.openxmlformats.org/officeDocument/2006/relationships/hyperlink" Target="https://www.aabri.com/manuscripts/233693.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bm.com/blog/ifoodds-and-ibm-forge-new-path-to-food-safety-with-ibm-food-trust/" TargetMode="External"/><Relationship Id="rId24" Type="http://schemas.openxmlformats.org/officeDocument/2006/relationships/hyperlink" Target="https://www.mckinsey.com/featured-insights/themes/celebrating-creativity-and-innovation" TargetMode="External"/><Relationship Id="rId5" Type="http://schemas.openxmlformats.org/officeDocument/2006/relationships/footnotes" Target="footnotes.xml"/><Relationship Id="rId15" Type="http://schemas.openxmlformats.org/officeDocument/2006/relationships/hyperlink" Target="https://hbr.org/2021/03/dont-let-financial-metrics-prematurely-stifle-innovation" TargetMode="External"/><Relationship Id="rId23" Type="http://schemas.openxmlformats.org/officeDocument/2006/relationships/hyperlink" Target="http://www.mckinsey.com" TargetMode="External"/><Relationship Id="rId28" Type="http://schemas.openxmlformats.org/officeDocument/2006/relationships/hyperlink" Target="https://www.mckinsey.com/capabilities/strategy-and-corporate-finance/our-insights/innovation-your-launchpad-out-of-the-covid-19-crisis" TargetMode="External"/><Relationship Id="rId10" Type="http://schemas.openxmlformats.org/officeDocument/2006/relationships/hyperlink" Target="https://doi.org/10.1007/978-3-030-52722-8" TargetMode="External"/><Relationship Id="rId19" Type="http://schemas.openxmlformats.org/officeDocument/2006/relationships/hyperlink" Target="https://www.diva-portal.org/smash/get/diva2:1651682/FULLTEXT0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br.org/2018/03/why-people-lose-motivation-and-what-managers-can-do-to-help" TargetMode="External"/><Relationship Id="rId14" Type="http://schemas.openxmlformats.org/officeDocument/2006/relationships/hyperlink" Target="https://hbr.org/podcast/2017/04/to-reinvent-your-firm-do-two-things-at-the-same-time" TargetMode="External"/><Relationship Id="rId22" Type="http://schemas.openxmlformats.org/officeDocument/2006/relationships/hyperlink" Target="https://widgets.weforum.org/blockchain-toolkit/legal-and-regulatory-compliance/index.html" TargetMode="External"/><Relationship Id="rId27" Type="http://schemas.openxmlformats.org/officeDocument/2006/relationships/hyperlink" Target="http://www.mckinsey.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5919</Words>
  <Characters>38847</Characters>
  <Application>Microsoft Office Word</Application>
  <DocSecurity>0</DocSecurity>
  <Lines>543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Kiefer</dc:creator>
  <cp:keywords/>
  <dc:description/>
  <cp:lastModifiedBy>Maximilian Kiefer</cp:lastModifiedBy>
  <cp:revision>85</cp:revision>
  <dcterms:created xsi:type="dcterms:W3CDTF">2024-03-26T08:44:00Z</dcterms:created>
  <dcterms:modified xsi:type="dcterms:W3CDTF">2024-06-27T12:53:00Z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6f8862deb1dd8572c126811c3dfafe121daa3c583c68fef7e96aabf1e47b9eb5</vt:lpwstr>
  </property>
</Properties>
</file>