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555EB" w14:textId="3A755D7D" w:rsidR="004A1E9A" w:rsidRPr="00896AB0" w:rsidRDefault="004A1E9A" w:rsidP="00896AB0">
      <w:pPr>
        <w:pStyle w:val="NoSpacing"/>
        <w:rPr>
          <w:lang w:val="en-GB"/>
        </w:rPr>
      </w:pPr>
    </w:p>
    <w:p w14:paraId="432F6FD9" w14:textId="46F8F597" w:rsidR="007037D4" w:rsidRPr="00896AB0" w:rsidRDefault="007037D4" w:rsidP="00896AB0">
      <w:pPr>
        <w:pStyle w:val="NoSpacing"/>
        <w:rPr>
          <w:lang w:val="en-GB"/>
        </w:rPr>
      </w:pPr>
    </w:p>
    <w:p w14:paraId="16ECA79C" w14:textId="77777777" w:rsidR="007037D4" w:rsidRPr="00896AB0" w:rsidRDefault="007037D4" w:rsidP="00896AB0">
      <w:pPr>
        <w:pStyle w:val="NoSpacing"/>
        <w:rPr>
          <w:lang w:val="en-GB"/>
        </w:rPr>
      </w:pPr>
    </w:p>
    <w:p w14:paraId="37C4B7C5" w14:textId="38B53C84" w:rsidR="005A1033" w:rsidRPr="0079537E" w:rsidRDefault="00481184" w:rsidP="00896AB0">
      <w:pPr>
        <w:pStyle w:val="NoSpacing"/>
        <w:jc w:val="center"/>
        <w:rPr>
          <w:b/>
          <w:bCs/>
          <w:sz w:val="48"/>
          <w:szCs w:val="48"/>
          <w:lang w:val="en-GB"/>
        </w:rPr>
      </w:pPr>
      <w:r w:rsidRPr="0079537E">
        <w:rPr>
          <w:b/>
          <w:bCs/>
          <w:sz w:val="48"/>
          <w:szCs w:val="48"/>
          <w:lang w:val="en-GB"/>
        </w:rPr>
        <w:t xml:space="preserve">Module </w:t>
      </w:r>
      <w:r w:rsidR="00641EA3" w:rsidRPr="0079537E">
        <w:rPr>
          <w:b/>
          <w:bCs/>
          <w:sz w:val="48"/>
          <w:szCs w:val="48"/>
          <w:lang w:val="en-GB"/>
        </w:rPr>
        <w:t>3</w:t>
      </w:r>
    </w:p>
    <w:p w14:paraId="4184B2A8" w14:textId="2AE46A30" w:rsidR="00BD26D6" w:rsidRPr="0079537E" w:rsidRDefault="00641EA3" w:rsidP="00896AB0">
      <w:pPr>
        <w:pStyle w:val="NoSpacing"/>
        <w:jc w:val="center"/>
        <w:rPr>
          <w:sz w:val="40"/>
          <w:szCs w:val="40"/>
          <w:lang w:val="en-GB"/>
        </w:rPr>
      </w:pPr>
      <w:r w:rsidRPr="0079537E">
        <w:rPr>
          <w:sz w:val="40"/>
          <w:szCs w:val="40"/>
          <w:lang w:val="en-GB"/>
        </w:rPr>
        <w:t>Capstone Project</w:t>
      </w:r>
    </w:p>
    <w:p w14:paraId="14CA8B93" w14:textId="610440A0" w:rsidR="00635D5F" w:rsidRPr="0079537E" w:rsidRDefault="00635D5F" w:rsidP="00896AB0">
      <w:pPr>
        <w:pStyle w:val="NoSpacing"/>
        <w:jc w:val="center"/>
        <w:rPr>
          <w:lang w:val="en-GB"/>
        </w:rPr>
      </w:pPr>
    </w:p>
    <w:p w14:paraId="50288A4E" w14:textId="77777777" w:rsidR="00896AB0" w:rsidRPr="0030655E" w:rsidRDefault="00896AB0" w:rsidP="00896AB0">
      <w:pPr>
        <w:pStyle w:val="NoSpacing"/>
        <w:jc w:val="center"/>
        <w:rPr>
          <w:i/>
          <w:iCs/>
          <w:lang w:val="en-GB"/>
        </w:rPr>
      </w:pPr>
      <w:r w:rsidRPr="0030655E">
        <w:rPr>
          <w:i/>
          <w:iCs/>
          <w:lang w:val="en-GB"/>
        </w:rPr>
        <w:t>Humanitarian Ethical Decision-Making (HEDM) Framework: Fostering Sustainable Impact and Social Responsibility</w:t>
      </w:r>
    </w:p>
    <w:p w14:paraId="4954AAC8" w14:textId="77777777" w:rsidR="00896AB0" w:rsidRPr="0079537E" w:rsidRDefault="00896AB0" w:rsidP="00896AB0">
      <w:pPr>
        <w:pStyle w:val="NoSpacing"/>
        <w:jc w:val="center"/>
        <w:rPr>
          <w:lang w:val="en-GB"/>
        </w:rPr>
      </w:pPr>
    </w:p>
    <w:p w14:paraId="7B302AE4" w14:textId="77777777" w:rsidR="00F267DD" w:rsidRPr="0079537E" w:rsidRDefault="00F267DD" w:rsidP="00896AB0">
      <w:pPr>
        <w:pStyle w:val="NoSpacing"/>
        <w:jc w:val="center"/>
        <w:rPr>
          <w:lang w:val="en-GB"/>
        </w:rPr>
      </w:pPr>
    </w:p>
    <w:p w14:paraId="7C2DD31A" w14:textId="77777777" w:rsidR="007037D4" w:rsidRPr="0079537E" w:rsidRDefault="007037D4" w:rsidP="00896AB0">
      <w:pPr>
        <w:pStyle w:val="NoSpacing"/>
        <w:jc w:val="center"/>
        <w:rPr>
          <w:lang w:val="en-GB"/>
        </w:rPr>
      </w:pPr>
    </w:p>
    <w:p w14:paraId="05089724" w14:textId="2102EDA0" w:rsidR="007037D4" w:rsidRPr="0079537E" w:rsidRDefault="009B09D7" w:rsidP="00896AB0">
      <w:pPr>
        <w:pStyle w:val="NoSpacing"/>
        <w:jc w:val="center"/>
        <w:rPr>
          <w:lang w:val="en-GB"/>
        </w:rPr>
      </w:pPr>
      <w:r w:rsidRPr="0079537E">
        <w:rPr>
          <w:lang w:val="en-GB"/>
        </w:rPr>
        <w:t>Requirement</w:t>
      </w:r>
      <w:r w:rsidR="007037D4" w:rsidRPr="0079537E">
        <w:rPr>
          <w:lang w:val="en-GB"/>
        </w:rPr>
        <w:t xml:space="preserve"> of</w:t>
      </w:r>
    </w:p>
    <w:p w14:paraId="69004A15" w14:textId="77777777" w:rsidR="007037D4" w:rsidRPr="0079537E" w:rsidRDefault="007037D4" w:rsidP="00896AB0">
      <w:pPr>
        <w:pStyle w:val="NoSpacing"/>
        <w:jc w:val="center"/>
        <w:rPr>
          <w:lang w:val="en-GB"/>
        </w:rPr>
      </w:pPr>
    </w:p>
    <w:p w14:paraId="332ACAA3" w14:textId="6F185E7F" w:rsidR="007037D4" w:rsidRPr="000D1173" w:rsidRDefault="009B09D7" w:rsidP="00896AB0">
      <w:pPr>
        <w:pStyle w:val="NoSpacing"/>
        <w:jc w:val="center"/>
        <w:rPr>
          <w:b/>
          <w:bCs/>
          <w:lang w:val="en-GB"/>
        </w:rPr>
      </w:pPr>
      <w:r w:rsidRPr="000D1173">
        <w:rPr>
          <w:b/>
          <w:bCs/>
          <w:lang w:val="en-GB"/>
        </w:rPr>
        <w:t>John MACATO</w:t>
      </w:r>
    </w:p>
    <w:p w14:paraId="4EA37904" w14:textId="3F87B07F" w:rsidR="00F267DD" w:rsidRPr="0079537E" w:rsidRDefault="00F267DD" w:rsidP="00896AB0">
      <w:pPr>
        <w:pStyle w:val="NoSpacing"/>
        <w:jc w:val="center"/>
        <w:rPr>
          <w:lang w:val="en-GB"/>
        </w:rPr>
      </w:pPr>
    </w:p>
    <w:p w14:paraId="1C0784A8" w14:textId="77777777" w:rsidR="005E35DA" w:rsidRPr="0079537E" w:rsidRDefault="005E35DA" w:rsidP="00896AB0">
      <w:pPr>
        <w:pStyle w:val="NoSpacing"/>
        <w:jc w:val="center"/>
        <w:rPr>
          <w:lang w:val="en-GB"/>
        </w:rPr>
      </w:pPr>
    </w:p>
    <w:p w14:paraId="044B2AE2" w14:textId="125B8AB7" w:rsidR="00F267DD" w:rsidRPr="0079537E" w:rsidRDefault="00F267DD" w:rsidP="00896AB0">
      <w:pPr>
        <w:pStyle w:val="NoSpacing"/>
        <w:jc w:val="center"/>
        <w:rPr>
          <w:lang w:val="en-GB"/>
        </w:rPr>
      </w:pPr>
    </w:p>
    <w:p w14:paraId="5A83FE95" w14:textId="77777777" w:rsidR="00635D5F" w:rsidRPr="0079537E" w:rsidRDefault="00635D5F" w:rsidP="00896AB0">
      <w:pPr>
        <w:pStyle w:val="NoSpacing"/>
        <w:jc w:val="center"/>
        <w:rPr>
          <w:lang w:val="en-GB"/>
        </w:rPr>
      </w:pPr>
    </w:p>
    <w:p w14:paraId="2ADBDDB0" w14:textId="6DF69538" w:rsidR="00756BD1" w:rsidRPr="0079537E" w:rsidRDefault="0057032A" w:rsidP="00896AB0">
      <w:pPr>
        <w:pStyle w:val="NoSpacing"/>
        <w:jc w:val="center"/>
        <w:rPr>
          <w:lang w:val="en-GB"/>
        </w:rPr>
      </w:pPr>
      <w:r w:rsidRPr="0079537E">
        <w:rPr>
          <w:lang w:val="en-GB"/>
        </w:rPr>
        <w:t xml:space="preserve">submitted </w:t>
      </w:r>
      <w:r w:rsidR="007037D4" w:rsidRPr="0079537E">
        <w:rPr>
          <w:lang w:val="en-GB"/>
        </w:rPr>
        <w:t>at</w:t>
      </w:r>
      <w:r w:rsidR="00F806B4" w:rsidRPr="0079537E">
        <w:rPr>
          <w:lang w:val="en-GB"/>
        </w:rPr>
        <w:t xml:space="preserve"> the </w:t>
      </w:r>
      <w:r w:rsidR="009B09D7" w:rsidRPr="0079537E">
        <w:rPr>
          <w:lang w:val="en-GB"/>
        </w:rPr>
        <w:t>PhD by Portfolio</w:t>
      </w:r>
      <w:r w:rsidR="00F806B4" w:rsidRPr="0079537E">
        <w:rPr>
          <w:lang w:val="en-GB"/>
        </w:rPr>
        <w:t xml:space="preserve"> Programme</w:t>
      </w:r>
    </w:p>
    <w:p w14:paraId="281B744F" w14:textId="50E7ADBE" w:rsidR="007037D4" w:rsidRPr="0079537E" w:rsidRDefault="003A3553" w:rsidP="00896AB0">
      <w:pPr>
        <w:pStyle w:val="NoSpacing"/>
        <w:jc w:val="center"/>
        <w:rPr>
          <w:lang w:val="en-GB"/>
        </w:rPr>
      </w:pPr>
      <w:r w:rsidRPr="0079537E">
        <w:rPr>
          <w:lang w:val="en-GB"/>
        </w:rPr>
        <w:t xml:space="preserve">of the </w:t>
      </w:r>
      <w:r w:rsidR="009B09D7" w:rsidRPr="0079537E">
        <w:rPr>
          <w:lang w:val="en-GB"/>
        </w:rPr>
        <w:t xml:space="preserve">Swiss School </w:t>
      </w:r>
      <w:r w:rsidR="0002182A" w:rsidRPr="0079537E">
        <w:rPr>
          <w:lang w:val="en-GB"/>
        </w:rPr>
        <w:t xml:space="preserve">of </w:t>
      </w:r>
      <w:r w:rsidR="009B09D7" w:rsidRPr="0079537E">
        <w:rPr>
          <w:lang w:val="en-GB"/>
        </w:rPr>
        <w:t>Business Research (SSBR)</w:t>
      </w:r>
    </w:p>
    <w:p w14:paraId="53047F37" w14:textId="77777777" w:rsidR="003A3553" w:rsidRPr="0079537E" w:rsidRDefault="003A3553" w:rsidP="00896AB0">
      <w:pPr>
        <w:pStyle w:val="NoSpacing"/>
        <w:jc w:val="center"/>
        <w:rPr>
          <w:lang w:val="en-GB"/>
        </w:rPr>
      </w:pPr>
    </w:p>
    <w:p w14:paraId="2E639E6C" w14:textId="77777777" w:rsidR="00635D5F" w:rsidRPr="0079537E" w:rsidRDefault="00635D5F" w:rsidP="00896AB0">
      <w:pPr>
        <w:pStyle w:val="NoSpacing"/>
        <w:jc w:val="center"/>
        <w:rPr>
          <w:lang w:val="en-GB"/>
        </w:rPr>
      </w:pPr>
    </w:p>
    <w:p w14:paraId="3EC166C2" w14:textId="0A740D12" w:rsidR="00635D5F" w:rsidRPr="0079537E" w:rsidRDefault="00635D5F" w:rsidP="00896AB0">
      <w:pPr>
        <w:pStyle w:val="NoSpacing"/>
        <w:jc w:val="center"/>
        <w:rPr>
          <w:lang w:val="en-GB"/>
        </w:rPr>
      </w:pPr>
    </w:p>
    <w:p w14:paraId="39593A07" w14:textId="6629D11A" w:rsidR="00635D5F" w:rsidRPr="0079537E" w:rsidRDefault="00635D5F" w:rsidP="00896AB0">
      <w:pPr>
        <w:pStyle w:val="NoSpacing"/>
        <w:jc w:val="center"/>
        <w:rPr>
          <w:lang w:val="en-GB"/>
        </w:rPr>
      </w:pPr>
    </w:p>
    <w:p w14:paraId="7719BA74" w14:textId="77777777" w:rsidR="00D263C1" w:rsidRPr="0079537E" w:rsidRDefault="00D263C1" w:rsidP="00896AB0">
      <w:pPr>
        <w:pStyle w:val="NoSpacing"/>
        <w:jc w:val="center"/>
        <w:rPr>
          <w:lang w:val="en-GB"/>
        </w:rPr>
      </w:pPr>
    </w:p>
    <w:p w14:paraId="3112EA61" w14:textId="77777777" w:rsidR="00D263C1" w:rsidRPr="0079537E" w:rsidRDefault="00D263C1" w:rsidP="00896AB0">
      <w:pPr>
        <w:pStyle w:val="NoSpacing"/>
        <w:jc w:val="center"/>
        <w:rPr>
          <w:lang w:val="en-GB"/>
        </w:rPr>
      </w:pPr>
    </w:p>
    <w:p w14:paraId="6CB26406" w14:textId="17CA7826" w:rsidR="00BD26D6" w:rsidRPr="0079537E" w:rsidRDefault="00BD26D6" w:rsidP="00896AB0">
      <w:pPr>
        <w:pStyle w:val="NoSpacing"/>
        <w:jc w:val="center"/>
        <w:rPr>
          <w:lang w:val="en-GB"/>
        </w:rPr>
      </w:pPr>
      <w:r w:rsidRPr="0079537E">
        <w:rPr>
          <w:lang w:val="en-GB"/>
        </w:rPr>
        <w:t xml:space="preserve">Mentor: </w:t>
      </w:r>
      <w:r w:rsidR="00641EA3" w:rsidRPr="000D1173">
        <w:rPr>
          <w:b/>
          <w:bCs/>
          <w:shd w:val="clear" w:color="auto" w:fill="FFFFFF"/>
          <w:lang w:val="en-GB"/>
        </w:rPr>
        <w:t>Steve MALLON</w:t>
      </w:r>
    </w:p>
    <w:p w14:paraId="22425861" w14:textId="77777777" w:rsidR="00D263C1" w:rsidRPr="0079537E" w:rsidRDefault="00D263C1" w:rsidP="00896AB0">
      <w:pPr>
        <w:pStyle w:val="NoSpacing"/>
        <w:jc w:val="center"/>
        <w:rPr>
          <w:lang w:val="en-GB"/>
        </w:rPr>
      </w:pPr>
    </w:p>
    <w:p w14:paraId="0C680F97" w14:textId="77777777" w:rsidR="00D263C1" w:rsidRPr="0079537E" w:rsidRDefault="00D263C1" w:rsidP="00896AB0">
      <w:pPr>
        <w:pStyle w:val="NoSpacing"/>
        <w:jc w:val="center"/>
        <w:rPr>
          <w:lang w:val="en-GB"/>
        </w:rPr>
      </w:pPr>
    </w:p>
    <w:p w14:paraId="0F2AC6CF" w14:textId="77777777" w:rsidR="00D263C1" w:rsidRPr="0079537E" w:rsidRDefault="00D263C1" w:rsidP="00896AB0">
      <w:pPr>
        <w:pStyle w:val="NoSpacing"/>
        <w:jc w:val="center"/>
        <w:rPr>
          <w:lang w:val="en-GB"/>
        </w:rPr>
      </w:pPr>
    </w:p>
    <w:p w14:paraId="5A3D1EBA" w14:textId="77777777" w:rsidR="00635D5F" w:rsidRPr="0079537E" w:rsidRDefault="00635D5F" w:rsidP="00896AB0">
      <w:pPr>
        <w:pStyle w:val="NoSpacing"/>
        <w:jc w:val="center"/>
        <w:rPr>
          <w:lang w:val="en-GB"/>
        </w:rPr>
      </w:pPr>
    </w:p>
    <w:p w14:paraId="01BABC1A" w14:textId="571E41A3" w:rsidR="00635D5F" w:rsidRPr="0079537E" w:rsidRDefault="0057032A" w:rsidP="00896AB0">
      <w:pPr>
        <w:pStyle w:val="NoSpacing"/>
        <w:jc w:val="center"/>
        <w:rPr>
          <w:lang w:val="en-GB"/>
        </w:rPr>
      </w:pPr>
      <w:r w:rsidRPr="0079537E">
        <w:rPr>
          <w:lang w:val="en-GB"/>
        </w:rPr>
        <w:t>Date of</w:t>
      </w:r>
      <w:r w:rsidR="00635D5F" w:rsidRPr="0079537E">
        <w:rPr>
          <w:lang w:val="en-GB"/>
        </w:rPr>
        <w:t xml:space="preserve"> Submission</w:t>
      </w:r>
      <w:r w:rsidR="000B433B" w:rsidRPr="0079537E">
        <w:rPr>
          <w:lang w:val="en-GB"/>
        </w:rPr>
        <w:t xml:space="preserve">: </w:t>
      </w:r>
      <w:r w:rsidR="00641EA3" w:rsidRPr="0079537E">
        <w:rPr>
          <w:lang w:val="en-GB"/>
        </w:rPr>
        <w:t>30</w:t>
      </w:r>
      <w:r w:rsidR="004B3AE3" w:rsidRPr="0079537E">
        <w:rPr>
          <w:lang w:val="en-GB"/>
        </w:rPr>
        <w:t>.</w:t>
      </w:r>
      <w:r w:rsidR="00F604CA" w:rsidRPr="0079537E">
        <w:rPr>
          <w:lang w:val="en-GB"/>
        </w:rPr>
        <w:t>0</w:t>
      </w:r>
      <w:r w:rsidR="00F51CE8" w:rsidRPr="0079537E">
        <w:rPr>
          <w:lang w:val="en-GB"/>
        </w:rPr>
        <w:t>5</w:t>
      </w:r>
      <w:r w:rsidR="00F604CA" w:rsidRPr="0079537E">
        <w:rPr>
          <w:lang w:val="en-GB"/>
        </w:rPr>
        <w:t>.</w:t>
      </w:r>
      <w:r w:rsidR="004B3AE3" w:rsidRPr="0079537E">
        <w:rPr>
          <w:lang w:val="en-GB"/>
        </w:rPr>
        <w:t>202</w:t>
      </w:r>
      <w:r w:rsidR="00641EA3" w:rsidRPr="0079537E">
        <w:rPr>
          <w:lang w:val="en-GB"/>
        </w:rPr>
        <w:t>4</w:t>
      </w:r>
    </w:p>
    <w:p w14:paraId="52C7D3A5" w14:textId="77777777" w:rsidR="00D87671" w:rsidRPr="0079537E" w:rsidRDefault="00D87671" w:rsidP="00896AB0">
      <w:pPr>
        <w:pStyle w:val="NoSpacing"/>
        <w:jc w:val="center"/>
        <w:rPr>
          <w:lang w:val="en-GB"/>
        </w:rPr>
      </w:pPr>
    </w:p>
    <w:p w14:paraId="570F4CD6" w14:textId="77777777" w:rsidR="00D87671" w:rsidRPr="0079537E" w:rsidRDefault="00D87671" w:rsidP="00896AB0">
      <w:pPr>
        <w:pStyle w:val="NoSpacing"/>
        <w:jc w:val="center"/>
        <w:rPr>
          <w:lang w:val="en-GB"/>
        </w:rPr>
      </w:pPr>
    </w:p>
    <w:p w14:paraId="01039D2A" w14:textId="77777777" w:rsidR="00D87671" w:rsidRPr="0079537E" w:rsidRDefault="00D87671" w:rsidP="00896AB0">
      <w:pPr>
        <w:pStyle w:val="NoSpacing"/>
        <w:jc w:val="center"/>
        <w:rPr>
          <w:lang w:val="en-GB"/>
        </w:rPr>
      </w:pPr>
    </w:p>
    <w:p w14:paraId="0E9269DD" w14:textId="77777777" w:rsidR="00E80CB0" w:rsidRPr="0079537E" w:rsidRDefault="00E80CB0" w:rsidP="00896AB0">
      <w:pPr>
        <w:pStyle w:val="NoSpacing"/>
        <w:jc w:val="center"/>
        <w:rPr>
          <w:lang w:val="en-GB"/>
        </w:rPr>
      </w:pPr>
    </w:p>
    <w:p w14:paraId="61968F4C" w14:textId="77777777" w:rsidR="00F806B4" w:rsidRPr="0079537E" w:rsidRDefault="00F806B4" w:rsidP="00896AB0">
      <w:pPr>
        <w:pStyle w:val="NoSpacing"/>
        <w:rPr>
          <w:lang w:val="en-GB"/>
        </w:rPr>
      </w:pPr>
    </w:p>
    <w:p w14:paraId="4C6B1CC3" w14:textId="77777777" w:rsidR="00896AB0" w:rsidRPr="0079537E" w:rsidRDefault="00896AB0" w:rsidP="00896AB0">
      <w:pPr>
        <w:pStyle w:val="NoSpacing"/>
        <w:rPr>
          <w:lang w:val="en-GB"/>
        </w:rPr>
      </w:pPr>
      <w:r w:rsidRPr="0079537E">
        <w:rPr>
          <w:lang w:val="en-GB"/>
        </w:rPr>
        <w:br w:type="page"/>
      </w:r>
    </w:p>
    <w:p w14:paraId="0B1C43AD" w14:textId="3468902C" w:rsidR="00E80CB0" w:rsidRPr="0079537E" w:rsidRDefault="00676422" w:rsidP="00896AB0">
      <w:pPr>
        <w:pStyle w:val="NoSpacing"/>
        <w:rPr>
          <w:lang w:val="en-GB"/>
        </w:rPr>
      </w:pPr>
      <w:r w:rsidRPr="0079537E">
        <w:rPr>
          <w:lang w:val="en-GB"/>
        </w:rPr>
        <w:lastRenderedPageBreak/>
        <w:t xml:space="preserve">Table of </w:t>
      </w:r>
      <w:r w:rsidR="00830597" w:rsidRPr="0079537E">
        <w:rPr>
          <w:lang w:val="en-GB"/>
        </w:rPr>
        <w:t>Content</w:t>
      </w:r>
      <w:r w:rsidRPr="0079537E">
        <w:rPr>
          <w:lang w:val="en-GB"/>
        </w:rPr>
        <w:t>s</w:t>
      </w:r>
    </w:p>
    <w:sdt>
      <w:sdtPr>
        <w:rPr>
          <w:lang w:val="en-GB"/>
        </w:rPr>
        <w:id w:val="1933548811"/>
        <w:docPartObj>
          <w:docPartGallery w:val="Table of Contents"/>
          <w:docPartUnique/>
        </w:docPartObj>
      </w:sdtPr>
      <w:sdtContent>
        <w:p w14:paraId="40BCCE2A" w14:textId="755A1BD2" w:rsidR="00830597" w:rsidRPr="0079537E" w:rsidRDefault="00830597" w:rsidP="00896AB0">
          <w:pPr>
            <w:pStyle w:val="NoSpacing"/>
            <w:rPr>
              <w:lang w:val="en-GB"/>
            </w:rPr>
          </w:pPr>
        </w:p>
        <w:p w14:paraId="5C81D228" w14:textId="52C14B98" w:rsidR="0075173E" w:rsidRDefault="00830597">
          <w:pPr>
            <w:pStyle w:val="TOC1"/>
            <w:tabs>
              <w:tab w:val="right" w:leader="dot" w:pos="9056"/>
            </w:tabs>
            <w:rPr>
              <w:rFonts w:asciiTheme="minorHAnsi" w:eastAsiaTheme="minorEastAsia" w:hAnsiTheme="minorHAnsi"/>
              <w:b w:val="0"/>
              <w:bCs w:val="0"/>
              <w:noProof/>
              <w:kern w:val="2"/>
              <w:lang w:val="en-GB" w:eastAsia="en-GB"/>
              <w14:ligatures w14:val="standardContextual"/>
            </w:rPr>
          </w:pPr>
          <w:r w:rsidRPr="0079537E">
            <w:rPr>
              <w:rFonts w:cs="Times New Roman"/>
              <w:lang w:val="en-GB"/>
            </w:rPr>
            <w:fldChar w:fldCharType="begin"/>
          </w:r>
          <w:r w:rsidRPr="0079537E">
            <w:rPr>
              <w:rFonts w:cs="Times New Roman"/>
              <w:lang w:val="en-GB"/>
            </w:rPr>
            <w:instrText xml:space="preserve"> TOC \o "1-3" \h \z \u </w:instrText>
          </w:r>
          <w:r w:rsidRPr="0079537E">
            <w:rPr>
              <w:rFonts w:cs="Times New Roman"/>
              <w:lang w:val="en-GB"/>
            </w:rPr>
            <w:fldChar w:fldCharType="separate"/>
          </w:r>
          <w:hyperlink w:anchor="_Toc167892884" w:history="1">
            <w:r w:rsidR="0075173E" w:rsidRPr="00AD692E">
              <w:rPr>
                <w:rStyle w:val="Hyperlink"/>
                <w:rFonts w:cs="Times New Roman"/>
                <w:noProof/>
                <w:lang w:val="en-GB"/>
              </w:rPr>
              <w:t>Figures</w:t>
            </w:r>
            <w:r w:rsidR="0075173E">
              <w:rPr>
                <w:noProof/>
                <w:webHidden/>
              </w:rPr>
              <w:tab/>
            </w:r>
            <w:r w:rsidR="0075173E">
              <w:rPr>
                <w:noProof/>
                <w:webHidden/>
              </w:rPr>
              <w:fldChar w:fldCharType="begin"/>
            </w:r>
            <w:r w:rsidR="0075173E">
              <w:rPr>
                <w:noProof/>
                <w:webHidden/>
              </w:rPr>
              <w:instrText xml:space="preserve"> PAGEREF _Toc167892884 \h </w:instrText>
            </w:r>
            <w:r w:rsidR="0075173E">
              <w:rPr>
                <w:noProof/>
                <w:webHidden/>
              </w:rPr>
            </w:r>
            <w:r w:rsidR="0075173E">
              <w:rPr>
                <w:noProof/>
                <w:webHidden/>
              </w:rPr>
              <w:fldChar w:fldCharType="separate"/>
            </w:r>
            <w:r w:rsidR="0075173E">
              <w:rPr>
                <w:noProof/>
                <w:webHidden/>
              </w:rPr>
              <w:t>3</w:t>
            </w:r>
            <w:r w:rsidR="0075173E">
              <w:rPr>
                <w:noProof/>
                <w:webHidden/>
              </w:rPr>
              <w:fldChar w:fldCharType="end"/>
            </w:r>
          </w:hyperlink>
        </w:p>
        <w:p w14:paraId="7B684103" w14:textId="76A6B45B"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885" w:history="1">
            <w:r w:rsidRPr="00AD692E">
              <w:rPr>
                <w:rStyle w:val="Hyperlink"/>
                <w:rFonts w:cs="Times New Roman"/>
                <w:noProof/>
                <w:lang w:val="en-GB"/>
              </w:rPr>
              <w:t>Abbreviations</w:t>
            </w:r>
            <w:r>
              <w:rPr>
                <w:noProof/>
                <w:webHidden/>
              </w:rPr>
              <w:tab/>
            </w:r>
            <w:r>
              <w:rPr>
                <w:noProof/>
                <w:webHidden/>
              </w:rPr>
              <w:fldChar w:fldCharType="begin"/>
            </w:r>
            <w:r>
              <w:rPr>
                <w:noProof/>
                <w:webHidden/>
              </w:rPr>
              <w:instrText xml:space="preserve"> PAGEREF _Toc167892885 \h </w:instrText>
            </w:r>
            <w:r>
              <w:rPr>
                <w:noProof/>
                <w:webHidden/>
              </w:rPr>
            </w:r>
            <w:r>
              <w:rPr>
                <w:noProof/>
                <w:webHidden/>
              </w:rPr>
              <w:fldChar w:fldCharType="separate"/>
            </w:r>
            <w:r>
              <w:rPr>
                <w:noProof/>
                <w:webHidden/>
              </w:rPr>
              <w:t>4</w:t>
            </w:r>
            <w:r>
              <w:rPr>
                <w:noProof/>
                <w:webHidden/>
              </w:rPr>
              <w:fldChar w:fldCharType="end"/>
            </w:r>
          </w:hyperlink>
        </w:p>
        <w:p w14:paraId="69931349" w14:textId="11987DE3"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886" w:history="1">
            <w:r w:rsidRPr="00AD692E">
              <w:rPr>
                <w:rStyle w:val="Hyperlink"/>
                <w:rFonts w:cs="Times New Roman"/>
                <w:noProof/>
                <w:lang w:val="en-GB"/>
              </w:rPr>
              <w:t>Question</w:t>
            </w:r>
            <w:r>
              <w:rPr>
                <w:noProof/>
                <w:webHidden/>
              </w:rPr>
              <w:tab/>
            </w:r>
            <w:r>
              <w:rPr>
                <w:noProof/>
                <w:webHidden/>
              </w:rPr>
              <w:fldChar w:fldCharType="begin"/>
            </w:r>
            <w:r>
              <w:rPr>
                <w:noProof/>
                <w:webHidden/>
              </w:rPr>
              <w:instrText xml:space="preserve"> PAGEREF _Toc167892886 \h </w:instrText>
            </w:r>
            <w:r>
              <w:rPr>
                <w:noProof/>
                <w:webHidden/>
              </w:rPr>
            </w:r>
            <w:r>
              <w:rPr>
                <w:noProof/>
                <w:webHidden/>
              </w:rPr>
              <w:fldChar w:fldCharType="separate"/>
            </w:r>
            <w:r>
              <w:rPr>
                <w:noProof/>
                <w:webHidden/>
              </w:rPr>
              <w:t>5</w:t>
            </w:r>
            <w:r>
              <w:rPr>
                <w:noProof/>
                <w:webHidden/>
              </w:rPr>
              <w:fldChar w:fldCharType="end"/>
            </w:r>
          </w:hyperlink>
        </w:p>
        <w:p w14:paraId="4A57D9D2" w14:textId="13843424"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887" w:history="1">
            <w:r w:rsidRPr="00AD692E">
              <w:rPr>
                <w:rStyle w:val="Hyperlink"/>
                <w:rFonts w:cs="Times New Roman"/>
                <w:noProof/>
                <w:lang w:val="en-GB"/>
              </w:rPr>
              <w:t>Abstract</w:t>
            </w:r>
            <w:r>
              <w:rPr>
                <w:noProof/>
                <w:webHidden/>
              </w:rPr>
              <w:tab/>
            </w:r>
            <w:r>
              <w:rPr>
                <w:noProof/>
                <w:webHidden/>
              </w:rPr>
              <w:fldChar w:fldCharType="begin"/>
            </w:r>
            <w:r>
              <w:rPr>
                <w:noProof/>
                <w:webHidden/>
              </w:rPr>
              <w:instrText xml:space="preserve"> PAGEREF _Toc167892887 \h </w:instrText>
            </w:r>
            <w:r>
              <w:rPr>
                <w:noProof/>
                <w:webHidden/>
              </w:rPr>
            </w:r>
            <w:r>
              <w:rPr>
                <w:noProof/>
                <w:webHidden/>
              </w:rPr>
              <w:fldChar w:fldCharType="separate"/>
            </w:r>
            <w:r>
              <w:rPr>
                <w:noProof/>
                <w:webHidden/>
              </w:rPr>
              <w:t>6</w:t>
            </w:r>
            <w:r>
              <w:rPr>
                <w:noProof/>
                <w:webHidden/>
              </w:rPr>
              <w:fldChar w:fldCharType="end"/>
            </w:r>
          </w:hyperlink>
        </w:p>
        <w:p w14:paraId="274C2242" w14:textId="7FD65278"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888" w:history="1">
            <w:r w:rsidRPr="00AD692E">
              <w:rPr>
                <w:rStyle w:val="Hyperlink"/>
                <w:rFonts w:cs="Times New Roman"/>
                <w:noProof/>
                <w:lang w:val="en-GB"/>
              </w:rPr>
              <w:t>Introduction</w:t>
            </w:r>
            <w:r>
              <w:rPr>
                <w:noProof/>
                <w:webHidden/>
              </w:rPr>
              <w:tab/>
            </w:r>
            <w:r>
              <w:rPr>
                <w:noProof/>
                <w:webHidden/>
              </w:rPr>
              <w:fldChar w:fldCharType="begin"/>
            </w:r>
            <w:r>
              <w:rPr>
                <w:noProof/>
                <w:webHidden/>
              </w:rPr>
              <w:instrText xml:space="preserve"> PAGEREF _Toc167892888 \h </w:instrText>
            </w:r>
            <w:r>
              <w:rPr>
                <w:noProof/>
                <w:webHidden/>
              </w:rPr>
            </w:r>
            <w:r>
              <w:rPr>
                <w:noProof/>
                <w:webHidden/>
              </w:rPr>
              <w:fldChar w:fldCharType="separate"/>
            </w:r>
            <w:r>
              <w:rPr>
                <w:noProof/>
                <w:webHidden/>
              </w:rPr>
              <w:t>7</w:t>
            </w:r>
            <w:r>
              <w:rPr>
                <w:noProof/>
                <w:webHidden/>
              </w:rPr>
              <w:fldChar w:fldCharType="end"/>
            </w:r>
          </w:hyperlink>
        </w:p>
        <w:p w14:paraId="2ECB1711" w14:textId="504D3568"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889" w:history="1">
            <w:r w:rsidRPr="00AD692E">
              <w:rPr>
                <w:rStyle w:val="Hyperlink"/>
                <w:rFonts w:cs="Times New Roman"/>
                <w:noProof/>
                <w:lang w:val="en-GB"/>
              </w:rPr>
              <w:t>The Gap in Ethical Decision-Making in the Humanitarian Sector</w:t>
            </w:r>
            <w:r>
              <w:rPr>
                <w:noProof/>
                <w:webHidden/>
              </w:rPr>
              <w:tab/>
            </w:r>
            <w:r>
              <w:rPr>
                <w:noProof/>
                <w:webHidden/>
              </w:rPr>
              <w:fldChar w:fldCharType="begin"/>
            </w:r>
            <w:r>
              <w:rPr>
                <w:noProof/>
                <w:webHidden/>
              </w:rPr>
              <w:instrText xml:space="preserve"> PAGEREF _Toc167892889 \h </w:instrText>
            </w:r>
            <w:r>
              <w:rPr>
                <w:noProof/>
                <w:webHidden/>
              </w:rPr>
            </w:r>
            <w:r>
              <w:rPr>
                <w:noProof/>
                <w:webHidden/>
              </w:rPr>
              <w:fldChar w:fldCharType="separate"/>
            </w:r>
            <w:r>
              <w:rPr>
                <w:noProof/>
                <w:webHidden/>
              </w:rPr>
              <w:t>8</w:t>
            </w:r>
            <w:r>
              <w:rPr>
                <w:noProof/>
                <w:webHidden/>
              </w:rPr>
              <w:fldChar w:fldCharType="end"/>
            </w:r>
          </w:hyperlink>
        </w:p>
        <w:p w14:paraId="4040BFE4" w14:textId="76C0752D"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890" w:history="1">
            <w:r w:rsidRPr="00AD692E">
              <w:rPr>
                <w:rStyle w:val="Hyperlink"/>
                <w:noProof/>
                <w:lang w:val="en-GB"/>
              </w:rPr>
              <w:t>The Humanitarian Ethical Decision-Making (HEDM) Framework</w:t>
            </w:r>
            <w:r>
              <w:rPr>
                <w:noProof/>
                <w:webHidden/>
              </w:rPr>
              <w:tab/>
            </w:r>
            <w:r>
              <w:rPr>
                <w:noProof/>
                <w:webHidden/>
              </w:rPr>
              <w:fldChar w:fldCharType="begin"/>
            </w:r>
            <w:r>
              <w:rPr>
                <w:noProof/>
                <w:webHidden/>
              </w:rPr>
              <w:instrText xml:space="preserve"> PAGEREF _Toc167892890 \h </w:instrText>
            </w:r>
            <w:r>
              <w:rPr>
                <w:noProof/>
                <w:webHidden/>
              </w:rPr>
            </w:r>
            <w:r>
              <w:rPr>
                <w:noProof/>
                <w:webHidden/>
              </w:rPr>
              <w:fldChar w:fldCharType="separate"/>
            </w:r>
            <w:r>
              <w:rPr>
                <w:noProof/>
                <w:webHidden/>
              </w:rPr>
              <w:t>10</w:t>
            </w:r>
            <w:r>
              <w:rPr>
                <w:noProof/>
                <w:webHidden/>
              </w:rPr>
              <w:fldChar w:fldCharType="end"/>
            </w:r>
          </w:hyperlink>
        </w:p>
        <w:p w14:paraId="0F0E6A11" w14:textId="73D0309C" w:rsidR="0075173E" w:rsidRDefault="0075173E">
          <w:pPr>
            <w:pStyle w:val="TOC2"/>
            <w:tabs>
              <w:tab w:val="right" w:leader="dot" w:pos="9056"/>
            </w:tabs>
            <w:rPr>
              <w:rFonts w:asciiTheme="minorHAnsi" w:eastAsiaTheme="minorEastAsia" w:hAnsiTheme="minorHAnsi"/>
              <w:bCs w:val="0"/>
              <w:noProof/>
              <w:kern w:val="2"/>
              <w:sz w:val="24"/>
              <w:szCs w:val="24"/>
              <w:lang w:val="en-GB" w:eastAsia="en-GB"/>
              <w14:ligatures w14:val="standardContextual"/>
            </w:rPr>
          </w:pPr>
          <w:hyperlink w:anchor="_Toc167892891" w:history="1">
            <w:r w:rsidRPr="00AD692E">
              <w:rPr>
                <w:rStyle w:val="Hyperlink"/>
                <w:noProof/>
              </w:rPr>
              <w:t>Ethical Leadership and Values Alignment</w:t>
            </w:r>
            <w:r>
              <w:rPr>
                <w:noProof/>
                <w:webHidden/>
              </w:rPr>
              <w:tab/>
            </w:r>
            <w:r>
              <w:rPr>
                <w:noProof/>
                <w:webHidden/>
              </w:rPr>
              <w:fldChar w:fldCharType="begin"/>
            </w:r>
            <w:r>
              <w:rPr>
                <w:noProof/>
                <w:webHidden/>
              </w:rPr>
              <w:instrText xml:space="preserve"> PAGEREF _Toc167892891 \h </w:instrText>
            </w:r>
            <w:r>
              <w:rPr>
                <w:noProof/>
                <w:webHidden/>
              </w:rPr>
            </w:r>
            <w:r>
              <w:rPr>
                <w:noProof/>
                <w:webHidden/>
              </w:rPr>
              <w:fldChar w:fldCharType="separate"/>
            </w:r>
            <w:r>
              <w:rPr>
                <w:noProof/>
                <w:webHidden/>
              </w:rPr>
              <w:t>10</w:t>
            </w:r>
            <w:r>
              <w:rPr>
                <w:noProof/>
                <w:webHidden/>
              </w:rPr>
              <w:fldChar w:fldCharType="end"/>
            </w:r>
          </w:hyperlink>
        </w:p>
        <w:p w14:paraId="3707D8A8" w14:textId="2D000DDC" w:rsidR="0075173E" w:rsidRDefault="0075173E">
          <w:pPr>
            <w:pStyle w:val="TOC2"/>
            <w:tabs>
              <w:tab w:val="right" w:leader="dot" w:pos="9056"/>
            </w:tabs>
            <w:rPr>
              <w:rFonts w:asciiTheme="minorHAnsi" w:eastAsiaTheme="minorEastAsia" w:hAnsiTheme="minorHAnsi"/>
              <w:bCs w:val="0"/>
              <w:noProof/>
              <w:kern w:val="2"/>
              <w:sz w:val="24"/>
              <w:szCs w:val="24"/>
              <w:lang w:val="en-GB" w:eastAsia="en-GB"/>
              <w14:ligatures w14:val="standardContextual"/>
            </w:rPr>
          </w:pPr>
          <w:hyperlink w:anchor="_Toc167892892" w:history="1">
            <w:r w:rsidRPr="00AD692E">
              <w:rPr>
                <w:rStyle w:val="Hyperlink"/>
                <w:noProof/>
              </w:rPr>
              <w:t>Stakeholder Engagement and Empowerment</w:t>
            </w:r>
            <w:r>
              <w:rPr>
                <w:noProof/>
                <w:webHidden/>
              </w:rPr>
              <w:tab/>
            </w:r>
            <w:r>
              <w:rPr>
                <w:noProof/>
                <w:webHidden/>
              </w:rPr>
              <w:fldChar w:fldCharType="begin"/>
            </w:r>
            <w:r>
              <w:rPr>
                <w:noProof/>
                <w:webHidden/>
              </w:rPr>
              <w:instrText xml:space="preserve"> PAGEREF _Toc167892892 \h </w:instrText>
            </w:r>
            <w:r>
              <w:rPr>
                <w:noProof/>
                <w:webHidden/>
              </w:rPr>
            </w:r>
            <w:r>
              <w:rPr>
                <w:noProof/>
                <w:webHidden/>
              </w:rPr>
              <w:fldChar w:fldCharType="separate"/>
            </w:r>
            <w:r>
              <w:rPr>
                <w:noProof/>
                <w:webHidden/>
              </w:rPr>
              <w:t>11</w:t>
            </w:r>
            <w:r>
              <w:rPr>
                <w:noProof/>
                <w:webHidden/>
              </w:rPr>
              <w:fldChar w:fldCharType="end"/>
            </w:r>
          </w:hyperlink>
        </w:p>
        <w:p w14:paraId="430F6DA3" w14:textId="60F43830" w:rsidR="0075173E" w:rsidRDefault="0075173E">
          <w:pPr>
            <w:pStyle w:val="TOC2"/>
            <w:tabs>
              <w:tab w:val="right" w:leader="dot" w:pos="9056"/>
            </w:tabs>
            <w:rPr>
              <w:rFonts w:asciiTheme="minorHAnsi" w:eastAsiaTheme="minorEastAsia" w:hAnsiTheme="minorHAnsi"/>
              <w:bCs w:val="0"/>
              <w:noProof/>
              <w:kern w:val="2"/>
              <w:sz w:val="24"/>
              <w:szCs w:val="24"/>
              <w:lang w:val="en-GB" w:eastAsia="en-GB"/>
              <w14:ligatures w14:val="standardContextual"/>
            </w:rPr>
          </w:pPr>
          <w:hyperlink w:anchor="_Toc167892893" w:history="1">
            <w:r w:rsidRPr="00AD692E">
              <w:rPr>
                <w:rStyle w:val="Hyperlink"/>
                <w:noProof/>
              </w:rPr>
              <w:t>Sustainability Integration and Impact Assessment</w:t>
            </w:r>
            <w:r>
              <w:rPr>
                <w:noProof/>
                <w:webHidden/>
              </w:rPr>
              <w:tab/>
            </w:r>
            <w:r>
              <w:rPr>
                <w:noProof/>
                <w:webHidden/>
              </w:rPr>
              <w:fldChar w:fldCharType="begin"/>
            </w:r>
            <w:r>
              <w:rPr>
                <w:noProof/>
                <w:webHidden/>
              </w:rPr>
              <w:instrText xml:space="preserve"> PAGEREF _Toc167892893 \h </w:instrText>
            </w:r>
            <w:r>
              <w:rPr>
                <w:noProof/>
                <w:webHidden/>
              </w:rPr>
            </w:r>
            <w:r>
              <w:rPr>
                <w:noProof/>
                <w:webHidden/>
              </w:rPr>
              <w:fldChar w:fldCharType="separate"/>
            </w:r>
            <w:r>
              <w:rPr>
                <w:noProof/>
                <w:webHidden/>
              </w:rPr>
              <w:t>12</w:t>
            </w:r>
            <w:r>
              <w:rPr>
                <w:noProof/>
                <w:webHidden/>
              </w:rPr>
              <w:fldChar w:fldCharType="end"/>
            </w:r>
          </w:hyperlink>
        </w:p>
        <w:p w14:paraId="41EDE06E" w14:textId="156EEBAF" w:rsidR="0075173E" w:rsidRDefault="0075173E">
          <w:pPr>
            <w:pStyle w:val="TOC2"/>
            <w:tabs>
              <w:tab w:val="right" w:leader="dot" w:pos="9056"/>
            </w:tabs>
            <w:rPr>
              <w:rFonts w:asciiTheme="minorHAnsi" w:eastAsiaTheme="minorEastAsia" w:hAnsiTheme="minorHAnsi"/>
              <w:bCs w:val="0"/>
              <w:noProof/>
              <w:kern w:val="2"/>
              <w:sz w:val="24"/>
              <w:szCs w:val="24"/>
              <w:lang w:val="en-GB" w:eastAsia="en-GB"/>
              <w14:ligatures w14:val="standardContextual"/>
            </w:rPr>
          </w:pPr>
          <w:hyperlink w:anchor="_Toc167892894" w:history="1">
            <w:r w:rsidRPr="00AD692E">
              <w:rPr>
                <w:rStyle w:val="Hyperlink"/>
                <w:noProof/>
              </w:rPr>
              <w:t>Risk Management and Ethical Decision Support</w:t>
            </w:r>
            <w:r>
              <w:rPr>
                <w:noProof/>
                <w:webHidden/>
              </w:rPr>
              <w:tab/>
            </w:r>
            <w:r>
              <w:rPr>
                <w:noProof/>
                <w:webHidden/>
              </w:rPr>
              <w:fldChar w:fldCharType="begin"/>
            </w:r>
            <w:r>
              <w:rPr>
                <w:noProof/>
                <w:webHidden/>
              </w:rPr>
              <w:instrText xml:space="preserve"> PAGEREF _Toc167892894 \h </w:instrText>
            </w:r>
            <w:r>
              <w:rPr>
                <w:noProof/>
                <w:webHidden/>
              </w:rPr>
            </w:r>
            <w:r>
              <w:rPr>
                <w:noProof/>
                <w:webHidden/>
              </w:rPr>
              <w:fldChar w:fldCharType="separate"/>
            </w:r>
            <w:r>
              <w:rPr>
                <w:noProof/>
                <w:webHidden/>
              </w:rPr>
              <w:t>12</w:t>
            </w:r>
            <w:r>
              <w:rPr>
                <w:noProof/>
                <w:webHidden/>
              </w:rPr>
              <w:fldChar w:fldCharType="end"/>
            </w:r>
          </w:hyperlink>
        </w:p>
        <w:p w14:paraId="5DC7AA1C" w14:textId="11FB6C49" w:rsidR="0075173E" w:rsidRDefault="0075173E">
          <w:pPr>
            <w:pStyle w:val="TOC2"/>
            <w:tabs>
              <w:tab w:val="right" w:leader="dot" w:pos="9056"/>
            </w:tabs>
            <w:rPr>
              <w:rFonts w:asciiTheme="minorHAnsi" w:eastAsiaTheme="minorEastAsia" w:hAnsiTheme="minorHAnsi"/>
              <w:bCs w:val="0"/>
              <w:noProof/>
              <w:kern w:val="2"/>
              <w:sz w:val="24"/>
              <w:szCs w:val="24"/>
              <w:lang w:val="en-GB" w:eastAsia="en-GB"/>
              <w14:ligatures w14:val="standardContextual"/>
            </w:rPr>
          </w:pPr>
          <w:hyperlink w:anchor="_Toc167892895" w:history="1">
            <w:r w:rsidRPr="00AD692E">
              <w:rPr>
                <w:rStyle w:val="Hyperlink"/>
                <w:noProof/>
              </w:rPr>
              <w:t>Continuous Learning and Improvement</w:t>
            </w:r>
            <w:r>
              <w:rPr>
                <w:noProof/>
                <w:webHidden/>
              </w:rPr>
              <w:tab/>
            </w:r>
            <w:r>
              <w:rPr>
                <w:noProof/>
                <w:webHidden/>
              </w:rPr>
              <w:fldChar w:fldCharType="begin"/>
            </w:r>
            <w:r>
              <w:rPr>
                <w:noProof/>
                <w:webHidden/>
              </w:rPr>
              <w:instrText xml:space="preserve"> PAGEREF _Toc167892895 \h </w:instrText>
            </w:r>
            <w:r>
              <w:rPr>
                <w:noProof/>
                <w:webHidden/>
              </w:rPr>
            </w:r>
            <w:r>
              <w:rPr>
                <w:noProof/>
                <w:webHidden/>
              </w:rPr>
              <w:fldChar w:fldCharType="separate"/>
            </w:r>
            <w:r>
              <w:rPr>
                <w:noProof/>
                <w:webHidden/>
              </w:rPr>
              <w:t>13</w:t>
            </w:r>
            <w:r>
              <w:rPr>
                <w:noProof/>
                <w:webHidden/>
              </w:rPr>
              <w:fldChar w:fldCharType="end"/>
            </w:r>
          </w:hyperlink>
        </w:p>
        <w:p w14:paraId="4FD5DF52" w14:textId="417D0B0F"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896" w:history="1">
            <w:r w:rsidRPr="00AD692E">
              <w:rPr>
                <w:rStyle w:val="Hyperlink"/>
                <w:rFonts w:cs="Times New Roman"/>
                <w:noProof/>
                <w:lang w:val="en-GB"/>
              </w:rPr>
              <w:t>Implementation of the HEDM Framework and EthicEase</w:t>
            </w:r>
            <w:r>
              <w:rPr>
                <w:noProof/>
                <w:webHidden/>
              </w:rPr>
              <w:tab/>
            </w:r>
            <w:r>
              <w:rPr>
                <w:noProof/>
                <w:webHidden/>
              </w:rPr>
              <w:fldChar w:fldCharType="begin"/>
            </w:r>
            <w:r>
              <w:rPr>
                <w:noProof/>
                <w:webHidden/>
              </w:rPr>
              <w:instrText xml:space="preserve"> PAGEREF _Toc167892896 \h </w:instrText>
            </w:r>
            <w:r>
              <w:rPr>
                <w:noProof/>
                <w:webHidden/>
              </w:rPr>
            </w:r>
            <w:r>
              <w:rPr>
                <w:noProof/>
                <w:webHidden/>
              </w:rPr>
              <w:fldChar w:fldCharType="separate"/>
            </w:r>
            <w:r>
              <w:rPr>
                <w:noProof/>
                <w:webHidden/>
              </w:rPr>
              <w:t>14</w:t>
            </w:r>
            <w:r>
              <w:rPr>
                <w:noProof/>
                <w:webHidden/>
              </w:rPr>
              <w:fldChar w:fldCharType="end"/>
            </w:r>
          </w:hyperlink>
        </w:p>
        <w:p w14:paraId="5AE51CE3" w14:textId="29219F4A" w:rsidR="0075173E" w:rsidRDefault="0075173E">
          <w:pPr>
            <w:pStyle w:val="TOC2"/>
            <w:tabs>
              <w:tab w:val="right" w:leader="dot" w:pos="9056"/>
            </w:tabs>
            <w:rPr>
              <w:rFonts w:asciiTheme="minorHAnsi" w:eastAsiaTheme="minorEastAsia" w:hAnsiTheme="minorHAnsi"/>
              <w:bCs w:val="0"/>
              <w:noProof/>
              <w:kern w:val="2"/>
              <w:sz w:val="24"/>
              <w:szCs w:val="24"/>
              <w:lang w:val="en-GB" w:eastAsia="en-GB"/>
              <w14:ligatures w14:val="standardContextual"/>
            </w:rPr>
          </w:pPr>
          <w:hyperlink w:anchor="_Toc167892897" w:history="1">
            <w:r w:rsidRPr="00AD692E">
              <w:rPr>
                <w:rStyle w:val="Hyperlink"/>
                <w:noProof/>
              </w:rPr>
              <w:t>Key Features of EthicEase</w:t>
            </w:r>
            <w:r>
              <w:rPr>
                <w:noProof/>
                <w:webHidden/>
              </w:rPr>
              <w:tab/>
            </w:r>
            <w:r>
              <w:rPr>
                <w:noProof/>
                <w:webHidden/>
              </w:rPr>
              <w:fldChar w:fldCharType="begin"/>
            </w:r>
            <w:r>
              <w:rPr>
                <w:noProof/>
                <w:webHidden/>
              </w:rPr>
              <w:instrText xml:space="preserve"> PAGEREF _Toc167892897 \h </w:instrText>
            </w:r>
            <w:r>
              <w:rPr>
                <w:noProof/>
                <w:webHidden/>
              </w:rPr>
            </w:r>
            <w:r>
              <w:rPr>
                <w:noProof/>
                <w:webHidden/>
              </w:rPr>
              <w:fldChar w:fldCharType="separate"/>
            </w:r>
            <w:r>
              <w:rPr>
                <w:noProof/>
                <w:webHidden/>
              </w:rPr>
              <w:t>15</w:t>
            </w:r>
            <w:r>
              <w:rPr>
                <w:noProof/>
                <w:webHidden/>
              </w:rPr>
              <w:fldChar w:fldCharType="end"/>
            </w:r>
          </w:hyperlink>
        </w:p>
        <w:p w14:paraId="229210F9" w14:textId="4803A813" w:rsidR="0075173E" w:rsidRDefault="0075173E">
          <w:pPr>
            <w:pStyle w:val="TOC2"/>
            <w:tabs>
              <w:tab w:val="right" w:leader="dot" w:pos="9056"/>
            </w:tabs>
            <w:rPr>
              <w:rFonts w:asciiTheme="minorHAnsi" w:eastAsiaTheme="minorEastAsia" w:hAnsiTheme="minorHAnsi"/>
              <w:bCs w:val="0"/>
              <w:noProof/>
              <w:kern w:val="2"/>
              <w:sz w:val="24"/>
              <w:szCs w:val="24"/>
              <w:lang w:val="en-GB" w:eastAsia="en-GB"/>
              <w14:ligatures w14:val="standardContextual"/>
            </w:rPr>
          </w:pPr>
          <w:hyperlink w:anchor="_Toc167892898" w:history="1">
            <w:r w:rsidRPr="00AD692E">
              <w:rPr>
                <w:rStyle w:val="Hyperlink"/>
                <w:noProof/>
              </w:rPr>
              <w:t>Incorporating Artificial Intelligence in EthicEase</w:t>
            </w:r>
            <w:r>
              <w:rPr>
                <w:noProof/>
                <w:webHidden/>
              </w:rPr>
              <w:tab/>
            </w:r>
            <w:r>
              <w:rPr>
                <w:noProof/>
                <w:webHidden/>
              </w:rPr>
              <w:fldChar w:fldCharType="begin"/>
            </w:r>
            <w:r>
              <w:rPr>
                <w:noProof/>
                <w:webHidden/>
              </w:rPr>
              <w:instrText xml:space="preserve"> PAGEREF _Toc167892898 \h </w:instrText>
            </w:r>
            <w:r>
              <w:rPr>
                <w:noProof/>
                <w:webHidden/>
              </w:rPr>
            </w:r>
            <w:r>
              <w:rPr>
                <w:noProof/>
                <w:webHidden/>
              </w:rPr>
              <w:fldChar w:fldCharType="separate"/>
            </w:r>
            <w:r>
              <w:rPr>
                <w:noProof/>
                <w:webHidden/>
              </w:rPr>
              <w:t>16</w:t>
            </w:r>
            <w:r>
              <w:rPr>
                <w:noProof/>
                <w:webHidden/>
              </w:rPr>
              <w:fldChar w:fldCharType="end"/>
            </w:r>
          </w:hyperlink>
        </w:p>
        <w:p w14:paraId="58A1F87F" w14:textId="1F08F6C4" w:rsidR="0075173E" w:rsidRDefault="0075173E">
          <w:pPr>
            <w:pStyle w:val="TOC2"/>
            <w:tabs>
              <w:tab w:val="right" w:leader="dot" w:pos="9056"/>
            </w:tabs>
            <w:rPr>
              <w:rFonts w:asciiTheme="minorHAnsi" w:eastAsiaTheme="minorEastAsia" w:hAnsiTheme="minorHAnsi"/>
              <w:bCs w:val="0"/>
              <w:noProof/>
              <w:kern w:val="2"/>
              <w:sz w:val="24"/>
              <w:szCs w:val="24"/>
              <w:lang w:val="en-GB" w:eastAsia="en-GB"/>
              <w14:ligatures w14:val="standardContextual"/>
            </w:rPr>
          </w:pPr>
          <w:hyperlink w:anchor="_Toc167892899" w:history="1">
            <w:r w:rsidRPr="00AD692E">
              <w:rPr>
                <w:rStyle w:val="Hyperlink"/>
                <w:noProof/>
              </w:rPr>
              <w:t>EthicEase Product Proposal</w:t>
            </w:r>
            <w:r>
              <w:rPr>
                <w:noProof/>
                <w:webHidden/>
              </w:rPr>
              <w:tab/>
            </w:r>
            <w:r>
              <w:rPr>
                <w:noProof/>
                <w:webHidden/>
              </w:rPr>
              <w:fldChar w:fldCharType="begin"/>
            </w:r>
            <w:r>
              <w:rPr>
                <w:noProof/>
                <w:webHidden/>
              </w:rPr>
              <w:instrText xml:space="preserve"> PAGEREF _Toc167892899 \h </w:instrText>
            </w:r>
            <w:r>
              <w:rPr>
                <w:noProof/>
                <w:webHidden/>
              </w:rPr>
            </w:r>
            <w:r>
              <w:rPr>
                <w:noProof/>
                <w:webHidden/>
              </w:rPr>
              <w:fldChar w:fldCharType="separate"/>
            </w:r>
            <w:r>
              <w:rPr>
                <w:noProof/>
                <w:webHidden/>
              </w:rPr>
              <w:t>17</w:t>
            </w:r>
            <w:r>
              <w:rPr>
                <w:noProof/>
                <w:webHidden/>
              </w:rPr>
              <w:fldChar w:fldCharType="end"/>
            </w:r>
          </w:hyperlink>
        </w:p>
        <w:p w14:paraId="58C70A62" w14:textId="0BE04E0D"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900" w:history="1">
            <w:r w:rsidRPr="00AD692E">
              <w:rPr>
                <w:rStyle w:val="Hyperlink"/>
                <w:rFonts w:cs="Times New Roman"/>
                <w:noProof/>
                <w:lang w:val="en-GB"/>
              </w:rPr>
              <w:t>Conclusion</w:t>
            </w:r>
            <w:r>
              <w:rPr>
                <w:noProof/>
                <w:webHidden/>
              </w:rPr>
              <w:tab/>
            </w:r>
            <w:r>
              <w:rPr>
                <w:noProof/>
                <w:webHidden/>
              </w:rPr>
              <w:fldChar w:fldCharType="begin"/>
            </w:r>
            <w:r>
              <w:rPr>
                <w:noProof/>
                <w:webHidden/>
              </w:rPr>
              <w:instrText xml:space="preserve"> PAGEREF _Toc167892900 \h </w:instrText>
            </w:r>
            <w:r>
              <w:rPr>
                <w:noProof/>
                <w:webHidden/>
              </w:rPr>
            </w:r>
            <w:r>
              <w:rPr>
                <w:noProof/>
                <w:webHidden/>
              </w:rPr>
              <w:fldChar w:fldCharType="separate"/>
            </w:r>
            <w:r>
              <w:rPr>
                <w:noProof/>
                <w:webHidden/>
              </w:rPr>
              <w:t>20</w:t>
            </w:r>
            <w:r>
              <w:rPr>
                <w:noProof/>
                <w:webHidden/>
              </w:rPr>
              <w:fldChar w:fldCharType="end"/>
            </w:r>
          </w:hyperlink>
        </w:p>
        <w:p w14:paraId="66E6412B" w14:textId="634EA79B"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901" w:history="1">
            <w:r w:rsidRPr="00AD692E">
              <w:rPr>
                <w:rStyle w:val="Hyperlink"/>
                <w:rFonts w:cs="Times New Roman"/>
                <w:noProof/>
                <w:lang w:val="en-GB"/>
              </w:rPr>
              <w:t>Bibliography</w:t>
            </w:r>
            <w:r>
              <w:rPr>
                <w:noProof/>
                <w:webHidden/>
              </w:rPr>
              <w:tab/>
            </w:r>
            <w:r>
              <w:rPr>
                <w:noProof/>
                <w:webHidden/>
              </w:rPr>
              <w:fldChar w:fldCharType="begin"/>
            </w:r>
            <w:r>
              <w:rPr>
                <w:noProof/>
                <w:webHidden/>
              </w:rPr>
              <w:instrText xml:space="preserve"> PAGEREF _Toc167892901 \h </w:instrText>
            </w:r>
            <w:r>
              <w:rPr>
                <w:noProof/>
                <w:webHidden/>
              </w:rPr>
            </w:r>
            <w:r>
              <w:rPr>
                <w:noProof/>
                <w:webHidden/>
              </w:rPr>
              <w:fldChar w:fldCharType="separate"/>
            </w:r>
            <w:r>
              <w:rPr>
                <w:noProof/>
                <w:webHidden/>
              </w:rPr>
              <w:t>21</w:t>
            </w:r>
            <w:r>
              <w:rPr>
                <w:noProof/>
                <w:webHidden/>
              </w:rPr>
              <w:fldChar w:fldCharType="end"/>
            </w:r>
          </w:hyperlink>
        </w:p>
        <w:p w14:paraId="2A5EFA38" w14:textId="0246C11D"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902" w:history="1">
            <w:r w:rsidRPr="00AD692E">
              <w:rPr>
                <w:rStyle w:val="Hyperlink"/>
                <w:rFonts w:cs="Times New Roman"/>
                <w:noProof/>
                <w:lang w:val="en-GB"/>
              </w:rPr>
              <w:t>Annexe 1: Summary of ICRC Strategy 2019-2024</w:t>
            </w:r>
            <w:r>
              <w:rPr>
                <w:noProof/>
                <w:webHidden/>
              </w:rPr>
              <w:tab/>
            </w:r>
            <w:r>
              <w:rPr>
                <w:noProof/>
                <w:webHidden/>
              </w:rPr>
              <w:fldChar w:fldCharType="begin"/>
            </w:r>
            <w:r>
              <w:rPr>
                <w:noProof/>
                <w:webHidden/>
              </w:rPr>
              <w:instrText xml:space="preserve"> PAGEREF _Toc167892902 \h </w:instrText>
            </w:r>
            <w:r>
              <w:rPr>
                <w:noProof/>
                <w:webHidden/>
              </w:rPr>
            </w:r>
            <w:r>
              <w:rPr>
                <w:noProof/>
                <w:webHidden/>
              </w:rPr>
              <w:fldChar w:fldCharType="separate"/>
            </w:r>
            <w:r>
              <w:rPr>
                <w:noProof/>
                <w:webHidden/>
              </w:rPr>
              <w:t>27</w:t>
            </w:r>
            <w:r>
              <w:rPr>
                <w:noProof/>
                <w:webHidden/>
              </w:rPr>
              <w:fldChar w:fldCharType="end"/>
            </w:r>
          </w:hyperlink>
        </w:p>
        <w:p w14:paraId="18B209E4" w14:textId="302E8BFE"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903" w:history="1">
            <w:r w:rsidRPr="00AD692E">
              <w:rPr>
                <w:rStyle w:val="Hyperlink"/>
                <w:rFonts w:cs="Times New Roman"/>
                <w:noProof/>
                <w:lang w:val="en-GB"/>
              </w:rPr>
              <w:t>Annexe 2: Strategic Objectives and Proposed Commitments</w:t>
            </w:r>
            <w:r>
              <w:rPr>
                <w:noProof/>
                <w:webHidden/>
              </w:rPr>
              <w:tab/>
            </w:r>
            <w:r>
              <w:rPr>
                <w:noProof/>
                <w:webHidden/>
              </w:rPr>
              <w:fldChar w:fldCharType="begin"/>
            </w:r>
            <w:r>
              <w:rPr>
                <w:noProof/>
                <w:webHidden/>
              </w:rPr>
              <w:instrText xml:space="preserve"> PAGEREF _Toc167892903 \h </w:instrText>
            </w:r>
            <w:r>
              <w:rPr>
                <w:noProof/>
                <w:webHidden/>
              </w:rPr>
            </w:r>
            <w:r>
              <w:rPr>
                <w:noProof/>
                <w:webHidden/>
              </w:rPr>
              <w:fldChar w:fldCharType="separate"/>
            </w:r>
            <w:r>
              <w:rPr>
                <w:noProof/>
                <w:webHidden/>
              </w:rPr>
              <w:t>28</w:t>
            </w:r>
            <w:r>
              <w:rPr>
                <w:noProof/>
                <w:webHidden/>
              </w:rPr>
              <w:fldChar w:fldCharType="end"/>
            </w:r>
          </w:hyperlink>
        </w:p>
        <w:p w14:paraId="0132379D" w14:textId="0A0A71FE" w:rsidR="0075173E" w:rsidRDefault="0075173E">
          <w:pPr>
            <w:pStyle w:val="TOC1"/>
            <w:tabs>
              <w:tab w:val="right" w:leader="dot" w:pos="9056"/>
            </w:tabs>
            <w:rPr>
              <w:rFonts w:asciiTheme="minorHAnsi" w:eastAsiaTheme="minorEastAsia" w:hAnsiTheme="minorHAnsi"/>
              <w:b w:val="0"/>
              <w:bCs w:val="0"/>
              <w:noProof/>
              <w:kern w:val="2"/>
              <w:lang w:val="en-GB" w:eastAsia="en-GB"/>
              <w14:ligatures w14:val="standardContextual"/>
            </w:rPr>
          </w:pPr>
          <w:hyperlink w:anchor="_Toc167892904" w:history="1">
            <w:r w:rsidRPr="00AD692E">
              <w:rPr>
                <w:rStyle w:val="Hyperlink"/>
                <w:rFonts w:cs="Times New Roman"/>
                <w:noProof/>
                <w:lang w:val="en-GB"/>
              </w:rPr>
              <w:t>Annexe 3: The Ten-Step Method of Decision-Making</w:t>
            </w:r>
            <w:r>
              <w:rPr>
                <w:noProof/>
                <w:webHidden/>
              </w:rPr>
              <w:tab/>
            </w:r>
            <w:r>
              <w:rPr>
                <w:noProof/>
                <w:webHidden/>
              </w:rPr>
              <w:fldChar w:fldCharType="begin"/>
            </w:r>
            <w:r>
              <w:rPr>
                <w:noProof/>
                <w:webHidden/>
              </w:rPr>
              <w:instrText xml:space="preserve"> PAGEREF _Toc167892904 \h </w:instrText>
            </w:r>
            <w:r>
              <w:rPr>
                <w:noProof/>
                <w:webHidden/>
              </w:rPr>
            </w:r>
            <w:r>
              <w:rPr>
                <w:noProof/>
                <w:webHidden/>
              </w:rPr>
              <w:fldChar w:fldCharType="separate"/>
            </w:r>
            <w:r>
              <w:rPr>
                <w:noProof/>
                <w:webHidden/>
              </w:rPr>
              <w:t>31</w:t>
            </w:r>
            <w:r>
              <w:rPr>
                <w:noProof/>
                <w:webHidden/>
              </w:rPr>
              <w:fldChar w:fldCharType="end"/>
            </w:r>
          </w:hyperlink>
        </w:p>
        <w:p w14:paraId="263DFF98" w14:textId="7E8C35F5" w:rsidR="00830597" w:rsidRPr="0079537E" w:rsidRDefault="00830597" w:rsidP="00896AB0">
          <w:pPr>
            <w:pStyle w:val="NoSpacing"/>
            <w:rPr>
              <w:lang w:val="en-GB"/>
            </w:rPr>
          </w:pPr>
          <w:r w:rsidRPr="0079537E">
            <w:rPr>
              <w:lang w:val="en-GB"/>
            </w:rPr>
            <w:fldChar w:fldCharType="end"/>
          </w:r>
        </w:p>
      </w:sdtContent>
    </w:sdt>
    <w:p w14:paraId="41C5A66B" w14:textId="225D039D" w:rsidR="007C53A0" w:rsidRPr="0079537E" w:rsidRDefault="007C53A0" w:rsidP="00896AB0">
      <w:pPr>
        <w:pStyle w:val="NoSpacing"/>
        <w:rPr>
          <w:lang w:val="en-GB"/>
        </w:rPr>
      </w:pPr>
    </w:p>
    <w:p w14:paraId="5CC6D800" w14:textId="77777777" w:rsidR="00E80CB0" w:rsidRPr="0079537E" w:rsidRDefault="00E80CB0" w:rsidP="00896AB0">
      <w:pPr>
        <w:pStyle w:val="NoSpacing"/>
        <w:rPr>
          <w:lang w:val="en-GB"/>
        </w:rPr>
      </w:pPr>
    </w:p>
    <w:p w14:paraId="20EDE974" w14:textId="77777777" w:rsidR="00587D70" w:rsidRPr="0079537E" w:rsidRDefault="00587D70" w:rsidP="00896AB0">
      <w:pPr>
        <w:pStyle w:val="NoSpacing"/>
        <w:rPr>
          <w:lang w:val="en-GB"/>
        </w:rPr>
      </w:pPr>
    </w:p>
    <w:p w14:paraId="4406A54D" w14:textId="108A13E1" w:rsidR="00830597" w:rsidRPr="0079537E" w:rsidRDefault="00830597" w:rsidP="00896AB0">
      <w:pPr>
        <w:pStyle w:val="NoSpacing"/>
        <w:rPr>
          <w:lang w:val="en-GB"/>
        </w:rPr>
      </w:pPr>
      <w:r w:rsidRPr="0079537E">
        <w:rPr>
          <w:lang w:val="en-GB"/>
        </w:rPr>
        <w:br w:type="page"/>
      </w:r>
    </w:p>
    <w:p w14:paraId="15BF2716" w14:textId="5768DEEE" w:rsidR="007C71C6" w:rsidRPr="0079537E" w:rsidRDefault="009F59AA" w:rsidP="00DB7BB3">
      <w:pPr>
        <w:pStyle w:val="Heading1"/>
        <w:spacing w:line="276" w:lineRule="auto"/>
        <w:rPr>
          <w:rFonts w:cs="Times New Roman"/>
          <w:lang w:val="en-GB"/>
        </w:rPr>
      </w:pPr>
      <w:bookmarkStart w:id="0" w:name="_Toc52284042"/>
      <w:bookmarkStart w:id="1" w:name="_Toc52284077"/>
      <w:bookmarkStart w:id="2" w:name="_Toc167892884"/>
      <w:r w:rsidRPr="0079537E">
        <w:rPr>
          <w:rFonts w:cs="Times New Roman"/>
          <w:lang w:val="en-GB"/>
        </w:rPr>
        <w:lastRenderedPageBreak/>
        <w:t>Figures</w:t>
      </w:r>
      <w:bookmarkEnd w:id="0"/>
      <w:bookmarkEnd w:id="1"/>
      <w:bookmarkEnd w:id="2"/>
    </w:p>
    <w:p w14:paraId="62C56D04" w14:textId="77777777" w:rsidR="00676422" w:rsidRPr="0079537E" w:rsidRDefault="00676422" w:rsidP="00676422">
      <w:pPr>
        <w:rPr>
          <w:lang w:eastAsia="en-US"/>
        </w:rPr>
      </w:pPr>
    </w:p>
    <w:bookmarkStart w:id="3" w:name="_Toc52284044"/>
    <w:bookmarkStart w:id="4" w:name="_Toc52284079"/>
    <w:p w14:paraId="7FFC0925" w14:textId="3FB5A50C" w:rsidR="0075173E" w:rsidRDefault="0075173E">
      <w:pPr>
        <w:pStyle w:val="TableofFigures"/>
        <w:tabs>
          <w:tab w:val="right" w:leader="dot" w:pos="9056"/>
        </w:tabs>
        <w:rPr>
          <w:rFonts w:eastAsiaTheme="minorEastAsia"/>
          <w:noProof/>
          <w:kern w:val="2"/>
          <w:lang w:val="en-GB" w:eastAsia="en-GB"/>
          <w14:ligatures w14:val="standardContextual"/>
        </w:rPr>
      </w:pPr>
      <w:r>
        <w:rPr>
          <w:rFonts w:cs="Times New Roman"/>
          <w:lang w:val="en-GB"/>
        </w:rPr>
        <w:fldChar w:fldCharType="begin"/>
      </w:r>
      <w:r>
        <w:rPr>
          <w:rFonts w:cs="Times New Roman"/>
          <w:lang w:val="en-GB"/>
        </w:rPr>
        <w:instrText xml:space="preserve"> TOC \h \z \c "Figure" </w:instrText>
      </w:r>
      <w:r>
        <w:rPr>
          <w:rFonts w:cs="Times New Roman"/>
          <w:lang w:val="en-GB"/>
        </w:rPr>
        <w:fldChar w:fldCharType="separate"/>
      </w:r>
      <w:hyperlink w:anchor="_Toc167892905" w:history="1">
        <w:r w:rsidRPr="00763DF2">
          <w:rPr>
            <w:rStyle w:val="Hyperlink"/>
            <w:rFonts w:ascii="Times New Roman" w:hAnsi="Times New Roman" w:cs="Times New Roman"/>
            <w:noProof/>
            <w:lang w:val="en-GB"/>
          </w:rPr>
          <w:t>Figure 1: Humanitarian Ethical Decision-Making (HEDM) Framework</w:t>
        </w:r>
        <w:r>
          <w:rPr>
            <w:noProof/>
            <w:webHidden/>
          </w:rPr>
          <w:tab/>
        </w:r>
        <w:r>
          <w:rPr>
            <w:noProof/>
            <w:webHidden/>
          </w:rPr>
          <w:fldChar w:fldCharType="begin"/>
        </w:r>
        <w:r>
          <w:rPr>
            <w:noProof/>
            <w:webHidden/>
          </w:rPr>
          <w:instrText xml:space="preserve"> PAGEREF _Toc167892905 \h </w:instrText>
        </w:r>
        <w:r>
          <w:rPr>
            <w:noProof/>
            <w:webHidden/>
          </w:rPr>
        </w:r>
        <w:r>
          <w:rPr>
            <w:noProof/>
            <w:webHidden/>
          </w:rPr>
          <w:fldChar w:fldCharType="separate"/>
        </w:r>
        <w:r>
          <w:rPr>
            <w:noProof/>
            <w:webHidden/>
          </w:rPr>
          <w:t>10</w:t>
        </w:r>
        <w:r>
          <w:rPr>
            <w:noProof/>
            <w:webHidden/>
          </w:rPr>
          <w:fldChar w:fldCharType="end"/>
        </w:r>
      </w:hyperlink>
    </w:p>
    <w:p w14:paraId="5FEB929C" w14:textId="02F7CF13" w:rsidR="00B7489A" w:rsidRPr="0079537E" w:rsidRDefault="0075173E" w:rsidP="00DB7BB3">
      <w:pPr>
        <w:pStyle w:val="Heading1"/>
        <w:spacing w:line="276" w:lineRule="auto"/>
        <w:rPr>
          <w:rFonts w:cs="Times New Roman"/>
          <w:lang w:val="en-GB"/>
        </w:rPr>
      </w:pPr>
      <w:r>
        <w:rPr>
          <w:rFonts w:asciiTheme="minorHAnsi" w:eastAsiaTheme="minorHAnsi" w:hAnsiTheme="minorHAnsi" w:cs="Times New Roman"/>
          <w:color w:val="auto"/>
          <w:sz w:val="24"/>
          <w:szCs w:val="24"/>
          <w:lang w:val="en-GB"/>
        </w:rPr>
        <w:fldChar w:fldCharType="end"/>
      </w:r>
      <w:r w:rsidR="00B7489A" w:rsidRPr="0079537E">
        <w:rPr>
          <w:rFonts w:cs="Times New Roman"/>
          <w:lang w:val="en-GB"/>
        </w:rPr>
        <w:br w:type="page"/>
      </w:r>
    </w:p>
    <w:p w14:paraId="6B8BEFFD" w14:textId="35C84AD5" w:rsidR="009D5A44" w:rsidRPr="0079537E" w:rsidRDefault="009D5A44" w:rsidP="00DB7BB3">
      <w:pPr>
        <w:pStyle w:val="Heading1"/>
        <w:spacing w:line="276" w:lineRule="auto"/>
        <w:rPr>
          <w:rFonts w:cs="Times New Roman"/>
          <w:lang w:val="en-GB"/>
        </w:rPr>
      </w:pPr>
      <w:bookmarkStart w:id="5" w:name="_Toc167892885"/>
      <w:r w:rsidRPr="0079537E">
        <w:rPr>
          <w:rFonts w:cs="Times New Roman"/>
          <w:lang w:val="en-GB"/>
        </w:rPr>
        <w:lastRenderedPageBreak/>
        <w:t>Abbreviation</w:t>
      </w:r>
      <w:bookmarkEnd w:id="3"/>
      <w:bookmarkEnd w:id="4"/>
      <w:r w:rsidR="00A2775E" w:rsidRPr="0079537E">
        <w:rPr>
          <w:rFonts w:cs="Times New Roman"/>
          <w:lang w:val="en-GB"/>
        </w:rPr>
        <w:t>s</w:t>
      </w:r>
      <w:bookmarkEnd w:id="5"/>
      <w:r w:rsidRPr="0079537E">
        <w:rPr>
          <w:rFonts w:cs="Times New Roman"/>
          <w:lang w:val="en-GB"/>
        </w:rPr>
        <w:t xml:space="preserve"> </w:t>
      </w:r>
    </w:p>
    <w:p w14:paraId="37E0566D" w14:textId="303C29F2" w:rsidR="00281287" w:rsidRPr="0079537E" w:rsidRDefault="00281287" w:rsidP="00896AB0">
      <w:pPr>
        <w:pStyle w:val="NoSpacing"/>
        <w:rPr>
          <w:lang w:val="en-GB"/>
        </w:rPr>
      </w:pPr>
    </w:p>
    <w:p w14:paraId="2730999F" w14:textId="304CB1A4" w:rsidR="006149FD" w:rsidRPr="0079537E" w:rsidRDefault="006149FD" w:rsidP="00896AB0">
      <w:pPr>
        <w:pStyle w:val="NoSpacing"/>
        <w:rPr>
          <w:lang w:val="en-GB"/>
        </w:rPr>
      </w:pPr>
      <w:r w:rsidRPr="0079537E">
        <w:rPr>
          <w:lang w:val="en-GB"/>
        </w:rPr>
        <w:t>AI</w:t>
      </w:r>
      <w:r w:rsidRPr="0079537E">
        <w:rPr>
          <w:lang w:val="en-GB"/>
        </w:rPr>
        <w:tab/>
      </w:r>
      <w:r w:rsidRPr="0079537E">
        <w:rPr>
          <w:lang w:val="en-GB"/>
        </w:rPr>
        <w:tab/>
        <w:t xml:space="preserve">Artificial Intelligence </w:t>
      </w:r>
    </w:p>
    <w:p w14:paraId="2615A031" w14:textId="63CEF428" w:rsidR="00281287" w:rsidRPr="0079537E" w:rsidRDefault="00281287" w:rsidP="00896AB0">
      <w:pPr>
        <w:pStyle w:val="NoSpacing"/>
        <w:rPr>
          <w:lang w:val="en-GB"/>
        </w:rPr>
      </w:pPr>
      <w:r w:rsidRPr="0079537E">
        <w:rPr>
          <w:lang w:val="en-GB"/>
        </w:rPr>
        <w:t>ECOSEC</w:t>
      </w:r>
      <w:r w:rsidRPr="0079537E">
        <w:rPr>
          <w:lang w:val="en-GB"/>
        </w:rPr>
        <w:tab/>
        <w:t>Economic Security</w:t>
      </w:r>
    </w:p>
    <w:p w14:paraId="76003C7E" w14:textId="0BC2587B" w:rsidR="00281287" w:rsidRPr="0079537E" w:rsidRDefault="00281287" w:rsidP="00896AB0">
      <w:pPr>
        <w:pStyle w:val="NoSpacing"/>
        <w:rPr>
          <w:lang w:val="en-GB"/>
        </w:rPr>
      </w:pPr>
      <w:r w:rsidRPr="0079537E">
        <w:rPr>
          <w:lang w:val="en-GB"/>
        </w:rPr>
        <w:t>H</w:t>
      </w:r>
      <w:r w:rsidR="004B3AE3" w:rsidRPr="0079537E">
        <w:rPr>
          <w:lang w:val="en-GB"/>
        </w:rPr>
        <w:t>C</w:t>
      </w:r>
      <w:r w:rsidRPr="0079537E">
        <w:rPr>
          <w:lang w:val="en-GB"/>
        </w:rPr>
        <w:t>D</w:t>
      </w:r>
      <w:r w:rsidRPr="0079537E">
        <w:rPr>
          <w:lang w:val="en-GB"/>
        </w:rPr>
        <w:tab/>
      </w:r>
      <w:r w:rsidRPr="0079537E">
        <w:rPr>
          <w:lang w:val="en-GB"/>
        </w:rPr>
        <w:tab/>
        <w:t>Healthcare in Detention</w:t>
      </w:r>
    </w:p>
    <w:p w14:paraId="43D2F51E" w14:textId="74034C20" w:rsidR="008B21BF" w:rsidRPr="0079537E" w:rsidRDefault="008B21BF" w:rsidP="00896AB0">
      <w:pPr>
        <w:pStyle w:val="NoSpacing"/>
        <w:rPr>
          <w:lang w:val="en-GB"/>
        </w:rPr>
      </w:pPr>
      <w:r w:rsidRPr="0079537E">
        <w:rPr>
          <w:lang w:val="en-GB"/>
        </w:rPr>
        <w:t>HEDM</w:t>
      </w:r>
      <w:r w:rsidRPr="0079537E">
        <w:rPr>
          <w:lang w:val="en-GB"/>
        </w:rPr>
        <w:tab/>
      </w:r>
      <w:r w:rsidRPr="0079537E">
        <w:rPr>
          <w:lang w:val="en-GB"/>
        </w:rPr>
        <w:tab/>
        <w:t xml:space="preserve">Humanitarian Ethical Decision-Making </w:t>
      </w:r>
    </w:p>
    <w:p w14:paraId="72D4B93D" w14:textId="0F21FDE3" w:rsidR="009726AC" w:rsidRPr="0079537E" w:rsidRDefault="00B24D0B" w:rsidP="00896AB0">
      <w:pPr>
        <w:pStyle w:val="NoSpacing"/>
        <w:rPr>
          <w:lang w:val="en-GB"/>
        </w:rPr>
      </w:pPr>
      <w:r w:rsidRPr="0079537E">
        <w:rPr>
          <w:lang w:val="en-GB"/>
        </w:rPr>
        <w:t>ICRC</w:t>
      </w:r>
      <w:r w:rsidRPr="0079537E">
        <w:rPr>
          <w:lang w:val="en-GB"/>
        </w:rPr>
        <w:tab/>
      </w:r>
      <w:r w:rsidRPr="0079537E">
        <w:rPr>
          <w:lang w:val="en-GB"/>
        </w:rPr>
        <w:tab/>
        <w:t xml:space="preserve">International Committee of the Red Cross </w:t>
      </w:r>
    </w:p>
    <w:p w14:paraId="7FAC4108" w14:textId="0BB02CC3" w:rsidR="00977F7A" w:rsidRPr="0079537E" w:rsidRDefault="00977F7A" w:rsidP="00896AB0">
      <w:pPr>
        <w:pStyle w:val="NoSpacing"/>
        <w:rPr>
          <w:lang w:val="en-GB"/>
        </w:rPr>
      </w:pPr>
      <w:r w:rsidRPr="0079537E">
        <w:rPr>
          <w:lang w:val="en-GB"/>
        </w:rPr>
        <w:t>IHL</w:t>
      </w:r>
      <w:r w:rsidRPr="0079537E">
        <w:rPr>
          <w:lang w:val="en-GB"/>
        </w:rPr>
        <w:tab/>
      </w:r>
      <w:r w:rsidRPr="0079537E">
        <w:rPr>
          <w:lang w:val="en-GB"/>
        </w:rPr>
        <w:tab/>
        <w:t xml:space="preserve">International Humanitarian Law </w:t>
      </w:r>
    </w:p>
    <w:p w14:paraId="4C65B25A" w14:textId="0DE77B6D" w:rsidR="009C06B5" w:rsidRPr="0079537E" w:rsidRDefault="009C06B5" w:rsidP="00896AB0">
      <w:pPr>
        <w:pStyle w:val="NoSpacing"/>
        <w:rPr>
          <w:lang w:val="en-GB"/>
        </w:rPr>
      </w:pPr>
      <w:r w:rsidRPr="0079537E">
        <w:rPr>
          <w:lang w:val="en-GB"/>
        </w:rPr>
        <w:t>MHPSS</w:t>
      </w:r>
      <w:r w:rsidRPr="0079537E">
        <w:rPr>
          <w:lang w:val="en-GB"/>
        </w:rPr>
        <w:tab/>
        <w:t>Mental Health and Psychosocial Support</w:t>
      </w:r>
    </w:p>
    <w:p w14:paraId="1DFE611C" w14:textId="64E100F1" w:rsidR="006149FD" w:rsidRPr="0079537E" w:rsidRDefault="006149FD" w:rsidP="00896AB0">
      <w:pPr>
        <w:pStyle w:val="NoSpacing"/>
        <w:rPr>
          <w:lang w:val="en-GB"/>
        </w:rPr>
      </w:pPr>
      <w:r w:rsidRPr="0079537E">
        <w:rPr>
          <w:lang w:val="en-GB"/>
        </w:rPr>
        <w:t>NLP</w:t>
      </w:r>
      <w:r w:rsidRPr="0079537E">
        <w:rPr>
          <w:lang w:val="en-GB"/>
        </w:rPr>
        <w:tab/>
      </w:r>
      <w:r w:rsidRPr="0079537E">
        <w:rPr>
          <w:lang w:val="en-GB"/>
        </w:rPr>
        <w:tab/>
        <w:t>Natural Language Processing</w:t>
      </w:r>
    </w:p>
    <w:p w14:paraId="7410495F" w14:textId="2FDBC9CF" w:rsidR="00B8171C" w:rsidRPr="0079537E" w:rsidRDefault="00B8171C" w:rsidP="00896AB0">
      <w:pPr>
        <w:pStyle w:val="NoSpacing"/>
        <w:rPr>
          <w:lang w:val="en-GB"/>
        </w:rPr>
      </w:pPr>
      <w:r w:rsidRPr="0079537E">
        <w:rPr>
          <w:lang w:val="en-GB"/>
        </w:rPr>
        <w:t>NSAG</w:t>
      </w:r>
      <w:r w:rsidRPr="0079537E">
        <w:rPr>
          <w:lang w:val="en-GB"/>
        </w:rPr>
        <w:tab/>
      </w:r>
      <w:r w:rsidRPr="0079537E">
        <w:rPr>
          <w:lang w:val="en-GB"/>
        </w:rPr>
        <w:tab/>
        <w:t>Non-State Armed Groups</w:t>
      </w:r>
    </w:p>
    <w:p w14:paraId="39D63FFD" w14:textId="21C22A14" w:rsidR="00977F7A" w:rsidRPr="0079537E" w:rsidRDefault="00977F7A" w:rsidP="00896AB0">
      <w:pPr>
        <w:pStyle w:val="NoSpacing"/>
        <w:rPr>
          <w:lang w:val="en-GB"/>
        </w:rPr>
      </w:pPr>
      <w:r w:rsidRPr="0079537E">
        <w:rPr>
          <w:lang w:val="en-GB"/>
        </w:rPr>
        <w:t>OSV</w:t>
      </w:r>
      <w:r w:rsidRPr="0079537E">
        <w:rPr>
          <w:lang w:val="en-GB"/>
        </w:rPr>
        <w:tab/>
      </w:r>
      <w:r w:rsidRPr="0079537E">
        <w:rPr>
          <w:lang w:val="en-GB"/>
        </w:rPr>
        <w:tab/>
        <w:t>Other Situations of Violence</w:t>
      </w:r>
    </w:p>
    <w:p w14:paraId="0182153F" w14:textId="5809094C" w:rsidR="009C06B5" w:rsidRPr="0079537E" w:rsidRDefault="009C06B5" w:rsidP="00896AB0">
      <w:pPr>
        <w:pStyle w:val="NoSpacing"/>
        <w:rPr>
          <w:lang w:val="en-GB"/>
        </w:rPr>
      </w:pPr>
      <w:r w:rsidRPr="0079537E">
        <w:rPr>
          <w:lang w:val="en-GB"/>
        </w:rPr>
        <w:t>PHC</w:t>
      </w:r>
      <w:r w:rsidRPr="0079537E">
        <w:rPr>
          <w:lang w:val="en-GB"/>
        </w:rPr>
        <w:tab/>
      </w:r>
      <w:r w:rsidRPr="0079537E">
        <w:rPr>
          <w:lang w:val="en-GB"/>
        </w:rPr>
        <w:tab/>
        <w:t xml:space="preserve">Primary Healthcare </w:t>
      </w:r>
    </w:p>
    <w:p w14:paraId="5D8AC8BD" w14:textId="7E6F1DB5" w:rsidR="009C06B5" w:rsidRPr="0079537E" w:rsidRDefault="009C06B5" w:rsidP="00896AB0">
      <w:pPr>
        <w:pStyle w:val="NoSpacing"/>
        <w:rPr>
          <w:lang w:val="en-GB"/>
        </w:rPr>
      </w:pPr>
      <w:r w:rsidRPr="0079537E">
        <w:rPr>
          <w:lang w:val="en-GB"/>
        </w:rPr>
        <w:t>PHEC</w:t>
      </w:r>
      <w:r w:rsidRPr="0079537E">
        <w:rPr>
          <w:lang w:val="en-GB"/>
        </w:rPr>
        <w:tab/>
      </w:r>
      <w:r w:rsidRPr="0079537E">
        <w:rPr>
          <w:lang w:val="en-GB"/>
        </w:rPr>
        <w:tab/>
        <w:t>Pre-hospital Emergency Care</w:t>
      </w:r>
    </w:p>
    <w:p w14:paraId="6F1382EE" w14:textId="0B9D47DF" w:rsidR="008109E8" w:rsidRPr="0079537E" w:rsidRDefault="008109E8" w:rsidP="00896AB0">
      <w:pPr>
        <w:pStyle w:val="NoSpacing"/>
        <w:rPr>
          <w:lang w:val="en-GB"/>
        </w:rPr>
      </w:pPr>
      <w:r w:rsidRPr="0079537E">
        <w:rPr>
          <w:lang w:val="en-GB"/>
        </w:rPr>
        <w:t>PROT</w:t>
      </w:r>
      <w:r w:rsidRPr="0079537E">
        <w:rPr>
          <w:lang w:val="en-GB"/>
        </w:rPr>
        <w:tab/>
      </w:r>
      <w:r w:rsidRPr="0079537E">
        <w:rPr>
          <w:lang w:val="en-GB"/>
        </w:rPr>
        <w:tab/>
        <w:t>Protection</w:t>
      </w:r>
    </w:p>
    <w:p w14:paraId="0E768A7F" w14:textId="1CD33A09" w:rsidR="009C06B5" w:rsidRPr="0079537E" w:rsidRDefault="009C06B5" w:rsidP="00896AB0">
      <w:pPr>
        <w:pStyle w:val="NoSpacing"/>
        <w:rPr>
          <w:lang w:val="en-GB"/>
        </w:rPr>
      </w:pPr>
      <w:r w:rsidRPr="0079537E">
        <w:rPr>
          <w:lang w:val="en-GB"/>
        </w:rPr>
        <w:t>PRP</w:t>
      </w:r>
      <w:r w:rsidRPr="0079537E">
        <w:rPr>
          <w:lang w:val="en-GB"/>
        </w:rPr>
        <w:tab/>
      </w:r>
      <w:r w:rsidRPr="0079537E">
        <w:rPr>
          <w:lang w:val="en-GB"/>
        </w:rPr>
        <w:tab/>
        <w:t>Physical Rehabilitation Program</w:t>
      </w:r>
    </w:p>
    <w:p w14:paraId="3E677361" w14:textId="4D671E13" w:rsidR="00B8171C" w:rsidRPr="0079537E" w:rsidRDefault="00B8171C" w:rsidP="00896AB0">
      <w:pPr>
        <w:pStyle w:val="NoSpacing"/>
        <w:rPr>
          <w:lang w:val="en-GB"/>
        </w:rPr>
      </w:pPr>
      <w:r w:rsidRPr="0079537E">
        <w:rPr>
          <w:lang w:val="en-GB"/>
        </w:rPr>
        <w:t>SAG</w:t>
      </w:r>
      <w:r w:rsidRPr="0079537E">
        <w:rPr>
          <w:lang w:val="en-GB"/>
        </w:rPr>
        <w:tab/>
      </w:r>
      <w:r w:rsidRPr="0079537E">
        <w:rPr>
          <w:lang w:val="en-GB"/>
        </w:rPr>
        <w:tab/>
        <w:t xml:space="preserve">State Armed Groups </w:t>
      </w:r>
    </w:p>
    <w:p w14:paraId="28A21B0D" w14:textId="78B6A0ED" w:rsidR="006149FD" w:rsidRPr="0079537E" w:rsidRDefault="006149FD" w:rsidP="00896AB0">
      <w:pPr>
        <w:pStyle w:val="NoSpacing"/>
        <w:rPr>
          <w:lang w:val="en-GB"/>
        </w:rPr>
      </w:pPr>
      <w:r w:rsidRPr="0079537E">
        <w:rPr>
          <w:lang w:val="en-GB"/>
        </w:rPr>
        <w:t>SCM</w:t>
      </w:r>
      <w:r w:rsidRPr="0079537E">
        <w:rPr>
          <w:lang w:val="en-GB"/>
        </w:rPr>
        <w:tab/>
      </w:r>
      <w:r w:rsidRPr="0079537E">
        <w:rPr>
          <w:lang w:val="en-GB"/>
        </w:rPr>
        <w:tab/>
        <w:t xml:space="preserve">Supply Chain Management </w:t>
      </w:r>
    </w:p>
    <w:p w14:paraId="2BDF8068" w14:textId="62E83656" w:rsidR="006149FD" w:rsidRPr="0079537E" w:rsidRDefault="006149FD" w:rsidP="00896AB0">
      <w:pPr>
        <w:pStyle w:val="NoSpacing"/>
        <w:rPr>
          <w:lang w:val="en-GB"/>
        </w:rPr>
      </w:pPr>
      <w:r w:rsidRPr="0079537E">
        <w:rPr>
          <w:lang w:val="en-GB"/>
        </w:rPr>
        <w:t>SDG</w:t>
      </w:r>
      <w:r w:rsidRPr="0079537E">
        <w:rPr>
          <w:lang w:val="en-GB"/>
        </w:rPr>
        <w:tab/>
      </w:r>
      <w:r w:rsidRPr="0079537E">
        <w:rPr>
          <w:lang w:val="en-GB"/>
        </w:rPr>
        <w:tab/>
        <w:t xml:space="preserve">Sustainable Development Goals </w:t>
      </w:r>
    </w:p>
    <w:p w14:paraId="565D04F3" w14:textId="0476CCE8" w:rsidR="008109E8" w:rsidRPr="0079537E" w:rsidRDefault="008109E8" w:rsidP="00896AB0">
      <w:pPr>
        <w:pStyle w:val="NoSpacing"/>
        <w:rPr>
          <w:lang w:val="en-GB"/>
        </w:rPr>
      </w:pPr>
      <w:r w:rsidRPr="0079537E">
        <w:rPr>
          <w:lang w:val="en-GB"/>
        </w:rPr>
        <w:t>WATHAB</w:t>
      </w:r>
      <w:r w:rsidRPr="0079537E">
        <w:rPr>
          <w:lang w:val="en-GB"/>
        </w:rPr>
        <w:tab/>
        <w:t>Wate</w:t>
      </w:r>
      <w:r w:rsidR="00752416" w:rsidRPr="0079537E">
        <w:rPr>
          <w:lang w:val="en-GB"/>
        </w:rPr>
        <w:t>r</w:t>
      </w:r>
      <w:r w:rsidRPr="0079537E">
        <w:rPr>
          <w:lang w:val="en-GB"/>
        </w:rPr>
        <w:t xml:space="preserve"> and Habitat </w:t>
      </w:r>
    </w:p>
    <w:p w14:paraId="0F486CF9" w14:textId="77777777" w:rsidR="00B8171C" w:rsidRPr="0079537E" w:rsidRDefault="00B8171C" w:rsidP="00896AB0">
      <w:pPr>
        <w:pStyle w:val="NoSpacing"/>
        <w:rPr>
          <w:lang w:val="en-GB"/>
        </w:rPr>
      </w:pPr>
    </w:p>
    <w:p w14:paraId="586AAA31" w14:textId="77777777" w:rsidR="00977F7A" w:rsidRPr="0079537E" w:rsidRDefault="00977F7A" w:rsidP="00896AB0">
      <w:pPr>
        <w:pStyle w:val="NoSpacing"/>
        <w:rPr>
          <w:lang w:val="en-GB"/>
        </w:rPr>
      </w:pPr>
    </w:p>
    <w:p w14:paraId="449A580E" w14:textId="77777777" w:rsidR="00977F7A" w:rsidRPr="0079537E" w:rsidRDefault="00977F7A" w:rsidP="00896AB0">
      <w:pPr>
        <w:pStyle w:val="NoSpacing"/>
        <w:rPr>
          <w:lang w:val="en-GB"/>
        </w:rPr>
      </w:pPr>
    </w:p>
    <w:p w14:paraId="6422574F" w14:textId="77777777" w:rsidR="00B24D0B" w:rsidRPr="0079537E" w:rsidRDefault="00B24D0B" w:rsidP="00896AB0">
      <w:pPr>
        <w:pStyle w:val="NoSpacing"/>
        <w:rPr>
          <w:lang w:val="en-GB"/>
        </w:rPr>
      </w:pPr>
    </w:p>
    <w:p w14:paraId="32AD8CA3" w14:textId="51857967" w:rsidR="00B24D0B" w:rsidRPr="0079537E" w:rsidRDefault="00B24D0B" w:rsidP="00896AB0">
      <w:pPr>
        <w:pStyle w:val="NoSpacing"/>
        <w:rPr>
          <w:lang w:val="en-GB"/>
        </w:rPr>
        <w:sectPr w:rsidR="00B24D0B" w:rsidRPr="0079537E" w:rsidSect="008E09B4">
          <w:footerReference w:type="default" r:id="rId8"/>
          <w:type w:val="continuous"/>
          <w:pgSz w:w="11900" w:h="16840"/>
          <w:pgMar w:top="1417" w:right="1417" w:bottom="1134" w:left="1417" w:header="680" w:footer="708" w:gutter="0"/>
          <w:cols w:space="708"/>
          <w:docGrid w:linePitch="360"/>
        </w:sectPr>
      </w:pPr>
    </w:p>
    <w:p w14:paraId="6F646AB3" w14:textId="2677FD03" w:rsidR="00A56331" w:rsidRPr="0079537E" w:rsidRDefault="009D1C51" w:rsidP="00DB7BB3">
      <w:pPr>
        <w:pStyle w:val="Heading1"/>
        <w:spacing w:line="276" w:lineRule="auto"/>
        <w:rPr>
          <w:rFonts w:cs="Times New Roman"/>
          <w:lang w:val="en-GB"/>
        </w:rPr>
      </w:pPr>
      <w:bookmarkStart w:id="6" w:name="_Toc167892886"/>
      <w:r w:rsidRPr="0079537E">
        <w:rPr>
          <w:rFonts w:cs="Times New Roman"/>
          <w:lang w:val="en-GB"/>
        </w:rPr>
        <w:lastRenderedPageBreak/>
        <w:t>Question</w:t>
      </w:r>
      <w:bookmarkEnd w:id="6"/>
    </w:p>
    <w:p w14:paraId="29D48B2C" w14:textId="77777777" w:rsidR="00DB7BB3" w:rsidRPr="0079537E" w:rsidRDefault="00DB7BB3" w:rsidP="00896AB0">
      <w:pPr>
        <w:pStyle w:val="NoSpacing"/>
        <w:rPr>
          <w:lang w:val="en-GB"/>
        </w:rPr>
      </w:pPr>
    </w:p>
    <w:tbl>
      <w:tblPr>
        <w:tblStyle w:val="TableGrid"/>
        <w:tblW w:w="0" w:type="auto"/>
        <w:tblLook w:val="04A0" w:firstRow="1" w:lastRow="0" w:firstColumn="1" w:lastColumn="0" w:noHBand="0" w:noVBand="1"/>
      </w:tblPr>
      <w:tblGrid>
        <w:gridCol w:w="9056"/>
      </w:tblGrid>
      <w:tr w:rsidR="00452D1F" w:rsidRPr="0079537E" w14:paraId="13DB43CB" w14:textId="77777777" w:rsidTr="00555213">
        <w:tc>
          <w:tcPr>
            <w:tcW w:w="9056" w:type="dxa"/>
          </w:tcPr>
          <w:p w14:paraId="26DF2652" w14:textId="3A27061D" w:rsidR="00E8360B" w:rsidRPr="0079537E" w:rsidRDefault="00E8360B" w:rsidP="00896AB0">
            <w:pPr>
              <w:rPr>
                <w:i/>
                <w:iCs/>
                <w:sz w:val="20"/>
                <w:szCs w:val="20"/>
              </w:rPr>
            </w:pPr>
            <w:r w:rsidRPr="0079537E">
              <w:rPr>
                <w:i/>
                <w:iCs/>
                <w:sz w:val="20"/>
                <w:szCs w:val="20"/>
              </w:rPr>
              <w:t>In this module students will scaffold the work they have done in Modules 1 and 2 to create something</w:t>
            </w:r>
            <w:r w:rsidRPr="0079537E">
              <w:rPr>
                <w:rStyle w:val="apple-converted-space"/>
                <w:i/>
                <w:iCs/>
                <w:sz w:val="20"/>
                <w:szCs w:val="20"/>
              </w:rPr>
              <w:t> </w:t>
            </w:r>
            <w:r w:rsidRPr="0079537E">
              <w:rPr>
                <w:i/>
                <w:iCs/>
                <w:sz w:val="20"/>
                <w:szCs w:val="20"/>
              </w:rPr>
              <w:t>entirely new</w:t>
            </w:r>
            <w:r w:rsidRPr="0079537E">
              <w:rPr>
                <w:rStyle w:val="apple-converted-space"/>
                <w:i/>
                <w:iCs/>
                <w:sz w:val="20"/>
                <w:szCs w:val="20"/>
              </w:rPr>
              <w:t> </w:t>
            </w:r>
            <w:r w:rsidRPr="0079537E">
              <w:rPr>
                <w:i/>
                <w:iCs/>
                <w:sz w:val="20"/>
                <w:szCs w:val="20"/>
              </w:rPr>
              <w:t>for their organisations. The idea here is to be creative or innovative and to find ways to reinvent part of or the entirety of the organisation. The idea needs to be</w:t>
            </w:r>
            <w:r w:rsidRPr="0079537E">
              <w:rPr>
                <w:rStyle w:val="apple-converted-space"/>
                <w:i/>
                <w:iCs/>
                <w:sz w:val="20"/>
                <w:szCs w:val="20"/>
              </w:rPr>
              <w:t> </w:t>
            </w:r>
            <w:r w:rsidRPr="0079537E">
              <w:rPr>
                <w:i/>
                <w:iCs/>
                <w:sz w:val="20"/>
                <w:szCs w:val="20"/>
              </w:rPr>
              <w:t>genuinely disruptive</w:t>
            </w:r>
            <w:r w:rsidRPr="0079537E">
              <w:rPr>
                <w:rStyle w:val="apple-converted-space"/>
                <w:i/>
                <w:iCs/>
                <w:sz w:val="20"/>
                <w:szCs w:val="20"/>
              </w:rPr>
              <w:t> </w:t>
            </w:r>
            <w:r w:rsidRPr="0079537E">
              <w:rPr>
                <w:i/>
                <w:iCs/>
                <w:sz w:val="20"/>
                <w:szCs w:val="20"/>
              </w:rPr>
              <w:t>so that it would create</w:t>
            </w:r>
            <w:r w:rsidRPr="0079537E">
              <w:rPr>
                <w:rStyle w:val="apple-converted-space"/>
                <w:i/>
                <w:iCs/>
                <w:sz w:val="20"/>
                <w:szCs w:val="20"/>
              </w:rPr>
              <w:t> </w:t>
            </w:r>
            <w:r w:rsidRPr="0079537E">
              <w:rPr>
                <w:i/>
                <w:iCs/>
                <w:sz w:val="20"/>
                <w:szCs w:val="20"/>
              </w:rPr>
              <w:t>a dynamic of real change</w:t>
            </w:r>
            <w:r w:rsidRPr="0079537E">
              <w:rPr>
                <w:rStyle w:val="apple-converted-space"/>
                <w:i/>
                <w:iCs/>
                <w:sz w:val="20"/>
                <w:szCs w:val="20"/>
              </w:rPr>
              <w:t> </w:t>
            </w:r>
            <w:r w:rsidRPr="0079537E">
              <w:rPr>
                <w:i/>
                <w:iCs/>
                <w:sz w:val="20"/>
                <w:szCs w:val="20"/>
              </w:rPr>
              <w:t>in the organisation. Students need to consider their proposals on a micro and macro level, taking into consideration potential reactions from all points of the business as well as effective ways to manage those reactions. Students should focus on and demonstrate knowledge of what is happening in their industries, current and anticipated trends etc. Attention should be paid to significant themes like sustainability and the environment, global political situation, technological disruption and business in the post-Covid 19 era.</w:t>
            </w:r>
            <w:r w:rsidRPr="0079537E">
              <w:rPr>
                <w:i/>
                <w:iCs/>
                <w:sz w:val="20"/>
                <w:szCs w:val="20"/>
              </w:rPr>
              <w:br/>
            </w:r>
            <w:r w:rsidRPr="0079537E">
              <w:rPr>
                <w:i/>
                <w:iCs/>
                <w:sz w:val="20"/>
                <w:szCs w:val="20"/>
              </w:rPr>
              <w:br/>
              <w:t>This proposal could cover:</w:t>
            </w:r>
            <w:r w:rsidRPr="0079537E">
              <w:rPr>
                <w:i/>
                <w:iCs/>
                <w:sz w:val="20"/>
                <w:szCs w:val="20"/>
              </w:rPr>
              <w:br/>
              <w:t>A new product</w:t>
            </w:r>
            <w:r w:rsidRPr="0079537E">
              <w:rPr>
                <w:i/>
                <w:iCs/>
                <w:sz w:val="20"/>
                <w:szCs w:val="20"/>
              </w:rPr>
              <w:br/>
              <w:t>A new way of working or a new process to make work more efficient</w:t>
            </w:r>
            <w:r w:rsidRPr="0079537E">
              <w:rPr>
                <w:i/>
                <w:iCs/>
                <w:sz w:val="20"/>
                <w:szCs w:val="20"/>
              </w:rPr>
              <w:br/>
              <w:t>A new organisational structure</w:t>
            </w:r>
            <w:r w:rsidRPr="0079537E">
              <w:rPr>
                <w:i/>
                <w:iCs/>
                <w:sz w:val="20"/>
                <w:szCs w:val="20"/>
              </w:rPr>
              <w:br/>
              <w:t>A way of using new systems or new technology</w:t>
            </w:r>
            <w:r w:rsidRPr="0079537E">
              <w:rPr>
                <w:i/>
                <w:iCs/>
                <w:sz w:val="20"/>
                <w:szCs w:val="20"/>
              </w:rPr>
              <w:br/>
              <w:t>A plan to expand into new markets</w:t>
            </w:r>
            <w:r w:rsidRPr="0079537E">
              <w:rPr>
                <w:i/>
                <w:iCs/>
                <w:sz w:val="20"/>
                <w:szCs w:val="20"/>
              </w:rPr>
              <w:br/>
              <w:t>A plan to create an entirely new business in a new market</w:t>
            </w:r>
            <w:r w:rsidRPr="0079537E">
              <w:rPr>
                <w:i/>
                <w:iCs/>
                <w:sz w:val="20"/>
                <w:szCs w:val="20"/>
              </w:rPr>
              <w:br/>
              <w:t>A way to build resilience into the business to be ready for future crises.</w:t>
            </w:r>
            <w:r w:rsidRPr="0079537E">
              <w:rPr>
                <w:i/>
                <w:iCs/>
                <w:sz w:val="20"/>
                <w:szCs w:val="20"/>
              </w:rPr>
              <w:br/>
            </w:r>
            <w:r w:rsidRPr="0079537E">
              <w:rPr>
                <w:i/>
                <w:iCs/>
                <w:sz w:val="20"/>
                <w:szCs w:val="20"/>
              </w:rPr>
              <w:br/>
              <w:t>Students will clearly reference the work on strategy from Module 1 and the work on collaborative problem solving and decision making from Module 2 in their work for this module. Summaries of these two documents should be included as appendices. </w:t>
            </w:r>
            <w:r w:rsidRPr="0079537E">
              <w:rPr>
                <w:i/>
                <w:iCs/>
                <w:sz w:val="20"/>
                <w:szCs w:val="20"/>
              </w:rPr>
              <w:br/>
            </w:r>
            <w:r w:rsidRPr="0079537E">
              <w:rPr>
                <w:i/>
                <w:iCs/>
                <w:sz w:val="20"/>
                <w:szCs w:val="20"/>
              </w:rPr>
              <w:br/>
              <w:t>The work should be influenced by the student’s own professional background - eg Finance, Marketing, Training, HR etc, and MUST reflect current</w:t>
            </w:r>
            <w:r w:rsidRPr="0079537E">
              <w:rPr>
                <w:rStyle w:val="apple-converted-space"/>
                <w:i/>
                <w:iCs/>
                <w:sz w:val="20"/>
                <w:szCs w:val="20"/>
              </w:rPr>
              <w:t> </w:t>
            </w:r>
            <w:r w:rsidRPr="0079537E">
              <w:rPr>
                <w:i/>
                <w:iCs/>
                <w:sz w:val="20"/>
                <w:szCs w:val="20"/>
              </w:rPr>
              <w:t>advanced and cutting edge thinking</w:t>
            </w:r>
            <w:r w:rsidRPr="0079537E">
              <w:rPr>
                <w:rStyle w:val="apple-converted-space"/>
                <w:i/>
                <w:iCs/>
                <w:sz w:val="20"/>
                <w:szCs w:val="20"/>
              </w:rPr>
              <w:t> </w:t>
            </w:r>
            <w:r w:rsidRPr="0079537E">
              <w:rPr>
                <w:i/>
                <w:iCs/>
                <w:sz w:val="20"/>
                <w:szCs w:val="20"/>
              </w:rPr>
              <w:t>in that context. The focus is on what’s next and current and anticipated trends.</w:t>
            </w:r>
            <w:r w:rsidRPr="0079537E">
              <w:rPr>
                <w:i/>
                <w:iCs/>
                <w:sz w:val="20"/>
                <w:szCs w:val="20"/>
              </w:rPr>
              <w:br/>
            </w:r>
            <w:r w:rsidRPr="0079537E">
              <w:rPr>
                <w:i/>
                <w:iCs/>
                <w:sz w:val="20"/>
                <w:szCs w:val="20"/>
              </w:rPr>
              <w:br/>
              <w:t>The work should clearly recognise key issues of sustainability, good practice and make sense in a post-Covid19 context.  </w:t>
            </w:r>
            <w:r w:rsidRPr="0079537E">
              <w:rPr>
                <w:i/>
                <w:iCs/>
                <w:sz w:val="20"/>
                <w:szCs w:val="20"/>
              </w:rPr>
              <w:br/>
            </w:r>
            <w:r w:rsidRPr="0079537E">
              <w:rPr>
                <w:i/>
                <w:iCs/>
                <w:sz w:val="20"/>
                <w:szCs w:val="20"/>
              </w:rPr>
              <w:br/>
              <w:t>The work should cover all 4 learning outcomes:</w:t>
            </w:r>
            <w:r w:rsidRPr="0079537E">
              <w:rPr>
                <w:i/>
                <w:iCs/>
                <w:sz w:val="20"/>
                <w:szCs w:val="20"/>
              </w:rPr>
              <w:br/>
            </w:r>
            <w:r w:rsidRPr="0079537E">
              <w:rPr>
                <w:i/>
                <w:iCs/>
                <w:sz w:val="20"/>
                <w:szCs w:val="20"/>
              </w:rPr>
              <w:br/>
              <w:t>1. Demonstrate</w:t>
            </w:r>
            <w:r w:rsidRPr="0079537E">
              <w:rPr>
                <w:rStyle w:val="apple-converted-space"/>
                <w:i/>
                <w:iCs/>
                <w:sz w:val="20"/>
                <w:szCs w:val="20"/>
              </w:rPr>
              <w:t> </w:t>
            </w:r>
            <w:r w:rsidRPr="0079537E">
              <w:rPr>
                <w:i/>
                <w:iCs/>
                <w:sz w:val="20"/>
                <w:szCs w:val="20"/>
              </w:rPr>
              <w:t>knowledge of the most advanced frontiers</w:t>
            </w:r>
            <w:r w:rsidRPr="0079537E">
              <w:rPr>
                <w:rStyle w:val="apple-converted-space"/>
                <w:i/>
                <w:iCs/>
                <w:sz w:val="20"/>
                <w:szCs w:val="20"/>
              </w:rPr>
              <w:t> </w:t>
            </w:r>
            <w:r w:rsidRPr="0079537E">
              <w:rPr>
                <w:i/>
                <w:iCs/>
                <w:sz w:val="20"/>
                <w:szCs w:val="20"/>
              </w:rPr>
              <w:t>of a field of work.</w:t>
            </w:r>
            <w:r w:rsidRPr="0079537E">
              <w:rPr>
                <w:i/>
                <w:iCs/>
                <w:sz w:val="20"/>
                <w:szCs w:val="20"/>
              </w:rPr>
              <w:br/>
              <w:t>2. Demonstrate</w:t>
            </w:r>
            <w:r w:rsidRPr="0079537E">
              <w:rPr>
                <w:rStyle w:val="apple-converted-space"/>
                <w:i/>
                <w:iCs/>
                <w:sz w:val="20"/>
                <w:szCs w:val="20"/>
              </w:rPr>
              <w:t> </w:t>
            </w:r>
            <w:r w:rsidRPr="0079537E">
              <w:rPr>
                <w:i/>
                <w:iCs/>
                <w:sz w:val="20"/>
                <w:szCs w:val="20"/>
              </w:rPr>
              <w:t>the most advanced and specialised skills and techniques, including synthesis and evaluation, required to solve critical business problems and to extend or redefine professional practice.</w:t>
            </w:r>
            <w:r w:rsidRPr="0079537E">
              <w:rPr>
                <w:i/>
                <w:iCs/>
                <w:sz w:val="20"/>
                <w:szCs w:val="20"/>
              </w:rPr>
              <w:br/>
              <w:t>3. Demonstrate</w:t>
            </w:r>
            <w:r w:rsidRPr="0079537E">
              <w:rPr>
                <w:rStyle w:val="apple-converted-space"/>
                <w:i/>
                <w:iCs/>
                <w:sz w:val="20"/>
                <w:szCs w:val="20"/>
              </w:rPr>
              <w:t> </w:t>
            </w:r>
            <w:r w:rsidRPr="0079537E">
              <w:rPr>
                <w:i/>
                <w:iCs/>
                <w:sz w:val="20"/>
                <w:szCs w:val="20"/>
              </w:rPr>
              <w:t>substantial authority, innovation, autonomy and professional integrity.</w:t>
            </w:r>
            <w:r w:rsidRPr="0079537E">
              <w:rPr>
                <w:i/>
                <w:iCs/>
                <w:sz w:val="20"/>
                <w:szCs w:val="20"/>
              </w:rPr>
              <w:br/>
              <w:t>4. Develop</w:t>
            </w:r>
            <w:r w:rsidRPr="0079537E">
              <w:rPr>
                <w:rStyle w:val="apple-converted-space"/>
                <w:i/>
                <w:iCs/>
                <w:sz w:val="20"/>
                <w:szCs w:val="20"/>
              </w:rPr>
              <w:t> </w:t>
            </w:r>
            <w:r w:rsidRPr="0079537E">
              <w:rPr>
                <w:i/>
                <w:iCs/>
                <w:sz w:val="20"/>
                <w:szCs w:val="20"/>
              </w:rPr>
              <w:t>new ideas or processes at the forefront of work.</w:t>
            </w:r>
            <w:r w:rsidRPr="0079537E">
              <w:rPr>
                <w:i/>
                <w:iCs/>
                <w:sz w:val="20"/>
                <w:szCs w:val="20"/>
              </w:rPr>
              <w:br/>
            </w:r>
            <w:r w:rsidRPr="0079537E">
              <w:rPr>
                <w:i/>
                <w:iCs/>
                <w:sz w:val="20"/>
                <w:szCs w:val="20"/>
              </w:rPr>
              <w:br/>
              <w:t>The work will be presented as follows:</w:t>
            </w:r>
          </w:p>
          <w:p w14:paraId="59CDD441" w14:textId="58D82020" w:rsidR="00E8360B" w:rsidRPr="0079537E" w:rsidRDefault="00E8360B" w:rsidP="00896AB0">
            <w:pPr>
              <w:rPr>
                <w:i/>
                <w:iCs/>
                <w:sz w:val="20"/>
                <w:szCs w:val="20"/>
              </w:rPr>
            </w:pPr>
            <w:r w:rsidRPr="0079537E">
              <w:rPr>
                <w:i/>
                <w:iCs/>
                <w:sz w:val="20"/>
                <w:szCs w:val="20"/>
              </w:rPr>
              <w:t xml:space="preserve">A </w:t>
            </w:r>
            <w:r w:rsidR="00065D6D" w:rsidRPr="0079537E">
              <w:rPr>
                <w:i/>
                <w:iCs/>
                <w:sz w:val="20"/>
                <w:szCs w:val="20"/>
              </w:rPr>
              <w:t>6000-word</w:t>
            </w:r>
            <w:r w:rsidRPr="0079537E">
              <w:rPr>
                <w:rStyle w:val="apple-converted-space"/>
                <w:i/>
                <w:iCs/>
                <w:sz w:val="20"/>
                <w:szCs w:val="20"/>
              </w:rPr>
              <w:t> </w:t>
            </w:r>
            <w:r w:rsidRPr="0079537E">
              <w:rPr>
                <w:i/>
                <w:iCs/>
                <w:sz w:val="20"/>
                <w:szCs w:val="20"/>
              </w:rPr>
              <w:t>report</w:t>
            </w:r>
            <w:r w:rsidRPr="0079537E">
              <w:rPr>
                <w:rStyle w:val="apple-converted-space"/>
                <w:i/>
                <w:iCs/>
                <w:sz w:val="20"/>
                <w:szCs w:val="20"/>
              </w:rPr>
              <w:t> </w:t>
            </w:r>
            <w:r w:rsidRPr="0079537E">
              <w:rPr>
                <w:i/>
                <w:iCs/>
                <w:sz w:val="20"/>
                <w:szCs w:val="20"/>
              </w:rPr>
              <w:t>with all information required to convince senior management of the efficacy of the proposal presented by the student. (70% of the grade).</w:t>
            </w:r>
          </w:p>
          <w:p w14:paraId="4854B1DB" w14:textId="5381622E" w:rsidR="00E8360B" w:rsidRPr="0079537E" w:rsidRDefault="00E8360B" w:rsidP="00896AB0">
            <w:pPr>
              <w:rPr>
                <w:i/>
                <w:iCs/>
                <w:sz w:val="20"/>
                <w:szCs w:val="20"/>
              </w:rPr>
            </w:pPr>
            <w:r w:rsidRPr="0079537E">
              <w:rPr>
                <w:i/>
                <w:iCs/>
                <w:sz w:val="20"/>
                <w:szCs w:val="20"/>
              </w:rPr>
              <w:t xml:space="preserve">A recorded poster presentation giving a brief summary of the main points of the proposals and the justifications for it. (20% of the grade). The poster presentation should last for a minimum of 5 minutes and </w:t>
            </w:r>
            <w:r w:rsidR="00065D6D" w:rsidRPr="0079537E">
              <w:rPr>
                <w:i/>
                <w:iCs/>
                <w:sz w:val="20"/>
                <w:szCs w:val="20"/>
              </w:rPr>
              <w:t xml:space="preserve">a </w:t>
            </w:r>
            <w:r w:rsidRPr="0079537E">
              <w:rPr>
                <w:i/>
                <w:iCs/>
                <w:sz w:val="20"/>
                <w:szCs w:val="20"/>
              </w:rPr>
              <w:t>maximum of 10 minutes. You can see an example of what is required here: </w:t>
            </w:r>
            <w:hyperlink r:id="rId9" w:tgtFrame="_blank" w:history="1">
              <w:r w:rsidRPr="0079537E">
                <w:rPr>
                  <w:rStyle w:val="Hyperlink"/>
                  <w:i/>
                  <w:iCs/>
                  <w:color w:val="auto"/>
                  <w:sz w:val="20"/>
                  <w:szCs w:val="20"/>
                  <w:u w:val="none"/>
                </w:rPr>
                <w:t>https://guides.library.ucla.edu/posters</w:t>
              </w:r>
            </w:hyperlink>
            <w:r w:rsidRPr="0079537E">
              <w:rPr>
                <w:i/>
                <w:iCs/>
                <w:sz w:val="20"/>
                <w:szCs w:val="20"/>
              </w:rPr>
              <w:t>.</w:t>
            </w:r>
          </w:p>
          <w:p w14:paraId="403E5412" w14:textId="322C0930" w:rsidR="004D07A6" w:rsidRPr="0079537E" w:rsidRDefault="00E8360B" w:rsidP="00896AB0">
            <w:pPr>
              <w:rPr>
                <w:i/>
                <w:iCs/>
                <w:sz w:val="20"/>
                <w:szCs w:val="20"/>
              </w:rPr>
            </w:pPr>
            <w:r w:rsidRPr="0079537E">
              <w:rPr>
                <w:i/>
                <w:iCs/>
                <w:sz w:val="20"/>
                <w:szCs w:val="20"/>
              </w:rPr>
              <w:t xml:space="preserve">Participation in a live Q&amp;A with the student’s mentor, a member of the wider SSBR academic team and a member of the senior team of the student’s organisation. Where the student is self-employed or the owner of the business in question, someone from a similar professional context will be found to participate in the live </w:t>
            </w:r>
            <w:r w:rsidR="00065D6D" w:rsidRPr="0079537E">
              <w:rPr>
                <w:i/>
                <w:iCs/>
                <w:sz w:val="20"/>
                <w:szCs w:val="20"/>
              </w:rPr>
              <w:t>Q&amp;A</w:t>
            </w:r>
            <w:r w:rsidRPr="0079537E">
              <w:rPr>
                <w:i/>
                <w:iCs/>
                <w:sz w:val="20"/>
                <w:szCs w:val="20"/>
              </w:rPr>
              <w:t xml:space="preserve"> (10% of the grade).</w:t>
            </w:r>
          </w:p>
          <w:p w14:paraId="22D0EC43" w14:textId="77777777" w:rsidR="00E8360B" w:rsidRPr="0079537E" w:rsidRDefault="00E8360B" w:rsidP="00896AB0">
            <w:pPr>
              <w:rPr>
                <w:i/>
                <w:iCs/>
                <w:sz w:val="20"/>
                <w:szCs w:val="20"/>
              </w:rPr>
            </w:pPr>
            <w:r w:rsidRPr="0079537E">
              <w:rPr>
                <w:i/>
                <w:iCs/>
                <w:sz w:val="20"/>
                <w:szCs w:val="20"/>
              </w:rPr>
              <w:t>Students will clearly demonstrate how they have satisfied the LOs for this module by completing the Student Task Completion Checklist (below) to show</w:t>
            </w:r>
            <w:r w:rsidRPr="0079537E">
              <w:rPr>
                <w:rStyle w:val="apple-converted-space"/>
                <w:i/>
                <w:iCs/>
                <w:sz w:val="20"/>
                <w:szCs w:val="20"/>
              </w:rPr>
              <w:t> </w:t>
            </w:r>
            <w:r w:rsidRPr="0079537E">
              <w:rPr>
                <w:i/>
                <w:iCs/>
                <w:sz w:val="20"/>
                <w:szCs w:val="20"/>
              </w:rPr>
              <w:t>how</w:t>
            </w:r>
            <w:r w:rsidRPr="0079537E">
              <w:rPr>
                <w:rStyle w:val="apple-converted-space"/>
                <w:i/>
                <w:iCs/>
                <w:sz w:val="20"/>
                <w:szCs w:val="20"/>
              </w:rPr>
              <w:t> </w:t>
            </w:r>
            <w:r w:rsidRPr="0079537E">
              <w:rPr>
                <w:i/>
                <w:iCs/>
                <w:sz w:val="20"/>
                <w:szCs w:val="20"/>
              </w:rPr>
              <w:t>their work</w:t>
            </w:r>
            <w:r w:rsidRPr="0079537E">
              <w:rPr>
                <w:rStyle w:val="apple-converted-space"/>
                <w:i/>
                <w:iCs/>
                <w:sz w:val="20"/>
                <w:szCs w:val="20"/>
              </w:rPr>
              <w:t> </w:t>
            </w:r>
            <w:r w:rsidRPr="0079537E">
              <w:rPr>
                <w:i/>
                <w:iCs/>
                <w:sz w:val="20"/>
                <w:szCs w:val="20"/>
              </w:rPr>
              <w:t>fulfils</w:t>
            </w:r>
            <w:r w:rsidRPr="0079537E">
              <w:rPr>
                <w:rStyle w:val="apple-converted-space"/>
                <w:i/>
                <w:iCs/>
                <w:sz w:val="20"/>
                <w:szCs w:val="20"/>
              </w:rPr>
              <w:t> </w:t>
            </w:r>
            <w:r w:rsidRPr="0079537E">
              <w:rPr>
                <w:i/>
                <w:iCs/>
                <w:sz w:val="20"/>
                <w:szCs w:val="20"/>
              </w:rPr>
              <w:t>each of the learning outcomes.</w:t>
            </w:r>
          </w:p>
          <w:p w14:paraId="77A60C93" w14:textId="77777777" w:rsidR="00896AB0" w:rsidRPr="0079537E" w:rsidRDefault="00896AB0" w:rsidP="00896AB0">
            <w:pPr>
              <w:rPr>
                <w:i/>
                <w:iCs/>
                <w:sz w:val="20"/>
                <w:szCs w:val="20"/>
              </w:rPr>
            </w:pPr>
          </w:p>
          <w:p w14:paraId="026C67EB" w14:textId="65201F7E" w:rsidR="00452D1F" w:rsidRPr="0079537E" w:rsidRDefault="00E8360B" w:rsidP="00896AB0">
            <w:pPr>
              <w:rPr>
                <w:rStyle w:val="Heading1Char"/>
                <w:rFonts w:cs="Times New Roman"/>
                <w:b w:val="0"/>
                <w:i/>
                <w:iCs/>
                <w:color w:val="auto"/>
                <w:sz w:val="20"/>
                <w:szCs w:val="20"/>
              </w:rPr>
            </w:pPr>
            <w:r w:rsidRPr="0079537E">
              <w:rPr>
                <w:i/>
                <w:iCs/>
                <w:sz w:val="20"/>
                <w:szCs w:val="20"/>
              </w:rPr>
              <w:t xml:space="preserve">As with Modules 1 and 2 a collection of resources has been attached for you to review before you start your work. Every step of your proposal needs to make a connection with current or past thinking about the ideas </w:t>
            </w:r>
            <w:r w:rsidR="00065D6D" w:rsidRPr="0079537E">
              <w:rPr>
                <w:i/>
                <w:iCs/>
                <w:sz w:val="20"/>
                <w:szCs w:val="20"/>
              </w:rPr>
              <w:t>you</w:t>
            </w:r>
            <w:r w:rsidRPr="0079537E">
              <w:rPr>
                <w:i/>
                <w:iCs/>
                <w:sz w:val="20"/>
                <w:szCs w:val="20"/>
              </w:rPr>
              <w:t xml:space="preserve"> are focusing </w:t>
            </w:r>
            <w:r w:rsidR="008450C7" w:rsidRPr="0079537E">
              <w:rPr>
                <w:i/>
                <w:iCs/>
                <w:sz w:val="20"/>
                <w:szCs w:val="20"/>
              </w:rPr>
              <w:t>on,</w:t>
            </w:r>
            <w:r w:rsidRPr="0079537E">
              <w:rPr>
                <w:i/>
                <w:iCs/>
                <w:sz w:val="20"/>
                <w:szCs w:val="20"/>
              </w:rPr>
              <w:t xml:space="preserve"> and you need always to correctly cite and reference these connections, in the body of your work (citations) and in the bibliography at the end of the report.</w:t>
            </w:r>
          </w:p>
        </w:tc>
      </w:tr>
    </w:tbl>
    <w:p w14:paraId="4FF7CC73" w14:textId="2FEFFE7A" w:rsidR="00896AB0" w:rsidRPr="0079537E" w:rsidRDefault="00896AB0" w:rsidP="00752416">
      <w:pPr>
        <w:pStyle w:val="NoSpacing"/>
        <w:rPr>
          <w:lang w:val="en-GB"/>
        </w:rPr>
      </w:pPr>
      <w:bookmarkStart w:id="7" w:name="_Toc52284066"/>
      <w:bookmarkStart w:id="8" w:name="_Toc52284101"/>
    </w:p>
    <w:p w14:paraId="14560C2A" w14:textId="1E5C24AD" w:rsidR="00C56A0A" w:rsidRPr="0079537E" w:rsidRDefault="00C56A0A" w:rsidP="00C415F0">
      <w:pPr>
        <w:pStyle w:val="Heading1"/>
        <w:spacing w:line="276" w:lineRule="auto"/>
        <w:rPr>
          <w:rFonts w:cs="Times New Roman"/>
          <w:lang w:val="en-GB"/>
        </w:rPr>
      </w:pPr>
      <w:bookmarkStart w:id="9" w:name="_Toc167892887"/>
      <w:r w:rsidRPr="0079537E">
        <w:rPr>
          <w:rFonts w:cs="Times New Roman"/>
          <w:lang w:val="en-GB"/>
        </w:rPr>
        <w:lastRenderedPageBreak/>
        <w:t>Abstract</w:t>
      </w:r>
      <w:bookmarkEnd w:id="9"/>
    </w:p>
    <w:p w14:paraId="441D6659" w14:textId="77777777" w:rsidR="00C56A0A" w:rsidRPr="0079537E" w:rsidRDefault="00C56A0A" w:rsidP="00C415F0">
      <w:pPr>
        <w:pStyle w:val="NoSpacing"/>
        <w:rPr>
          <w:lang w:val="en-GB"/>
        </w:rPr>
      </w:pPr>
    </w:p>
    <w:p w14:paraId="36EC3BED" w14:textId="1B3FC88C" w:rsidR="00C56A0A" w:rsidRPr="0079537E" w:rsidRDefault="00C56A0A" w:rsidP="00C415F0">
      <w:pPr>
        <w:pStyle w:val="NoSpacing"/>
        <w:spacing w:line="276" w:lineRule="auto"/>
        <w:rPr>
          <w:lang w:val="en-GB"/>
        </w:rPr>
      </w:pPr>
      <w:r w:rsidRPr="0079537E">
        <w:rPr>
          <w:lang w:val="en-GB"/>
        </w:rPr>
        <w:t>In our increasingly interconnected world, humanitarian organi</w:t>
      </w:r>
      <w:r w:rsidR="004D07A6" w:rsidRPr="0079537E">
        <w:rPr>
          <w:lang w:val="en-GB"/>
        </w:rPr>
        <w:t>s</w:t>
      </w:r>
      <w:r w:rsidRPr="0079537E">
        <w:rPr>
          <w:lang w:val="en-GB"/>
        </w:rPr>
        <w:t>ations grapple with the imperative to prioriti</w:t>
      </w:r>
      <w:r w:rsidR="004D07A6" w:rsidRPr="0079537E">
        <w:rPr>
          <w:lang w:val="en-GB"/>
        </w:rPr>
        <w:t>s</w:t>
      </w:r>
      <w:r w:rsidRPr="0079537E">
        <w:rPr>
          <w:lang w:val="en-GB"/>
        </w:rPr>
        <w:t>e social responsibility and sustainability. This paper delves into the Humanitarian Ethical Decision-Making (HEDM) framework, offering a comprehensive guide for navigating intricate ethical dilemmas while maximi</w:t>
      </w:r>
      <w:r w:rsidR="004D07A6" w:rsidRPr="0079537E">
        <w:rPr>
          <w:lang w:val="en-GB"/>
        </w:rPr>
        <w:t>s</w:t>
      </w:r>
      <w:r w:rsidRPr="0079537E">
        <w:rPr>
          <w:lang w:val="en-GB"/>
        </w:rPr>
        <w:t>ing positive societal and environmental impact, particularly in humanitarian endeavo</w:t>
      </w:r>
      <w:r w:rsidR="004D07A6" w:rsidRPr="0079537E">
        <w:rPr>
          <w:lang w:val="en-GB"/>
        </w:rPr>
        <w:t>u</w:t>
      </w:r>
      <w:r w:rsidRPr="0079537E">
        <w:rPr>
          <w:lang w:val="en-GB"/>
        </w:rPr>
        <w:t xml:space="preserve">rs. Drawing upon advanced ethics, collaboration, and strategic foresight, HEDM empowers </w:t>
      </w:r>
      <w:r w:rsidR="000F1DE8">
        <w:rPr>
          <w:lang w:val="en-GB"/>
        </w:rPr>
        <w:t xml:space="preserve">humanitarian </w:t>
      </w:r>
      <w:r w:rsidRPr="0079537E">
        <w:rPr>
          <w:lang w:val="en-GB"/>
        </w:rPr>
        <w:t>organi</w:t>
      </w:r>
      <w:r w:rsidR="004D07A6" w:rsidRPr="0079537E">
        <w:rPr>
          <w:lang w:val="en-GB"/>
        </w:rPr>
        <w:t>s</w:t>
      </w:r>
      <w:r w:rsidRPr="0079537E">
        <w:rPr>
          <w:lang w:val="en-GB"/>
        </w:rPr>
        <w:t>ations to uphold</w:t>
      </w:r>
      <w:r w:rsidR="000F1DE8">
        <w:rPr>
          <w:lang w:val="en-GB"/>
        </w:rPr>
        <w:t xml:space="preserve"> humanitarian </w:t>
      </w:r>
      <w:r w:rsidRPr="0079537E">
        <w:rPr>
          <w:lang w:val="en-GB"/>
        </w:rPr>
        <w:t>values</w:t>
      </w:r>
      <w:r w:rsidR="004D07A6" w:rsidRPr="0079537E">
        <w:rPr>
          <w:lang w:val="en-GB"/>
        </w:rPr>
        <w:t xml:space="preserve"> and principles</w:t>
      </w:r>
      <w:r w:rsidRPr="0079537E">
        <w:rPr>
          <w:lang w:val="en-GB"/>
        </w:rPr>
        <w:t>, engage stakeholders, and drive substantive change. Th</w:t>
      </w:r>
      <w:r w:rsidR="004D07A6" w:rsidRPr="0079537E">
        <w:rPr>
          <w:lang w:val="en-GB"/>
        </w:rPr>
        <w:t xml:space="preserve">is paper illuminates the profound significance and implications of ethical decision-making in the humanitarian sector. </w:t>
      </w:r>
      <w:r w:rsidRPr="0079537E">
        <w:rPr>
          <w:lang w:val="en-GB"/>
        </w:rPr>
        <w:t>Based on the HEDM framework, the EthicEase mobile application emerges as a ground-breaking tool, providing a user-friendly platform to enhance ethical literacy and responsible action. Leveraging HEDM principles, EthicEase enables individuals and organizations to confront ethical challenges with confidence and integrity, fostering a future of ethical leadership and positive societal transformation.</w:t>
      </w:r>
    </w:p>
    <w:p w14:paraId="1FC3B38A" w14:textId="77777777" w:rsidR="00C56A0A" w:rsidRPr="0079537E" w:rsidRDefault="00C56A0A" w:rsidP="00C415F0">
      <w:pPr>
        <w:pStyle w:val="NoSpacing"/>
        <w:spacing w:line="276" w:lineRule="auto"/>
        <w:rPr>
          <w:lang w:val="en-GB"/>
        </w:rPr>
      </w:pPr>
    </w:p>
    <w:p w14:paraId="2698A93F" w14:textId="77777777" w:rsidR="00DB7BB3" w:rsidRPr="0079537E" w:rsidRDefault="00DB7BB3" w:rsidP="00C415F0">
      <w:pPr>
        <w:pStyle w:val="NoSpacing"/>
        <w:rPr>
          <w:lang w:val="en-GB"/>
        </w:rPr>
      </w:pPr>
      <w:r w:rsidRPr="0079537E">
        <w:rPr>
          <w:lang w:val="en-GB"/>
        </w:rPr>
        <w:br w:type="page"/>
      </w:r>
    </w:p>
    <w:p w14:paraId="1FF88FC6" w14:textId="4937D9DD" w:rsidR="004D07A6" w:rsidRPr="0079537E" w:rsidRDefault="00C56A0A" w:rsidP="00C415F0">
      <w:pPr>
        <w:pStyle w:val="Heading1"/>
        <w:spacing w:line="276" w:lineRule="auto"/>
        <w:rPr>
          <w:rFonts w:cs="Times New Roman"/>
          <w:lang w:val="en-GB"/>
        </w:rPr>
      </w:pPr>
      <w:bookmarkStart w:id="10" w:name="_Toc167892888"/>
      <w:r w:rsidRPr="0079537E">
        <w:rPr>
          <w:rFonts w:cs="Times New Roman"/>
          <w:lang w:val="en-GB"/>
        </w:rPr>
        <w:lastRenderedPageBreak/>
        <w:t>Introduction</w:t>
      </w:r>
      <w:bookmarkEnd w:id="10"/>
    </w:p>
    <w:p w14:paraId="64AF6C60" w14:textId="77777777" w:rsidR="00C56A0A" w:rsidRPr="0079537E" w:rsidRDefault="00C56A0A" w:rsidP="00C415F0">
      <w:pPr>
        <w:pStyle w:val="NoSpacing"/>
        <w:rPr>
          <w:lang w:val="en-GB"/>
        </w:rPr>
      </w:pPr>
    </w:p>
    <w:p w14:paraId="1062357B" w14:textId="7D634FAB" w:rsidR="004D07A6" w:rsidRPr="0079537E" w:rsidRDefault="004D07A6" w:rsidP="00C415F0">
      <w:pPr>
        <w:pStyle w:val="NoSpacing"/>
        <w:spacing w:line="276" w:lineRule="auto"/>
        <w:rPr>
          <w:lang w:val="en-GB"/>
        </w:rPr>
      </w:pPr>
      <w:r w:rsidRPr="0079537E">
        <w:rPr>
          <w:lang w:val="en-GB"/>
        </w:rPr>
        <w:t>In the realm of humanitarian ethics, Module 1 provided a panoramic view of the strategic underpinnings guiding organizational decision-making, notably spotlighting the International Committee of the Red Cross (ICRC) and its visionary plans spanning 2019-2024</w:t>
      </w:r>
      <w:r w:rsidR="00B66B5E" w:rsidRPr="0079537E">
        <w:rPr>
          <w:rStyle w:val="FootnoteReference"/>
          <w:rFonts w:eastAsiaTheme="majorEastAsia" w:cs="Times New Roman"/>
          <w:bCs/>
          <w:color w:val="000000" w:themeColor="text1"/>
          <w:lang w:val="en-GB"/>
        </w:rPr>
        <w:footnoteReference w:id="2"/>
      </w:r>
      <w:r w:rsidRPr="0079537E">
        <w:rPr>
          <w:lang w:val="en-GB"/>
        </w:rPr>
        <w:t xml:space="preserve">. Through a meticulous analysis, the ICRC's commitment to upholding </w:t>
      </w:r>
      <w:r w:rsidR="00B66B5E" w:rsidRPr="0079537E">
        <w:rPr>
          <w:lang w:val="en-GB"/>
        </w:rPr>
        <w:t xml:space="preserve">the </w:t>
      </w:r>
      <w:r w:rsidRPr="0079537E">
        <w:rPr>
          <w:lang w:val="en-GB"/>
        </w:rPr>
        <w:t>International Humanitarian Law (IHL) and delivering essential healthcare services in conflict zones emerged as a testament to its unwavering dedication</w:t>
      </w:r>
      <w:r w:rsidR="00F526CA" w:rsidRPr="0079537E">
        <w:rPr>
          <w:lang w:val="en-GB"/>
        </w:rPr>
        <w:t xml:space="preserve"> (ICRC, 2023a)</w:t>
      </w:r>
      <w:r w:rsidR="00AE625F" w:rsidRPr="0079537E">
        <w:rPr>
          <w:lang w:val="en-GB"/>
        </w:rPr>
        <w:t xml:space="preserve"> in upholding humanitarian ethics</w:t>
      </w:r>
      <w:r w:rsidRPr="0079537E">
        <w:rPr>
          <w:lang w:val="en-GB"/>
        </w:rPr>
        <w:t>. The proposed Health Strategic Plan for 2024-2027 further underscored this commitment, outlining strategic objectives aimed at fostering sustainable health outcomes, influencing policy, and embracing data-driven decision-making while prioritising staff well-being</w:t>
      </w:r>
      <w:r w:rsidR="00AE1D2C" w:rsidRPr="0079537E">
        <w:rPr>
          <w:rStyle w:val="FootnoteReference"/>
          <w:rFonts w:eastAsiaTheme="majorEastAsia" w:cs="Times New Roman"/>
          <w:bCs/>
          <w:color w:val="000000" w:themeColor="text1"/>
          <w:lang w:val="en-GB"/>
        </w:rPr>
        <w:footnoteReference w:id="3"/>
      </w:r>
      <w:r w:rsidR="00F526CA" w:rsidRPr="0079537E">
        <w:rPr>
          <w:lang w:val="en-GB"/>
        </w:rPr>
        <w:t xml:space="preserve"> (ICRC, 2023c)</w:t>
      </w:r>
      <w:r w:rsidRPr="0079537E">
        <w:rPr>
          <w:lang w:val="en-GB"/>
        </w:rPr>
        <w:t>.</w:t>
      </w:r>
    </w:p>
    <w:p w14:paraId="0F8FF9DA" w14:textId="77777777" w:rsidR="004D07A6" w:rsidRPr="0079537E" w:rsidRDefault="004D07A6" w:rsidP="00C415F0">
      <w:pPr>
        <w:pStyle w:val="NoSpacing"/>
        <w:spacing w:line="276" w:lineRule="auto"/>
        <w:rPr>
          <w:lang w:val="en-GB"/>
        </w:rPr>
      </w:pPr>
    </w:p>
    <w:p w14:paraId="6BF9EB90" w14:textId="1ADCE964" w:rsidR="00335C16" w:rsidRPr="0079537E" w:rsidRDefault="004D07A6" w:rsidP="00C415F0">
      <w:pPr>
        <w:pStyle w:val="NoSpacing"/>
        <w:spacing w:line="276" w:lineRule="auto"/>
        <w:rPr>
          <w:lang w:val="en-GB"/>
        </w:rPr>
      </w:pPr>
      <w:r w:rsidRPr="0079537E">
        <w:rPr>
          <w:lang w:val="en-GB"/>
        </w:rPr>
        <w:t xml:space="preserve">Module 2 built upon this foundation, elucidating the critical role of collaboration and effective decision-making processes in navigating the intricate landscape of humanitarian endeavours. While the ICRC Strategic Plan laid a solid groundwork, there remained opportunities for refinement, particularly in deepening the focus on beneficiary perspectives to enhance accountability. Integrating structured methodologies like Design Thinking and establishing clear escalation mechanisms for decision-making could further expedite conflict resolution and foster inclusivity. Module 2 highlighted that addressing ethical dilemmas requires a multifaceted approach, encompassing diverse perspectives, cultural sensitivity, and transparent communication to ensure alignment with organizational values and humanitarian principles. The Ten-Step </w:t>
      </w:r>
      <w:r w:rsidR="00AE625F" w:rsidRPr="0079537E">
        <w:rPr>
          <w:lang w:val="en-GB"/>
        </w:rPr>
        <w:t>decision-making method</w:t>
      </w:r>
      <w:r w:rsidRPr="0079537E">
        <w:rPr>
          <w:lang w:val="en-GB"/>
        </w:rPr>
        <w:t xml:space="preserve"> by Pekel and Walace </w:t>
      </w:r>
      <w:r w:rsidR="009C5F75" w:rsidRPr="0079537E">
        <w:rPr>
          <w:lang w:val="en-GB"/>
        </w:rPr>
        <w:t>(2006</w:t>
      </w:r>
      <w:r w:rsidR="00C30421" w:rsidRPr="0079537E">
        <w:rPr>
          <w:lang w:val="en-GB"/>
        </w:rPr>
        <w:t xml:space="preserve">) </w:t>
      </w:r>
      <w:r w:rsidRPr="0079537E">
        <w:rPr>
          <w:lang w:val="en-GB"/>
        </w:rPr>
        <w:t>was introduced as a guiding tool for ethical decision-making</w:t>
      </w:r>
      <w:r w:rsidR="00C30421" w:rsidRPr="0079537E">
        <w:rPr>
          <w:rStyle w:val="FootnoteReference"/>
          <w:rFonts w:eastAsiaTheme="majorEastAsia" w:cs="Times New Roman"/>
          <w:bCs/>
          <w:color w:val="000000" w:themeColor="text1"/>
          <w:lang w:val="en-GB"/>
        </w:rPr>
        <w:footnoteReference w:id="4"/>
      </w:r>
      <w:r w:rsidR="00C30421" w:rsidRPr="0079537E">
        <w:rPr>
          <w:lang w:val="en-GB"/>
        </w:rPr>
        <w:t>.</w:t>
      </w:r>
      <w:r w:rsidR="00560539" w:rsidRPr="0079537E">
        <w:rPr>
          <w:lang w:val="en-GB"/>
        </w:rPr>
        <w:t xml:space="preserve"> </w:t>
      </w:r>
    </w:p>
    <w:p w14:paraId="4AE12D86" w14:textId="77777777" w:rsidR="00335C16" w:rsidRPr="0079537E" w:rsidRDefault="00335C16" w:rsidP="00C415F0">
      <w:pPr>
        <w:pStyle w:val="NoSpacing"/>
        <w:spacing w:line="276" w:lineRule="auto"/>
        <w:rPr>
          <w:lang w:val="en-GB"/>
        </w:rPr>
      </w:pPr>
    </w:p>
    <w:p w14:paraId="18AA9753" w14:textId="2FFC18C2" w:rsidR="00C56A0A" w:rsidRPr="0079537E" w:rsidRDefault="00335C16" w:rsidP="00C415F0">
      <w:pPr>
        <w:pStyle w:val="NoSpacing"/>
        <w:spacing w:line="276" w:lineRule="auto"/>
        <w:rPr>
          <w:lang w:val="en-GB"/>
        </w:rPr>
      </w:pPr>
      <w:r w:rsidRPr="009A3269">
        <w:rPr>
          <w:lang w:val="en-GB"/>
        </w:rPr>
        <w:t>However</w:t>
      </w:r>
      <w:r w:rsidR="00E9319A">
        <w:rPr>
          <w:lang w:val="en-GB"/>
        </w:rPr>
        <w:t xml:space="preserve">, in terms of decision-making, </w:t>
      </w:r>
      <w:r w:rsidR="00E9319A" w:rsidRPr="009A3269">
        <w:rPr>
          <w:lang w:val="en-GB"/>
        </w:rPr>
        <w:t>gaps were identified</w:t>
      </w:r>
      <w:r w:rsidR="00E9319A">
        <w:rPr>
          <w:lang w:val="en-GB"/>
        </w:rPr>
        <w:t xml:space="preserve"> in consideration of </w:t>
      </w:r>
      <w:r w:rsidRPr="009A3269">
        <w:rPr>
          <w:lang w:val="en-GB"/>
        </w:rPr>
        <w:t>sustainability integration, ethical decision-making support, and continuous learning and improvement in humanitarian ethics.</w:t>
      </w:r>
      <w:r w:rsidR="009A3269" w:rsidRPr="009A3269">
        <w:rPr>
          <w:lang w:val="en-GB"/>
        </w:rPr>
        <w:t xml:space="preserve"> </w:t>
      </w:r>
      <w:r w:rsidR="009A3269" w:rsidRPr="009A3269">
        <w:rPr>
          <w:color w:val="1E1D1A"/>
          <w:shd w:val="clear" w:color="auto" w:fill="FFFFFF"/>
          <w:lang w:val="en-GB"/>
        </w:rPr>
        <w:t xml:space="preserve">These gaps highlight the need for a more comprehensive approach to decision-making processes within humanitarian organisations (Gond et al., 2012). </w:t>
      </w:r>
      <w:r w:rsidRPr="009A3269">
        <w:rPr>
          <w:lang w:val="en-GB"/>
        </w:rPr>
        <w:t xml:space="preserve"> </w:t>
      </w:r>
      <w:r w:rsidR="00BA4E07">
        <w:rPr>
          <w:lang w:val="en-GB"/>
        </w:rPr>
        <w:t>In an attempt to</w:t>
      </w:r>
      <w:r w:rsidRPr="009A3269">
        <w:rPr>
          <w:lang w:val="en-GB"/>
        </w:rPr>
        <w:t xml:space="preserve"> address these</w:t>
      </w:r>
      <w:r w:rsidR="00BA4E07">
        <w:rPr>
          <w:lang w:val="en-GB"/>
        </w:rPr>
        <w:t xml:space="preserve"> gaps</w:t>
      </w:r>
      <w:r w:rsidRPr="009A3269">
        <w:rPr>
          <w:lang w:val="en-GB"/>
        </w:rPr>
        <w:t>, the Humanitarian Ethical Decision-Making (HEDM) framework was</w:t>
      </w:r>
      <w:r w:rsidRPr="0079537E">
        <w:rPr>
          <w:lang w:val="en-GB"/>
        </w:rPr>
        <w:t xml:space="preserve"> established, providing essential ethical guidance amidst rising social responsibility and sustainability demands. The HEDM framework empowers organizations to navigate ethical complexities with confidence and integrity by fostering ethical leadership, collaborative problem-solving, and a culture of inclusion</w:t>
      </w:r>
      <w:r w:rsidR="00E9319A">
        <w:rPr>
          <w:lang w:val="en-GB"/>
        </w:rPr>
        <w:t xml:space="preserve">, </w:t>
      </w:r>
      <w:r w:rsidRPr="0079537E">
        <w:rPr>
          <w:lang w:val="en-GB"/>
        </w:rPr>
        <w:t>diversity</w:t>
      </w:r>
      <w:r w:rsidR="00E9319A">
        <w:rPr>
          <w:lang w:val="en-GB"/>
        </w:rPr>
        <w:t xml:space="preserve"> and sustainability integration</w:t>
      </w:r>
      <w:r w:rsidRPr="0079537E">
        <w:rPr>
          <w:lang w:val="en-GB"/>
        </w:rPr>
        <w:t>. Through collective intelligence and unwavering commitment, it aims to drive meaningful change and advance the humanitarian mission, upholding principles of integrity, compassion, and solidarity.</w:t>
      </w:r>
    </w:p>
    <w:p w14:paraId="7C5B1DC9" w14:textId="77777777" w:rsidR="00335C16" w:rsidRPr="0079537E" w:rsidRDefault="00335C16" w:rsidP="00C415F0">
      <w:pPr>
        <w:pStyle w:val="NoSpacing"/>
        <w:spacing w:line="276" w:lineRule="auto"/>
        <w:rPr>
          <w:lang w:val="en-GB"/>
        </w:rPr>
      </w:pPr>
    </w:p>
    <w:p w14:paraId="35C2CAE9" w14:textId="0ADBFE3C" w:rsidR="00752416" w:rsidRPr="00E9319A" w:rsidRDefault="00335C16" w:rsidP="00E9319A">
      <w:pPr>
        <w:pStyle w:val="NoSpacing"/>
        <w:spacing w:line="276" w:lineRule="auto"/>
        <w:rPr>
          <w:lang w:val="en-GB"/>
        </w:rPr>
      </w:pPr>
      <w:r w:rsidRPr="0079537E">
        <w:rPr>
          <w:lang w:val="en-GB"/>
        </w:rPr>
        <w:t xml:space="preserve">Based on the HEDM framework, the </w:t>
      </w:r>
      <w:r w:rsidR="004919C8" w:rsidRPr="0079537E">
        <w:rPr>
          <w:lang w:val="en-GB"/>
        </w:rPr>
        <w:t xml:space="preserve">creation of </w:t>
      </w:r>
      <w:r w:rsidRPr="0079537E">
        <w:rPr>
          <w:lang w:val="en-GB"/>
        </w:rPr>
        <w:t>EthicEase</w:t>
      </w:r>
      <w:r w:rsidR="004919C8" w:rsidRPr="0079537E">
        <w:rPr>
          <w:lang w:val="en-GB"/>
        </w:rPr>
        <w:t xml:space="preserve">, a </w:t>
      </w:r>
      <w:r w:rsidRPr="0079537E">
        <w:rPr>
          <w:lang w:val="en-GB"/>
        </w:rPr>
        <w:t>mobile application</w:t>
      </w:r>
      <w:r w:rsidR="009C5F75" w:rsidRPr="0079537E">
        <w:rPr>
          <w:lang w:val="en-GB"/>
        </w:rPr>
        <w:t xml:space="preserve"> </w:t>
      </w:r>
      <w:r w:rsidRPr="0079537E">
        <w:rPr>
          <w:lang w:val="en-GB"/>
        </w:rPr>
        <w:t>emerges as a ground-breaking tool, providing a user-friendly platform to enhance ethical literacy and responsible action. Leveraging</w:t>
      </w:r>
      <w:r w:rsidR="00EB66A2">
        <w:rPr>
          <w:lang w:val="en-GB"/>
        </w:rPr>
        <w:t xml:space="preserve"> the</w:t>
      </w:r>
      <w:r w:rsidRPr="0079537E">
        <w:rPr>
          <w:lang w:val="en-GB"/>
        </w:rPr>
        <w:t xml:space="preserve"> HEDM principles, EthicEase enables individuals and organizations to confront ethical challenges with confidence and integrity, fostering a future of ethical leadership and positive societal transformation</w:t>
      </w:r>
      <w:r w:rsidR="00E9319A">
        <w:rPr>
          <w:lang w:val="en-GB"/>
        </w:rPr>
        <w:t>.</w:t>
      </w:r>
    </w:p>
    <w:p w14:paraId="160A97B9" w14:textId="1256094E" w:rsidR="00B87419" w:rsidRDefault="00C5253B" w:rsidP="00C415F0">
      <w:pPr>
        <w:pStyle w:val="Heading1"/>
        <w:rPr>
          <w:rFonts w:cs="Times New Roman"/>
          <w:lang w:val="en-GB"/>
        </w:rPr>
      </w:pPr>
      <w:bookmarkStart w:id="11" w:name="_Toc167892889"/>
      <w:r>
        <w:rPr>
          <w:rFonts w:cs="Times New Roman"/>
          <w:lang w:val="en-GB"/>
        </w:rPr>
        <w:lastRenderedPageBreak/>
        <w:t>The Gap</w:t>
      </w:r>
      <w:r w:rsidR="00B77326">
        <w:rPr>
          <w:rFonts w:cs="Times New Roman"/>
          <w:lang w:val="en-GB"/>
        </w:rPr>
        <w:t xml:space="preserve"> in Ethical Decision-Making in the Humanitarian Sector</w:t>
      </w:r>
      <w:bookmarkEnd w:id="11"/>
      <w:r w:rsidR="00B77326">
        <w:rPr>
          <w:rFonts w:cs="Times New Roman"/>
          <w:lang w:val="en-GB"/>
        </w:rPr>
        <w:t xml:space="preserve"> </w:t>
      </w:r>
    </w:p>
    <w:p w14:paraId="20A5C9B4" w14:textId="77777777" w:rsidR="00C5253B" w:rsidRDefault="00C5253B" w:rsidP="00C415F0">
      <w:pPr>
        <w:jc w:val="both"/>
        <w:rPr>
          <w:lang w:eastAsia="en-US"/>
        </w:rPr>
      </w:pPr>
    </w:p>
    <w:p w14:paraId="5F5728CF" w14:textId="77777777" w:rsidR="00765AD9" w:rsidRPr="00765AD9" w:rsidRDefault="00765AD9" w:rsidP="00765AD9">
      <w:pPr>
        <w:spacing w:line="276" w:lineRule="auto"/>
        <w:jc w:val="both"/>
        <w:rPr>
          <w:color w:val="1E1D1A"/>
          <w:shd w:val="clear" w:color="auto" w:fill="FFFFFF"/>
        </w:rPr>
      </w:pPr>
      <w:r w:rsidRPr="00765AD9">
        <w:rPr>
          <w:color w:val="1E1D1A"/>
          <w:shd w:val="clear" w:color="auto" w:fill="FFFFFF"/>
        </w:rPr>
        <w:t>In the humanitarian sector, gaps have been identified in terms of integrating sustainability, ethical decision-making support, continuous learning and improvement, and stakeholder management and empowerment in humanitarian ethics. These gaps highlight the need for a more comprehensive approach to decision-making processes within humanitarian organisations (Gond et al., 2012).</w:t>
      </w:r>
    </w:p>
    <w:p w14:paraId="2DC57F04" w14:textId="77777777" w:rsidR="00765AD9" w:rsidRPr="00765AD9" w:rsidRDefault="00765AD9" w:rsidP="00765AD9">
      <w:pPr>
        <w:spacing w:line="276" w:lineRule="auto"/>
        <w:jc w:val="both"/>
        <w:rPr>
          <w:color w:val="1E1D1A"/>
          <w:shd w:val="clear" w:color="auto" w:fill="FFFFFF"/>
        </w:rPr>
      </w:pPr>
    </w:p>
    <w:p w14:paraId="0CA692ED" w14:textId="1A7CDF5D" w:rsidR="00765AD9" w:rsidRPr="00765AD9" w:rsidRDefault="00415FFE" w:rsidP="00765AD9">
      <w:pPr>
        <w:spacing w:line="276" w:lineRule="auto"/>
        <w:jc w:val="both"/>
        <w:rPr>
          <w:color w:val="1E1D1A"/>
          <w:shd w:val="clear" w:color="auto" w:fill="FFFFFF"/>
        </w:rPr>
      </w:pPr>
      <w:r>
        <w:rPr>
          <w:color w:val="1E1D1A"/>
          <w:shd w:val="clear" w:color="auto" w:fill="FFFFFF"/>
        </w:rPr>
        <w:t>Studies suggest that o</w:t>
      </w:r>
      <w:r w:rsidR="00765AD9" w:rsidRPr="00765AD9">
        <w:rPr>
          <w:color w:val="1E1D1A"/>
          <w:shd w:val="clear" w:color="auto" w:fill="FFFFFF"/>
        </w:rPr>
        <w:t>rganisations can mobilise a configuration approach to integrate sustainability within organisational strategy through the roles and uses of management control systems (MCS) and sustainability control systems (SCS) (Gond et al., 2012). This approach aligns sustainability goals with strategic objectives and enhances decision-making processes in humanitarian operations. Ethical decision-making is crucial in organisations, and an issue-contingent model can guide individuals in making ethical choices within organisational contexts (Jones, 1991). By adopting such models, humanitarian organisations can provide structured frameworks for ethical decision-making, ensuring that ethical considerations are integrated into operational practices. Incorporating sustainability into organisational renewal processes can lead to strategic sustainability integration, supporting ethical decision-making and business model decisions (Halldorsson et al., 2018). By merging management tools and sustainability principles, organisations can develop practical approaches to guide the strategic integration of sustainability, fostering continuous learning and improvement in humanitarian ethics.</w:t>
      </w:r>
    </w:p>
    <w:p w14:paraId="6D5F32BC" w14:textId="77777777" w:rsidR="00765AD9" w:rsidRPr="00765AD9" w:rsidRDefault="00765AD9" w:rsidP="00765AD9">
      <w:pPr>
        <w:spacing w:line="276" w:lineRule="auto"/>
        <w:jc w:val="both"/>
        <w:rPr>
          <w:color w:val="1E1D1A"/>
          <w:shd w:val="clear" w:color="auto" w:fill="FFFFFF"/>
        </w:rPr>
      </w:pPr>
    </w:p>
    <w:p w14:paraId="47675366" w14:textId="461FC473" w:rsidR="00765AD9" w:rsidRPr="00765AD9" w:rsidRDefault="00765AD9" w:rsidP="00765AD9">
      <w:pPr>
        <w:spacing w:line="276" w:lineRule="auto"/>
        <w:jc w:val="both"/>
        <w:rPr>
          <w:color w:val="1E1D1A"/>
          <w:shd w:val="clear" w:color="auto" w:fill="FFFFFF"/>
        </w:rPr>
      </w:pPr>
      <w:r w:rsidRPr="00765AD9">
        <w:rPr>
          <w:color w:val="1E1D1A"/>
          <w:shd w:val="clear" w:color="auto" w:fill="FFFFFF"/>
        </w:rPr>
        <w:t>Furthermore, the integration of sustainability on different management levels, including operational, strategic, and normative levels, requires top management support and an open organisational culture regarding sustainable development (Kiesnere &amp; Baumgartner, 2019). By fostering a culture that values sustainability and continuous improvement, organisations can enhance their ethical decision-making processes and promote sustainable practices in humanitarian operations.</w:t>
      </w:r>
      <w:r w:rsidR="00415FFE">
        <w:rPr>
          <w:color w:val="1E1D1A"/>
          <w:shd w:val="clear" w:color="auto" w:fill="FFFFFF"/>
        </w:rPr>
        <w:t xml:space="preserve"> </w:t>
      </w:r>
      <w:r w:rsidRPr="00765AD9">
        <w:rPr>
          <w:color w:val="1E1D1A"/>
          <w:shd w:val="clear" w:color="auto" w:fill="FFFFFF"/>
        </w:rPr>
        <w:t>Continuous improvement in sustainability integration can be achieved through the development of process-oriented performance indicators and sustainability assessment frameworks (Medne &amp; Lapiņa, 2019; Sangwan et al., 2019). These tools enable organisations to monitor their sustainability performance, identify areas for improvement, and drive organisational learning and development in humanitarian ethics.</w:t>
      </w:r>
    </w:p>
    <w:p w14:paraId="61F74984" w14:textId="77777777" w:rsidR="00765AD9" w:rsidRPr="00765AD9" w:rsidRDefault="00765AD9" w:rsidP="00765AD9">
      <w:pPr>
        <w:spacing w:line="276" w:lineRule="auto"/>
        <w:jc w:val="both"/>
        <w:rPr>
          <w:color w:val="1E1D1A"/>
          <w:shd w:val="clear" w:color="auto" w:fill="FFFFFF"/>
        </w:rPr>
      </w:pPr>
    </w:p>
    <w:p w14:paraId="66CC4882" w14:textId="77777777" w:rsidR="00765AD9" w:rsidRPr="00765AD9" w:rsidRDefault="00765AD9" w:rsidP="00765AD9">
      <w:pPr>
        <w:spacing w:line="276" w:lineRule="auto"/>
        <w:jc w:val="both"/>
        <w:rPr>
          <w:color w:val="1E1D1A"/>
          <w:shd w:val="clear" w:color="auto" w:fill="FFFFFF"/>
        </w:rPr>
      </w:pPr>
      <w:r w:rsidRPr="00765AD9">
        <w:rPr>
          <w:color w:val="1E1D1A"/>
          <w:shd w:val="clear" w:color="auto" w:fill="FFFFFF"/>
        </w:rPr>
        <w:t>Stakeholder management and empowerment also play a crucial role in addressing the gaps in ethical decision-making in the humanitarian sector. Involving stakeholders in decision-making processes and empowering them to make choices and decisions can enhance the ethical considerations and sustainability practices within organisations (Kalu &amp; Rugami, 2021). By incorporating stakeholder perspectives and engaging them in decision-making processes, organisations can ensure that ethical values and sustainability goals are aligned with the needs and expectations of all stakeholders.</w:t>
      </w:r>
    </w:p>
    <w:p w14:paraId="46069139" w14:textId="77777777" w:rsidR="00765AD9" w:rsidRPr="00765AD9" w:rsidRDefault="00765AD9" w:rsidP="00765AD9">
      <w:pPr>
        <w:spacing w:line="276" w:lineRule="auto"/>
        <w:jc w:val="both"/>
        <w:rPr>
          <w:color w:val="1E1D1A"/>
          <w:shd w:val="clear" w:color="auto" w:fill="FFFFFF"/>
        </w:rPr>
      </w:pPr>
    </w:p>
    <w:p w14:paraId="47690884" w14:textId="11147E62" w:rsidR="00EB66A2" w:rsidRDefault="00765AD9" w:rsidP="00765AD9">
      <w:pPr>
        <w:spacing w:line="276" w:lineRule="auto"/>
        <w:jc w:val="both"/>
        <w:rPr>
          <w:color w:val="1E1D1A"/>
          <w:shd w:val="clear" w:color="auto" w:fill="FFFFFF"/>
        </w:rPr>
      </w:pPr>
      <w:r w:rsidRPr="00765AD9">
        <w:rPr>
          <w:color w:val="1E1D1A"/>
          <w:shd w:val="clear" w:color="auto" w:fill="FFFFFF"/>
        </w:rPr>
        <w:t xml:space="preserve">By leveraging management control systems, ethical decision-making models, sustainability integration strategies, </w:t>
      </w:r>
      <w:r w:rsidR="0064388F">
        <w:rPr>
          <w:color w:val="1E1D1A"/>
          <w:shd w:val="clear" w:color="auto" w:fill="FFFFFF"/>
        </w:rPr>
        <w:t xml:space="preserve">and </w:t>
      </w:r>
      <w:r w:rsidRPr="00765AD9">
        <w:rPr>
          <w:color w:val="1E1D1A"/>
          <w:shd w:val="clear" w:color="auto" w:fill="FFFFFF"/>
        </w:rPr>
        <w:t xml:space="preserve">performance indicators, and managing and empowering </w:t>
      </w:r>
      <w:r w:rsidRPr="00765AD9">
        <w:rPr>
          <w:color w:val="1E1D1A"/>
          <w:shd w:val="clear" w:color="auto" w:fill="FFFFFF"/>
        </w:rPr>
        <w:lastRenderedPageBreak/>
        <w:t>stakeholders, humanitarian organisations can bridge the identified gaps in sustainability integration, ethical decision-making support, and continuous learning and improvement in humanitarian ethics. The development of the HEDM framework is a crucial step towards achieving this comprehensive approach.</w:t>
      </w:r>
    </w:p>
    <w:p w14:paraId="61F5D37A" w14:textId="77777777" w:rsidR="00765AD9" w:rsidRDefault="00765AD9" w:rsidP="00C415F0">
      <w:pPr>
        <w:pStyle w:val="Heading1"/>
      </w:pPr>
      <w:r>
        <w:br w:type="page"/>
      </w:r>
    </w:p>
    <w:p w14:paraId="4BB9784A" w14:textId="0285CC28" w:rsidR="00C5253B" w:rsidRPr="00765AD9" w:rsidRDefault="00470BD8" w:rsidP="00C415F0">
      <w:pPr>
        <w:pStyle w:val="Heading1"/>
        <w:rPr>
          <w:lang w:val="en-GB"/>
        </w:rPr>
      </w:pPr>
      <w:bookmarkStart w:id="12" w:name="_Toc167892890"/>
      <w:r w:rsidRPr="00765AD9">
        <w:rPr>
          <w:lang w:val="en-GB"/>
        </w:rPr>
        <w:lastRenderedPageBreak/>
        <w:t xml:space="preserve">The </w:t>
      </w:r>
      <w:r w:rsidR="00C5253B" w:rsidRPr="00765AD9">
        <w:rPr>
          <w:lang w:val="en-GB"/>
        </w:rPr>
        <w:t>Humanitarian Ethical Decision-Making (HEDM) Framework</w:t>
      </w:r>
      <w:bookmarkEnd w:id="12"/>
    </w:p>
    <w:p w14:paraId="6E04CC99" w14:textId="77777777" w:rsidR="00C5253B" w:rsidRDefault="00C5253B" w:rsidP="00C415F0">
      <w:pPr>
        <w:pStyle w:val="NoSpacing"/>
        <w:spacing w:line="276" w:lineRule="auto"/>
        <w:rPr>
          <w:lang w:val="en-GB"/>
        </w:rPr>
      </w:pPr>
    </w:p>
    <w:p w14:paraId="0958523A" w14:textId="25489EE7" w:rsidR="00A54B3B" w:rsidRPr="0079537E" w:rsidRDefault="00A54B3B" w:rsidP="00C415F0">
      <w:pPr>
        <w:pStyle w:val="NoSpacing"/>
        <w:spacing w:line="276" w:lineRule="auto"/>
        <w:rPr>
          <w:lang w:val="en-GB"/>
        </w:rPr>
      </w:pPr>
      <w:r w:rsidRPr="0079537E">
        <w:rPr>
          <w:lang w:val="en-GB"/>
        </w:rPr>
        <w:t>The Humanitarian Ethical Decision-Making (HEDM) framework provides a structured approach to ethical decision-making by integrating advanced principles of ethics, collaboration, and strategic foresight. This section delves into each component of the HEDM framework, examining its implications for organizational practice and societal impact.</w:t>
      </w:r>
    </w:p>
    <w:p w14:paraId="1C572AA7" w14:textId="77777777" w:rsidR="00A54B3B" w:rsidRPr="0079537E" w:rsidRDefault="00A54B3B" w:rsidP="00C415F0">
      <w:pPr>
        <w:pStyle w:val="NoSpacing"/>
        <w:spacing w:line="276" w:lineRule="auto"/>
        <w:rPr>
          <w:lang w:val="en-GB"/>
        </w:rPr>
      </w:pPr>
    </w:p>
    <w:p w14:paraId="638F61EC" w14:textId="6704A772" w:rsidR="002C2DCB" w:rsidRDefault="00A54B3B" w:rsidP="00C415F0">
      <w:pPr>
        <w:pStyle w:val="NoSpacing"/>
        <w:spacing w:line="276" w:lineRule="auto"/>
        <w:rPr>
          <w:lang w:val="en-GB"/>
        </w:rPr>
      </w:pPr>
      <w:r w:rsidRPr="0079537E">
        <w:rPr>
          <w:lang w:val="en-GB"/>
        </w:rPr>
        <w:t>The diagram below illustrates the key components of the HEDM framework, emphasizing its structured approach to ethical decision-making in the humanitarian sector. Each component underscores the importance of ethics, collaboration, and strategic foresight in addressing critical challenges and maximizing positive impact on society and the environment.</w:t>
      </w:r>
    </w:p>
    <w:p w14:paraId="54EBF88C" w14:textId="77777777" w:rsidR="001A3F09" w:rsidRDefault="001A3F09" w:rsidP="00C415F0">
      <w:pPr>
        <w:pStyle w:val="NoSpacing"/>
        <w:spacing w:line="276" w:lineRule="auto"/>
        <w:rPr>
          <w:lang w:val="en-GB"/>
        </w:rPr>
      </w:pPr>
    </w:p>
    <w:p w14:paraId="00A2C324" w14:textId="6EE0F565" w:rsidR="001A3F09" w:rsidRPr="00E53147" w:rsidRDefault="001A3F09" w:rsidP="00C415F0">
      <w:pPr>
        <w:pStyle w:val="NoSpacing"/>
        <w:spacing w:line="276" w:lineRule="auto"/>
        <w:rPr>
          <w:lang w:val="en-GB"/>
        </w:rPr>
      </w:pPr>
      <w:r w:rsidRPr="00E53147">
        <w:rPr>
          <w:noProof/>
          <w:lang w:val="en-GB"/>
        </w:rPr>
        <w:drawing>
          <wp:inline distT="0" distB="0" distL="0" distR="0" wp14:anchorId="473304A6" wp14:editId="4A597D83">
            <wp:extent cx="5756910" cy="3686810"/>
            <wp:effectExtent l="0" t="0" r="0" b="0"/>
            <wp:docPr id="1958581813" name="Picture 1" descr="A diagram of a circula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81813" name="Picture 1" descr="A diagram of a circular diagram&#10;&#10;Description automatically generated"/>
                    <pic:cNvPicPr/>
                  </pic:nvPicPr>
                  <pic:blipFill>
                    <a:blip r:embed="rId10"/>
                    <a:stretch>
                      <a:fillRect/>
                    </a:stretch>
                  </pic:blipFill>
                  <pic:spPr>
                    <a:xfrm>
                      <a:off x="0" y="0"/>
                      <a:ext cx="5756910" cy="3686810"/>
                    </a:xfrm>
                    <a:prstGeom prst="rect">
                      <a:avLst/>
                    </a:prstGeom>
                  </pic:spPr>
                </pic:pic>
              </a:graphicData>
            </a:graphic>
          </wp:inline>
        </w:drawing>
      </w:r>
    </w:p>
    <w:p w14:paraId="16EF1748" w14:textId="5EBED31A" w:rsidR="00F51CE8" w:rsidRPr="00E53147" w:rsidRDefault="002C2DCB" w:rsidP="0073343A">
      <w:pPr>
        <w:pStyle w:val="Caption"/>
        <w:jc w:val="center"/>
        <w:rPr>
          <w:rFonts w:ascii="Times New Roman" w:hAnsi="Times New Roman" w:cs="Times New Roman"/>
          <w:bCs/>
          <w:sz w:val="24"/>
          <w:szCs w:val="24"/>
          <w:lang w:val="en-GB"/>
        </w:rPr>
      </w:pPr>
      <w:bookmarkStart w:id="13" w:name="_Toc167892905"/>
      <w:r w:rsidRPr="00E53147">
        <w:rPr>
          <w:rFonts w:ascii="Times New Roman" w:hAnsi="Times New Roman" w:cs="Times New Roman"/>
          <w:sz w:val="24"/>
          <w:szCs w:val="24"/>
          <w:lang w:val="en-GB"/>
        </w:rPr>
        <w:t xml:space="preserve">Figure </w:t>
      </w:r>
      <w:r w:rsidRPr="00E53147">
        <w:rPr>
          <w:rFonts w:ascii="Times New Roman" w:hAnsi="Times New Roman" w:cs="Times New Roman"/>
          <w:sz w:val="24"/>
          <w:szCs w:val="24"/>
          <w:lang w:val="en-GB"/>
        </w:rPr>
        <w:fldChar w:fldCharType="begin"/>
      </w:r>
      <w:r w:rsidRPr="00E53147">
        <w:rPr>
          <w:rFonts w:ascii="Times New Roman" w:hAnsi="Times New Roman" w:cs="Times New Roman"/>
          <w:sz w:val="24"/>
          <w:szCs w:val="24"/>
          <w:lang w:val="en-GB"/>
        </w:rPr>
        <w:instrText xml:space="preserve"> SEQ Figure \* ARABIC </w:instrText>
      </w:r>
      <w:r w:rsidRPr="00E53147">
        <w:rPr>
          <w:rFonts w:ascii="Times New Roman" w:hAnsi="Times New Roman" w:cs="Times New Roman"/>
          <w:sz w:val="24"/>
          <w:szCs w:val="24"/>
          <w:lang w:val="en-GB"/>
        </w:rPr>
        <w:fldChar w:fldCharType="separate"/>
      </w:r>
      <w:r w:rsidRPr="00E53147">
        <w:rPr>
          <w:rFonts w:ascii="Times New Roman" w:hAnsi="Times New Roman" w:cs="Times New Roman"/>
          <w:noProof/>
          <w:sz w:val="24"/>
          <w:szCs w:val="24"/>
          <w:lang w:val="en-GB"/>
        </w:rPr>
        <w:t>1</w:t>
      </w:r>
      <w:r w:rsidRPr="00E53147">
        <w:rPr>
          <w:rFonts w:ascii="Times New Roman" w:hAnsi="Times New Roman" w:cs="Times New Roman"/>
          <w:sz w:val="24"/>
          <w:szCs w:val="24"/>
          <w:lang w:val="en-GB"/>
        </w:rPr>
        <w:fldChar w:fldCharType="end"/>
      </w:r>
      <w:r w:rsidRPr="00E53147">
        <w:rPr>
          <w:rFonts w:ascii="Times New Roman" w:hAnsi="Times New Roman" w:cs="Times New Roman"/>
          <w:sz w:val="24"/>
          <w:szCs w:val="24"/>
          <w:lang w:val="en-GB"/>
        </w:rPr>
        <w:t>: Humanitarian Ethical Decision-Making (HEDM) Framework</w:t>
      </w:r>
      <w:bookmarkEnd w:id="13"/>
    </w:p>
    <w:p w14:paraId="5E639BE8" w14:textId="77777777" w:rsidR="00F51CE8" w:rsidRPr="0079537E" w:rsidRDefault="00F51CE8" w:rsidP="00C415F0">
      <w:pPr>
        <w:jc w:val="both"/>
      </w:pPr>
    </w:p>
    <w:p w14:paraId="3C71AD9C" w14:textId="20D6756D" w:rsidR="001B47DA" w:rsidRPr="0079537E" w:rsidRDefault="00F4671A" w:rsidP="00C415F0">
      <w:pPr>
        <w:pStyle w:val="Heading2"/>
      </w:pPr>
      <w:bookmarkStart w:id="14" w:name="_Toc167892891"/>
      <w:r w:rsidRPr="0079537E">
        <w:t>Ethical Leadership and Values Alignment</w:t>
      </w:r>
      <w:bookmarkEnd w:id="14"/>
      <w:r w:rsidRPr="0079537E">
        <w:t xml:space="preserve"> </w:t>
      </w:r>
    </w:p>
    <w:p w14:paraId="338BF342" w14:textId="77777777" w:rsidR="00F51CE8" w:rsidRPr="0079537E" w:rsidRDefault="00F51CE8" w:rsidP="00C415F0">
      <w:pPr>
        <w:jc w:val="both"/>
      </w:pPr>
    </w:p>
    <w:p w14:paraId="7CB62356" w14:textId="199A72C2" w:rsidR="00F51CE8" w:rsidRPr="0079537E" w:rsidRDefault="00F51CE8" w:rsidP="00C415F0">
      <w:pPr>
        <w:spacing w:line="276" w:lineRule="auto"/>
        <w:jc w:val="both"/>
      </w:pPr>
      <w:r w:rsidRPr="0079537E">
        <w:t>Ethical leadership is crucial in the Humanitarian Ethical Decision-Making (HEDM) framework within the humanitarian sector, emphasi</w:t>
      </w:r>
      <w:r w:rsidR="00AE625F" w:rsidRPr="0079537E">
        <w:t>s</w:t>
      </w:r>
      <w:r w:rsidRPr="0079537E">
        <w:t>ing the establishment of a clear ethical vision and values framework to guide organizational behaviour and decision-making processes. Leaders in humanitarian settings play a pivotal role in cultivating a culture of integrity, transparency, and accountability, aligning operational objectives with humanitarian principles to ensure coherence between values and actions. By exemplifying ethical standards, leaders inspire trust and confidence among employees, stakeholders, and the broader community. Authentic leadership, closely intertwined with ethical leadership, focuses on positive psychological capacities and ethical conduct to enhance self-awareness, moral perspective, and relational transparency among leaders and followers.</w:t>
      </w:r>
    </w:p>
    <w:p w14:paraId="72768563" w14:textId="77777777" w:rsidR="00F51CE8" w:rsidRPr="0079537E" w:rsidRDefault="00F51CE8" w:rsidP="00C415F0">
      <w:pPr>
        <w:jc w:val="both"/>
      </w:pPr>
    </w:p>
    <w:p w14:paraId="47E81D94" w14:textId="10421F62" w:rsidR="00F51CE8" w:rsidRPr="0079537E" w:rsidRDefault="00F51CE8" w:rsidP="00C415F0">
      <w:pPr>
        <w:spacing w:line="276" w:lineRule="auto"/>
        <w:jc w:val="both"/>
      </w:pPr>
      <w:r w:rsidRPr="0079537E">
        <w:t>Studies have shown a correlation between authentic leadership and positive organizational outcomes and employee behaviours (Walumbwa et al., 2007; Avolio &amp; Gardner, 2005). Furthermore, research underscores the importance of elements such as employee trust, transparent communication, and employee engagement in fostering an environment conducive to ethical leadership (Eagly et al., 2003). Servant leadership has been identified as a predictor of inclusive organizations, underscoring the significance of leadership styles in shaping organizational culture (Salem et al., 2022). Moreover, leadership's role in promoting learning organizations and encouraging employee voice behavio</w:t>
      </w:r>
      <w:r w:rsidR="00F74953" w:rsidRPr="0079537E">
        <w:t>u</w:t>
      </w:r>
      <w:r w:rsidRPr="0079537E">
        <w:t>r has been explored, highlighting the impact of ethical climate, organizational culture, and psychological processes on employee outcomes (Avolio et al., 2004; Sheather et al., 2022). In healthcare settings, authentic leadership has been associated with mitigating burnout among healthcare providers, emphasizing leadership's critical role in addressing organizational challenges and supporting staff well-being (Salem et al., 2019).</w:t>
      </w:r>
    </w:p>
    <w:p w14:paraId="2EC37EEC" w14:textId="77777777" w:rsidR="00F51CE8" w:rsidRPr="0079537E" w:rsidRDefault="00F51CE8" w:rsidP="00C415F0">
      <w:pPr>
        <w:spacing w:line="276" w:lineRule="auto"/>
        <w:jc w:val="both"/>
      </w:pPr>
    </w:p>
    <w:p w14:paraId="1CE8FA81" w14:textId="3E4233BE" w:rsidR="00F51CE8" w:rsidRPr="0079537E" w:rsidRDefault="00F51CE8" w:rsidP="00C415F0">
      <w:pPr>
        <w:spacing w:line="276" w:lineRule="auto"/>
        <w:jc w:val="both"/>
      </w:pPr>
      <w:r w:rsidRPr="0079537E">
        <w:t>These references underscore the pivotal role of ethical and authentic leadership in steering organi</w:t>
      </w:r>
      <w:r w:rsidR="00F74953" w:rsidRPr="0079537E">
        <w:t>s</w:t>
      </w:r>
      <w:r w:rsidRPr="0079537E">
        <w:t>ational behaviour, fostering positive work environments, and driving sustainable outcomes within the humanitarian sector.</w:t>
      </w:r>
    </w:p>
    <w:p w14:paraId="68E58D31" w14:textId="77777777" w:rsidR="00F51CE8" w:rsidRPr="0079537E" w:rsidRDefault="00F51CE8" w:rsidP="00C415F0">
      <w:pPr>
        <w:jc w:val="both"/>
      </w:pPr>
    </w:p>
    <w:p w14:paraId="31CF4334" w14:textId="77777777" w:rsidR="00F51CE8" w:rsidRPr="0079537E" w:rsidRDefault="00F51CE8" w:rsidP="00C415F0">
      <w:pPr>
        <w:pStyle w:val="NoSpacing"/>
      </w:pPr>
    </w:p>
    <w:p w14:paraId="6C6A44D0" w14:textId="7023F4C0" w:rsidR="00A54B3B" w:rsidRPr="0079537E" w:rsidRDefault="00A54B3B" w:rsidP="00C415F0">
      <w:pPr>
        <w:pStyle w:val="Heading2"/>
      </w:pPr>
      <w:bookmarkStart w:id="15" w:name="_Toc167892892"/>
      <w:r w:rsidRPr="0079537E">
        <w:t>Stakeholder Engagement and Empowerment</w:t>
      </w:r>
      <w:bookmarkEnd w:id="15"/>
    </w:p>
    <w:p w14:paraId="4F20EF77" w14:textId="77777777" w:rsidR="00F51CE8" w:rsidRPr="0079537E" w:rsidRDefault="00F51CE8" w:rsidP="00C415F0">
      <w:pPr>
        <w:jc w:val="both"/>
      </w:pPr>
    </w:p>
    <w:p w14:paraId="7CECA674" w14:textId="77777777" w:rsidR="00F51CE8" w:rsidRPr="0079537E" w:rsidRDefault="00F51CE8" w:rsidP="00C415F0">
      <w:pPr>
        <w:spacing w:line="276" w:lineRule="auto"/>
        <w:jc w:val="both"/>
        <w:rPr>
          <w:bCs/>
        </w:rPr>
      </w:pPr>
      <w:r w:rsidRPr="0079537E">
        <w:rPr>
          <w:bCs/>
        </w:rPr>
        <w:t>Stakeholder engagement is a crucial element of ethical decision-making in humanitarian action, necessitating organizations to consider the diverse needs and viewpoints of different stakeholders. The HEDM framework promotes meaningful dialogue and decision-making processes that respect stakeholder perspectives and empower marginalized or vulnerable groups to contribute to shaping outcomes. Actively engaging stakeholders in decision-making processes helps organizations establish trust, encourage collaboration, and enhance the legitimacy of their actions.</w:t>
      </w:r>
    </w:p>
    <w:p w14:paraId="1DBAA063" w14:textId="77777777" w:rsidR="00F51CE8" w:rsidRPr="0079537E" w:rsidRDefault="00F51CE8" w:rsidP="00C415F0">
      <w:pPr>
        <w:spacing w:line="276" w:lineRule="auto"/>
        <w:jc w:val="both"/>
        <w:rPr>
          <w:bCs/>
        </w:rPr>
      </w:pPr>
    </w:p>
    <w:p w14:paraId="1BA7AD57" w14:textId="77777777" w:rsidR="00F51CE8" w:rsidRPr="0079537E" w:rsidRDefault="00F51CE8" w:rsidP="00C415F0">
      <w:pPr>
        <w:spacing w:line="276" w:lineRule="auto"/>
        <w:jc w:val="both"/>
        <w:rPr>
          <w:bCs/>
        </w:rPr>
      </w:pPr>
      <w:r w:rsidRPr="0079537E">
        <w:rPr>
          <w:bCs/>
        </w:rPr>
        <w:t>Slack et al. (2018), Lemke &amp; Harris-Wai (2015), and Osobajo et al. (2021) offer valuable insights into stakeholder engagement and ethical decision-making in various contexts. For instance, Slack et al. (2018) discuss enhancing stakeholder engagement through ethics review in biomedical HIV prevention trials, emphasizing the significance of broad engagement practices. Lemke &amp; Harris-Wai (2015) explore stakeholder engagement in policy development for human genomics, outlining challenges and opportunities in this domain. Additionally, Osobajo et al. (2021) present a conceptual framework for stakeholder engagement to promote sustainable development in a maritime cluster, highlighting the value creation that arises from dialogue and motivation among involved parties.</w:t>
      </w:r>
    </w:p>
    <w:p w14:paraId="0AB19F00" w14:textId="77777777" w:rsidR="00F51CE8" w:rsidRPr="0079537E" w:rsidRDefault="00F51CE8" w:rsidP="00C415F0">
      <w:pPr>
        <w:spacing w:line="276" w:lineRule="auto"/>
        <w:jc w:val="both"/>
        <w:rPr>
          <w:bCs/>
        </w:rPr>
      </w:pPr>
    </w:p>
    <w:p w14:paraId="5B2D85E9" w14:textId="77777777" w:rsidR="00F51CE8" w:rsidRPr="0079537E" w:rsidRDefault="00F51CE8" w:rsidP="00C415F0">
      <w:pPr>
        <w:spacing w:line="276" w:lineRule="auto"/>
        <w:jc w:val="both"/>
        <w:rPr>
          <w:bCs/>
        </w:rPr>
      </w:pPr>
      <w:r w:rsidRPr="0079537E">
        <w:rPr>
          <w:bCs/>
        </w:rPr>
        <w:t>These studies collectively emphasize the importance of stakeholder engagement in ethical decision-making processes within humanitarian action, stressing the necessity of inclusive dialogue, collaboration, and empowerment of stakeholders to ensure the efficacy and legitimacy of organizational actions.</w:t>
      </w:r>
    </w:p>
    <w:p w14:paraId="43DED87F" w14:textId="77777777" w:rsidR="00A54B3B" w:rsidRPr="0079537E" w:rsidRDefault="00A54B3B" w:rsidP="00C415F0">
      <w:pPr>
        <w:pStyle w:val="NoSpacing"/>
        <w:rPr>
          <w:rStyle w:val="Heading2Char"/>
          <w:rFonts w:eastAsiaTheme="minorHAnsi"/>
        </w:rPr>
      </w:pPr>
    </w:p>
    <w:p w14:paraId="4129D94B" w14:textId="77777777" w:rsidR="00A54B3B" w:rsidRPr="0079537E" w:rsidRDefault="00A54B3B" w:rsidP="00C415F0">
      <w:pPr>
        <w:pStyle w:val="NoSpacing"/>
        <w:rPr>
          <w:rStyle w:val="Heading2Char"/>
          <w:rFonts w:eastAsiaTheme="minorHAnsi"/>
        </w:rPr>
      </w:pPr>
    </w:p>
    <w:p w14:paraId="7D81DF1E" w14:textId="6D2085E8" w:rsidR="00A54B3B" w:rsidRPr="0079537E" w:rsidRDefault="00A54B3B" w:rsidP="00C415F0">
      <w:pPr>
        <w:pStyle w:val="Heading2"/>
      </w:pPr>
      <w:bookmarkStart w:id="16" w:name="_Toc167892893"/>
      <w:r w:rsidRPr="0079537E">
        <w:t>Sustainability Integration and Impact Assessment</w:t>
      </w:r>
      <w:bookmarkEnd w:id="16"/>
    </w:p>
    <w:p w14:paraId="4473E0FE" w14:textId="77777777" w:rsidR="00F51CE8" w:rsidRPr="0079537E" w:rsidRDefault="00F51CE8" w:rsidP="00C415F0">
      <w:pPr>
        <w:jc w:val="both"/>
      </w:pPr>
    </w:p>
    <w:p w14:paraId="18DB4BD7" w14:textId="6981E239" w:rsidR="00F51CE8" w:rsidRPr="0079537E" w:rsidRDefault="00F51CE8" w:rsidP="00C415F0">
      <w:pPr>
        <w:spacing w:line="276" w:lineRule="auto"/>
        <w:jc w:val="both"/>
        <w:rPr>
          <w:bCs/>
        </w:rPr>
      </w:pPr>
      <w:r w:rsidRPr="0079537E">
        <w:rPr>
          <w:bCs/>
        </w:rPr>
        <w:t xml:space="preserve">Integrating sustainability considerations into all aspects of decision-making is imperative for organizations committed to ethical practices. The HEDM framework emphasizes the need for comprehensive impact assessments to evaluate the social, environmental, and economic consequences of proposed actions. </w:t>
      </w:r>
      <w:r w:rsidR="001E0700">
        <w:rPr>
          <w:bCs/>
        </w:rPr>
        <w:t xml:space="preserve">Studies suggest that </w:t>
      </w:r>
      <w:r w:rsidR="008450C7">
        <w:rPr>
          <w:bCs/>
        </w:rPr>
        <w:t>organisations can mitigate potential harms by adopting a lifecycle approach to sustainability</w:t>
      </w:r>
      <w:r w:rsidRPr="0079537E">
        <w:rPr>
          <w:bCs/>
        </w:rPr>
        <w:t xml:space="preserve"> and ensure decisions align with long-term societal and environmental well-being</w:t>
      </w:r>
      <w:r w:rsidR="001E0700">
        <w:rPr>
          <w:bCs/>
        </w:rPr>
        <w:t xml:space="preserve"> (Chen, 2020; Kunz &amp; Gold, 2015)</w:t>
      </w:r>
      <w:r w:rsidRPr="0079537E">
        <w:rPr>
          <w:bCs/>
        </w:rPr>
        <w:t>. Through sustainable practices and responsible resource management, organizations can minimize their ecological footprint and contribute to the broader goals of environmental conservation and climate action.</w:t>
      </w:r>
    </w:p>
    <w:p w14:paraId="2FF9391E" w14:textId="77777777" w:rsidR="00F51CE8" w:rsidRPr="0079537E" w:rsidRDefault="00F51CE8" w:rsidP="00C415F0">
      <w:pPr>
        <w:spacing w:line="276" w:lineRule="auto"/>
        <w:jc w:val="both"/>
        <w:rPr>
          <w:bCs/>
        </w:rPr>
      </w:pPr>
    </w:p>
    <w:p w14:paraId="07110EB7" w14:textId="5A9E182E" w:rsidR="00F51CE8" w:rsidRPr="0079537E" w:rsidRDefault="00F51CE8" w:rsidP="00C415F0">
      <w:pPr>
        <w:spacing w:line="276" w:lineRule="auto"/>
        <w:jc w:val="both"/>
        <w:rPr>
          <w:bCs/>
        </w:rPr>
      </w:pPr>
      <w:r w:rsidRPr="0079537E">
        <w:rPr>
          <w:bCs/>
        </w:rPr>
        <w:t>The paper by Chen (2020) contributes significantly to the integration of sustainability in the humanitarian sector by proposing a strategic framework for sustainable humanitarian supply chains. This framework contextuali</w:t>
      </w:r>
      <w:r w:rsidR="00F204B5" w:rsidRPr="0079537E">
        <w:rPr>
          <w:bCs/>
        </w:rPr>
        <w:t>s</w:t>
      </w:r>
      <w:r w:rsidRPr="0079537E">
        <w:rPr>
          <w:bCs/>
        </w:rPr>
        <w:t>es sustainability within humanitarian operations, emphasi</w:t>
      </w:r>
      <w:r w:rsidR="00F204B5" w:rsidRPr="0079537E">
        <w:rPr>
          <w:bCs/>
        </w:rPr>
        <w:t>s</w:t>
      </w:r>
      <w:r w:rsidRPr="0079537E">
        <w:rPr>
          <w:bCs/>
        </w:rPr>
        <w:t>ing the concept of net sustainability value as a key metric. By focusing on a single bottom</w:t>
      </w:r>
      <w:r w:rsidR="00F204B5" w:rsidRPr="0079537E">
        <w:rPr>
          <w:bCs/>
        </w:rPr>
        <w:t>-</w:t>
      </w:r>
      <w:r w:rsidRPr="0079537E">
        <w:rPr>
          <w:bCs/>
        </w:rPr>
        <w:t>line approach and promoting interdisciplinary sustainability studies, this research enhances the operationality of Sustainable Development Goals (SDGs) in humanitarian settings.</w:t>
      </w:r>
    </w:p>
    <w:p w14:paraId="346E3BA7" w14:textId="77777777" w:rsidR="00F51CE8" w:rsidRPr="0079537E" w:rsidRDefault="00F51CE8" w:rsidP="00C415F0">
      <w:pPr>
        <w:spacing w:line="276" w:lineRule="auto"/>
        <w:jc w:val="both"/>
        <w:rPr>
          <w:bCs/>
        </w:rPr>
      </w:pPr>
    </w:p>
    <w:p w14:paraId="03F33FDA" w14:textId="77777777" w:rsidR="00F51CE8" w:rsidRPr="0079537E" w:rsidRDefault="00F51CE8" w:rsidP="00C415F0">
      <w:pPr>
        <w:spacing w:line="276" w:lineRule="auto"/>
        <w:jc w:val="both"/>
        <w:rPr>
          <w:bCs/>
        </w:rPr>
      </w:pPr>
      <w:r w:rsidRPr="0079537E">
        <w:rPr>
          <w:bCs/>
        </w:rPr>
        <w:t>Additionally, the study by Kunz &amp; Gold (2015) complements this by conceptualizing a framework for sustainable humanitarian Supply Chain Management (SCM). By explicitly holding humanitarian supply chain operations accountable for their social, environmental, and economic impacts, this framework aligns with the imperative of integrating sustainability considerations into decision-making processes within the humanitarian sector.</w:t>
      </w:r>
    </w:p>
    <w:p w14:paraId="25E53AEE" w14:textId="77777777" w:rsidR="00F51CE8" w:rsidRPr="0079537E" w:rsidRDefault="00F51CE8" w:rsidP="00C415F0">
      <w:pPr>
        <w:spacing w:line="276" w:lineRule="auto"/>
        <w:jc w:val="both"/>
        <w:rPr>
          <w:bCs/>
        </w:rPr>
      </w:pPr>
    </w:p>
    <w:p w14:paraId="661280CB" w14:textId="267D23D6" w:rsidR="00F51CE8" w:rsidRPr="0079537E" w:rsidRDefault="00F51CE8" w:rsidP="00C415F0">
      <w:pPr>
        <w:spacing w:line="276" w:lineRule="auto"/>
        <w:jc w:val="both"/>
        <w:rPr>
          <w:bCs/>
        </w:rPr>
      </w:pPr>
      <w:r w:rsidRPr="0079537E">
        <w:rPr>
          <w:bCs/>
        </w:rPr>
        <w:t>These references collectively underscore the importance of sustainable practices and responsible resource management in minimi</w:t>
      </w:r>
      <w:r w:rsidR="00F204B5" w:rsidRPr="0079537E">
        <w:rPr>
          <w:bCs/>
        </w:rPr>
        <w:t>s</w:t>
      </w:r>
      <w:r w:rsidRPr="0079537E">
        <w:rPr>
          <w:bCs/>
        </w:rPr>
        <w:t>ing ecological footprints and contributing to broader environmental conservation and climate action goals within humanitarian operations.</w:t>
      </w:r>
    </w:p>
    <w:p w14:paraId="4DB4AAE4" w14:textId="77777777" w:rsidR="00BA4BFF" w:rsidRPr="0079537E" w:rsidRDefault="00BA4BFF" w:rsidP="00C415F0">
      <w:pPr>
        <w:jc w:val="both"/>
        <w:rPr>
          <w:bCs/>
        </w:rPr>
      </w:pPr>
    </w:p>
    <w:p w14:paraId="45130EF7" w14:textId="77777777" w:rsidR="00F51CE8" w:rsidRPr="0079537E" w:rsidRDefault="00F51CE8" w:rsidP="00C415F0">
      <w:pPr>
        <w:jc w:val="both"/>
        <w:rPr>
          <w:bCs/>
        </w:rPr>
      </w:pPr>
    </w:p>
    <w:p w14:paraId="3D3B9B6F" w14:textId="77777777" w:rsidR="00F51CE8" w:rsidRPr="0079537E" w:rsidRDefault="00F51CE8" w:rsidP="00C415F0">
      <w:pPr>
        <w:pStyle w:val="NoSpacing"/>
        <w:rPr>
          <w:rStyle w:val="Heading2Char"/>
          <w:rFonts w:eastAsiaTheme="minorHAnsi"/>
        </w:rPr>
      </w:pPr>
      <w:bookmarkStart w:id="17" w:name="_Toc167892894"/>
      <w:r w:rsidRPr="0079537E">
        <w:rPr>
          <w:rStyle w:val="Heading2Char"/>
          <w:rFonts w:eastAsiaTheme="minorHAnsi"/>
        </w:rPr>
        <w:t>Risk Management and Ethical Decision Support</w:t>
      </w:r>
      <w:bookmarkEnd w:id="17"/>
    </w:p>
    <w:p w14:paraId="3DE34705" w14:textId="77777777" w:rsidR="00F51CE8" w:rsidRPr="0079537E" w:rsidRDefault="00F51CE8" w:rsidP="00C415F0">
      <w:pPr>
        <w:jc w:val="both"/>
        <w:rPr>
          <w:bCs/>
        </w:rPr>
      </w:pPr>
    </w:p>
    <w:p w14:paraId="6812512A" w14:textId="29A0AAC2" w:rsidR="00F51CE8" w:rsidRPr="0079537E" w:rsidRDefault="00F51CE8" w:rsidP="00C415F0">
      <w:pPr>
        <w:spacing w:line="276" w:lineRule="auto"/>
        <w:jc w:val="both"/>
      </w:pPr>
      <w:r w:rsidRPr="0079537E">
        <w:t xml:space="preserve">Identifying and managing ethical risks associated with </w:t>
      </w:r>
      <w:r w:rsidR="00F204B5" w:rsidRPr="0079537E">
        <w:t>humanitarian</w:t>
      </w:r>
      <w:r w:rsidRPr="0079537E">
        <w:t xml:space="preserve"> activities is essential for maintaining integrity and compliance with ethical standards. The HEDM framework advocates for robust risk management processes and controls to mitigate conflicts of interest, human rights violations, and environmental harm. </w:t>
      </w:r>
      <w:r w:rsidR="001E0700">
        <w:t>Studies suggest that p</w:t>
      </w:r>
      <w:r w:rsidRPr="0079537E">
        <w:t>roviding employees with access to ethical decision support resources, such as training programs and guidelines</w:t>
      </w:r>
      <w:r w:rsidR="00F204B5" w:rsidRPr="0079537E">
        <w:t>, and mobile applications</w:t>
      </w:r>
      <w:r w:rsidRPr="0079537E">
        <w:t xml:space="preserve"> further strengthens organi</w:t>
      </w:r>
      <w:r w:rsidR="001E0700">
        <w:t>s</w:t>
      </w:r>
      <w:r w:rsidRPr="0079537E">
        <w:t>ational capacity to navigate complex ethical dilemmas. By equipping employees with the knowledge and tools to identify and address ethical risks, organizations can uphold ethical standards and mitigate potential negative impacts on stakeholders and the environment.</w:t>
      </w:r>
    </w:p>
    <w:p w14:paraId="21C0AF9F" w14:textId="77777777" w:rsidR="00F51CE8" w:rsidRPr="0079537E" w:rsidRDefault="00F51CE8" w:rsidP="00C415F0">
      <w:pPr>
        <w:spacing w:line="276" w:lineRule="auto"/>
        <w:jc w:val="both"/>
      </w:pPr>
    </w:p>
    <w:p w14:paraId="781E27CC" w14:textId="28A85C9D" w:rsidR="00F51CE8" w:rsidRPr="0079537E" w:rsidRDefault="00F51CE8" w:rsidP="00C415F0">
      <w:pPr>
        <w:spacing w:line="276" w:lineRule="auto"/>
        <w:jc w:val="both"/>
      </w:pPr>
      <w:r w:rsidRPr="0079537E">
        <w:lastRenderedPageBreak/>
        <w:t>The paper by Charles et al. (2016) provides insights into designing an efficient humanitarian supply network, emphasizing the unique constraints and context of humanitarian operations. This research highlights the importance of considering uncertainties, limited budgets, and cost-efficiency pressures in humanitarian logistics. Moreover, the study by Besiou et al. (2011) delves into system dynamics for humanitarian operations, offering an example of applying system dynamics methodology to analy</w:t>
      </w:r>
      <w:r w:rsidR="00F204B5" w:rsidRPr="0079537E">
        <w:t>s</w:t>
      </w:r>
      <w:r w:rsidRPr="0079537E">
        <w:t>e a subsystem within the humanitarian sector. This research contributes to enhancing the overall effectiveness of humanitarian relief operations through a systemic approach.</w:t>
      </w:r>
    </w:p>
    <w:p w14:paraId="37E9B06D" w14:textId="77777777" w:rsidR="00F51CE8" w:rsidRPr="0079537E" w:rsidRDefault="00F51CE8" w:rsidP="00C415F0">
      <w:pPr>
        <w:spacing w:line="276" w:lineRule="auto"/>
        <w:jc w:val="both"/>
      </w:pPr>
    </w:p>
    <w:p w14:paraId="1B220E0E" w14:textId="77777777" w:rsidR="00F51CE8" w:rsidRPr="0079537E" w:rsidRDefault="00F51CE8" w:rsidP="00C415F0">
      <w:pPr>
        <w:spacing w:line="276" w:lineRule="auto"/>
        <w:jc w:val="both"/>
      </w:pPr>
      <w:r w:rsidRPr="0079537E">
        <w:t>These references collectively underscore the significance of ethical risk management and sustainable decision-making processes within the humanitarian sector, emphasizing the need for tailored approaches that consider the specific challenges and requirements of humanitarian operations.</w:t>
      </w:r>
    </w:p>
    <w:p w14:paraId="60314756" w14:textId="77777777" w:rsidR="00F51CE8" w:rsidRPr="0079537E" w:rsidRDefault="00F51CE8" w:rsidP="00C415F0">
      <w:pPr>
        <w:spacing w:line="276" w:lineRule="auto"/>
        <w:jc w:val="both"/>
      </w:pPr>
    </w:p>
    <w:p w14:paraId="45470D37" w14:textId="77777777" w:rsidR="00F51CE8" w:rsidRPr="0079537E" w:rsidRDefault="00F51CE8" w:rsidP="00C415F0">
      <w:pPr>
        <w:jc w:val="both"/>
      </w:pPr>
    </w:p>
    <w:p w14:paraId="69C7A73A" w14:textId="270CDCC6" w:rsidR="00F51CE8" w:rsidRPr="0079537E" w:rsidRDefault="00F51CE8" w:rsidP="00C415F0">
      <w:pPr>
        <w:pStyle w:val="NoSpacing"/>
        <w:rPr>
          <w:rStyle w:val="Heading2Char"/>
          <w:rFonts w:eastAsiaTheme="minorHAnsi"/>
        </w:rPr>
      </w:pPr>
      <w:bookmarkStart w:id="18" w:name="_Toc167892895"/>
      <w:r w:rsidRPr="0079537E">
        <w:rPr>
          <w:rStyle w:val="Heading2Char"/>
          <w:rFonts w:eastAsiaTheme="minorHAnsi"/>
        </w:rPr>
        <w:t>Continuous Learning and Improvement</w:t>
      </w:r>
      <w:bookmarkEnd w:id="18"/>
    </w:p>
    <w:p w14:paraId="1141CDE2" w14:textId="77777777" w:rsidR="00BA4BFF" w:rsidRPr="0079537E" w:rsidRDefault="00BA4BFF" w:rsidP="00C415F0">
      <w:pPr>
        <w:pStyle w:val="NoSpacing"/>
        <w:rPr>
          <w:rFonts w:cs="Times New Roman"/>
          <w:b/>
          <w:lang w:val="en-GB" w:eastAsia="en-GB"/>
        </w:rPr>
      </w:pPr>
    </w:p>
    <w:p w14:paraId="138BF92A" w14:textId="6728361B" w:rsidR="00F51CE8" w:rsidRPr="0079537E" w:rsidRDefault="00F51CE8" w:rsidP="00C415F0">
      <w:pPr>
        <w:spacing w:line="276" w:lineRule="auto"/>
        <w:jc w:val="both"/>
        <w:rPr>
          <w:bCs/>
        </w:rPr>
      </w:pPr>
      <w:r w:rsidRPr="0079537E">
        <w:rPr>
          <w:bCs/>
        </w:rPr>
        <w:t>Ethical decision-making is an ongoing process that requires a commitment to learning and reflection. The HEDM framework promotes a culture of continuous improvement, where employees are encouraged to critically examine their decisions and behavio</w:t>
      </w:r>
      <w:r w:rsidR="00F204B5" w:rsidRPr="0079537E">
        <w:rPr>
          <w:bCs/>
        </w:rPr>
        <w:t>u</w:t>
      </w:r>
      <w:r w:rsidRPr="0079537E">
        <w:rPr>
          <w:bCs/>
        </w:rPr>
        <w:t xml:space="preserve">rs. </w:t>
      </w:r>
      <w:r w:rsidR="001E0700">
        <w:rPr>
          <w:bCs/>
        </w:rPr>
        <w:t>Studies suggest that</w:t>
      </w:r>
      <w:r w:rsidRPr="0079537E">
        <w:rPr>
          <w:bCs/>
        </w:rPr>
        <w:t xml:space="preserve"> </w:t>
      </w:r>
      <w:r w:rsidR="001E0700">
        <w:rPr>
          <w:bCs/>
        </w:rPr>
        <w:t>organisations can enhance ethical literacy and decision-making skills across the organisation by collecting feedback from stakeholders and incorporating lessons learned into future decision-making processes (</w:t>
      </w:r>
      <w:r w:rsidR="001E0700" w:rsidRPr="0079537E">
        <w:rPr>
          <w:bCs/>
        </w:rPr>
        <w:t>Besiou et al.</w:t>
      </w:r>
      <w:r w:rsidR="001E0700">
        <w:rPr>
          <w:bCs/>
        </w:rPr>
        <w:t xml:space="preserve">, </w:t>
      </w:r>
      <w:r w:rsidR="001E0700" w:rsidRPr="0079537E">
        <w:rPr>
          <w:bCs/>
        </w:rPr>
        <w:t>2011</w:t>
      </w:r>
      <w:r w:rsidR="001E0700">
        <w:rPr>
          <w:bCs/>
        </w:rPr>
        <w:t xml:space="preserve">; </w:t>
      </w:r>
      <w:r w:rsidR="001E0700" w:rsidRPr="0079537E">
        <w:rPr>
          <w:bCs/>
        </w:rPr>
        <w:t>Sheather et al.</w:t>
      </w:r>
      <w:r w:rsidR="001E0700">
        <w:rPr>
          <w:bCs/>
        </w:rPr>
        <w:t xml:space="preserve">, </w:t>
      </w:r>
      <w:r w:rsidR="001E0700" w:rsidRPr="0079537E">
        <w:rPr>
          <w:bCs/>
        </w:rPr>
        <w:t>2022)</w:t>
      </w:r>
      <w:r w:rsidRPr="0079537E">
        <w:rPr>
          <w:bCs/>
        </w:rPr>
        <w:t>. Through ongoing training and professional development initiatives, organizations can empower employees to navigate ethical challenges with confidence and integrity.</w:t>
      </w:r>
    </w:p>
    <w:p w14:paraId="7BE26E43" w14:textId="77777777" w:rsidR="00F51CE8" w:rsidRPr="0079537E" w:rsidRDefault="00F51CE8" w:rsidP="00C415F0">
      <w:pPr>
        <w:spacing w:line="276" w:lineRule="auto"/>
        <w:jc w:val="both"/>
        <w:rPr>
          <w:bCs/>
        </w:rPr>
      </w:pPr>
    </w:p>
    <w:p w14:paraId="38ACEE69" w14:textId="4BFF84F4" w:rsidR="00F51CE8" w:rsidRPr="0079537E" w:rsidRDefault="00F51CE8" w:rsidP="00C415F0">
      <w:pPr>
        <w:spacing w:line="276" w:lineRule="auto"/>
        <w:jc w:val="both"/>
        <w:rPr>
          <w:bCs/>
        </w:rPr>
      </w:pPr>
      <w:r w:rsidRPr="0079537E">
        <w:rPr>
          <w:bCs/>
        </w:rPr>
        <w:t>The study by Besiou et al. (2011) demonstrates the applicability of system dynamics methodology as a valuable tool for humanitarian decision-makers to understand the consequences of their actions on humanitarian operations. This research significantly contributes to improving decision-making processes within the humanitarian sector by advocating for a systemic approach. Additionally, the research conducted by Sheather et al. (2022) explores the efficacy and relevance of ethical guidance for humanitarian workers and organi</w:t>
      </w:r>
      <w:r w:rsidR="00F204B5" w:rsidRPr="0079537E">
        <w:rPr>
          <w:bCs/>
        </w:rPr>
        <w:t>s</w:t>
      </w:r>
      <w:r w:rsidRPr="0079537E">
        <w:rPr>
          <w:bCs/>
        </w:rPr>
        <w:t>ations. Through a comprehensive literature review and empirical data collection via focus group discussions with frontline workers, this study provides insights into the practical implications of ethical guidance in humanitarian contexts.</w:t>
      </w:r>
    </w:p>
    <w:p w14:paraId="5D43058A" w14:textId="77777777" w:rsidR="00F51CE8" w:rsidRPr="0079537E" w:rsidRDefault="00F51CE8" w:rsidP="00C415F0">
      <w:pPr>
        <w:spacing w:line="276" w:lineRule="auto"/>
        <w:jc w:val="both"/>
        <w:rPr>
          <w:bCs/>
        </w:rPr>
      </w:pPr>
    </w:p>
    <w:p w14:paraId="6F385F57" w14:textId="17499850" w:rsidR="00F51CE8" w:rsidRPr="0079537E" w:rsidRDefault="00F51CE8" w:rsidP="00C415F0">
      <w:pPr>
        <w:spacing w:line="276" w:lineRule="auto"/>
        <w:jc w:val="both"/>
        <w:rPr>
          <w:bCs/>
          <w:lang w:val="de-DE"/>
        </w:rPr>
      </w:pPr>
      <w:r w:rsidRPr="0079537E">
        <w:rPr>
          <w:bCs/>
        </w:rPr>
        <w:t xml:space="preserve">These </w:t>
      </w:r>
      <w:r w:rsidR="001E0700">
        <w:rPr>
          <w:bCs/>
        </w:rPr>
        <w:t>studies</w:t>
      </w:r>
      <w:r w:rsidRPr="0079537E">
        <w:rPr>
          <w:bCs/>
        </w:rPr>
        <w:t xml:space="preserve"> collectively underscore the critical role of ethical decision-making and continual enhancement within the humanitarian sector. They emphasi</w:t>
      </w:r>
      <w:r w:rsidR="00F204B5" w:rsidRPr="0079537E">
        <w:rPr>
          <w:bCs/>
        </w:rPr>
        <w:t>s</w:t>
      </w:r>
      <w:r w:rsidRPr="0079537E">
        <w:rPr>
          <w:bCs/>
        </w:rPr>
        <w:t>e the significance of employing systematic methodologies and ethical frameworks to advance organi</w:t>
      </w:r>
      <w:r w:rsidR="00F204B5" w:rsidRPr="0079537E">
        <w:rPr>
          <w:bCs/>
        </w:rPr>
        <w:t>s</w:t>
      </w:r>
      <w:r w:rsidRPr="0079537E">
        <w:rPr>
          <w:bCs/>
        </w:rPr>
        <w:t>ational practices and decision-making processes.</w:t>
      </w:r>
    </w:p>
    <w:p w14:paraId="1EAAA516" w14:textId="77777777" w:rsidR="00F51CE8" w:rsidRPr="0079537E" w:rsidRDefault="00F51CE8" w:rsidP="00C415F0">
      <w:pPr>
        <w:jc w:val="both"/>
      </w:pPr>
    </w:p>
    <w:p w14:paraId="4E993EFD" w14:textId="77777777" w:rsidR="00F51CE8" w:rsidRPr="0079537E" w:rsidRDefault="00F51CE8" w:rsidP="00C415F0">
      <w:pPr>
        <w:jc w:val="both"/>
      </w:pPr>
    </w:p>
    <w:p w14:paraId="7A599009" w14:textId="77777777" w:rsidR="00A54B3B" w:rsidRPr="0079537E" w:rsidRDefault="00A54B3B" w:rsidP="00C415F0">
      <w:pPr>
        <w:pStyle w:val="NoSpacing"/>
        <w:rPr>
          <w:rStyle w:val="Heading2Char"/>
          <w:rFonts w:eastAsiaTheme="minorHAnsi"/>
          <w:b w:val="0"/>
        </w:rPr>
      </w:pPr>
    </w:p>
    <w:p w14:paraId="4479404F" w14:textId="77777777" w:rsidR="00F51CE8" w:rsidRPr="0079537E" w:rsidRDefault="00F51CE8" w:rsidP="00C415F0">
      <w:pPr>
        <w:jc w:val="both"/>
        <w:rPr>
          <w:rStyle w:val="Heading2Char"/>
        </w:rPr>
      </w:pPr>
    </w:p>
    <w:p w14:paraId="700DBBAD" w14:textId="6060F246" w:rsidR="00E3629D" w:rsidRPr="0079537E" w:rsidRDefault="00E3629D" w:rsidP="00C415F0">
      <w:pPr>
        <w:pStyle w:val="Heading1"/>
        <w:rPr>
          <w:rFonts w:cs="Times New Roman"/>
          <w:lang w:val="en-GB"/>
        </w:rPr>
      </w:pPr>
      <w:bookmarkStart w:id="19" w:name="_Toc167892896"/>
      <w:r w:rsidRPr="0079537E">
        <w:rPr>
          <w:rFonts w:cs="Times New Roman"/>
          <w:lang w:val="en-GB"/>
        </w:rPr>
        <w:lastRenderedPageBreak/>
        <w:t>Implement</w:t>
      </w:r>
      <w:r w:rsidR="00536853" w:rsidRPr="0079537E">
        <w:rPr>
          <w:rFonts w:cs="Times New Roman"/>
          <w:lang w:val="en-GB"/>
        </w:rPr>
        <w:t>ation of</w:t>
      </w:r>
      <w:r w:rsidRPr="0079537E">
        <w:rPr>
          <w:rFonts w:cs="Times New Roman"/>
          <w:lang w:val="en-GB"/>
        </w:rPr>
        <w:t xml:space="preserve"> the HEDM Framework </w:t>
      </w:r>
      <w:r w:rsidR="009D2608" w:rsidRPr="0079537E">
        <w:rPr>
          <w:rFonts w:cs="Times New Roman"/>
          <w:lang w:val="en-GB"/>
        </w:rPr>
        <w:t>and EthicEase</w:t>
      </w:r>
      <w:bookmarkEnd w:id="19"/>
    </w:p>
    <w:p w14:paraId="7CD00FD1" w14:textId="77777777" w:rsidR="00DB7BB3" w:rsidRPr="0079537E" w:rsidRDefault="00DB7BB3" w:rsidP="00C415F0">
      <w:pPr>
        <w:pStyle w:val="NoSpacing"/>
        <w:rPr>
          <w:lang w:val="en-GB"/>
        </w:rPr>
      </w:pPr>
    </w:p>
    <w:p w14:paraId="5F40707F" w14:textId="1706201C" w:rsidR="000422AF" w:rsidRPr="0079537E" w:rsidRDefault="002D25EB" w:rsidP="00C415F0">
      <w:pPr>
        <w:spacing w:line="276" w:lineRule="auto"/>
        <w:jc w:val="both"/>
        <w:rPr>
          <w:shd w:val="clear" w:color="auto" w:fill="FFFFFF"/>
        </w:rPr>
      </w:pPr>
      <w:r>
        <w:rPr>
          <w:shd w:val="clear" w:color="auto" w:fill="FFFFFF"/>
        </w:rPr>
        <w:t>Implementing</w:t>
      </w:r>
      <w:r w:rsidR="009D2608" w:rsidRPr="0079537E">
        <w:rPr>
          <w:shd w:val="clear" w:color="auto" w:fill="FFFFFF"/>
        </w:rPr>
        <w:t xml:space="preserve"> the Humanitarian Ethical Decision-Making (HEDM) framework in the International Committee of the Red Cross (ICRC) involves the development of a mobile app, EthicEase, tailored for humanitarian practitioners operating in armed conflicts. This app is designed to assist users in navigating complex ethical challenges by providing step-by-step guidance, real-time support, ethical scenarios, community engagement, and personali</w:t>
      </w:r>
      <w:r w:rsidR="000422AF" w:rsidRPr="0079537E">
        <w:rPr>
          <w:shd w:val="clear" w:color="auto" w:fill="FFFFFF"/>
        </w:rPr>
        <w:t>s</w:t>
      </w:r>
      <w:r w:rsidR="009D2608" w:rsidRPr="0079537E">
        <w:rPr>
          <w:shd w:val="clear" w:color="auto" w:fill="FFFFFF"/>
        </w:rPr>
        <w:t>ed learning pathways (Grote &amp; Berens, 2019). By incorporating the HEDM framework, EthicEase aims to enhance the organi</w:t>
      </w:r>
      <w:r w:rsidR="000422AF" w:rsidRPr="0079537E">
        <w:rPr>
          <w:shd w:val="clear" w:color="auto" w:fill="FFFFFF"/>
        </w:rPr>
        <w:t>s</w:t>
      </w:r>
      <w:r w:rsidR="009D2608" w:rsidRPr="0079537E">
        <w:rPr>
          <w:shd w:val="clear" w:color="auto" w:fill="FFFFFF"/>
        </w:rPr>
        <w:t xml:space="preserve">ation's capacity to address ethical dilemmas effectively, such as ensuring the safety of aid workers and maintaining neutrality (Grote &amp; Berens, 2019).  </w:t>
      </w:r>
    </w:p>
    <w:p w14:paraId="1DA2F36D" w14:textId="77777777" w:rsidR="000422AF" w:rsidRPr="0079537E" w:rsidRDefault="000422AF" w:rsidP="00C415F0">
      <w:pPr>
        <w:spacing w:line="276" w:lineRule="auto"/>
        <w:jc w:val="both"/>
        <w:rPr>
          <w:shd w:val="clear" w:color="auto" w:fill="FFFFFF"/>
        </w:rPr>
      </w:pPr>
    </w:p>
    <w:p w14:paraId="4DDACA0D" w14:textId="77777777" w:rsidR="003639F9" w:rsidRPr="0079537E" w:rsidRDefault="009D2608" w:rsidP="00C415F0">
      <w:pPr>
        <w:spacing w:line="276" w:lineRule="auto"/>
        <w:jc w:val="both"/>
        <w:rPr>
          <w:shd w:val="clear" w:color="auto" w:fill="FFFFFF"/>
        </w:rPr>
      </w:pPr>
      <w:r w:rsidRPr="0079537E">
        <w:rPr>
          <w:shd w:val="clear" w:color="auto" w:fill="FFFFFF"/>
        </w:rPr>
        <w:t>To further enhance the functionality of EthicEase, Artificial Intelligence (AI) features are integrated into the app, including AI-powered decision support, Natural Language Processing (NLP), Predictive Analytics, Continuous Learning, and Personalized Ethical Training (Grote &amp; Berens, 2019). These AI features enable the app to analy</w:t>
      </w:r>
      <w:r w:rsidR="003639F9" w:rsidRPr="0079537E">
        <w:rPr>
          <w:shd w:val="clear" w:color="auto" w:fill="FFFFFF"/>
        </w:rPr>
        <w:t>s</w:t>
      </w:r>
      <w:r w:rsidRPr="0079537E">
        <w:rPr>
          <w:shd w:val="clear" w:color="auto" w:fill="FFFFFF"/>
        </w:rPr>
        <w:t xml:space="preserve">e ethical dilemmas, provide tailored recommendations, understand user queries, predict potential issues, learn from interactions, and customize training modules based on user profiles (Grote &amp; Berens, 2019). By leveraging AI, EthicEase becomes a comprehensive tool for ethical decision-making in the humanitarian sector, promoting ethical literacy and critical thinking among users (Grote &amp; Berens, 2019).  </w:t>
      </w:r>
    </w:p>
    <w:p w14:paraId="01DFE307" w14:textId="77777777" w:rsidR="003639F9" w:rsidRPr="0079537E" w:rsidRDefault="003639F9" w:rsidP="00C415F0">
      <w:pPr>
        <w:spacing w:line="276" w:lineRule="auto"/>
        <w:jc w:val="both"/>
        <w:rPr>
          <w:shd w:val="clear" w:color="auto" w:fill="FFFFFF"/>
        </w:rPr>
      </w:pPr>
    </w:p>
    <w:p w14:paraId="1B651B8D" w14:textId="77777777" w:rsidR="003639F9" w:rsidRPr="0079537E" w:rsidRDefault="009D2608" w:rsidP="00C415F0">
      <w:pPr>
        <w:spacing w:line="276" w:lineRule="auto"/>
        <w:jc w:val="both"/>
        <w:rPr>
          <w:shd w:val="clear" w:color="auto" w:fill="FFFFFF"/>
        </w:rPr>
      </w:pPr>
      <w:r w:rsidRPr="0079537E">
        <w:rPr>
          <w:shd w:val="clear" w:color="auto" w:fill="FFFFFF"/>
        </w:rPr>
        <w:t xml:space="preserve">The development of EthicEase aligns with the growing importance of ethical decision-making in various domains, including healthcare, disaster relief operations, and humanitarian aid (Davies et al., 2021; Cuthbertson, 2023; Simm, 2020). The app's user-centric design ensures that ethical decision-making is accessible to individuals with diverse backgrounds and expertise levels (Grote &amp; Berens, 2019). By fostering a culture of ethical awareness and responsibility, EthicEase contributes to maximizing the positive impact of humanitarian organizations on the communities they serve (Grote &amp; Berens, 2019).  </w:t>
      </w:r>
    </w:p>
    <w:p w14:paraId="4B315D95" w14:textId="77777777" w:rsidR="003639F9" w:rsidRPr="0079537E" w:rsidRDefault="003639F9" w:rsidP="00C415F0">
      <w:pPr>
        <w:spacing w:line="276" w:lineRule="auto"/>
        <w:jc w:val="both"/>
        <w:rPr>
          <w:shd w:val="clear" w:color="auto" w:fill="FFFFFF"/>
        </w:rPr>
      </w:pPr>
    </w:p>
    <w:p w14:paraId="6C308466" w14:textId="0F053ECE" w:rsidR="009D2608" w:rsidRPr="0079537E" w:rsidRDefault="003639F9" w:rsidP="00C415F0">
      <w:pPr>
        <w:spacing w:line="276" w:lineRule="auto"/>
        <w:jc w:val="both"/>
        <w:rPr>
          <w:shd w:val="clear" w:color="auto" w:fill="FFFFFF"/>
        </w:rPr>
      </w:pPr>
      <w:r w:rsidRPr="0079537E">
        <w:rPr>
          <w:shd w:val="clear" w:color="auto" w:fill="FFFFFF"/>
        </w:rPr>
        <w:t>T</w:t>
      </w:r>
      <w:r w:rsidR="009D2608" w:rsidRPr="0079537E">
        <w:rPr>
          <w:shd w:val="clear" w:color="auto" w:fill="FFFFFF"/>
        </w:rPr>
        <w:t>he integration of the HEDM framework and AI features in EthicEase represents a significant advancement in supporting ethical decision-making in the complex humanitarian sector. By providing practical guidance, real-time support, and personalized learning pathways, EthicEase empowers users to navigate ethical dilemmas with confidence and integrity, ultimately contributing to the promotion of ethical literacy and critical thinking in society.</w:t>
      </w:r>
    </w:p>
    <w:p w14:paraId="76D21751" w14:textId="77777777" w:rsidR="00DB7BB3" w:rsidRPr="0079537E" w:rsidRDefault="00DB7BB3" w:rsidP="00C415F0">
      <w:pPr>
        <w:spacing w:line="276" w:lineRule="auto"/>
        <w:jc w:val="both"/>
      </w:pPr>
    </w:p>
    <w:p w14:paraId="33940BAB" w14:textId="77777777" w:rsidR="00E559EB" w:rsidRPr="0079537E" w:rsidRDefault="00E559EB" w:rsidP="00C415F0">
      <w:pPr>
        <w:pStyle w:val="Heading2"/>
      </w:pPr>
    </w:p>
    <w:p w14:paraId="53C3F5F2" w14:textId="77777777" w:rsidR="00754D44" w:rsidRPr="0079537E" w:rsidRDefault="00754D44" w:rsidP="00C415F0">
      <w:pPr>
        <w:pStyle w:val="Heading2"/>
        <w:spacing w:line="276" w:lineRule="auto"/>
      </w:pPr>
      <w:r w:rsidRPr="0079537E">
        <w:br w:type="page"/>
      </w:r>
    </w:p>
    <w:p w14:paraId="32E8702D" w14:textId="24EDD9A9" w:rsidR="00DC0CAB" w:rsidRPr="0079537E" w:rsidRDefault="00DC0CAB" w:rsidP="00C415F0">
      <w:pPr>
        <w:pStyle w:val="Heading2"/>
        <w:spacing w:line="276" w:lineRule="auto"/>
      </w:pPr>
      <w:bookmarkStart w:id="20" w:name="_Toc167892897"/>
      <w:r w:rsidRPr="0079537E">
        <w:lastRenderedPageBreak/>
        <w:t>Key Features of EthicEase</w:t>
      </w:r>
      <w:bookmarkEnd w:id="20"/>
    </w:p>
    <w:p w14:paraId="3AC0D412" w14:textId="77777777" w:rsidR="00D07778" w:rsidRPr="0079537E" w:rsidRDefault="00D07778" w:rsidP="00C415F0">
      <w:pPr>
        <w:pStyle w:val="NoSpacing"/>
        <w:spacing w:line="276" w:lineRule="auto"/>
        <w:rPr>
          <w:lang w:val="en-GB"/>
        </w:rPr>
      </w:pPr>
    </w:p>
    <w:p w14:paraId="70A41DAD" w14:textId="0D1C3B47" w:rsidR="00DC0CAB" w:rsidRPr="0079537E" w:rsidRDefault="00DC0CAB" w:rsidP="00C415F0">
      <w:pPr>
        <w:pStyle w:val="NoSpacing"/>
        <w:spacing w:line="276" w:lineRule="auto"/>
        <w:rPr>
          <w:lang w:val="en-GB"/>
        </w:rPr>
      </w:pPr>
      <w:r w:rsidRPr="0079537E">
        <w:rPr>
          <w:b/>
          <w:bCs/>
          <w:lang w:val="en-GB"/>
        </w:rPr>
        <w:t>Guided Decision</w:t>
      </w:r>
      <w:r w:rsidR="00E559EB" w:rsidRPr="0079537E">
        <w:rPr>
          <w:b/>
          <w:bCs/>
          <w:lang w:val="en-GB"/>
        </w:rPr>
        <w:t>-</w:t>
      </w:r>
      <w:r w:rsidRPr="0079537E">
        <w:rPr>
          <w:b/>
          <w:bCs/>
          <w:lang w:val="en-GB"/>
        </w:rPr>
        <w:t>Making:</w:t>
      </w:r>
      <w:r w:rsidRPr="0079537E">
        <w:rPr>
          <w:lang w:val="en-GB"/>
        </w:rPr>
        <w:t xml:space="preserve"> EthicEase provides users with step-by-step guidance through the ethical decision-making process. From identifying key stakeholders to evaluating potential consequences, EthicEase helps users navigate complex ethical dilemmas with clarity and confidence. By breaking down the decision-making process into manageable steps, EthicEase empowers users to make informed and ethical decisions in any situation.</w:t>
      </w:r>
    </w:p>
    <w:p w14:paraId="6A1CE4F6" w14:textId="77777777" w:rsidR="009D2608" w:rsidRPr="0079537E" w:rsidRDefault="009D2608" w:rsidP="00C415F0">
      <w:pPr>
        <w:pStyle w:val="NoSpacing"/>
        <w:spacing w:line="276" w:lineRule="auto"/>
        <w:rPr>
          <w:b/>
          <w:lang w:val="en-GB"/>
        </w:rPr>
      </w:pPr>
    </w:p>
    <w:p w14:paraId="01B48577" w14:textId="197E959F" w:rsidR="004576FB" w:rsidRPr="0079537E" w:rsidRDefault="00DC0CAB" w:rsidP="00C415F0">
      <w:pPr>
        <w:pStyle w:val="NoSpacing"/>
        <w:spacing w:line="276" w:lineRule="auto"/>
        <w:rPr>
          <w:lang w:val="en-GB"/>
        </w:rPr>
      </w:pPr>
      <w:r w:rsidRPr="0079537E">
        <w:rPr>
          <w:b/>
          <w:bCs/>
          <w:lang w:val="en-GB"/>
        </w:rPr>
        <w:t>Real-Time Support:</w:t>
      </w:r>
      <w:r w:rsidR="009D2608" w:rsidRPr="0079537E">
        <w:rPr>
          <w:lang w:val="en-GB"/>
        </w:rPr>
        <w:t xml:space="preserve"> </w:t>
      </w:r>
      <w:r w:rsidRPr="0079537E">
        <w:rPr>
          <w:lang w:val="en-GB"/>
        </w:rPr>
        <w:t>EthicEase offers real-time support and assistance whenever users encounter ethical challenges. Whether you need quick advice or in-depth analysis, EthicEase provides access to ethical resources, case studies, and expert opinions to help you make informed decisions on the go. This real-time support ensures that users have the information and guidance they need to address ethical dilemmas effectively, enhancing their confidence and competence in ethical decision-making.</w:t>
      </w:r>
    </w:p>
    <w:p w14:paraId="732DD357" w14:textId="77777777" w:rsidR="00DB7BB3" w:rsidRPr="0079537E" w:rsidRDefault="00DB7BB3" w:rsidP="00C415F0">
      <w:pPr>
        <w:pStyle w:val="NoSpacing"/>
        <w:spacing w:line="276" w:lineRule="auto"/>
        <w:rPr>
          <w:lang w:val="en-GB"/>
        </w:rPr>
      </w:pPr>
    </w:p>
    <w:p w14:paraId="1599E674" w14:textId="6ADE02DC" w:rsidR="004576FB" w:rsidRPr="0079537E" w:rsidRDefault="00DC0CAB" w:rsidP="00C415F0">
      <w:pPr>
        <w:pStyle w:val="NoSpacing"/>
        <w:spacing w:line="276" w:lineRule="auto"/>
        <w:rPr>
          <w:lang w:val="en-GB"/>
        </w:rPr>
      </w:pPr>
      <w:r w:rsidRPr="0079537E">
        <w:rPr>
          <w:b/>
          <w:bCs/>
          <w:lang w:val="en-GB"/>
        </w:rPr>
        <w:t>Ethical Scenarios:</w:t>
      </w:r>
      <w:r w:rsidR="004576FB" w:rsidRPr="0079537E">
        <w:rPr>
          <w:lang w:val="en-GB"/>
        </w:rPr>
        <w:t xml:space="preserve"> </w:t>
      </w:r>
      <w:r w:rsidRPr="0079537E">
        <w:rPr>
          <w:lang w:val="en-GB"/>
        </w:rPr>
        <w:t xml:space="preserve">EthicEase features a diverse library of real-life ethical scenarios across various contexts, including the workplace, </w:t>
      </w:r>
      <w:r w:rsidR="003E7CFF" w:rsidRPr="0079537E">
        <w:rPr>
          <w:lang w:val="en-GB"/>
        </w:rPr>
        <w:t xml:space="preserve">and </w:t>
      </w:r>
      <w:r w:rsidRPr="0079537E">
        <w:rPr>
          <w:lang w:val="en-GB"/>
        </w:rPr>
        <w:t>community</w:t>
      </w:r>
      <w:r w:rsidR="003E7CFF" w:rsidRPr="0079537E">
        <w:rPr>
          <w:lang w:val="en-GB"/>
        </w:rPr>
        <w:t xml:space="preserve"> engagements. </w:t>
      </w:r>
      <w:r w:rsidRPr="0079537E">
        <w:rPr>
          <w:lang w:val="en-GB"/>
        </w:rPr>
        <w:t>These scenarios serve as valuable learning tools, allowing users to explore different ethical dilemmas and consider potential courses of action. By engaging with these scenarios, users can develop their ethical reasoning skills and gain insights into best practices for ethical decision-making in different situations.</w:t>
      </w:r>
    </w:p>
    <w:p w14:paraId="7862CBED" w14:textId="77777777" w:rsidR="009D2608" w:rsidRPr="0079537E" w:rsidRDefault="009D2608" w:rsidP="00C415F0">
      <w:pPr>
        <w:pStyle w:val="NoSpacing"/>
        <w:spacing w:line="276" w:lineRule="auto"/>
        <w:rPr>
          <w:b/>
          <w:lang w:val="en-GB"/>
        </w:rPr>
      </w:pPr>
    </w:p>
    <w:p w14:paraId="520E50DF" w14:textId="77777777" w:rsidR="004576FB" w:rsidRPr="0079537E" w:rsidRDefault="00DC0CAB" w:rsidP="00C415F0">
      <w:pPr>
        <w:pStyle w:val="NoSpacing"/>
        <w:spacing w:line="276" w:lineRule="auto"/>
        <w:rPr>
          <w:b/>
          <w:lang w:val="en-GB"/>
        </w:rPr>
      </w:pPr>
      <w:r w:rsidRPr="0079537E">
        <w:rPr>
          <w:b/>
          <w:bCs/>
          <w:lang w:val="en-GB"/>
        </w:rPr>
        <w:t>Community Engagement:</w:t>
      </w:r>
      <w:r w:rsidR="004576FB" w:rsidRPr="0079537E">
        <w:rPr>
          <w:lang w:val="en-GB"/>
        </w:rPr>
        <w:t xml:space="preserve"> </w:t>
      </w:r>
      <w:r w:rsidRPr="0079537E">
        <w:rPr>
          <w:lang w:val="en-GB"/>
        </w:rPr>
        <w:t>EthicEase fosters a sense of community among users through its built-in community forum. Here, users can share their experiences, seek advice from peers, and learn from each other's perspectives. This collaborative environment encourages open dialogue and knowledge-sharing, enriching users' understanding of ethical issues and decision-making approaches. By connecting with like-minded individuals, users can expand their ethical horizons and contribute to a culture of ethical awareness and responsibility.</w:t>
      </w:r>
    </w:p>
    <w:p w14:paraId="13F5570E" w14:textId="77777777" w:rsidR="00E559EB" w:rsidRPr="0079537E" w:rsidRDefault="00E559EB" w:rsidP="00C415F0">
      <w:pPr>
        <w:pStyle w:val="NoSpacing"/>
        <w:spacing w:line="276" w:lineRule="auto"/>
        <w:rPr>
          <w:lang w:val="en-GB"/>
        </w:rPr>
      </w:pPr>
    </w:p>
    <w:p w14:paraId="1E9E5953" w14:textId="0F1AD8A1" w:rsidR="00DC0CAB" w:rsidRPr="0079537E" w:rsidRDefault="00DC0CAB" w:rsidP="00C415F0">
      <w:pPr>
        <w:pStyle w:val="NoSpacing"/>
        <w:spacing w:line="276" w:lineRule="auto"/>
        <w:rPr>
          <w:b/>
          <w:lang w:val="en-GB"/>
        </w:rPr>
      </w:pPr>
      <w:r w:rsidRPr="0079537E">
        <w:rPr>
          <w:b/>
          <w:bCs/>
          <w:lang w:val="en-GB"/>
        </w:rPr>
        <w:t>Personalized Learning:</w:t>
      </w:r>
      <w:r w:rsidRPr="0079537E">
        <w:rPr>
          <w:lang w:val="en-GB"/>
        </w:rPr>
        <w:t xml:space="preserve"> EthicEase offers personalized learning pathways and training modules to help users enhance their ethical literacy and decision-making skills over time. By tracking progress, setting goals, and receiving feedback, users can continuously improve their ethical decision-making abilities. Whether you're a novice or an experienced practitioner, EthicEase provides tailored resources and support to meet your unique learning needs, ensuring that you can navigate ethical dilemmas with confidence and competence.</w:t>
      </w:r>
    </w:p>
    <w:p w14:paraId="50891C7B" w14:textId="77777777" w:rsidR="00E559EB" w:rsidRPr="0079537E" w:rsidRDefault="00E559EB" w:rsidP="00C415F0">
      <w:pPr>
        <w:pStyle w:val="NoSpacing"/>
        <w:spacing w:line="276" w:lineRule="auto"/>
        <w:rPr>
          <w:lang w:val="en-GB"/>
        </w:rPr>
      </w:pPr>
    </w:p>
    <w:p w14:paraId="103D100B" w14:textId="18D578D4" w:rsidR="00E3629D" w:rsidRPr="0079537E" w:rsidRDefault="00DC0CAB" w:rsidP="00C415F0">
      <w:pPr>
        <w:pStyle w:val="NoSpacing"/>
        <w:spacing w:line="276" w:lineRule="auto"/>
        <w:rPr>
          <w:b/>
          <w:lang w:val="en-GB"/>
        </w:rPr>
      </w:pPr>
      <w:r w:rsidRPr="0079537E">
        <w:rPr>
          <w:lang w:val="en-GB"/>
        </w:rPr>
        <w:t>EthicEase is more than just a mobile application—it</w:t>
      </w:r>
      <w:r w:rsidR="002252C0" w:rsidRPr="0079537E">
        <w:rPr>
          <w:lang w:val="en-GB"/>
        </w:rPr>
        <w:t xml:space="preserve"> can be a </w:t>
      </w:r>
      <w:r w:rsidRPr="0079537E">
        <w:rPr>
          <w:lang w:val="en-GB"/>
        </w:rPr>
        <w:t xml:space="preserve">trusted companion for ethical decision-making in today's complex </w:t>
      </w:r>
      <w:r w:rsidR="00892F64" w:rsidRPr="0079537E">
        <w:rPr>
          <w:lang w:val="en-GB"/>
        </w:rPr>
        <w:t>humanitarian sector</w:t>
      </w:r>
      <w:r w:rsidRPr="0079537E">
        <w:rPr>
          <w:lang w:val="en-GB"/>
        </w:rPr>
        <w:t>. With its user-friendly interface, comprehensive features, and commitment to promoting ethical literacy and critical thinking, EthicEase empowers users to navigate ethical dilemmas with confidence and integrity. By leveraging the principles of the HEDM framework, EthicEase ensures that ethical decision-making is accessible to everyone, regardless of their background or expertise</w:t>
      </w:r>
      <w:r w:rsidR="00892F64" w:rsidRPr="0079537E">
        <w:rPr>
          <w:lang w:val="en-GB"/>
        </w:rPr>
        <w:t xml:space="preserve"> in the field</w:t>
      </w:r>
      <w:r w:rsidRPr="0079537E">
        <w:rPr>
          <w:lang w:val="en-GB"/>
        </w:rPr>
        <w:t xml:space="preserve">. </w:t>
      </w:r>
    </w:p>
    <w:p w14:paraId="65FE7233" w14:textId="77777777" w:rsidR="00231BFF" w:rsidRPr="0079537E" w:rsidRDefault="00231BFF" w:rsidP="00C415F0">
      <w:pPr>
        <w:pStyle w:val="NoSpacing"/>
        <w:rPr>
          <w:lang w:val="en-GB"/>
        </w:rPr>
      </w:pPr>
    </w:p>
    <w:p w14:paraId="7679DA3C" w14:textId="3BB62E0D" w:rsidR="00577E10" w:rsidRPr="0079537E" w:rsidRDefault="00E559EB" w:rsidP="00C415F0">
      <w:pPr>
        <w:pStyle w:val="NoSpacing"/>
        <w:rPr>
          <w:lang w:val="en-GB"/>
        </w:rPr>
      </w:pPr>
      <w:r w:rsidRPr="0079537E">
        <w:rPr>
          <w:lang w:val="en-GB"/>
        </w:rPr>
        <w:br w:type="page"/>
      </w:r>
    </w:p>
    <w:p w14:paraId="1E1DDB84" w14:textId="6E646173" w:rsidR="00577E10" w:rsidRPr="0079537E" w:rsidRDefault="00577E10" w:rsidP="00C415F0">
      <w:pPr>
        <w:pStyle w:val="Heading2"/>
        <w:spacing w:line="276" w:lineRule="auto"/>
      </w:pPr>
      <w:bookmarkStart w:id="21" w:name="_Toc167892898"/>
      <w:r w:rsidRPr="0079537E">
        <w:lastRenderedPageBreak/>
        <w:t>Incorporating Artificial Intelligence in EthicEase</w:t>
      </w:r>
      <w:bookmarkEnd w:id="21"/>
    </w:p>
    <w:p w14:paraId="4B0B3019" w14:textId="77777777" w:rsidR="00F64847" w:rsidRPr="0079537E" w:rsidRDefault="00F64847" w:rsidP="00C415F0">
      <w:pPr>
        <w:pStyle w:val="NoSpacing"/>
        <w:spacing w:line="276" w:lineRule="auto"/>
        <w:rPr>
          <w:rFonts w:cs="Times New Roman"/>
          <w:lang w:val="en-GB"/>
        </w:rPr>
      </w:pPr>
    </w:p>
    <w:p w14:paraId="06941A21" w14:textId="1F5FE81D" w:rsidR="00577E10" w:rsidRPr="0079537E" w:rsidRDefault="007001DD" w:rsidP="00C415F0">
      <w:pPr>
        <w:pStyle w:val="NoSpacing"/>
        <w:spacing w:line="276" w:lineRule="auto"/>
        <w:rPr>
          <w:rFonts w:cs="Times New Roman"/>
          <w:lang w:val="en-GB"/>
        </w:rPr>
      </w:pPr>
      <w:r w:rsidRPr="0079537E">
        <w:rPr>
          <w:rFonts w:cs="Times New Roman"/>
          <w:color w:val="1E1D1A"/>
          <w:shd w:val="clear" w:color="auto" w:fill="FFFFFF"/>
          <w:lang w:val="en-GB"/>
        </w:rPr>
        <w:t>Incorporating Artificial Intelligence (AI) in EthicEase enhances its functionality and effectiveness (Wahl et al., 2018). AI features such as AI-Powered Decision Support enable the analysis of complex ethical dilemmas and provide tailored recommendations based on past cases and ethical principles (Wahl et al., 2018).</w:t>
      </w:r>
    </w:p>
    <w:p w14:paraId="05AC2E71" w14:textId="77777777" w:rsidR="007001DD" w:rsidRPr="0079537E" w:rsidRDefault="007001DD" w:rsidP="00C415F0">
      <w:pPr>
        <w:pStyle w:val="NoSpacing"/>
        <w:spacing w:line="276" w:lineRule="auto"/>
        <w:rPr>
          <w:rFonts w:cs="Times New Roman"/>
          <w:lang w:val="en-GB"/>
        </w:rPr>
      </w:pPr>
    </w:p>
    <w:p w14:paraId="5F33FE56" w14:textId="3D5875CE" w:rsidR="009D2608" w:rsidRPr="0079537E" w:rsidRDefault="00577E10" w:rsidP="00C415F0">
      <w:pPr>
        <w:pStyle w:val="NoSpacing"/>
        <w:spacing w:line="276" w:lineRule="auto"/>
        <w:rPr>
          <w:rFonts w:cs="Times New Roman"/>
          <w:lang w:val="en-GB"/>
        </w:rPr>
      </w:pPr>
      <w:r w:rsidRPr="0079537E">
        <w:rPr>
          <w:rFonts w:cs="Times New Roman"/>
          <w:lang w:val="en-GB"/>
        </w:rPr>
        <w:t>AI Features in EthicEase:</w:t>
      </w:r>
    </w:p>
    <w:p w14:paraId="6BB018B3" w14:textId="77777777" w:rsidR="009D2608" w:rsidRPr="0079537E" w:rsidRDefault="009D2608" w:rsidP="00C415F0">
      <w:pPr>
        <w:pStyle w:val="NoSpacing"/>
        <w:spacing w:line="276" w:lineRule="auto"/>
        <w:rPr>
          <w:rFonts w:cs="Times New Roman"/>
          <w:lang w:val="en-GB"/>
        </w:rPr>
      </w:pPr>
    </w:p>
    <w:p w14:paraId="0B8B838D" w14:textId="037B9452" w:rsidR="009D2608" w:rsidRPr="0079537E" w:rsidRDefault="00577E10" w:rsidP="00C415F0">
      <w:pPr>
        <w:pStyle w:val="NoSpacing"/>
        <w:numPr>
          <w:ilvl w:val="0"/>
          <w:numId w:val="28"/>
        </w:numPr>
        <w:spacing w:line="276" w:lineRule="auto"/>
        <w:rPr>
          <w:rFonts w:cs="Times New Roman"/>
          <w:lang w:val="en-GB"/>
        </w:rPr>
      </w:pPr>
      <w:r w:rsidRPr="0079537E">
        <w:rPr>
          <w:rFonts w:cs="Times New Roman"/>
          <w:lang w:val="en-GB"/>
        </w:rPr>
        <w:t>AI-Powered Decision Support</w:t>
      </w:r>
      <w:r w:rsidR="009D2608" w:rsidRPr="0079537E">
        <w:rPr>
          <w:rFonts w:cs="Times New Roman"/>
          <w:lang w:val="en-GB"/>
        </w:rPr>
        <w:t xml:space="preserve">: </w:t>
      </w:r>
      <w:r w:rsidRPr="0079537E">
        <w:rPr>
          <w:rFonts w:cs="Times New Roman"/>
          <w:lang w:val="en-GB"/>
        </w:rPr>
        <w:t>AI algorithms can analy</w:t>
      </w:r>
      <w:r w:rsidR="00345300" w:rsidRPr="0079537E">
        <w:rPr>
          <w:rFonts w:cs="Times New Roman"/>
          <w:lang w:val="en-GB"/>
        </w:rPr>
        <w:t>s</w:t>
      </w:r>
      <w:r w:rsidRPr="0079537E">
        <w:rPr>
          <w:rFonts w:cs="Times New Roman"/>
          <w:lang w:val="en-GB"/>
        </w:rPr>
        <w:t>e complex ethical dilemmas and provide tailored recommendations based on a vast database of past cases and ethical principles. This ensures users receive informed and context-specific guidance.</w:t>
      </w:r>
    </w:p>
    <w:p w14:paraId="4B561213" w14:textId="54B43973" w:rsidR="009D2608" w:rsidRPr="0079537E" w:rsidRDefault="00577E10" w:rsidP="00C415F0">
      <w:pPr>
        <w:pStyle w:val="NoSpacing"/>
        <w:numPr>
          <w:ilvl w:val="0"/>
          <w:numId w:val="28"/>
        </w:numPr>
        <w:spacing w:line="276" w:lineRule="auto"/>
        <w:rPr>
          <w:rFonts w:cs="Times New Roman"/>
          <w:lang w:val="en-GB"/>
        </w:rPr>
      </w:pPr>
      <w:r w:rsidRPr="0079537E">
        <w:rPr>
          <w:rFonts w:cs="Times New Roman"/>
          <w:lang w:val="en-GB"/>
        </w:rPr>
        <w:t>Natural Language Processing (NLP)</w:t>
      </w:r>
      <w:r w:rsidR="009D2608" w:rsidRPr="0079537E">
        <w:rPr>
          <w:rFonts w:cs="Times New Roman"/>
          <w:lang w:val="en-GB"/>
        </w:rPr>
        <w:t>:</w:t>
      </w:r>
      <w:r w:rsidR="003D5F4D" w:rsidRPr="0079537E">
        <w:rPr>
          <w:rFonts w:cs="Times New Roman"/>
          <w:lang w:val="en-GB"/>
        </w:rPr>
        <w:t xml:space="preserve"> </w:t>
      </w:r>
      <w:r w:rsidR="007001DD" w:rsidRPr="0079537E">
        <w:rPr>
          <w:rFonts w:cs="Times New Roman"/>
          <w:color w:val="1E1D1A"/>
          <w:shd w:val="clear" w:color="auto" w:fill="FFFFFF"/>
          <w:lang w:val="en-GB"/>
        </w:rPr>
        <w:t>NLP in EthicEase allows the app to understand user queries in natural language, making interactions intuitive and user-friendly (Wahl et al., 2018).</w:t>
      </w:r>
      <w:r w:rsidR="00345300" w:rsidRPr="0079537E">
        <w:rPr>
          <w:rFonts w:cs="Times New Roman"/>
          <w:color w:val="1E1D1A"/>
          <w:shd w:val="clear" w:color="auto" w:fill="FFFFFF"/>
          <w:lang w:val="en-GB"/>
        </w:rPr>
        <w:t xml:space="preserve"> </w:t>
      </w:r>
      <w:r w:rsidRPr="0079537E">
        <w:rPr>
          <w:rFonts w:cs="Times New Roman"/>
          <w:lang w:val="en-GB"/>
        </w:rPr>
        <w:t>This feature also enables the app to analy</w:t>
      </w:r>
      <w:r w:rsidR="00345300" w:rsidRPr="0079537E">
        <w:rPr>
          <w:rFonts w:cs="Times New Roman"/>
          <w:lang w:val="en-GB"/>
        </w:rPr>
        <w:t>s</w:t>
      </w:r>
      <w:r w:rsidRPr="0079537E">
        <w:rPr>
          <w:rFonts w:cs="Times New Roman"/>
          <w:lang w:val="en-GB"/>
        </w:rPr>
        <w:t>e discussions in the community forum and highlight key insights.</w:t>
      </w:r>
      <w:r w:rsidR="007001DD" w:rsidRPr="0079537E">
        <w:rPr>
          <w:rFonts w:cs="Times New Roman"/>
          <w:lang w:val="en-GB"/>
        </w:rPr>
        <w:t xml:space="preserve"> </w:t>
      </w:r>
    </w:p>
    <w:p w14:paraId="6C21536F" w14:textId="318F24CC" w:rsidR="009D2608" w:rsidRPr="0079537E" w:rsidRDefault="00577E10" w:rsidP="00C415F0">
      <w:pPr>
        <w:pStyle w:val="NoSpacing"/>
        <w:numPr>
          <w:ilvl w:val="0"/>
          <w:numId w:val="28"/>
        </w:numPr>
        <w:spacing w:line="276" w:lineRule="auto"/>
        <w:rPr>
          <w:rFonts w:cs="Times New Roman"/>
          <w:lang w:val="en-GB"/>
        </w:rPr>
      </w:pPr>
      <w:r w:rsidRPr="0079537E">
        <w:rPr>
          <w:rFonts w:cs="Times New Roman"/>
          <w:lang w:val="en-GB"/>
        </w:rPr>
        <w:t xml:space="preserve">Predictive Analytics: </w:t>
      </w:r>
      <w:r w:rsidR="007001DD" w:rsidRPr="0079537E">
        <w:rPr>
          <w:rFonts w:cs="Times New Roman"/>
          <w:color w:val="1E1D1A"/>
          <w:shd w:val="clear" w:color="auto" w:fill="FFFFFF"/>
          <w:lang w:val="en-GB"/>
        </w:rPr>
        <w:t>Predictive Analytics in EthicEase helps in identifying and addressing potential ethical issues by analy</w:t>
      </w:r>
      <w:r w:rsidR="00345300" w:rsidRPr="0079537E">
        <w:rPr>
          <w:rFonts w:cs="Times New Roman"/>
          <w:color w:val="1E1D1A"/>
          <w:shd w:val="clear" w:color="auto" w:fill="FFFFFF"/>
          <w:lang w:val="en-GB"/>
        </w:rPr>
        <w:t>s</w:t>
      </w:r>
      <w:r w:rsidR="007001DD" w:rsidRPr="0079537E">
        <w:rPr>
          <w:rFonts w:cs="Times New Roman"/>
          <w:color w:val="1E1D1A"/>
          <w:shd w:val="clear" w:color="auto" w:fill="FFFFFF"/>
          <w:lang w:val="en-GB"/>
        </w:rPr>
        <w:t xml:space="preserve">ing trends and patterns in user data (Wahl et al., 2018). </w:t>
      </w:r>
      <w:r w:rsidRPr="0079537E">
        <w:rPr>
          <w:rFonts w:cs="Times New Roman"/>
          <w:lang w:val="en-GB"/>
        </w:rPr>
        <w:t xml:space="preserve"> This proactive approach helps organi</w:t>
      </w:r>
      <w:r w:rsidR="00345300" w:rsidRPr="0079537E">
        <w:rPr>
          <w:rFonts w:cs="Times New Roman"/>
          <w:lang w:val="en-GB"/>
        </w:rPr>
        <w:t>s</w:t>
      </w:r>
      <w:r w:rsidRPr="0079537E">
        <w:rPr>
          <w:rFonts w:cs="Times New Roman"/>
          <w:lang w:val="en-GB"/>
        </w:rPr>
        <w:t>ations identify and address ethical concerns before they escalate.</w:t>
      </w:r>
    </w:p>
    <w:p w14:paraId="27D212C9" w14:textId="6BA38ABD" w:rsidR="009D2608" w:rsidRPr="0079537E" w:rsidRDefault="00577E10" w:rsidP="00C415F0">
      <w:pPr>
        <w:pStyle w:val="NoSpacing"/>
        <w:numPr>
          <w:ilvl w:val="0"/>
          <w:numId w:val="28"/>
        </w:numPr>
        <w:spacing w:line="276" w:lineRule="auto"/>
        <w:rPr>
          <w:rFonts w:cs="Times New Roman"/>
          <w:lang w:val="en-GB"/>
        </w:rPr>
      </w:pPr>
      <w:r w:rsidRPr="0079537E">
        <w:rPr>
          <w:rFonts w:cs="Times New Roman"/>
          <w:lang w:val="en-GB"/>
        </w:rPr>
        <w:t xml:space="preserve">Continuous Learning and Improvement: </w:t>
      </w:r>
      <w:r w:rsidR="007001DD" w:rsidRPr="0079537E">
        <w:rPr>
          <w:rFonts w:cs="Times New Roman"/>
          <w:color w:val="1E1D1A"/>
          <w:shd w:val="clear" w:color="auto" w:fill="FFFFFF"/>
          <w:lang w:val="en-GB"/>
        </w:rPr>
        <w:t xml:space="preserve">Continuous Learning and Improvement facilitated by AI in EthicEase allows the app to refine its guidance and resources based on user interactions and feedback (Wahl et al., 2018). </w:t>
      </w:r>
      <w:r w:rsidRPr="0079537E">
        <w:rPr>
          <w:rFonts w:cs="Times New Roman"/>
          <w:lang w:val="en-GB"/>
        </w:rPr>
        <w:t>This allows the app to refine its guidance and resources, ensuring they remain relevant and effective over time.</w:t>
      </w:r>
    </w:p>
    <w:p w14:paraId="0296CABB" w14:textId="429D5A01" w:rsidR="00577E10" w:rsidRPr="0079537E" w:rsidRDefault="00577E10" w:rsidP="00C415F0">
      <w:pPr>
        <w:pStyle w:val="NoSpacing"/>
        <w:numPr>
          <w:ilvl w:val="0"/>
          <w:numId w:val="28"/>
        </w:numPr>
        <w:spacing w:line="276" w:lineRule="auto"/>
        <w:rPr>
          <w:rFonts w:cs="Times New Roman"/>
          <w:lang w:val="en-GB"/>
        </w:rPr>
      </w:pPr>
      <w:r w:rsidRPr="0079537E">
        <w:rPr>
          <w:rFonts w:cs="Times New Roman"/>
          <w:lang w:val="en-GB"/>
        </w:rPr>
        <w:t>Personali</w:t>
      </w:r>
      <w:r w:rsidR="00345300" w:rsidRPr="0079537E">
        <w:rPr>
          <w:rFonts w:cs="Times New Roman"/>
          <w:lang w:val="en-GB"/>
        </w:rPr>
        <w:t>s</w:t>
      </w:r>
      <w:r w:rsidRPr="0079537E">
        <w:rPr>
          <w:rFonts w:cs="Times New Roman"/>
          <w:lang w:val="en-GB"/>
        </w:rPr>
        <w:t xml:space="preserve">ed Ethical Training: </w:t>
      </w:r>
      <w:r w:rsidR="007001DD" w:rsidRPr="0079537E">
        <w:rPr>
          <w:rFonts w:cs="Times New Roman"/>
          <w:color w:val="1E1D1A"/>
          <w:shd w:val="clear" w:color="auto" w:fill="FFFFFF"/>
          <w:lang w:val="en-GB"/>
        </w:rPr>
        <w:t>Personalized Ethical Training in EthicEase is achieved through AI customi</w:t>
      </w:r>
      <w:r w:rsidR="00345300" w:rsidRPr="0079537E">
        <w:rPr>
          <w:rFonts w:cs="Times New Roman"/>
          <w:color w:val="1E1D1A"/>
          <w:shd w:val="clear" w:color="auto" w:fill="FFFFFF"/>
          <w:lang w:val="en-GB"/>
        </w:rPr>
        <w:t>s</w:t>
      </w:r>
      <w:r w:rsidR="007001DD" w:rsidRPr="0079537E">
        <w:rPr>
          <w:rFonts w:cs="Times New Roman"/>
          <w:color w:val="1E1D1A"/>
          <w:shd w:val="clear" w:color="auto" w:fill="FFFFFF"/>
          <w:lang w:val="en-GB"/>
        </w:rPr>
        <w:t xml:space="preserve">ation of training modules based on the user's role, experience, and previous interactions with the app (Wahl et al., 2018).  </w:t>
      </w:r>
      <w:r w:rsidRPr="0079537E">
        <w:rPr>
          <w:rFonts w:cs="Times New Roman"/>
          <w:lang w:val="en-GB"/>
        </w:rPr>
        <w:t>This ensures that each user receives a personali</w:t>
      </w:r>
      <w:r w:rsidR="00345300" w:rsidRPr="0079537E">
        <w:rPr>
          <w:rFonts w:cs="Times New Roman"/>
          <w:lang w:val="en-GB"/>
        </w:rPr>
        <w:t>s</w:t>
      </w:r>
      <w:r w:rsidRPr="0079537E">
        <w:rPr>
          <w:rFonts w:cs="Times New Roman"/>
          <w:lang w:val="en-GB"/>
        </w:rPr>
        <w:t>ed learning experience tailored to their specific needs and ethical challenges.</w:t>
      </w:r>
    </w:p>
    <w:p w14:paraId="301C5513" w14:textId="77777777" w:rsidR="007001DD" w:rsidRPr="0079537E" w:rsidRDefault="007001DD" w:rsidP="00C415F0">
      <w:pPr>
        <w:pStyle w:val="NoSpacing"/>
        <w:spacing w:line="276" w:lineRule="auto"/>
        <w:ind w:left="360"/>
        <w:rPr>
          <w:rFonts w:cs="Times New Roman"/>
          <w:lang w:val="en-GB"/>
        </w:rPr>
      </w:pPr>
    </w:p>
    <w:p w14:paraId="10B6ABAA" w14:textId="09C7246E" w:rsidR="009D2608" w:rsidRPr="0079537E" w:rsidRDefault="007001DD" w:rsidP="00C415F0">
      <w:pPr>
        <w:pStyle w:val="NoSpacing"/>
        <w:spacing w:line="276" w:lineRule="auto"/>
        <w:rPr>
          <w:rFonts w:cs="Times New Roman"/>
          <w:lang w:val="en-GB"/>
        </w:rPr>
      </w:pPr>
      <w:r w:rsidRPr="0079537E">
        <w:rPr>
          <w:rFonts w:cs="Times New Roman"/>
          <w:color w:val="1E1D1A"/>
          <w:shd w:val="clear" w:color="auto" w:fill="FFFFFF"/>
          <w:lang w:val="en-GB"/>
        </w:rPr>
        <w:t>The integration of AI in EthicEase aligns with the principles of ethical governance for AI systems, ensuring trust and effectiveness (Winfield &amp; Jirotka, 2018). The use of AI in healthcare, as seen in the study by Guan</w:t>
      </w:r>
      <w:r w:rsidR="0013708E">
        <w:rPr>
          <w:rFonts w:cs="Times New Roman"/>
          <w:color w:val="1E1D1A"/>
          <w:shd w:val="clear" w:color="auto" w:fill="FFFFFF"/>
          <w:lang w:val="en-GB"/>
        </w:rPr>
        <w:t xml:space="preserve"> (</w:t>
      </w:r>
      <w:r w:rsidRPr="0079537E">
        <w:rPr>
          <w:rFonts w:cs="Times New Roman"/>
          <w:color w:val="1E1D1A"/>
          <w:shd w:val="clear" w:color="auto" w:fill="FFFFFF"/>
          <w:lang w:val="en-GB"/>
        </w:rPr>
        <w:t>2019), promises advancements but also raises ethical challenges that require governance for responsible deployment. The application of AI in knowledge creation processes, as explored by (Neștian et al., 2020), demonstrates the potential for enhancing organi</w:t>
      </w:r>
      <w:r w:rsidR="00345300" w:rsidRPr="0079537E">
        <w:rPr>
          <w:rFonts w:cs="Times New Roman"/>
          <w:color w:val="1E1D1A"/>
          <w:shd w:val="clear" w:color="auto" w:fill="FFFFFF"/>
          <w:lang w:val="en-GB"/>
        </w:rPr>
        <w:t>s</w:t>
      </w:r>
      <w:r w:rsidRPr="0079537E">
        <w:rPr>
          <w:rFonts w:cs="Times New Roman"/>
          <w:color w:val="1E1D1A"/>
          <w:shd w:val="clear" w:color="auto" w:fill="FFFFFF"/>
          <w:lang w:val="en-GB"/>
        </w:rPr>
        <w:t>ational learning and decision-making. Furthermore, the incorporation of AI in system dynamics models, as discussed by</w:t>
      </w:r>
      <w:r w:rsidR="0013708E">
        <w:rPr>
          <w:rFonts w:cs="Times New Roman"/>
          <w:color w:val="1E1D1A"/>
          <w:shd w:val="clear" w:color="auto" w:fill="FFFFFF"/>
          <w:lang w:val="en-GB"/>
        </w:rPr>
        <w:t xml:space="preserve"> </w:t>
      </w:r>
      <w:r w:rsidRPr="0079537E">
        <w:rPr>
          <w:rFonts w:cs="Times New Roman"/>
          <w:color w:val="1E1D1A"/>
          <w:shd w:val="clear" w:color="auto" w:fill="FFFFFF"/>
          <w:lang w:val="en-GB"/>
        </w:rPr>
        <w:t>Gadewadikar</w:t>
      </w:r>
      <w:r w:rsidR="0013708E">
        <w:rPr>
          <w:rFonts w:cs="Times New Roman"/>
          <w:color w:val="1E1D1A"/>
          <w:shd w:val="clear" w:color="auto" w:fill="FFFFFF"/>
          <w:lang w:val="en-GB"/>
        </w:rPr>
        <w:t xml:space="preserve"> (</w:t>
      </w:r>
      <w:r w:rsidRPr="0079537E">
        <w:rPr>
          <w:rFonts w:cs="Times New Roman"/>
          <w:color w:val="1E1D1A"/>
          <w:shd w:val="clear" w:color="auto" w:fill="FFFFFF"/>
          <w:lang w:val="en-GB"/>
        </w:rPr>
        <w:t>2023), presents opportunities for improved decision-making and system analysis.</w:t>
      </w:r>
    </w:p>
    <w:p w14:paraId="3666C7C7" w14:textId="77777777" w:rsidR="009D2608" w:rsidRPr="0079537E" w:rsidRDefault="009D2608" w:rsidP="00C415F0">
      <w:pPr>
        <w:pStyle w:val="NoSpacing"/>
        <w:rPr>
          <w:lang w:val="en-GB"/>
        </w:rPr>
      </w:pPr>
    </w:p>
    <w:p w14:paraId="59ECDE1F" w14:textId="77777777" w:rsidR="009D2608" w:rsidRPr="0079537E" w:rsidRDefault="009D2608" w:rsidP="00C415F0">
      <w:pPr>
        <w:jc w:val="both"/>
        <w:rPr>
          <w:rFonts w:ascii="IBM Plex Sans" w:hAnsi="IBM Plex Sans"/>
          <w:color w:val="1E1D1A"/>
          <w:shd w:val="clear" w:color="auto" w:fill="FFFFFF"/>
        </w:rPr>
      </w:pPr>
    </w:p>
    <w:p w14:paraId="22291F6E" w14:textId="569D9997" w:rsidR="00F64847" w:rsidRPr="0079537E" w:rsidRDefault="00231BFF" w:rsidP="00C415F0">
      <w:pPr>
        <w:jc w:val="both"/>
        <w:rPr>
          <w:rFonts w:ascii="IBM Plex Sans" w:hAnsi="IBM Plex Sans"/>
          <w:color w:val="1E1D1A"/>
          <w:shd w:val="clear" w:color="auto" w:fill="FFFFFF"/>
        </w:rPr>
      </w:pPr>
      <w:r w:rsidRPr="0079537E">
        <w:br w:type="page"/>
      </w:r>
      <w:r w:rsidR="00F64847" w:rsidRPr="0079537E">
        <w:rPr>
          <w:rFonts w:ascii="IBM Plex Sans" w:hAnsi="IBM Plex Sans"/>
          <w:color w:val="1E1D1A"/>
          <w:shd w:val="clear" w:color="auto" w:fill="FFFFFF"/>
        </w:rPr>
        <w:lastRenderedPageBreak/>
        <w:t xml:space="preserve"> </w:t>
      </w:r>
    </w:p>
    <w:p w14:paraId="1EA78792" w14:textId="77777777" w:rsidR="00F64847" w:rsidRPr="0079537E" w:rsidRDefault="00F64847" w:rsidP="00C415F0">
      <w:pPr>
        <w:jc w:val="both"/>
        <w:rPr>
          <w:rFonts w:ascii="IBM Plex Sans" w:hAnsi="IBM Plex Sans"/>
          <w:color w:val="1E1D1A"/>
          <w:shd w:val="clear" w:color="auto" w:fill="FFFFFF"/>
        </w:rPr>
      </w:pPr>
    </w:p>
    <w:p w14:paraId="04B0B9E4" w14:textId="61970484" w:rsidR="00231BFF" w:rsidRPr="0079537E" w:rsidRDefault="007C4C17" w:rsidP="00C415F0">
      <w:pPr>
        <w:pStyle w:val="Heading2"/>
      </w:pPr>
      <w:bookmarkStart w:id="22" w:name="_Toc167892899"/>
      <w:r w:rsidRPr="0079537E">
        <w:t xml:space="preserve">EthicEase </w:t>
      </w:r>
      <w:r w:rsidR="00231BFF" w:rsidRPr="0079537E">
        <w:t>Product Proposal</w:t>
      </w:r>
      <w:bookmarkEnd w:id="22"/>
      <w:r w:rsidR="00231BFF" w:rsidRPr="0079537E">
        <w:t xml:space="preserve"> </w:t>
      </w:r>
    </w:p>
    <w:p w14:paraId="1026CECF" w14:textId="77777777" w:rsidR="00231BFF" w:rsidRPr="0079537E" w:rsidRDefault="00231BFF" w:rsidP="00C415F0">
      <w:pPr>
        <w:pStyle w:val="NoSpacing"/>
        <w:rPr>
          <w:lang w:val="en-GB"/>
        </w:rPr>
      </w:pPr>
    </w:p>
    <w:tbl>
      <w:tblPr>
        <w:tblStyle w:val="TableGrid"/>
        <w:tblW w:w="0" w:type="auto"/>
        <w:tblLook w:val="04A0" w:firstRow="1" w:lastRow="0" w:firstColumn="1" w:lastColumn="0" w:noHBand="0" w:noVBand="1"/>
      </w:tblPr>
      <w:tblGrid>
        <w:gridCol w:w="1736"/>
        <w:gridCol w:w="7320"/>
      </w:tblGrid>
      <w:tr w:rsidR="00231BFF" w:rsidRPr="0079537E" w14:paraId="7A25427D" w14:textId="77777777" w:rsidTr="005237BF">
        <w:tc>
          <w:tcPr>
            <w:tcW w:w="988" w:type="dxa"/>
            <w:shd w:val="clear" w:color="auto" w:fill="FBE4D5" w:themeFill="accent2" w:themeFillTint="33"/>
          </w:tcPr>
          <w:p w14:paraId="38828B1F" w14:textId="371DB0FA" w:rsidR="00231BFF" w:rsidRPr="0079537E" w:rsidRDefault="00231BFF" w:rsidP="00C415F0">
            <w:pPr>
              <w:pStyle w:val="NoSpacing"/>
              <w:spacing w:line="276" w:lineRule="auto"/>
              <w:rPr>
                <w:rFonts w:cs="Times New Roman"/>
                <w:b/>
                <w:bCs/>
                <w:lang w:val="en-GB"/>
              </w:rPr>
            </w:pPr>
            <w:r w:rsidRPr="0079537E">
              <w:rPr>
                <w:rFonts w:cs="Times New Roman"/>
                <w:b/>
                <w:bCs/>
                <w:lang w:val="en-GB"/>
              </w:rPr>
              <w:t>Product</w:t>
            </w:r>
          </w:p>
        </w:tc>
        <w:tc>
          <w:tcPr>
            <w:tcW w:w="8068" w:type="dxa"/>
            <w:shd w:val="clear" w:color="auto" w:fill="D9E2F3" w:themeFill="accent1" w:themeFillTint="33"/>
          </w:tcPr>
          <w:p w14:paraId="031FE873" w14:textId="124758D2" w:rsidR="00231BFF" w:rsidRPr="0079537E" w:rsidRDefault="00231BFF" w:rsidP="00C415F0">
            <w:pPr>
              <w:pStyle w:val="NoSpacing"/>
              <w:spacing w:line="276" w:lineRule="auto"/>
              <w:rPr>
                <w:rFonts w:cs="Times New Roman"/>
                <w:b/>
                <w:bCs/>
                <w:lang w:val="en-GB"/>
              </w:rPr>
            </w:pPr>
            <w:r w:rsidRPr="0079537E">
              <w:rPr>
                <w:rFonts w:cs="Times New Roman"/>
                <w:b/>
                <w:bCs/>
                <w:lang w:val="en-GB"/>
              </w:rPr>
              <w:t xml:space="preserve">EthicEase </w:t>
            </w:r>
          </w:p>
        </w:tc>
      </w:tr>
      <w:tr w:rsidR="00231BFF" w:rsidRPr="0079537E" w14:paraId="54D16E74" w14:textId="77777777" w:rsidTr="005237BF">
        <w:tc>
          <w:tcPr>
            <w:tcW w:w="988" w:type="dxa"/>
            <w:shd w:val="clear" w:color="auto" w:fill="FBE4D5" w:themeFill="accent2" w:themeFillTint="33"/>
          </w:tcPr>
          <w:p w14:paraId="0274B6E5" w14:textId="0D8E1C93" w:rsidR="00231BFF" w:rsidRPr="0079537E" w:rsidRDefault="00231BFF" w:rsidP="00C415F0">
            <w:pPr>
              <w:pStyle w:val="NoSpacing"/>
              <w:spacing w:line="276" w:lineRule="auto"/>
              <w:rPr>
                <w:rFonts w:cs="Times New Roman"/>
                <w:lang w:val="en-GB"/>
              </w:rPr>
            </w:pPr>
            <w:r w:rsidRPr="0079537E">
              <w:rPr>
                <w:rFonts w:cs="Times New Roman"/>
                <w:lang w:val="en-GB"/>
              </w:rPr>
              <w:t>Description</w:t>
            </w:r>
          </w:p>
        </w:tc>
        <w:tc>
          <w:tcPr>
            <w:tcW w:w="8068" w:type="dxa"/>
          </w:tcPr>
          <w:p w14:paraId="74A4D591" w14:textId="77777777" w:rsidR="00231BFF" w:rsidRPr="0079537E" w:rsidRDefault="00231BFF" w:rsidP="00C415F0">
            <w:pPr>
              <w:pStyle w:val="NoSpacing"/>
              <w:spacing w:line="276" w:lineRule="auto"/>
              <w:rPr>
                <w:rFonts w:cs="Times New Roman"/>
                <w:lang w:val="en-GB"/>
              </w:rPr>
            </w:pPr>
            <w:r w:rsidRPr="0079537E">
              <w:rPr>
                <w:rFonts w:cs="Times New Roman"/>
                <w:lang w:val="en-GB"/>
              </w:rPr>
              <w:t xml:space="preserve">EthicEase is a revolutionary mobile application designed to empower individuals and organizations to navigate ethical dilemmas confidently and responsibly. In today's complex and interconnected world, ethical decision-making is paramount in the humanitarian sector. </w:t>
            </w:r>
          </w:p>
          <w:p w14:paraId="52990E96" w14:textId="1B35F5E3" w:rsidR="00231BFF" w:rsidRPr="0079537E" w:rsidRDefault="00231BFF" w:rsidP="00C415F0">
            <w:pPr>
              <w:pStyle w:val="NoSpacing"/>
              <w:spacing w:line="276" w:lineRule="auto"/>
              <w:rPr>
                <w:rFonts w:cs="Times New Roman"/>
                <w:lang w:val="en-GB"/>
              </w:rPr>
            </w:pPr>
            <w:r w:rsidRPr="0079537E">
              <w:rPr>
                <w:rFonts w:cs="Times New Roman"/>
                <w:lang w:val="en-GB"/>
              </w:rPr>
              <w:t>EthicEase aims to provide users with a user-friendly platform that integrates the HEDM framework and real-world case studies to support informed and principled choices.</w:t>
            </w:r>
          </w:p>
        </w:tc>
      </w:tr>
      <w:tr w:rsidR="00231BFF" w:rsidRPr="0079537E" w14:paraId="2D3BEED9" w14:textId="77777777" w:rsidTr="005237BF">
        <w:tc>
          <w:tcPr>
            <w:tcW w:w="988" w:type="dxa"/>
            <w:shd w:val="clear" w:color="auto" w:fill="FBE4D5" w:themeFill="accent2" w:themeFillTint="33"/>
          </w:tcPr>
          <w:p w14:paraId="01874072" w14:textId="20587B7A" w:rsidR="00231BFF" w:rsidRPr="0079537E" w:rsidRDefault="00231BFF" w:rsidP="00C415F0">
            <w:pPr>
              <w:pStyle w:val="NoSpacing"/>
              <w:spacing w:line="276" w:lineRule="auto"/>
              <w:rPr>
                <w:rFonts w:cs="Times New Roman"/>
                <w:lang w:val="en-GB"/>
              </w:rPr>
            </w:pPr>
            <w:r w:rsidRPr="0079537E">
              <w:rPr>
                <w:rFonts w:cs="Times New Roman"/>
                <w:lang w:val="en-GB"/>
              </w:rPr>
              <w:t xml:space="preserve">Problem Statement </w:t>
            </w:r>
          </w:p>
        </w:tc>
        <w:tc>
          <w:tcPr>
            <w:tcW w:w="8068" w:type="dxa"/>
          </w:tcPr>
          <w:p w14:paraId="3CC002E5" w14:textId="740E9931" w:rsidR="00231BFF" w:rsidRPr="0079537E" w:rsidRDefault="00231BFF" w:rsidP="00C415F0">
            <w:pPr>
              <w:pStyle w:val="NoSpacing"/>
              <w:spacing w:line="276" w:lineRule="auto"/>
              <w:rPr>
                <w:rFonts w:cs="Times New Roman"/>
                <w:lang w:val="en-GB"/>
              </w:rPr>
            </w:pPr>
            <w:r w:rsidRPr="0079537E">
              <w:rPr>
                <w:rFonts w:cs="Times New Roman"/>
                <w:lang w:val="en-GB"/>
              </w:rPr>
              <w:t xml:space="preserve">Ethical decision-making is often challenging due to the complexity of ethical dilemmas, varying perspectives, and the lack of accessible resources. Humanitarian </w:t>
            </w:r>
            <w:r w:rsidR="001857D2" w:rsidRPr="0079537E">
              <w:rPr>
                <w:rFonts w:cs="Times New Roman"/>
                <w:lang w:val="en-GB"/>
              </w:rPr>
              <w:t>o</w:t>
            </w:r>
            <w:r w:rsidRPr="0079537E">
              <w:rPr>
                <w:rFonts w:cs="Times New Roman"/>
                <w:lang w:val="en-GB"/>
              </w:rPr>
              <w:t>rgani</w:t>
            </w:r>
            <w:r w:rsidR="001857D2" w:rsidRPr="0079537E">
              <w:rPr>
                <w:rFonts w:cs="Times New Roman"/>
                <w:lang w:val="en-GB"/>
              </w:rPr>
              <w:t>s</w:t>
            </w:r>
            <w:r w:rsidRPr="0079537E">
              <w:rPr>
                <w:rFonts w:cs="Times New Roman"/>
                <w:lang w:val="en-GB"/>
              </w:rPr>
              <w:t>ations and individuals frequently encounter situations where they must weigh competing interests, consider long-term consequences</w:t>
            </w:r>
            <w:r w:rsidR="009D106F" w:rsidRPr="0079537E">
              <w:rPr>
                <w:rFonts w:cs="Times New Roman"/>
                <w:lang w:val="en-GB"/>
              </w:rPr>
              <w:t xml:space="preserve">, </w:t>
            </w:r>
            <w:r w:rsidRPr="0079537E">
              <w:rPr>
                <w:rFonts w:cs="Times New Roman"/>
                <w:lang w:val="en-GB"/>
              </w:rPr>
              <w:t>sustainability</w:t>
            </w:r>
            <w:r w:rsidR="009D106F" w:rsidRPr="0079537E">
              <w:rPr>
                <w:rFonts w:cs="Times New Roman"/>
                <w:lang w:val="en-GB"/>
              </w:rPr>
              <w:t xml:space="preserve"> integration</w:t>
            </w:r>
            <w:r w:rsidRPr="0079537E">
              <w:rPr>
                <w:rFonts w:cs="Times New Roman"/>
                <w:lang w:val="en-GB"/>
              </w:rPr>
              <w:t xml:space="preserve">, </w:t>
            </w:r>
            <w:r w:rsidR="009D106F" w:rsidRPr="0079537E">
              <w:rPr>
                <w:rFonts w:cs="Times New Roman"/>
                <w:lang w:val="en-GB"/>
              </w:rPr>
              <w:t>stakeholder engagement</w:t>
            </w:r>
            <w:r w:rsidRPr="0079537E">
              <w:rPr>
                <w:rFonts w:cs="Times New Roman"/>
                <w:lang w:val="en-GB"/>
              </w:rPr>
              <w:t>,</w:t>
            </w:r>
            <w:r w:rsidR="009D106F" w:rsidRPr="0079537E">
              <w:rPr>
                <w:rFonts w:cs="Times New Roman"/>
                <w:lang w:val="en-GB"/>
              </w:rPr>
              <w:t xml:space="preserve"> risk </w:t>
            </w:r>
            <w:r w:rsidR="001857D2" w:rsidRPr="0079537E">
              <w:rPr>
                <w:rFonts w:cs="Times New Roman"/>
                <w:lang w:val="en-GB"/>
              </w:rPr>
              <w:t>management</w:t>
            </w:r>
            <w:r w:rsidRPr="0079537E">
              <w:rPr>
                <w:rFonts w:cs="Times New Roman"/>
                <w:lang w:val="en-GB"/>
              </w:rPr>
              <w:t xml:space="preserve"> and uphold</w:t>
            </w:r>
            <w:r w:rsidR="009D106F" w:rsidRPr="0079537E">
              <w:rPr>
                <w:rFonts w:cs="Times New Roman"/>
                <w:lang w:val="en-GB"/>
              </w:rPr>
              <w:t>ing</w:t>
            </w:r>
            <w:r w:rsidRPr="0079537E">
              <w:rPr>
                <w:rFonts w:cs="Times New Roman"/>
                <w:lang w:val="en-GB"/>
              </w:rPr>
              <w:t xml:space="preserve"> ethical standards. Without adequate guidance and support, navigating these dilemmas can lead to ethical lapses, reputational damage, and negative societal impact.</w:t>
            </w:r>
          </w:p>
        </w:tc>
      </w:tr>
      <w:tr w:rsidR="00231BFF" w:rsidRPr="0079537E" w14:paraId="410148AA" w14:textId="77777777" w:rsidTr="005237BF">
        <w:tc>
          <w:tcPr>
            <w:tcW w:w="988" w:type="dxa"/>
            <w:shd w:val="clear" w:color="auto" w:fill="FBE4D5" w:themeFill="accent2" w:themeFillTint="33"/>
          </w:tcPr>
          <w:p w14:paraId="6F46D019" w14:textId="7D30FC1C" w:rsidR="00231BFF" w:rsidRPr="0079537E" w:rsidRDefault="009D106F" w:rsidP="00C415F0">
            <w:pPr>
              <w:pStyle w:val="NoSpacing"/>
              <w:spacing w:line="276" w:lineRule="auto"/>
              <w:rPr>
                <w:rFonts w:cs="Times New Roman"/>
                <w:lang w:val="en-GB"/>
              </w:rPr>
            </w:pPr>
            <w:r w:rsidRPr="0079537E">
              <w:rPr>
                <w:rFonts w:cs="Times New Roman"/>
                <w:lang w:val="en-GB"/>
              </w:rPr>
              <w:t>Solution Overview</w:t>
            </w:r>
          </w:p>
        </w:tc>
        <w:tc>
          <w:tcPr>
            <w:tcW w:w="8068" w:type="dxa"/>
          </w:tcPr>
          <w:p w14:paraId="4B34E492" w14:textId="77777777" w:rsidR="009D106F" w:rsidRPr="0079537E" w:rsidRDefault="009D106F" w:rsidP="00C415F0">
            <w:pPr>
              <w:pStyle w:val="NoSpacing"/>
              <w:spacing w:line="276" w:lineRule="auto"/>
              <w:rPr>
                <w:rFonts w:cs="Times New Roman"/>
                <w:lang w:val="en-GB"/>
              </w:rPr>
            </w:pPr>
            <w:r w:rsidRPr="0079537E">
              <w:rPr>
                <w:rFonts w:cs="Times New Roman"/>
                <w:lang w:val="en-GB"/>
              </w:rPr>
              <w:t>EthicEase offers a comprehensive solution to address these challenges by providing users with:</w:t>
            </w:r>
          </w:p>
          <w:p w14:paraId="473191F3" w14:textId="77777777" w:rsidR="009D106F" w:rsidRPr="0079537E" w:rsidRDefault="009D106F" w:rsidP="00C415F0">
            <w:pPr>
              <w:pStyle w:val="NoSpacing"/>
              <w:spacing w:line="276" w:lineRule="auto"/>
              <w:rPr>
                <w:rFonts w:cs="Times New Roman"/>
                <w:lang w:val="en-GB"/>
              </w:rPr>
            </w:pPr>
          </w:p>
          <w:p w14:paraId="53B8FA1B" w14:textId="1FFC1DA1" w:rsidR="009D106F" w:rsidRPr="0079537E" w:rsidRDefault="009D106F" w:rsidP="00C415F0">
            <w:pPr>
              <w:pStyle w:val="NoSpacing"/>
              <w:spacing w:line="276" w:lineRule="auto"/>
              <w:rPr>
                <w:rFonts w:cs="Times New Roman"/>
                <w:lang w:val="en-GB"/>
              </w:rPr>
            </w:pPr>
            <w:r w:rsidRPr="0079537E">
              <w:rPr>
                <w:rFonts w:cs="Times New Roman"/>
                <w:lang w:val="en-GB"/>
              </w:rPr>
              <w:t>Decision-Making Frameworks:</w:t>
            </w:r>
            <w:r w:rsidR="00A9738A" w:rsidRPr="0079537E">
              <w:rPr>
                <w:rFonts w:cs="Times New Roman"/>
                <w:lang w:val="en-GB"/>
              </w:rPr>
              <w:t xml:space="preserve"> </w:t>
            </w:r>
            <w:r w:rsidR="00B41980">
              <w:rPr>
                <w:rFonts w:cs="Times New Roman"/>
                <w:lang w:val="en-GB"/>
              </w:rPr>
              <w:t>A</w:t>
            </w:r>
            <w:r w:rsidRPr="0079537E">
              <w:rPr>
                <w:rFonts w:cs="Times New Roman"/>
                <w:lang w:val="en-GB"/>
              </w:rPr>
              <w:t xml:space="preserve">ccess to a diverse range of ethical decision-making frameworks, including utilitarianism, deontology, virtue ethics, and </w:t>
            </w:r>
            <w:r w:rsidR="001857D2" w:rsidRPr="0079537E">
              <w:rPr>
                <w:rFonts w:cs="Times New Roman"/>
                <w:lang w:val="en-GB"/>
              </w:rPr>
              <w:t xml:space="preserve">humanitarian </w:t>
            </w:r>
            <w:r w:rsidR="00937909" w:rsidRPr="0079537E">
              <w:rPr>
                <w:rFonts w:cs="Times New Roman"/>
                <w:lang w:val="en-GB"/>
              </w:rPr>
              <w:t>principles</w:t>
            </w:r>
            <w:r w:rsidRPr="0079537E">
              <w:rPr>
                <w:rFonts w:cs="Times New Roman"/>
                <w:lang w:val="en-GB"/>
              </w:rPr>
              <w:t>, among others. Each framework is explained in detail, along with practical examples and scenarios for application.</w:t>
            </w:r>
          </w:p>
          <w:p w14:paraId="7A5FCE0C" w14:textId="77777777" w:rsidR="009D106F" w:rsidRPr="0079537E" w:rsidRDefault="009D106F" w:rsidP="00C415F0">
            <w:pPr>
              <w:pStyle w:val="NoSpacing"/>
              <w:spacing w:line="276" w:lineRule="auto"/>
              <w:rPr>
                <w:rFonts w:cs="Times New Roman"/>
                <w:lang w:val="en-GB"/>
              </w:rPr>
            </w:pPr>
          </w:p>
          <w:p w14:paraId="4870A64F" w14:textId="4F8F2640" w:rsidR="009D106F" w:rsidRPr="0079537E" w:rsidRDefault="009D106F" w:rsidP="00C415F0">
            <w:pPr>
              <w:pStyle w:val="NoSpacing"/>
              <w:spacing w:line="276" w:lineRule="auto"/>
              <w:rPr>
                <w:rFonts w:cs="Times New Roman"/>
                <w:lang w:val="en-GB"/>
              </w:rPr>
            </w:pPr>
            <w:r w:rsidRPr="0079537E">
              <w:rPr>
                <w:rFonts w:cs="Times New Roman"/>
                <w:lang w:val="en-GB"/>
              </w:rPr>
              <w:t>Case Studies:</w:t>
            </w:r>
            <w:r w:rsidR="00A9738A" w:rsidRPr="0079537E">
              <w:rPr>
                <w:rFonts w:cs="Times New Roman"/>
                <w:lang w:val="en-GB"/>
              </w:rPr>
              <w:t xml:space="preserve"> </w:t>
            </w:r>
            <w:r w:rsidRPr="0079537E">
              <w:rPr>
                <w:rFonts w:cs="Times New Roman"/>
                <w:lang w:val="en-GB"/>
              </w:rPr>
              <w:t>Real-world case studies from various sectors, allowing users to explore ethical dilemmas and analy</w:t>
            </w:r>
            <w:r w:rsidR="001857D2" w:rsidRPr="0079537E">
              <w:rPr>
                <w:rFonts w:cs="Times New Roman"/>
                <w:lang w:val="en-GB"/>
              </w:rPr>
              <w:t>s</w:t>
            </w:r>
            <w:r w:rsidRPr="0079537E">
              <w:rPr>
                <w:rFonts w:cs="Times New Roman"/>
                <w:lang w:val="en-GB"/>
              </w:rPr>
              <w:t>e different approaches to resolution. These case studies are updated regularly to reflect current events and emerging ethical issues.</w:t>
            </w:r>
          </w:p>
          <w:p w14:paraId="24A8F998" w14:textId="77777777" w:rsidR="009D106F" w:rsidRPr="0079537E" w:rsidRDefault="009D106F" w:rsidP="00C415F0">
            <w:pPr>
              <w:pStyle w:val="NoSpacing"/>
              <w:spacing w:line="276" w:lineRule="auto"/>
              <w:rPr>
                <w:rFonts w:cs="Times New Roman"/>
                <w:lang w:val="en-GB"/>
              </w:rPr>
            </w:pPr>
          </w:p>
          <w:p w14:paraId="017C0E58" w14:textId="6AFF034D" w:rsidR="009D106F" w:rsidRPr="0079537E" w:rsidRDefault="009D106F" w:rsidP="00C415F0">
            <w:pPr>
              <w:pStyle w:val="NoSpacing"/>
              <w:spacing w:line="276" w:lineRule="auto"/>
              <w:rPr>
                <w:rFonts w:cs="Times New Roman"/>
                <w:lang w:val="en-GB"/>
              </w:rPr>
            </w:pPr>
            <w:r w:rsidRPr="0079537E">
              <w:rPr>
                <w:rFonts w:cs="Times New Roman"/>
                <w:lang w:val="en-GB"/>
              </w:rPr>
              <w:t>Expert Insights:</w:t>
            </w:r>
            <w:r w:rsidR="00A9738A" w:rsidRPr="0079537E">
              <w:rPr>
                <w:rFonts w:cs="Times New Roman"/>
                <w:lang w:val="en-GB"/>
              </w:rPr>
              <w:t xml:space="preserve"> </w:t>
            </w:r>
            <w:r w:rsidRPr="0079537E">
              <w:rPr>
                <w:rFonts w:cs="Times New Roman"/>
                <w:lang w:val="en-GB"/>
              </w:rPr>
              <w:t>Contributions from ethics experts, thought leaders, and practitioners, offering valuable perspectives, insights, and best practices on ethical decision-making in different contexts.</w:t>
            </w:r>
          </w:p>
          <w:p w14:paraId="0F3EFC72" w14:textId="77777777" w:rsidR="009D106F" w:rsidRPr="0079537E" w:rsidRDefault="009D106F" w:rsidP="00C415F0">
            <w:pPr>
              <w:pStyle w:val="NoSpacing"/>
              <w:spacing w:line="276" w:lineRule="auto"/>
              <w:rPr>
                <w:rFonts w:cs="Times New Roman"/>
                <w:lang w:val="en-GB"/>
              </w:rPr>
            </w:pPr>
          </w:p>
          <w:p w14:paraId="7E6756E9" w14:textId="368A63A8" w:rsidR="009D106F" w:rsidRPr="0079537E" w:rsidRDefault="00A9738A" w:rsidP="00C415F0">
            <w:pPr>
              <w:pStyle w:val="NoSpacing"/>
              <w:spacing w:line="276" w:lineRule="auto"/>
              <w:rPr>
                <w:rFonts w:cs="Times New Roman"/>
                <w:lang w:val="en-GB"/>
              </w:rPr>
            </w:pPr>
            <w:r w:rsidRPr="0079537E">
              <w:rPr>
                <w:rFonts w:cs="Times New Roman"/>
                <w:lang w:val="en-GB"/>
              </w:rPr>
              <w:t>I</w:t>
            </w:r>
            <w:r w:rsidR="009D106F" w:rsidRPr="0079537E">
              <w:rPr>
                <w:rFonts w:cs="Times New Roman"/>
                <w:lang w:val="en-GB"/>
              </w:rPr>
              <w:t>nteractive Tools:</w:t>
            </w:r>
            <w:r w:rsidRPr="0079537E">
              <w:rPr>
                <w:rFonts w:cs="Times New Roman"/>
                <w:lang w:val="en-GB"/>
              </w:rPr>
              <w:t xml:space="preserve"> </w:t>
            </w:r>
            <w:r w:rsidR="009D106F" w:rsidRPr="0079537E">
              <w:rPr>
                <w:rFonts w:cs="Times New Roman"/>
                <w:lang w:val="en-GB"/>
              </w:rPr>
              <w:t>Interactive tools and simulations to engage users in ethical reasoning exercises, role-playing scenarios, and decision-making simulations. These tools are designed to enhance ethical literacy, critical thinking skills, and moral reasoning.</w:t>
            </w:r>
          </w:p>
          <w:p w14:paraId="5D7E2882" w14:textId="77777777" w:rsidR="009D106F" w:rsidRPr="0079537E" w:rsidRDefault="009D106F" w:rsidP="00C415F0">
            <w:pPr>
              <w:pStyle w:val="NoSpacing"/>
              <w:spacing w:line="276" w:lineRule="auto"/>
              <w:rPr>
                <w:rFonts w:cs="Times New Roman"/>
                <w:lang w:val="en-GB"/>
              </w:rPr>
            </w:pPr>
          </w:p>
          <w:p w14:paraId="4BE4EF33" w14:textId="5FCC1507" w:rsidR="009D106F" w:rsidRPr="0079537E" w:rsidRDefault="009D106F" w:rsidP="00C415F0">
            <w:pPr>
              <w:pStyle w:val="NoSpacing"/>
              <w:spacing w:line="276" w:lineRule="auto"/>
              <w:rPr>
                <w:rFonts w:cs="Times New Roman"/>
                <w:lang w:val="en-GB"/>
              </w:rPr>
            </w:pPr>
            <w:r w:rsidRPr="0079537E">
              <w:rPr>
                <w:rFonts w:cs="Times New Roman"/>
                <w:lang w:val="en-GB"/>
              </w:rPr>
              <w:lastRenderedPageBreak/>
              <w:t>Community Forums:</w:t>
            </w:r>
            <w:r w:rsidR="00937909" w:rsidRPr="0079537E">
              <w:rPr>
                <w:rFonts w:cs="Times New Roman"/>
                <w:lang w:val="en-GB"/>
              </w:rPr>
              <w:t xml:space="preserve"> </w:t>
            </w:r>
            <w:r w:rsidRPr="0079537E">
              <w:rPr>
                <w:rFonts w:cs="Times New Roman"/>
                <w:lang w:val="en-GB"/>
              </w:rPr>
              <w:t>A community forum where users can connect with peers, seek advice, share experiences, and engage in discussions on ethical topics of interest. The forum provides a supportive environment for learning, collaboration, and peer support.</w:t>
            </w:r>
          </w:p>
          <w:p w14:paraId="6FCEFE05" w14:textId="77777777" w:rsidR="001857D2" w:rsidRPr="0079537E" w:rsidRDefault="001857D2" w:rsidP="00C415F0">
            <w:pPr>
              <w:pStyle w:val="NoSpacing"/>
              <w:spacing w:line="276" w:lineRule="auto"/>
              <w:rPr>
                <w:rFonts w:cs="Times New Roman"/>
                <w:lang w:val="en-GB"/>
              </w:rPr>
            </w:pPr>
          </w:p>
          <w:p w14:paraId="0AAA440C" w14:textId="4DEC2599" w:rsidR="00231BFF" w:rsidRPr="0079537E" w:rsidRDefault="001857D2" w:rsidP="00C415F0">
            <w:pPr>
              <w:pStyle w:val="NoSpacing"/>
              <w:spacing w:line="276" w:lineRule="auto"/>
              <w:rPr>
                <w:rFonts w:cs="Times New Roman"/>
                <w:lang w:val="en-GB"/>
              </w:rPr>
            </w:pPr>
            <w:r w:rsidRPr="0079537E">
              <w:rPr>
                <w:rFonts w:cs="Times New Roman"/>
                <w:color w:val="1E1D1A"/>
                <w:shd w:val="clear" w:color="auto" w:fill="FFFFFF"/>
                <w:lang w:val="en-GB"/>
              </w:rPr>
              <w:t>Artificial Intelligence (AI) incorporation: Enhances its functionality and effectiveness. AI features such as AI-Powered Decision Support enable the analysis of complex ethical dilemmas and provide tailored recommendations based on past cases and ethical principles.</w:t>
            </w:r>
          </w:p>
        </w:tc>
      </w:tr>
      <w:tr w:rsidR="009D106F" w:rsidRPr="0079537E" w14:paraId="35CE591A" w14:textId="77777777" w:rsidTr="005237BF">
        <w:tc>
          <w:tcPr>
            <w:tcW w:w="988" w:type="dxa"/>
            <w:shd w:val="clear" w:color="auto" w:fill="FBE4D5" w:themeFill="accent2" w:themeFillTint="33"/>
          </w:tcPr>
          <w:p w14:paraId="3D81A601" w14:textId="26662C48" w:rsidR="009D106F" w:rsidRPr="0079537E" w:rsidRDefault="009D106F" w:rsidP="00C415F0">
            <w:pPr>
              <w:pStyle w:val="NoSpacing"/>
              <w:spacing w:line="276" w:lineRule="auto"/>
              <w:rPr>
                <w:rFonts w:cs="Times New Roman"/>
                <w:lang w:val="en-GB"/>
              </w:rPr>
            </w:pPr>
            <w:r w:rsidRPr="0079537E">
              <w:rPr>
                <w:rFonts w:cs="Times New Roman"/>
                <w:lang w:val="en-GB"/>
              </w:rPr>
              <w:lastRenderedPageBreak/>
              <w:t>Target Audience</w:t>
            </w:r>
          </w:p>
        </w:tc>
        <w:tc>
          <w:tcPr>
            <w:tcW w:w="8068" w:type="dxa"/>
          </w:tcPr>
          <w:p w14:paraId="6382702B" w14:textId="77777777" w:rsidR="009D106F" w:rsidRPr="0079537E" w:rsidRDefault="009D106F" w:rsidP="00C415F0">
            <w:pPr>
              <w:pStyle w:val="NoSpacing"/>
              <w:spacing w:line="276" w:lineRule="auto"/>
              <w:rPr>
                <w:rFonts w:cs="Times New Roman"/>
                <w:lang w:val="en-GB"/>
              </w:rPr>
            </w:pPr>
            <w:r w:rsidRPr="0079537E">
              <w:rPr>
                <w:rFonts w:cs="Times New Roman"/>
                <w:lang w:val="en-GB"/>
              </w:rPr>
              <w:t>EthicEase is designed for a diverse range of users, including:</w:t>
            </w:r>
          </w:p>
          <w:p w14:paraId="1E15FE89" w14:textId="77777777" w:rsidR="009D106F" w:rsidRPr="0079537E" w:rsidRDefault="009D106F" w:rsidP="00C415F0">
            <w:pPr>
              <w:pStyle w:val="NoSpacing"/>
              <w:spacing w:line="276" w:lineRule="auto"/>
              <w:rPr>
                <w:rFonts w:cs="Times New Roman"/>
                <w:lang w:val="en-GB"/>
              </w:rPr>
            </w:pPr>
          </w:p>
          <w:p w14:paraId="4CD28A3C" w14:textId="271FB777" w:rsidR="009D106F" w:rsidRPr="0079537E" w:rsidRDefault="00937909" w:rsidP="00C415F0">
            <w:pPr>
              <w:pStyle w:val="NoSpacing"/>
              <w:spacing w:line="276" w:lineRule="auto"/>
              <w:rPr>
                <w:rFonts w:cs="Times New Roman"/>
                <w:lang w:val="en-GB"/>
              </w:rPr>
            </w:pPr>
            <w:r w:rsidRPr="0079537E">
              <w:rPr>
                <w:rFonts w:cs="Times New Roman"/>
                <w:lang w:val="en-GB"/>
              </w:rPr>
              <w:t xml:space="preserve">Organizations: </w:t>
            </w:r>
            <w:r w:rsidR="009D106F" w:rsidRPr="0079537E">
              <w:rPr>
                <w:rFonts w:cs="Times New Roman"/>
                <w:lang w:val="en-GB"/>
              </w:rPr>
              <w:t>humanitarian organizations seeking to embed ethical principles into their operations, policies, and decision-making processes.</w:t>
            </w:r>
            <w:r w:rsidR="00873185" w:rsidRPr="0079537E">
              <w:rPr>
                <w:rFonts w:cs="Times New Roman"/>
                <w:lang w:val="en-GB"/>
              </w:rPr>
              <w:t xml:space="preserve"> Non-profit organizations, government agencies can benefit from it if contextualised according to their needs </w:t>
            </w:r>
          </w:p>
          <w:p w14:paraId="440E100A" w14:textId="77777777" w:rsidR="009D106F" w:rsidRPr="0079537E" w:rsidRDefault="009D106F" w:rsidP="00C415F0">
            <w:pPr>
              <w:pStyle w:val="NoSpacing"/>
              <w:spacing w:line="276" w:lineRule="auto"/>
              <w:rPr>
                <w:rFonts w:cs="Times New Roman"/>
                <w:lang w:val="en-GB"/>
              </w:rPr>
            </w:pPr>
          </w:p>
          <w:p w14:paraId="6A8A2D37" w14:textId="60519004" w:rsidR="009D106F" w:rsidRPr="0079537E" w:rsidRDefault="009D106F" w:rsidP="00C415F0">
            <w:pPr>
              <w:pStyle w:val="NoSpacing"/>
              <w:spacing w:line="276" w:lineRule="auto"/>
              <w:rPr>
                <w:rFonts w:cs="Times New Roman"/>
                <w:lang w:val="en-GB"/>
              </w:rPr>
            </w:pPr>
            <w:r w:rsidRPr="0079537E">
              <w:rPr>
                <w:rFonts w:cs="Times New Roman"/>
                <w:lang w:val="en-GB"/>
              </w:rPr>
              <w:t>Professionals:</w:t>
            </w:r>
            <w:r w:rsidR="00937909" w:rsidRPr="0079537E">
              <w:rPr>
                <w:rFonts w:cs="Times New Roman"/>
                <w:lang w:val="en-GB"/>
              </w:rPr>
              <w:t xml:space="preserve"> </w:t>
            </w:r>
            <w:r w:rsidRPr="0079537E">
              <w:rPr>
                <w:rFonts w:cs="Times New Roman"/>
                <w:lang w:val="en-GB"/>
              </w:rPr>
              <w:t>Healthcare professionals, lawyers, educators, managers, and other professionals who regularly encounter ethical dilemmas in their work and seek guidance on navigating them effectively.</w:t>
            </w:r>
          </w:p>
          <w:p w14:paraId="51F59229" w14:textId="77777777" w:rsidR="009D106F" w:rsidRPr="0079537E" w:rsidRDefault="009D106F" w:rsidP="00C415F0">
            <w:pPr>
              <w:pStyle w:val="NoSpacing"/>
              <w:spacing w:line="276" w:lineRule="auto"/>
              <w:rPr>
                <w:rFonts w:cs="Times New Roman"/>
                <w:lang w:val="en-GB"/>
              </w:rPr>
            </w:pPr>
          </w:p>
          <w:p w14:paraId="54F52069" w14:textId="6C7FCF90" w:rsidR="009D106F" w:rsidRPr="0079537E" w:rsidRDefault="009D106F" w:rsidP="00C415F0">
            <w:pPr>
              <w:pStyle w:val="NoSpacing"/>
              <w:spacing w:line="276" w:lineRule="auto"/>
              <w:rPr>
                <w:rFonts w:cs="Times New Roman"/>
                <w:lang w:val="en-GB"/>
              </w:rPr>
            </w:pPr>
            <w:r w:rsidRPr="0079537E">
              <w:rPr>
                <w:rFonts w:cs="Times New Roman"/>
                <w:lang w:val="en-GB"/>
              </w:rPr>
              <w:t>Students:</w:t>
            </w:r>
            <w:r w:rsidR="00937909" w:rsidRPr="0079537E">
              <w:rPr>
                <w:rFonts w:cs="Times New Roman"/>
                <w:lang w:val="en-GB"/>
              </w:rPr>
              <w:t xml:space="preserve"> </w:t>
            </w:r>
            <w:r w:rsidRPr="0079537E">
              <w:rPr>
                <w:rFonts w:cs="Times New Roman"/>
                <w:lang w:val="en-GB"/>
              </w:rPr>
              <w:t>Undergraduate and graduate students studying</w:t>
            </w:r>
            <w:r w:rsidR="00937909" w:rsidRPr="0079537E">
              <w:rPr>
                <w:rFonts w:cs="Times New Roman"/>
                <w:lang w:val="en-GB"/>
              </w:rPr>
              <w:t xml:space="preserve"> humanitarian action,</w:t>
            </w:r>
            <w:r w:rsidRPr="0079537E">
              <w:rPr>
                <w:rFonts w:cs="Times New Roman"/>
                <w:lang w:val="en-GB"/>
              </w:rPr>
              <w:t xml:space="preserve"> ethics, philosophy, law, business, healthcare, and related fields who want to deepen their understanding of ethical concepts and apply them in practice.</w:t>
            </w:r>
          </w:p>
          <w:p w14:paraId="31CA37E0" w14:textId="77777777" w:rsidR="009D106F" w:rsidRPr="0079537E" w:rsidRDefault="009D106F" w:rsidP="00C415F0">
            <w:pPr>
              <w:pStyle w:val="NoSpacing"/>
              <w:spacing w:line="276" w:lineRule="auto"/>
              <w:rPr>
                <w:rFonts w:cs="Times New Roman"/>
                <w:lang w:val="en-GB"/>
              </w:rPr>
            </w:pPr>
          </w:p>
        </w:tc>
      </w:tr>
      <w:tr w:rsidR="009D106F" w:rsidRPr="0079537E" w14:paraId="00A1B17E" w14:textId="77777777" w:rsidTr="005237BF">
        <w:tc>
          <w:tcPr>
            <w:tcW w:w="988" w:type="dxa"/>
            <w:shd w:val="clear" w:color="auto" w:fill="FBE4D5" w:themeFill="accent2" w:themeFillTint="33"/>
          </w:tcPr>
          <w:p w14:paraId="02F0475A" w14:textId="03DAA523" w:rsidR="009D106F" w:rsidRPr="0079537E" w:rsidRDefault="009D106F" w:rsidP="00C415F0">
            <w:pPr>
              <w:pStyle w:val="NoSpacing"/>
              <w:spacing w:line="276" w:lineRule="auto"/>
              <w:rPr>
                <w:rFonts w:cs="Times New Roman"/>
                <w:lang w:val="en-GB"/>
              </w:rPr>
            </w:pPr>
            <w:r w:rsidRPr="0079537E">
              <w:rPr>
                <w:rFonts w:cs="Times New Roman"/>
                <w:lang w:val="en-GB"/>
              </w:rPr>
              <w:t>Features</w:t>
            </w:r>
          </w:p>
        </w:tc>
        <w:tc>
          <w:tcPr>
            <w:tcW w:w="8068" w:type="dxa"/>
          </w:tcPr>
          <w:p w14:paraId="646FE012" w14:textId="6A33344E" w:rsidR="009D106F" w:rsidRPr="0079537E" w:rsidRDefault="009D106F" w:rsidP="00C415F0">
            <w:pPr>
              <w:pStyle w:val="NoSpacing"/>
              <w:spacing w:line="276" w:lineRule="auto"/>
              <w:rPr>
                <w:rFonts w:cs="Times New Roman"/>
                <w:lang w:val="en-GB"/>
              </w:rPr>
            </w:pPr>
            <w:r w:rsidRPr="0079537E">
              <w:rPr>
                <w:rFonts w:cs="Times New Roman"/>
                <w:lang w:val="en-GB"/>
              </w:rPr>
              <w:t>User-Friendly Interface:</w:t>
            </w:r>
            <w:r w:rsidR="00937909" w:rsidRPr="0079537E">
              <w:rPr>
                <w:rFonts w:cs="Times New Roman"/>
                <w:lang w:val="en-GB"/>
              </w:rPr>
              <w:t xml:space="preserve"> </w:t>
            </w:r>
            <w:r w:rsidRPr="0079537E">
              <w:rPr>
                <w:rFonts w:cs="Times New Roman"/>
                <w:lang w:val="en-GB"/>
              </w:rPr>
              <w:t>Intuitive and user-friendly interface, making it easy for users to navigate and access resources on ethical decision-making.</w:t>
            </w:r>
          </w:p>
          <w:p w14:paraId="32F3F61F" w14:textId="77777777" w:rsidR="009D106F" w:rsidRPr="0079537E" w:rsidRDefault="009D106F" w:rsidP="00C415F0">
            <w:pPr>
              <w:pStyle w:val="NoSpacing"/>
              <w:spacing w:line="276" w:lineRule="auto"/>
              <w:rPr>
                <w:rFonts w:cs="Times New Roman"/>
                <w:lang w:val="en-GB"/>
              </w:rPr>
            </w:pPr>
          </w:p>
          <w:p w14:paraId="5435C619" w14:textId="2B167611" w:rsidR="009D106F" w:rsidRPr="0079537E" w:rsidRDefault="009D106F" w:rsidP="00C415F0">
            <w:pPr>
              <w:pStyle w:val="NoSpacing"/>
              <w:spacing w:line="276" w:lineRule="auto"/>
              <w:rPr>
                <w:rFonts w:cs="Times New Roman"/>
                <w:lang w:val="en-GB"/>
              </w:rPr>
            </w:pPr>
            <w:r w:rsidRPr="0079537E">
              <w:rPr>
                <w:rFonts w:cs="Times New Roman"/>
                <w:lang w:val="en-GB"/>
              </w:rPr>
              <w:t>Personalized Recommendations:</w:t>
            </w:r>
            <w:r w:rsidR="00937909" w:rsidRPr="0079537E">
              <w:rPr>
                <w:rFonts w:cs="Times New Roman"/>
                <w:lang w:val="en-GB"/>
              </w:rPr>
              <w:t xml:space="preserve"> </w:t>
            </w:r>
            <w:r w:rsidRPr="0079537E">
              <w:rPr>
                <w:rFonts w:cs="Times New Roman"/>
                <w:lang w:val="en-GB"/>
              </w:rPr>
              <w:t>Customized recommendations and resources based on users' interests, preferences, and previous interactions with the app.</w:t>
            </w:r>
          </w:p>
          <w:p w14:paraId="2DFD87D2" w14:textId="77777777" w:rsidR="009D106F" w:rsidRPr="0079537E" w:rsidRDefault="009D106F" w:rsidP="00C415F0">
            <w:pPr>
              <w:pStyle w:val="NoSpacing"/>
              <w:spacing w:line="276" w:lineRule="auto"/>
              <w:rPr>
                <w:rFonts w:cs="Times New Roman"/>
                <w:lang w:val="en-GB"/>
              </w:rPr>
            </w:pPr>
          </w:p>
          <w:p w14:paraId="72505BDA" w14:textId="086AE978" w:rsidR="009D106F" w:rsidRPr="0079537E" w:rsidRDefault="009D106F" w:rsidP="00C415F0">
            <w:pPr>
              <w:pStyle w:val="NoSpacing"/>
              <w:spacing w:line="276" w:lineRule="auto"/>
              <w:rPr>
                <w:rFonts w:cs="Times New Roman"/>
                <w:lang w:val="en-GB"/>
              </w:rPr>
            </w:pPr>
            <w:r w:rsidRPr="0079537E">
              <w:rPr>
                <w:rFonts w:cs="Times New Roman"/>
                <w:lang w:val="en-GB"/>
              </w:rPr>
              <w:t>Offline Access:</w:t>
            </w:r>
            <w:r w:rsidR="00937909" w:rsidRPr="0079537E">
              <w:rPr>
                <w:rFonts w:cs="Times New Roman"/>
                <w:lang w:val="en-GB"/>
              </w:rPr>
              <w:t xml:space="preserve"> </w:t>
            </w:r>
            <w:r w:rsidRPr="0079537E">
              <w:rPr>
                <w:rFonts w:cs="Times New Roman"/>
                <w:lang w:val="en-GB"/>
              </w:rPr>
              <w:t>Option to download resources for offline access, ensuring accessibility even in low-connectivity environments.</w:t>
            </w:r>
          </w:p>
          <w:p w14:paraId="0FE0AEDD" w14:textId="77777777" w:rsidR="009D106F" w:rsidRPr="0079537E" w:rsidRDefault="009D106F" w:rsidP="00C415F0">
            <w:pPr>
              <w:pStyle w:val="NoSpacing"/>
              <w:spacing w:line="276" w:lineRule="auto"/>
              <w:rPr>
                <w:rFonts w:cs="Times New Roman"/>
                <w:lang w:val="en-GB"/>
              </w:rPr>
            </w:pPr>
          </w:p>
          <w:p w14:paraId="39A100B8" w14:textId="2FF5662B" w:rsidR="009D106F" w:rsidRPr="0079537E" w:rsidRDefault="009D106F" w:rsidP="00C415F0">
            <w:pPr>
              <w:pStyle w:val="NoSpacing"/>
              <w:spacing w:line="276" w:lineRule="auto"/>
              <w:rPr>
                <w:rFonts w:cs="Times New Roman"/>
                <w:lang w:val="en-GB"/>
              </w:rPr>
            </w:pPr>
            <w:r w:rsidRPr="0079537E">
              <w:rPr>
                <w:rFonts w:cs="Times New Roman"/>
                <w:lang w:val="en-GB"/>
              </w:rPr>
              <w:t>Secure and Confidential:</w:t>
            </w:r>
            <w:r w:rsidR="00937909" w:rsidRPr="0079537E">
              <w:rPr>
                <w:rFonts w:cs="Times New Roman"/>
                <w:lang w:val="en-GB"/>
              </w:rPr>
              <w:t xml:space="preserve"> </w:t>
            </w:r>
            <w:r w:rsidRPr="0079537E">
              <w:rPr>
                <w:rFonts w:cs="Times New Roman"/>
                <w:lang w:val="en-GB"/>
              </w:rPr>
              <w:t>Built-in security features to protect users' privacy and confidentiality, particularly important when discussing sensitive ethical issues.</w:t>
            </w:r>
          </w:p>
          <w:p w14:paraId="70A561AA" w14:textId="77777777" w:rsidR="009D106F" w:rsidRPr="0079537E" w:rsidRDefault="009D106F" w:rsidP="00C415F0">
            <w:pPr>
              <w:pStyle w:val="NoSpacing"/>
              <w:spacing w:line="276" w:lineRule="auto"/>
              <w:rPr>
                <w:rFonts w:cs="Times New Roman"/>
                <w:lang w:val="en-GB"/>
              </w:rPr>
            </w:pPr>
          </w:p>
          <w:p w14:paraId="13A0BA43" w14:textId="4615B73C" w:rsidR="009D106F" w:rsidRPr="0079537E" w:rsidRDefault="009D106F" w:rsidP="00C415F0">
            <w:pPr>
              <w:pStyle w:val="NoSpacing"/>
              <w:spacing w:line="276" w:lineRule="auto"/>
              <w:rPr>
                <w:rFonts w:cs="Times New Roman"/>
                <w:lang w:val="en-GB"/>
              </w:rPr>
            </w:pPr>
            <w:r w:rsidRPr="0079537E">
              <w:rPr>
                <w:rFonts w:cs="Times New Roman"/>
                <w:lang w:val="en-GB"/>
              </w:rPr>
              <w:t>Regular Updates:</w:t>
            </w:r>
            <w:r w:rsidR="00937909" w:rsidRPr="0079537E">
              <w:rPr>
                <w:rFonts w:cs="Times New Roman"/>
                <w:lang w:val="en-GB"/>
              </w:rPr>
              <w:t xml:space="preserve"> </w:t>
            </w:r>
            <w:r w:rsidRPr="0079537E">
              <w:rPr>
                <w:rFonts w:cs="Times New Roman"/>
                <w:lang w:val="en-GB"/>
              </w:rPr>
              <w:t>Regular updates with new case studies, expert insights, and interactive tools to keep content fresh, relevant, and engaging.</w:t>
            </w:r>
          </w:p>
          <w:p w14:paraId="56EDECC9" w14:textId="77777777" w:rsidR="009D106F" w:rsidRPr="0079537E" w:rsidRDefault="009D106F" w:rsidP="00C415F0">
            <w:pPr>
              <w:pStyle w:val="NoSpacing"/>
              <w:spacing w:line="276" w:lineRule="auto"/>
              <w:rPr>
                <w:rFonts w:cs="Times New Roman"/>
                <w:lang w:val="en-GB"/>
              </w:rPr>
            </w:pPr>
          </w:p>
        </w:tc>
      </w:tr>
      <w:tr w:rsidR="009D106F" w:rsidRPr="0079537E" w14:paraId="58EA55FF" w14:textId="77777777" w:rsidTr="005237BF">
        <w:tc>
          <w:tcPr>
            <w:tcW w:w="988" w:type="dxa"/>
            <w:shd w:val="clear" w:color="auto" w:fill="FBE4D5" w:themeFill="accent2" w:themeFillTint="33"/>
          </w:tcPr>
          <w:p w14:paraId="1B673138" w14:textId="5375B229" w:rsidR="009D106F" w:rsidRPr="0079537E" w:rsidRDefault="009D106F" w:rsidP="00C415F0">
            <w:pPr>
              <w:pStyle w:val="NoSpacing"/>
              <w:spacing w:line="276" w:lineRule="auto"/>
              <w:rPr>
                <w:rFonts w:cs="Times New Roman"/>
                <w:lang w:val="en-GB"/>
              </w:rPr>
            </w:pPr>
            <w:r w:rsidRPr="0079537E">
              <w:rPr>
                <w:rFonts w:cs="Times New Roman"/>
                <w:lang w:val="en-GB"/>
              </w:rPr>
              <w:lastRenderedPageBreak/>
              <w:t>Implementation Plan</w:t>
            </w:r>
          </w:p>
        </w:tc>
        <w:tc>
          <w:tcPr>
            <w:tcW w:w="8068" w:type="dxa"/>
          </w:tcPr>
          <w:p w14:paraId="6EA1647C" w14:textId="2F1DEA7C" w:rsidR="009D106F" w:rsidRPr="0079537E" w:rsidRDefault="009D106F" w:rsidP="00C415F0">
            <w:pPr>
              <w:pStyle w:val="NoSpacing"/>
              <w:spacing w:line="276" w:lineRule="auto"/>
              <w:rPr>
                <w:rFonts w:cs="Times New Roman"/>
                <w:lang w:val="en-GB"/>
              </w:rPr>
            </w:pPr>
            <w:r w:rsidRPr="0079537E">
              <w:rPr>
                <w:rFonts w:cs="Times New Roman"/>
                <w:lang w:val="en-GB"/>
              </w:rPr>
              <w:t>Development Phase</w:t>
            </w:r>
            <w:r w:rsidR="00F61AA2" w:rsidRPr="0079537E">
              <w:rPr>
                <w:rFonts w:cs="Times New Roman"/>
                <w:lang w:val="en-GB"/>
              </w:rPr>
              <w:t xml:space="preserve">: </w:t>
            </w:r>
            <w:r w:rsidRPr="0079537E">
              <w:rPr>
                <w:rFonts w:cs="Times New Roman"/>
                <w:lang w:val="en-GB"/>
              </w:rPr>
              <w:t>Collaborate with ethics experts, developers, and designers to build the EthicEase mobile application, ensuring it meets the highest standards of usability, accessibility, and security.</w:t>
            </w:r>
          </w:p>
          <w:p w14:paraId="4098EE45" w14:textId="77777777" w:rsidR="009D106F" w:rsidRPr="0079537E" w:rsidRDefault="009D106F" w:rsidP="00C415F0">
            <w:pPr>
              <w:pStyle w:val="NoSpacing"/>
              <w:spacing w:line="276" w:lineRule="auto"/>
              <w:rPr>
                <w:rFonts w:cs="Times New Roman"/>
                <w:lang w:val="en-GB"/>
              </w:rPr>
            </w:pPr>
          </w:p>
          <w:p w14:paraId="45F9A568" w14:textId="1964DF04" w:rsidR="009D106F" w:rsidRPr="0079537E" w:rsidRDefault="009D106F" w:rsidP="00C415F0">
            <w:pPr>
              <w:pStyle w:val="NoSpacing"/>
              <w:spacing w:line="276" w:lineRule="auto"/>
              <w:rPr>
                <w:rFonts w:cs="Times New Roman"/>
                <w:lang w:val="en-GB"/>
              </w:rPr>
            </w:pPr>
            <w:r w:rsidRPr="0079537E">
              <w:rPr>
                <w:rFonts w:cs="Times New Roman"/>
                <w:lang w:val="en-GB"/>
              </w:rPr>
              <w:t>Testing and Feedback:</w:t>
            </w:r>
            <w:r w:rsidR="00F61AA2" w:rsidRPr="0079537E">
              <w:rPr>
                <w:rFonts w:cs="Times New Roman"/>
                <w:lang w:val="en-GB"/>
              </w:rPr>
              <w:t xml:space="preserve"> </w:t>
            </w:r>
            <w:r w:rsidRPr="0079537E">
              <w:rPr>
                <w:rFonts w:cs="Times New Roman"/>
                <w:lang w:val="en-GB"/>
              </w:rPr>
              <w:t>Conduct extensive testing and gather feedback from beta users to identify any bugs, usability issues, or areas for improvement.</w:t>
            </w:r>
          </w:p>
          <w:p w14:paraId="154B668B" w14:textId="77777777" w:rsidR="009D106F" w:rsidRPr="0079537E" w:rsidRDefault="009D106F" w:rsidP="00C415F0">
            <w:pPr>
              <w:pStyle w:val="NoSpacing"/>
              <w:spacing w:line="276" w:lineRule="auto"/>
              <w:rPr>
                <w:rFonts w:cs="Times New Roman"/>
                <w:lang w:val="en-GB"/>
              </w:rPr>
            </w:pPr>
          </w:p>
          <w:p w14:paraId="08A99B38" w14:textId="417A9ECF" w:rsidR="009D106F" w:rsidRPr="0079537E" w:rsidRDefault="009D106F" w:rsidP="00C415F0">
            <w:pPr>
              <w:pStyle w:val="NoSpacing"/>
              <w:spacing w:line="276" w:lineRule="auto"/>
              <w:rPr>
                <w:rFonts w:cs="Times New Roman"/>
                <w:lang w:val="en-GB"/>
              </w:rPr>
            </w:pPr>
            <w:r w:rsidRPr="0079537E">
              <w:rPr>
                <w:rFonts w:cs="Times New Roman"/>
                <w:lang w:val="en-GB"/>
              </w:rPr>
              <w:t>Launch and Promotion:</w:t>
            </w:r>
            <w:r w:rsidR="00F61AA2" w:rsidRPr="0079537E">
              <w:rPr>
                <w:rFonts w:cs="Times New Roman"/>
                <w:lang w:val="en-GB"/>
              </w:rPr>
              <w:t xml:space="preserve"> </w:t>
            </w:r>
            <w:r w:rsidRPr="0079537E">
              <w:rPr>
                <w:rFonts w:cs="Times New Roman"/>
                <w:lang w:val="en-GB"/>
              </w:rPr>
              <w:t>Launch EthicEase on major app stores (e.g., Apple App Store, Google Play Store) and promote it through targeted marketing campaigns, social media channels, and partnerships with relevant organizations and institutions.</w:t>
            </w:r>
          </w:p>
          <w:p w14:paraId="6DB47A13" w14:textId="77777777" w:rsidR="009D106F" w:rsidRPr="0079537E" w:rsidRDefault="009D106F" w:rsidP="00C415F0">
            <w:pPr>
              <w:pStyle w:val="NoSpacing"/>
              <w:spacing w:line="276" w:lineRule="auto"/>
              <w:rPr>
                <w:rFonts w:cs="Times New Roman"/>
                <w:lang w:val="en-GB"/>
              </w:rPr>
            </w:pPr>
          </w:p>
          <w:p w14:paraId="60D7FBF8" w14:textId="20BA9587" w:rsidR="009D106F" w:rsidRPr="0079537E" w:rsidRDefault="009D106F" w:rsidP="00C415F0">
            <w:pPr>
              <w:pStyle w:val="NoSpacing"/>
              <w:spacing w:line="276" w:lineRule="auto"/>
              <w:rPr>
                <w:rFonts w:cs="Times New Roman"/>
                <w:lang w:val="en-GB"/>
              </w:rPr>
            </w:pPr>
            <w:r w:rsidRPr="0079537E">
              <w:rPr>
                <w:rFonts w:cs="Times New Roman"/>
                <w:lang w:val="en-GB"/>
              </w:rPr>
              <w:t>User Training and Support</w:t>
            </w:r>
            <w:r w:rsidR="00F61AA2" w:rsidRPr="0079537E">
              <w:rPr>
                <w:rFonts w:cs="Times New Roman"/>
                <w:lang w:val="en-GB"/>
              </w:rPr>
              <w:t xml:space="preserve">: </w:t>
            </w:r>
            <w:r w:rsidRPr="0079537E">
              <w:rPr>
                <w:rFonts w:cs="Times New Roman"/>
                <w:lang w:val="en-GB"/>
              </w:rPr>
              <w:t>Provide comprehensive user training materials, tutorials, and customer support to help users get the most out of the app and address any questions or concerns they may have.</w:t>
            </w:r>
          </w:p>
        </w:tc>
      </w:tr>
      <w:tr w:rsidR="009D106F" w:rsidRPr="0079537E" w14:paraId="4F8B71D1" w14:textId="77777777" w:rsidTr="005237BF">
        <w:tc>
          <w:tcPr>
            <w:tcW w:w="988" w:type="dxa"/>
            <w:shd w:val="clear" w:color="auto" w:fill="FBE4D5" w:themeFill="accent2" w:themeFillTint="33"/>
          </w:tcPr>
          <w:p w14:paraId="4EF95DDD" w14:textId="32BAE7E3" w:rsidR="009D106F" w:rsidRPr="0079537E" w:rsidRDefault="009D106F" w:rsidP="00C415F0">
            <w:pPr>
              <w:pStyle w:val="NoSpacing"/>
              <w:spacing w:line="276" w:lineRule="auto"/>
              <w:rPr>
                <w:rFonts w:cs="Times New Roman"/>
                <w:lang w:val="en-GB"/>
              </w:rPr>
            </w:pPr>
            <w:r w:rsidRPr="0079537E">
              <w:rPr>
                <w:rFonts w:cs="Times New Roman"/>
                <w:lang w:val="en-GB"/>
              </w:rPr>
              <w:t>Evaluation Impact</w:t>
            </w:r>
          </w:p>
        </w:tc>
        <w:tc>
          <w:tcPr>
            <w:tcW w:w="8068" w:type="dxa"/>
          </w:tcPr>
          <w:p w14:paraId="2E0153A5" w14:textId="77777777" w:rsidR="00F61AA2" w:rsidRPr="0079537E" w:rsidRDefault="009D106F" w:rsidP="00C415F0">
            <w:pPr>
              <w:pStyle w:val="NoSpacing"/>
              <w:spacing w:line="276" w:lineRule="auto"/>
              <w:rPr>
                <w:rFonts w:cs="Times New Roman"/>
                <w:lang w:val="en-GB"/>
              </w:rPr>
            </w:pPr>
            <w:r w:rsidRPr="0079537E">
              <w:rPr>
                <w:rFonts w:cs="Times New Roman"/>
                <w:lang w:val="en-GB"/>
              </w:rPr>
              <w:t>User Feedback:</w:t>
            </w:r>
            <w:r w:rsidR="00F61AA2" w:rsidRPr="0079537E">
              <w:rPr>
                <w:rFonts w:cs="Times New Roman"/>
                <w:lang w:val="en-GB"/>
              </w:rPr>
              <w:t xml:space="preserve"> </w:t>
            </w:r>
            <w:r w:rsidRPr="0079537E">
              <w:rPr>
                <w:rFonts w:cs="Times New Roman"/>
                <w:lang w:val="en-GB"/>
              </w:rPr>
              <w:t xml:space="preserve"> Solicit feedback from users through surveys, reviews, and user engagement metrics to assess satisfaction levels, identify areas for improvement, and prioritize future updates and enhancements.</w:t>
            </w:r>
          </w:p>
          <w:p w14:paraId="0FC6B56C" w14:textId="77777777" w:rsidR="00F61AA2" w:rsidRPr="0079537E" w:rsidRDefault="00F61AA2" w:rsidP="00C415F0">
            <w:pPr>
              <w:pStyle w:val="NoSpacing"/>
              <w:spacing w:line="276" w:lineRule="auto"/>
              <w:rPr>
                <w:rFonts w:cs="Times New Roman"/>
                <w:lang w:val="en-GB"/>
              </w:rPr>
            </w:pPr>
          </w:p>
          <w:p w14:paraId="3AF1AABD" w14:textId="77777777" w:rsidR="00F61AA2" w:rsidRPr="0079537E" w:rsidRDefault="009D106F" w:rsidP="00C415F0">
            <w:pPr>
              <w:pStyle w:val="NoSpacing"/>
              <w:spacing w:line="276" w:lineRule="auto"/>
              <w:rPr>
                <w:rFonts w:cs="Times New Roman"/>
                <w:lang w:val="en-GB"/>
              </w:rPr>
            </w:pPr>
            <w:r w:rsidRPr="0079537E">
              <w:rPr>
                <w:rFonts w:cs="Times New Roman"/>
                <w:lang w:val="en-GB"/>
              </w:rPr>
              <w:t>Impact Assessment:</w:t>
            </w:r>
            <w:r w:rsidR="00F61AA2" w:rsidRPr="0079537E">
              <w:rPr>
                <w:rFonts w:cs="Times New Roman"/>
                <w:lang w:val="en-GB"/>
              </w:rPr>
              <w:t xml:space="preserve"> </w:t>
            </w:r>
            <w:r w:rsidRPr="0079537E">
              <w:rPr>
                <w:rFonts w:cs="Times New Roman"/>
                <w:lang w:val="en-GB"/>
              </w:rPr>
              <w:t>Evaluate the impact of EthicEase on users' ethical decision-making skills, knowledge, and confidence through pre- and post-implementation assessments, case studies, and qualitative interviews.</w:t>
            </w:r>
          </w:p>
          <w:p w14:paraId="1A23211C" w14:textId="77777777" w:rsidR="00F61AA2" w:rsidRPr="0079537E" w:rsidRDefault="00F61AA2" w:rsidP="00C415F0">
            <w:pPr>
              <w:pStyle w:val="NoSpacing"/>
              <w:spacing w:line="276" w:lineRule="auto"/>
              <w:rPr>
                <w:rFonts w:cs="Times New Roman"/>
                <w:lang w:val="en-GB"/>
              </w:rPr>
            </w:pPr>
          </w:p>
          <w:p w14:paraId="4F92D893" w14:textId="2FE01F78" w:rsidR="009D106F" w:rsidRPr="0079537E" w:rsidRDefault="009D106F" w:rsidP="00C415F0">
            <w:pPr>
              <w:pStyle w:val="NoSpacing"/>
              <w:spacing w:line="276" w:lineRule="auto"/>
              <w:rPr>
                <w:rFonts w:cs="Times New Roman"/>
                <w:lang w:val="en-GB"/>
              </w:rPr>
            </w:pPr>
            <w:r w:rsidRPr="0079537E">
              <w:rPr>
                <w:rFonts w:cs="Times New Roman"/>
                <w:lang w:val="en-GB"/>
              </w:rPr>
              <w:t>Long-Term Monitoring:</w:t>
            </w:r>
            <w:r w:rsidR="00F61AA2" w:rsidRPr="0079537E">
              <w:rPr>
                <w:rFonts w:cs="Times New Roman"/>
                <w:lang w:val="en-GB"/>
              </w:rPr>
              <w:t xml:space="preserve"> </w:t>
            </w:r>
            <w:r w:rsidRPr="0079537E">
              <w:rPr>
                <w:rFonts w:cs="Times New Roman"/>
                <w:lang w:val="en-GB"/>
              </w:rPr>
              <w:t>Continuously monitor app usage, engagement metrics, and user satisfaction over time to track long-term trends and ensure ongoing relevance and effectiveness.</w:t>
            </w:r>
          </w:p>
        </w:tc>
      </w:tr>
    </w:tbl>
    <w:p w14:paraId="01B7A88E" w14:textId="77777777" w:rsidR="00231BFF" w:rsidRPr="0079537E" w:rsidRDefault="00231BFF" w:rsidP="00C415F0">
      <w:pPr>
        <w:pStyle w:val="NoSpacing"/>
        <w:rPr>
          <w:lang w:val="en-GB"/>
        </w:rPr>
      </w:pPr>
    </w:p>
    <w:p w14:paraId="7052D13B" w14:textId="77777777" w:rsidR="00231BFF" w:rsidRPr="0079537E" w:rsidRDefault="00231BFF" w:rsidP="00C415F0">
      <w:pPr>
        <w:pStyle w:val="NoSpacing"/>
        <w:rPr>
          <w:lang w:val="en-GB"/>
        </w:rPr>
      </w:pPr>
    </w:p>
    <w:p w14:paraId="4EB0376A" w14:textId="4632182B" w:rsidR="00231BFF" w:rsidRPr="0079537E" w:rsidRDefault="00231BFF" w:rsidP="00C415F0">
      <w:pPr>
        <w:pStyle w:val="NoSpacing"/>
        <w:spacing w:line="276" w:lineRule="auto"/>
        <w:rPr>
          <w:lang w:val="en-GB"/>
        </w:rPr>
      </w:pPr>
      <w:r w:rsidRPr="0079537E">
        <w:rPr>
          <w:lang w:val="en-GB"/>
        </w:rPr>
        <w:t>EthicEase represents a significant step forward in promoting</w:t>
      </w:r>
      <w:r w:rsidR="00181B01" w:rsidRPr="0079537E">
        <w:rPr>
          <w:lang w:val="en-GB"/>
        </w:rPr>
        <w:t xml:space="preserve"> significant step</w:t>
      </w:r>
      <w:r w:rsidRPr="0079537E">
        <w:rPr>
          <w:lang w:val="en-GB"/>
        </w:rPr>
        <w:t xml:space="preserve">s </w:t>
      </w:r>
      <w:r w:rsidR="000D4086" w:rsidRPr="0079537E">
        <w:rPr>
          <w:lang w:val="en-GB"/>
        </w:rPr>
        <w:t xml:space="preserve">in </w:t>
      </w:r>
      <w:r w:rsidRPr="0079537E">
        <w:rPr>
          <w:lang w:val="en-GB"/>
        </w:rPr>
        <w:t>sectors and industries. By providing users with accessible resources, practical tools, and a supportive community, EthicEase empowers individuals and organi</w:t>
      </w:r>
      <w:r w:rsidR="00181B01" w:rsidRPr="0079537E">
        <w:rPr>
          <w:lang w:val="en-GB"/>
        </w:rPr>
        <w:t>s</w:t>
      </w:r>
      <w:r w:rsidRPr="0079537E">
        <w:rPr>
          <w:lang w:val="en-GB"/>
        </w:rPr>
        <w:t xml:space="preserve">ations to make informed, </w:t>
      </w:r>
      <w:r w:rsidR="00181B01" w:rsidRPr="0079537E">
        <w:rPr>
          <w:lang w:val="en-GB"/>
        </w:rPr>
        <w:t>moral</w:t>
      </w:r>
      <w:r w:rsidRPr="0079537E">
        <w:rPr>
          <w:lang w:val="en-GB"/>
        </w:rPr>
        <w:t xml:space="preserve"> choices that contribute to positive societal impact and sustainable outcomes.</w:t>
      </w:r>
    </w:p>
    <w:p w14:paraId="4CE68397" w14:textId="77777777" w:rsidR="00231BFF" w:rsidRPr="0079537E" w:rsidRDefault="00231BFF" w:rsidP="00C415F0">
      <w:pPr>
        <w:pStyle w:val="NoSpacing"/>
        <w:spacing w:line="276" w:lineRule="auto"/>
        <w:rPr>
          <w:lang w:val="en-GB"/>
        </w:rPr>
      </w:pPr>
    </w:p>
    <w:p w14:paraId="4253191D" w14:textId="1FFFF411" w:rsidR="00231BFF" w:rsidRPr="0079537E" w:rsidRDefault="00231BFF" w:rsidP="00C415F0">
      <w:pPr>
        <w:pStyle w:val="NoSpacing"/>
        <w:spacing w:line="276" w:lineRule="auto"/>
        <w:rPr>
          <w:lang w:val="en-GB"/>
        </w:rPr>
      </w:pPr>
      <w:r w:rsidRPr="0079537E">
        <w:rPr>
          <w:lang w:val="en-GB"/>
        </w:rPr>
        <w:t>This product proposal outlines the key features, target audience, implementation plan, and evaluation strategies for the EthicEase mobile application, aiming to address the pressing need for ethical decision-making support in today's complex</w:t>
      </w:r>
      <w:r w:rsidR="000D4086" w:rsidRPr="0079537E">
        <w:rPr>
          <w:lang w:val="en-GB"/>
        </w:rPr>
        <w:t xml:space="preserve"> </w:t>
      </w:r>
      <w:r w:rsidRPr="0079537E">
        <w:rPr>
          <w:lang w:val="en-GB"/>
        </w:rPr>
        <w:t>world.</w:t>
      </w:r>
    </w:p>
    <w:p w14:paraId="6C2FE6A8" w14:textId="77777777" w:rsidR="00231BFF" w:rsidRPr="0079537E" w:rsidRDefault="00231BFF" w:rsidP="00C415F0">
      <w:pPr>
        <w:pStyle w:val="NoSpacing"/>
        <w:rPr>
          <w:lang w:val="en-GB"/>
        </w:rPr>
      </w:pPr>
    </w:p>
    <w:p w14:paraId="26E2B50F" w14:textId="77777777" w:rsidR="00E3629D" w:rsidRPr="0079537E" w:rsidRDefault="00E3629D" w:rsidP="00C415F0">
      <w:pPr>
        <w:pStyle w:val="NoSpacing"/>
        <w:rPr>
          <w:lang w:val="en-GB"/>
        </w:rPr>
      </w:pPr>
    </w:p>
    <w:p w14:paraId="3C77A71A" w14:textId="253C04C4" w:rsidR="007C4C17" w:rsidRPr="0079537E" w:rsidRDefault="007C4C17" w:rsidP="00C415F0">
      <w:pPr>
        <w:pStyle w:val="NoSpacing"/>
        <w:rPr>
          <w:lang w:val="en-GB"/>
        </w:rPr>
      </w:pPr>
      <w:r w:rsidRPr="0079537E">
        <w:rPr>
          <w:lang w:val="en-GB"/>
        </w:rPr>
        <w:br w:type="page"/>
      </w:r>
    </w:p>
    <w:p w14:paraId="19063FA8" w14:textId="3678C399" w:rsidR="00E3629D" w:rsidRPr="0079537E" w:rsidRDefault="007A7FFB" w:rsidP="00C415F0">
      <w:pPr>
        <w:pStyle w:val="Heading1"/>
        <w:rPr>
          <w:rFonts w:cs="Times New Roman"/>
          <w:lang w:val="en-GB"/>
        </w:rPr>
      </w:pPr>
      <w:bookmarkStart w:id="23" w:name="_Toc167892900"/>
      <w:r w:rsidRPr="0079537E">
        <w:rPr>
          <w:rFonts w:cs="Times New Roman"/>
          <w:lang w:val="en-GB"/>
        </w:rPr>
        <w:lastRenderedPageBreak/>
        <w:t>Conclusion</w:t>
      </w:r>
      <w:bookmarkEnd w:id="23"/>
    </w:p>
    <w:p w14:paraId="615E0814" w14:textId="77777777" w:rsidR="000D4086" w:rsidRPr="0079537E" w:rsidRDefault="000D4086" w:rsidP="00C415F0">
      <w:pPr>
        <w:jc w:val="both"/>
        <w:rPr>
          <w:lang w:eastAsia="en-US"/>
        </w:rPr>
      </w:pPr>
    </w:p>
    <w:p w14:paraId="15448AFB" w14:textId="26096ECD" w:rsidR="000D4086" w:rsidRPr="0079537E" w:rsidRDefault="000D4086" w:rsidP="00C415F0">
      <w:pPr>
        <w:pStyle w:val="NoSpacing"/>
        <w:spacing w:line="276" w:lineRule="auto"/>
        <w:rPr>
          <w:lang w:val="en-GB"/>
        </w:rPr>
      </w:pPr>
      <w:r w:rsidRPr="0079537E">
        <w:rPr>
          <w:lang w:val="en-GB"/>
        </w:rPr>
        <w:t>The exploration of the ICRC’s strategic foresight and collaborative decision-making in Modules 1 and 2 led to the development of the Humanitarian Ethical Decision-Making (HEDM) framework and the EthicEase mobile application, signifying a transformative approach to addressing ethical challenges in the humanitarian sector. Module 1 provided a foundational understanding of strategic decision-making within humanitarian organisations like the ICRC, highlighting their steadfast commitment to International Humanitarian Law (IHL) and essential healthcare services. The introduction of the ICRC's Health Strategic Plan for 2024-2027 emphasized the importance of sustainable health outcomes, policy influence, data-driven decision-making, and staff well-being.</w:t>
      </w:r>
    </w:p>
    <w:p w14:paraId="01948446" w14:textId="77777777" w:rsidR="000D4086" w:rsidRPr="0079537E" w:rsidRDefault="000D4086" w:rsidP="00C415F0">
      <w:pPr>
        <w:pStyle w:val="NoSpacing"/>
        <w:spacing w:line="276" w:lineRule="auto"/>
        <w:rPr>
          <w:lang w:val="en-GB"/>
        </w:rPr>
      </w:pPr>
    </w:p>
    <w:p w14:paraId="39A310AD" w14:textId="77777777" w:rsidR="000D4086" w:rsidRPr="0079537E" w:rsidRDefault="000D4086" w:rsidP="00C415F0">
      <w:pPr>
        <w:pStyle w:val="NoSpacing"/>
        <w:spacing w:line="276" w:lineRule="auto"/>
        <w:rPr>
          <w:lang w:val="en-GB"/>
        </w:rPr>
      </w:pPr>
      <w:r w:rsidRPr="0079537E">
        <w:rPr>
          <w:lang w:val="en-GB"/>
        </w:rPr>
        <w:t>Building on this, Module 2 illuminated the significance of collaboration and effective decision-making processes, underscoring the need to integrate beneficiary perspectives and structured methodologies like Design Thinking to enhance accountability and inclusivity. The identification of gaps in sustainability integration, ethical decision-making support, and continuous learning led to the establishment of the HEDM framework. This framework provides comprehensive ethical guidance, fostering ethical leadership, collaborative problem-solving, and a culture of inclusion and diversity.</w:t>
      </w:r>
    </w:p>
    <w:p w14:paraId="3FC38CDF" w14:textId="77777777" w:rsidR="000D4086" w:rsidRPr="0079537E" w:rsidRDefault="000D4086" w:rsidP="00C415F0">
      <w:pPr>
        <w:pStyle w:val="NoSpacing"/>
        <w:spacing w:line="276" w:lineRule="auto"/>
        <w:rPr>
          <w:lang w:val="en-GB"/>
        </w:rPr>
      </w:pPr>
    </w:p>
    <w:p w14:paraId="4C002C04" w14:textId="77777777" w:rsidR="000D4086" w:rsidRPr="0079537E" w:rsidRDefault="000D4086" w:rsidP="00C415F0">
      <w:pPr>
        <w:pStyle w:val="NoSpacing"/>
        <w:spacing w:line="276" w:lineRule="auto"/>
        <w:rPr>
          <w:lang w:val="en-GB"/>
        </w:rPr>
      </w:pPr>
      <w:r w:rsidRPr="0079537E">
        <w:rPr>
          <w:lang w:val="en-GB"/>
        </w:rPr>
        <w:t>The creation of EthicEase, a mobile application leveraging the HEDM framework, emerges as a groundbreaking tool to enhance ethical literacy and responsible action. By incorporating AI-powered decision support, real-time guidance, ethical scenarios, community engagement, and personalized learning pathways, EthicEase empowers individuals and organizations to navigate ethical dilemmas with confidence and integrity.</w:t>
      </w:r>
    </w:p>
    <w:p w14:paraId="3DA56999" w14:textId="77777777" w:rsidR="000D4086" w:rsidRPr="0079537E" w:rsidRDefault="000D4086" w:rsidP="00C415F0">
      <w:pPr>
        <w:pStyle w:val="NoSpacing"/>
        <w:spacing w:line="276" w:lineRule="auto"/>
        <w:rPr>
          <w:lang w:val="en-GB"/>
        </w:rPr>
      </w:pPr>
    </w:p>
    <w:p w14:paraId="0DD0EBC0" w14:textId="77777777" w:rsidR="000D4086" w:rsidRPr="0079537E" w:rsidRDefault="000D4086" w:rsidP="00C415F0">
      <w:pPr>
        <w:pStyle w:val="NoSpacing"/>
        <w:spacing w:line="276" w:lineRule="auto"/>
        <w:rPr>
          <w:lang w:val="en-GB"/>
        </w:rPr>
      </w:pPr>
      <w:r w:rsidRPr="0079537E">
        <w:rPr>
          <w:lang w:val="en-GB"/>
        </w:rPr>
        <w:t>The integration of AI in EthicEase further enhances its functionality, providing tailored recommendations, understanding user queries through Natural Language Processing (NLP), predicting potential ethical issues, and facilitating continuous learning and improvement. This comprehensive approach aligns with the principles of ethical governance for AI systems, ensuring trust and effectiveness.</w:t>
      </w:r>
    </w:p>
    <w:p w14:paraId="22F0DE12" w14:textId="77777777" w:rsidR="000D4086" w:rsidRPr="0079537E" w:rsidRDefault="000D4086" w:rsidP="00C415F0">
      <w:pPr>
        <w:pStyle w:val="NoSpacing"/>
        <w:spacing w:line="276" w:lineRule="auto"/>
        <w:rPr>
          <w:lang w:val="en-GB"/>
        </w:rPr>
      </w:pPr>
    </w:p>
    <w:p w14:paraId="0D8430A8" w14:textId="0D0BF178" w:rsidR="000D4086" w:rsidRPr="0079537E" w:rsidRDefault="000D4086" w:rsidP="00C415F0">
      <w:pPr>
        <w:pStyle w:val="NoSpacing"/>
        <w:spacing w:line="276" w:lineRule="auto"/>
        <w:rPr>
          <w:lang w:val="en-GB"/>
        </w:rPr>
      </w:pPr>
      <w:r w:rsidRPr="0079537E">
        <w:rPr>
          <w:lang w:val="en-GB"/>
        </w:rPr>
        <w:t>EthicEase's user-friendly interface, interactive tools, and secure environment make ethical decision-making accessible to a diverse audience, including humanitarian organi</w:t>
      </w:r>
      <w:r w:rsidR="00D75669" w:rsidRPr="0079537E">
        <w:rPr>
          <w:lang w:val="en-GB"/>
        </w:rPr>
        <w:t>s</w:t>
      </w:r>
      <w:r w:rsidRPr="0079537E">
        <w:rPr>
          <w:lang w:val="en-GB"/>
        </w:rPr>
        <w:t>ations, professionals, and students. The application not only supports immediate ethical decision-making needs but also fosters a culture of ethical awareness and responsibility, contributing to positive societal impact and sustainable outcomes.</w:t>
      </w:r>
    </w:p>
    <w:p w14:paraId="234B67E3" w14:textId="77777777" w:rsidR="000D4086" w:rsidRPr="0079537E" w:rsidRDefault="000D4086" w:rsidP="00C415F0">
      <w:pPr>
        <w:pStyle w:val="NoSpacing"/>
        <w:spacing w:line="276" w:lineRule="auto"/>
        <w:rPr>
          <w:lang w:val="en-GB"/>
        </w:rPr>
      </w:pPr>
    </w:p>
    <w:p w14:paraId="23B75C74" w14:textId="1AF1EB93" w:rsidR="00E3629D" w:rsidRPr="0079537E" w:rsidRDefault="000D4086" w:rsidP="00C415F0">
      <w:pPr>
        <w:pStyle w:val="NoSpacing"/>
        <w:spacing w:line="276" w:lineRule="auto"/>
        <w:rPr>
          <w:lang w:val="en-GB"/>
        </w:rPr>
      </w:pPr>
      <w:r w:rsidRPr="0079537E">
        <w:rPr>
          <w:lang w:val="en-GB"/>
        </w:rPr>
        <w:t>The HEDM framework and EthicEase represent significant advancements in the humanitarian sector, promoting ethical leadership, stakeholder engagement, sustainability integration, risk management, and continuous learning. These initiatives underscore the importance of ethical decision-making in complex humanitarian contexts, ultimately aiming to drive meaningful change and uphold principles of integrity, compassion, and solidarity.</w:t>
      </w:r>
      <w:r w:rsidR="00E3629D" w:rsidRPr="0079537E">
        <w:rPr>
          <w:lang w:val="en-GB"/>
        </w:rPr>
        <w:br w:type="page"/>
      </w:r>
    </w:p>
    <w:p w14:paraId="0EB199B5" w14:textId="055B8985" w:rsidR="004526E3" w:rsidRPr="005A1FF2" w:rsidRDefault="00D80316" w:rsidP="007C4C17">
      <w:pPr>
        <w:pStyle w:val="Heading1"/>
        <w:rPr>
          <w:rFonts w:cs="Times New Roman"/>
          <w:sz w:val="24"/>
          <w:szCs w:val="24"/>
          <w:lang w:val="en-GB"/>
        </w:rPr>
      </w:pPr>
      <w:bookmarkStart w:id="24" w:name="_Toc167892901"/>
      <w:r w:rsidRPr="005A1FF2">
        <w:rPr>
          <w:rFonts w:cs="Times New Roman"/>
          <w:sz w:val="24"/>
          <w:szCs w:val="24"/>
          <w:lang w:val="en-GB"/>
        </w:rPr>
        <w:lastRenderedPageBreak/>
        <w:t>Bibliography</w:t>
      </w:r>
      <w:bookmarkEnd w:id="7"/>
      <w:bookmarkEnd w:id="8"/>
      <w:bookmarkEnd w:id="24"/>
    </w:p>
    <w:p w14:paraId="091F0E5C" w14:textId="77777777" w:rsidR="0079537E" w:rsidRPr="005A1FF2" w:rsidRDefault="0079537E" w:rsidP="002C04D5">
      <w:pPr>
        <w:pStyle w:val="NoSpacing"/>
        <w:spacing w:line="276" w:lineRule="auto"/>
        <w:rPr>
          <w:rFonts w:cs="Times New Roman"/>
          <w:lang w:val="en-GB"/>
        </w:rPr>
      </w:pPr>
    </w:p>
    <w:p w14:paraId="55B8C776" w14:textId="726E3B28" w:rsidR="002C04D5" w:rsidRPr="00870E9F" w:rsidRDefault="002C04D5" w:rsidP="002C04D5">
      <w:pPr>
        <w:pStyle w:val="NoSpacing"/>
        <w:spacing w:line="276" w:lineRule="auto"/>
        <w:rPr>
          <w:rFonts w:cs="Times New Roman"/>
          <w:lang w:val="en-GB"/>
        </w:rPr>
      </w:pPr>
      <w:r w:rsidRPr="00870E9F">
        <w:rPr>
          <w:rFonts w:cs="Times New Roman"/>
          <w:lang w:val="en-GB"/>
        </w:rPr>
        <w:t xml:space="preserve">Anderson, E., Solomon, S., Heitman, E., DuBois, J., Fisher, C., Kost, R., &amp; Ross, L. (2012). Research ethics education for community-engaged research: a review and research agenda. Journal of Empirical Research on Human Research Ethics, 7(2), pp. 3-19. </w:t>
      </w:r>
      <w:hyperlink r:id="rId11" w:history="1">
        <w:r w:rsidR="0079537E" w:rsidRPr="00870E9F">
          <w:rPr>
            <w:rStyle w:val="Hyperlink"/>
            <w:rFonts w:cs="Times New Roman"/>
            <w:lang w:val="en-GB"/>
          </w:rPr>
          <w:t>https://doi.org/10.1525/jer.2012.7.2.3</w:t>
        </w:r>
      </w:hyperlink>
    </w:p>
    <w:p w14:paraId="2CC8DD13" w14:textId="77777777" w:rsidR="002C04D5" w:rsidRPr="00870E9F" w:rsidRDefault="002C04D5" w:rsidP="002C04D5">
      <w:pPr>
        <w:pStyle w:val="NoSpacing"/>
        <w:spacing w:line="276" w:lineRule="auto"/>
        <w:rPr>
          <w:rFonts w:cs="Times New Roman"/>
          <w:lang w:val="en-GB"/>
        </w:rPr>
      </w:pPr>
    </w:p>
    <w:p w14:paraId="30D5E843" w14:textId="25A14E8E" w:rsidR="002C04D5" w:rsidRPr="00870E9F" w:rsidRDefault="002C04D5" w:rsidP="002C04D5">
      <w:pPr>
        <w:pStyle w:val="NoSpacing"/>
        <w:spacing w:line="276" w:lineRule="auto"/>
        <w:rPr>
          <w:rFonts w:cs="Times New Roman"/>
          <w:lang w:val="en-GB"/>
        </w:rPr>
      </w:pPr>
      <w:r w:rsidRPr="00870E9F">
        <w:rPr>
          <w:rFonts w:cs="Times New Roman"/>
          <w:lang w:val="en-GB"/>
        </w:rPr>
        <w:t xml:space="preserve">Ansell, C. and Gash, A. (2007). Collaborative governance in theory and practice. Journal of Public Administration Research and Theory, 18(4), pp. 543-571. </w:t>
      </w:r>
      <w:hyperlink r:id="rId12" w:history="1">
        <w:r w:rsidR="0079537E" w:rsidRPr="00870E9F">
          <w:rPr>
            <w:rStyle w:val="Hyperlink"/>
            <w:rFonts w:cs="Times New Roman"/>
            <w:lang w:val="en-GB"/>
          </w:rPr>
          <w:t>https://doi.org/10.1093/jopart/mum032</w:t>
        </w:r>
      </w:hyperlink>
    </w:p>
    <w:p w14:paraId="193C1B53" w14:textId="77777777" w:rsidR="002C04D5" w:rsidRPr="00870E9F" w:rsidRDefault="002C04D5" w:rsidP="002C04D5">
      <w:pPr>
        <w:pStyle w:val="NoSpacing"/>
        <w:spacing w:line="276" w:lineRule="auto"/>
        <w:rPr>
          <w:rFonts w:cs="Times New Roman"/>
          <w:lang w:val="en-GB"/>
        </w:rPr>
      </w:pPr>
    </w:p>
    <w:p w14:paraId="31F0EF7B" w14:textId="0E957BF1" w:rsidR="002C04D5" w:rsidRPr="00870E9F" w:rsidRDefault="002C04D5" w:rsidP="002C04D5">
      <w:pPr>
        <w:pStyle w:val="NoSpacing"/>
        <w:spacing w:line="276" w:lineRule="auto"/>
        <w:rPr>
          <w:rFonts w:cs="Times New Roman"/>
          <w:lang w:val="en-GB"/>
        </w:rPr>
      </w:pPr>
      <w:r w:rsidRPr="00870E9F">
        <w:rPr>
          <w:rFonts w:cs="Times New Roman"/>
          <w:lang w:val="en-GB"/>
        </w:rPr>
        <w:t xml:space="preserve">Avolio, B. and Gardner, W. (2005). Authentic leadership development: getting to the root of positive forms of leadership. The Leadership Quarterly, 16(3), pp. 315-338. </w:t>
      </w:r>
      <w:hyperlink r:id="rId13" w:history="1">
        <w:r w:rsidR="0079537E" w:rsidRPr="00870E9F">
          <w:rPr>
            <w:rStyle w:val="Hyperlink"/>
            <w:rFonts w:cs="Times New Roman"/>
            <w:lang w:val="en-GB"/>
          </w:rPr>
          <w:t>https://doi.org/10.1016/j.leaqua.2005.03.001</w:t>
        </w:r>
      </w:hyperlink>
    </w:p>
    <w:p w14:paraId="03202199" w14:textId="77777777" w:rsidR="002C04D5" w:rsidRPr="00870E9F" w:rsidRDefault="002C04D5" w:rsidP="002C04D5">
      <w:pPr>
        <w:pStyle w:val="NoSpacing"/>
        <w:spacing w:line="276" w:lineRule="auto"/>
        <w:rPr>
          <w:rFonts w:cs="Times New Roman"/>
          <w:lang w:val="en-GB"/>
        </w:rPr>
      </w:pPr>
    </w:p>
    <w:p w14:paraId="02B58AE1" w14:textId="6DC900A7" w:rsidR="002C04D5" w:rsidRPr="00870E9F" w:rsidRDefault="002C04D5" w:rsidP="002C04D5">
      <w:pPr>
        <w:pStyle w:val="NoSpacing"/>
        <w:spacing w:line="276" w:lineRule="auto"/>
        <w:rPr>
          <w:rFonts w:cs="Times New Roman"/>
          <w:lang w:val="en-GB"/>
        </w:rPr>
      </w:pPr>
      <w:r w:rsidRPr="00870E9F">
        <w:rPr>
          <w:rFonts w:cs="Times New Roman"/>
          <w:lang w:val="en-GB"/>
        </w:rPr>
        <w:t xml:space="preserve">Bai, Y., Lin, L., &amp; Liu, J. (2017). Leveraging the employee voice: a multi-level social learning perspective of ethical leadership. The International Journal of Human Resource Management, 30(12), pp. 1869-1901. </w:t>
      </w:r>
      <w:hyperlink r:id="rId14" w:history="1">
        <w:r w:rsidR="0079537E" w:rsidRPr="00870E9F">
          <w:rPr>
            <w:rStyle w:val="Hyperlink"/>
            <w:rFonts w:cs="Times New Roman"/>
            <w:lang w:val="en-GB"/>
          </w:rPr>
          <w:t>https://doi.org/10.1080/09585192.2017.1308414</w:t>
        </w:r>
      </w:hyperlink>
    </w:p>
    <w:p w14:paraId="099D983C" w14:textId="77777777" w:rsidR="002C04D5" w:rsidRPr="00870E9F" w:rsidRDefault="002C04D5" w:rsidP="002C04D5">
      <w:pPr>
        <w:pStyle w:val="NoSpacing"/>
        <w:spacing w:line="276" w:lineRule="auto"/>
        <w:rPr>
          <w:rFonts w:cs="Times New Roman"/>
          <w:lang w:val="en-GB"/>
        </w:rPr>
      </w:pPr>
    </w:p>
    <w:p w14:paraId="7DE5ECA3" w14:textId="0DDC7669" w:rsidR="002C04D5" w:rsidRPr="00870E9F" w:rsidRDefault="002C04D5" w:rsidP="002C04D5">
      <w:pPr>
        <w:pStyle w:val="NoSpacing"/>
        <w:spacing w:line="276" w:lineRule="auto"/>
        <w:rPr>
          <w:rFonts w:cs="Times New Roman"/>
          <w:lang w:val="en-GB"/>
        </w:rPr>
      </w:pPr>
      <w:r w:rsidRPr="00870E9F">
        <w:rPr>
          <w:rFonts w:cs="Times New Roman"/>
          <w:lang w:val="en-GB"/>
        </w:rPr>
        <w:t xml:space="preserve">Clarke, P. and Campbell, L. (2020). Decision-making at the sharp end: a survey of literature related to decision-making in humanitarian contexts. Journal of International Humanitarian Action, 5(1). </w:t>
      </w:r>
      <w:hyperlink r:id="rId15" w:history="1">
        <w:r w:rsidR="0079537E" w:rsidRPr="00870E9F">
          <w:rPr>
            <w:rStyle w:val="Hyperlink"/>
            <w:rFonts w:cs="Times New Roman"/>
            <w:lang w:val="en-GB"/>
          </w:rPr>
          <w:t>https://doi.org/10.1186/s41018-020-00068-2</w:t>
        </w:r>
      </w:hyperlink>
    </w:p>
    <w:p w14:paraId="78B4204B" w14:textId="77777777" w:rsidR="002C04D5" w:rsidRPr="00870E9F" w:rsidRDefault="002C04D5" w:rsidP="002C04D5">
      <w:pPr>
        <w:pStyle w:val="NoSpacing"/>
        <w:spacing w:line="276" w:lineRule="auto"/>
        <w:rPr>
          <w:rFonts w:cs="Times New Roman"/>
          <w:lang w:val="en-GB"/>
        </w:rPr>
      </w:pPr>
    </w:p>
    <w:p w14:paraId="3147C76C" w14:textId="1321B4B0" w:rsidR="002C04D5" w:rsidRPr="00870E9F" w:rsidRDefault="002C04D5" w:rsidP="002C04D5">
      <w:pPr>
        <w:pStyle w:val="NoSpacing"/>
        <w:spacing w:line="276" w:lineRule="auto"/>
        <w:rPr>
          <w:rFonts w:cs="Times New Roman"/>
          <w:lang w:val="en-GB"/>
        </w:rPr>
      </w:pPr>
      <w:r w:rsidRPr="00870E9F">
        <w:rPr>
          <w:rFonts w:cs="Times New Roman"/>
          <w:lang w:val="en-GB"/>
        </w:rPr>
        <w:t xml:space="preserve">Coppi, G., Jimenez, R., &amp; Kyriazi, S. (2021). Explicability of humanitarian AI: a matter of principles. Journal of International Humanitarian Action, 6(1). </w:t>
      </w:r>
      <w:hyperlink r:id="rId16" w:history="1">
        <w:r w:rsidR="00E50764" w:rsidRPr="00870E9F">
          <w:rPr>
            <w:rStyle w:val="Hyperlink"/>
            <w:rFonts w:cs="Times New Roman"/>
            <w:lang w:val="en-GB"/>
          </w:rPr>
          <w:t>https://doi.org/10.1186/s41018-021-00096-6</w:t>
        </w:r>
      </w:hyperlink>
    </w:p>
    <w:p w14:paraId="29BA3C8C" w14:textId="77777777" w:rsidR="002C04D5" w:rsidRPr="00870E9F" w:rsidRDefault="002C04D5" w:rsidP="002C04D5">
      <w:pPr>
        <w:pStyle w:val="NoSpacing"/>
        <w:spacing w:line="276" w:lineRule="auto"/>
        <w:rPr>
          <w:rFonts w:cs="Times New Roman"/>
          <w:lang w:val="en-GB"/>
        </w:rPr>
      </w:pPr>
    </w:p>
    <w:p w14:paraId="68B1972E" w14:textId="3688B39B" w:rsidR="002C04D5" w:rsidRPr="00870E9F" w:rsidRDefault="002C04D5" w:rsidP="002C04D5">
      <w:pPr>
        <w:pStyle w:val="NoSpacing"/>
        <w:spacing w:line="276" w:lineRule="auto"/>
        <w:rPr>
          <w:rFonts w:cs="Times New Roman"/>
          <w:lang w:val="en-GB"/>
        </w:rPr>
      </w:pPr>
      <w:r w:rsidRPr="00870E9F">
        <w:rPr>
          <w:rFonts w:cs="Times New Roman"/>
          <w:lang w:val="en-GB"/>
        </w:rPr>
        <w:t xml:space="preserve">Cuthbertson, J. (2023). Ethical decision making in disaster and emergency management: a systematic review of the literature. Prehospital and Disaster Medicine, 38(5), pp. 622-627. </w:t>
      </w:r>
      <w:hyperlink r:id="rId17" w:history="1">
        <w:r w:rsidR="0079537E" w:rsidRPr="00870E9F">
          <w:rPr>
            <w:rStyle w:val="Hyperlink"/>
            <w:rFonts w:cs="Times New Roman"/>
            <w:lang w:val="en-GB"/>
          </w:rPr>
          <w:t>https://doi.org/10.1017/s1049023x23006325</w:t>
        </w:r>
      </w:hyperlink>
    </w:p>
    <w:p w14:paraId="43B8AD7D" w14:textId="77777777" w:rsidR="0079537E" w:rsidRPr="00870E9F" w:rsidRDefault="0079537E" w:rsidP="002C04D5">
      <w:pPr>
        <w:pStyle w:val="NoSpacing"/>
        <w:spacing w:line="276" w:lineRule="auto"/>
        <w:rPr>
          <w:rFonts w:cs="Times New Roman"/>
          <w:lang w:val="en-GB"/>
        </w:rPr>
      </w:pPr>
    </w:p>
    <w:p w14:paraId="5C8E584D" w14:textId="1FDFADFD" w:rsidR="002C04D5" w:rsidRPr="00870E9F" w:rsidRDefault="002C04D5" w:rsidP="002C04D5">
      <w:pPr>
        <w:pStyle w:val="NoSpacing"/>
        <w:spacing w:line="276" w:lineRule="auto"/>
        <w:rPr>
          <w:rFonts w:cs="Times New Roman"/>
          <w:lang w:val="en-GB"/>
        </w:rPr>
      </w:pPr>
      <w:r w:rsidRPr="00870E9F">
        <w:rPr>
          <w:rFonts w:cs="Times New Roman"/>
          <w:lang w:val="en-GB"/>
        </w:rPr>
        <w:t xml:space="preserve">Davies, J., Brockie, A., &amp; Breeze, J. (2021). Bioethics in humanitarian disaster relief operations: a military perspective. BMJ Military Health, 168(6), pp. 449-452. </w:t>
      </w:r>
      <w:hyperlink r:id="rId18" w:history="1">
        <w:r w:rsidR="0079537E" w:rsidRPr="00870E9F">
          <w:rPr>
            <w:rStyle w:val="Hyperlink"/>
            <w:rFonts w:cs="Times New Roman"/>
            <w:lang w:val="en-GB"/>
          </w:rPr>
          <w:t>https://doi.org/10.1136/bmjmilitary-2021-001927</w:t>
        </w:r>
      </w:hyperlink>
    </w:p>
    <w:p w14:paraId="5BDE6D58" w14:textId="77777777" w:rsidR="002C04D5" w:rsidRPr="00870E9F" w:rsidRDefault="002C04D5" w:rsidP="002C04D5">
      <w:pPr>
        <w:pStyle w:val="NoSpacing"/>
        <w:spacing w:line="276" w:lineRule="auto"/>
        <w:rPr>
          <w:rFonts w:cs="Times New Roman"/>
          <w:lang w:val="en-GB"/>
        </w:rPr>
      </w:pPr>
    </w:p>
    <w:p w14:paraId="7FD3C5AC" w14:textId="6C223229" w:rsidR="002C04D5" w:rsidRPr="00870E9F" w:rsidRDefault="002C04D5" w:rsidP="002C04D5">
      <w:pPr>
        <w:pStyle w:val="NoSpacing"/>
        <w:spacing w:line="276" w:lineRule="auto"/>
        <w:rPr>
          <w:rStyle w:val="Hyperlink"/>
          <w:rFonts w:cs="Times New Roman"/>
          <w:lang w:val="en-GB"/>
        </w:rPr>
      </w:pPr>
      <w:r w:rsidRPr="00870E9F">
        <w:rPr>
          <w:rFonts w:cs="Times New Roman"/>
          <w:lang w:val="en-GB"/>
        </w:rPr>
        <w:t xml:space="preserve">Delić, M., Slåtten, T., Milić, B., Marjanovic, U., &amp; Vulanović, S. (2017). Fostering learning organisation in transitional economy – the role of authentic leadership and employee affective commitment. International Journal of Quality and Service Sciences, 9(3/4), pp. 441-455. </w:t>
      </w:r>
      <w:hyperlink r:id="rId19" w:history="1">
        <w:r w:rsidR="0079537E" w:rsidRPr="00870E9F">
          <w:rPr>
            <w:rStyle w:val="Hyperlink"/>
            <w:rFonts w:cs="Times New Roman"/>
            <w:lang w:val="en-GB"/>
          </w:rPr>
          <w:t>https://doi.org/10.1108/ijqss-02-2017-0012</w:t>
        </w:r>
      </w:hyperlink>
    </w:p>
    <w:p w14:paraId="4EFB9163" w14:textId="77777777" w:rsidR="00870E9F" w:rsidRPr="00870E9F" w:rsidRDefault="00870E9F" w:rsidP="002C04D5">
      <w:pPr>
        <w:pStyle w:val="NoSpacing"/>
        <w:spacing w:line="276" w:lineRule="auto"/>
        <w:rPr>
          <w:rFonts w:cs="Times New Roman"/>
          <w:lang w:val="en-GB"/>
        </w:rPr>
      </w:pPr>
    </w:p>
    <w:p w14:paraId="7A535BE1" w14:textId="41F483E1" w:rsidR="002C04D5" w:rsidRPr="00870E9F" w:rsidRDefault="002C04D5" w:rsidP="002C04D5">
      <w:pPr>
        <w:pStyle w:val="NoSpacing"/>
        <w:spacing w:line="276" w:lineRule="auto"/>
        <w:rPr>
          <w:rFonts w:cs="Times New Roman"/>
          <w:lang w:val="en-GB"/>
        </w:rPr>
      </w:pPr>
      <w:r w:rsidRPr="00870E9F">
        <w:rPr>
          <w:rFonts w:cs="Times New Roman"/>
          <w:lang w:val="en-GB"/>
        </w:rPr>
        <w:t xml:space="preserve">Droffelaar, B. and Jacobs, M. (2018). Nature‐based training program fosters authentic leadership. Journal of Leadership Studies, 12(3), pp. 7-18. </w:t>
      </w:r>
      <w:hyperlink r:id="rId20" w:history="1">
        <w:r w:rsidR="0079537E" w:rsidRPr="00870E9F">
          <w:rPr>
            <w:rStyle w:val="Hyperlink"/>
            <w:rFonts w:cs="Times New Roman"/>
            <w:lang w:val="en-GB"/>
          </w:rPr>
          <w:t>https://doi.org/10.1002/jls.21569</w:t>
        </w:r>
      </w:hyperlink>
    </w:p>
    <w:p w14:paraId="6AF8C571" w14:textId="77777777" w:rsidR="002C04D5" w:rsidRPr="00870E9F" w:rsidRDefault="002C04D5" w:rsidP="002C04D5">
      <w:pPr>
        <w:pStyle w:val="NoSpacing"/>
        <w:spacing w:line="276" w:lineRule="auto"/>
        <w:rPr>
          <w:rFonts w:cs="Times New Roman"/>
          <w:lang w:val="en-GB"/>
        </w:rPr>
      </w:pPr>
    </w:p>
    <w:p w14:paraId="64BB5FE2" w14:textId="75464375" w:rsidR="002C04D5" w:rsidRPr="00870E9F" w:rsidRDefault="002C04D5" w:rsidP="002C04D5">
      <w:pPr>
        <w:pStyle w:val="NoSpacing"/>
        <w:spacing w:line="276" w:lineRule="auto"/>
        <w:rPr>
          <w:rFonts w:cs="Times New Roman"/>
          <w:lang w:val="en-GB"/>
        </w:rPr>
      </w:pPr>
      <w:r w:rsidRPr="00870E9F">
        <w:rPr>
          <w:rFonts w:cs="Times New Roman"/>
          <w:lang w:val="en-GB"/>
        </w:rPr>
        <w:lastRenderedPageBreak/>
        <w:t xml:space="preserve">Eckenwiler, L., Hunt, M., Crismo, J., Conde, E., Hyppolite, S., Luneta, M., &amp; Schwartz, L. (2023). Viewing humanitarian project closure through the lens of an ethics of the temporary. Disaster Prevention and Management an International Journal, 32(2), pp. 311-322. </w:t>
      </w:r>
      <w:hyperlink r:id="rId21" w:history="1">
        <w:r w:rsidR="0079537E" w:rsidRPr="00870E9F">
          <w:rPr>
            <w:rStyle w:val="Hyperlink"/>
            <w:rFonts w:cs="Times New Roman"/>
            <w:lang w:val="en-GB"/>
          </w:rPr>
          <w:t>https://doi.org/10.1108/dpm-11-2022-0226</w:t>
        </w:r>
      </w:hyperlink>
    </w:p>
    <w:p w14:paraId="035A473C" w14:textId="77777777" w:rsidR="002C04D5" w:rsidRPr="00870E9F" w:rsidRDefault="002C04D5" w:rsidP="002C04D5">
      <w:pPr>
        <w:pStyle w:val="NoSpacing"/>
        <w:spacing w:line="276" w:lineRule="auto"/>
        <w:rPr>
          <w:rFonts w:cs="Times New Roman"/>
          <w:lang w:val="en-GB"/>
        </w:rPr>
      </w:pPr>
    </w:p>
    <w:p w14:paraId="396B6C04" w14:textId="2950D53C" w:rsidR="002C04D5" w:rsidRPr="00870E9F" w:rsidRDefault="002C04D5" w:rsidP="002C04D5">
      <w:pPr>
        <w:pStyle w:val="NoSpacing"/>
        <w:spacing w:line="276" w:lineRule="auto"/>
        <w:rPr>
          <w:rFonts w:cs="Times New Roman"/>
          <w:lang w:val="en-GB"/>
        </w:rPr>
      </w:pPr>
      <w:r w:rsidRPr="00870E9F">
        <w:rPr>
          <w:rFonts w:cs="Times New Roman"/>
          <w:lang w:val="en-GB"/>
        </w:rPr>
        <w:t xml:space="preserve">Erkutlu, H. and Chafra, J. (2013). Effects of trust and psychological contract violation on authentic leadership and organizational deviance. Management Research Review, 36(9), pp. 828-848. </w:t>
      </w:r>
      <w:hyperlink r:id="rId22" w:history="1">
        <w:r w:rsidR="0079537E" w:rsidRPr="00870E9F">
          <w:rPr>
            <w:rStyle w:val="Hyperlink"/>
            <w:rFonts w:cs="Times New Roman"/>
            <w:lang w:val="en-GB"/>
          </w:rPr>
          <w:t>https://doi.org/10.1108/mrr-06-2012-0136</w:t>
        </w:r>
      </w:hyperlink>
    </w:p>
    <w:p w14:paraId="72BCBCC8" w14:textId="77777777" w:rsidR="0079537E" w:rsidRPr="00870E9F" w:rsidRDefault="0079537E" w:rsidP="0079537E">
      <w:pPr>
        <w:pStyle w:val="NoSpacing"/>
        <w:spacing w:line="276" w:lineRule="auto"/>
        <w:rPr>
          <w:rFonts w:cs="Times New Roman"/>
          <w:lang w:val="en-GB"/>
        </w:rPr>
      </w:pPr>
    </w:p>
    <w:p w14:paraId="4468F1CD" w14:textId="77539D45" w:rsidR="0079537E" w:rsidRPr="00870E9F" w:rsidRDefault="0079537E" w:rsidP="002C04D5">
      <w:pPr>
        <w:pStyle w:val="NoSpacing"/>
        <w:spacing w:line="276" w:lineRule="auto"/>
        <w:rPr>
          <w:rFonts w:cs="Times New Roman"/>
          <w:lang w:val="en-GB"/>
        </w:rPr>
      </w:pPr>
      <w:r w:rsidRPr="00870E9F">
        <w:rPr>
          <w:rFonts w:cs="Times New Roman"/>
          <w:lang w:val="en-GB"/>
        </w:rPr>
        <w:t xml:space="preserve">Gadewadikar, J. (2023). A methodology for parameter estimation in system dynamics models using artificial intelligence. Systems Engineering, 27(2), pp. 253-266. doi: </w:t>
      </w:r>
      <w:hyperlink r:id="rId23" w:history="1">
        <w:r w:rsidRPr="00870E9F">
          <w:rPr>
            <w:rStyle w:val="Hyperlink"/>
            <w:rFonts w:cs="Times New Roman"/>
            <w:lang w:val="en-GB"/>
          </w:rPr>
          <w:t>https://doi.org/10.1002/sys.21718</w:t>
        </w:r>
      </w:hyperlink>
    </w:p>
    <w:p w14:paraId="62EE0048" w14:textId="77777777" w:rsidR="0079537E" w:rsidRPr="00870E9F" w:rsidRDefault="0079537E" w:rsidP="002C04D5">
      <w:pPr>
        <w:pStyle w:val="NoSpacing"/>
        <w:spacing w:line="276" w:lineRule="auto"/>
        <w:rPr>
          <w:rFonts w:cs="Times New Roman"/>
          <w:lang w:val="en-GB"/>
        </w:rPr>
      </w:pPr>
    </w:p>
    <w:p w14:paraId="4DD22138" w14:textId="03FC2D14" w:rsidR="0079537E" w:rsidRPr="00870E9F" w:rsidRDefault="0079537E" w:rsidP="0079537E">
      <w:pPr>
        <w:pStyle w:val="NoSpacing"/>
        <w:spacing w:line="276" w:lineRule="auto"/>
        <w:rPr>
          <w:rFonts w:cs="Times New Roman"/>
          <w:lang w:val="en-GB"/>
        </w:rPr>
      </w:pPr>
      <w:r w:rsidRPr="00870E9F">
        <w:rPr>
          <w:rFonts w:cs="Times New Roman"/>
          <w:lang w:val="en-GB"/>
        </w:rPr>
        <w:t xml:space="preserve">Geale, S. (2012). The ethics of disaster management. Disaster Prevention and Management: An International Journal, 21(4), pp. 445-462. doi: </w:t>
      </w:r>
      <w:hyperlink r:id="rId24" w:history="1">
        <w:r w:rsidRPr="00870E9F">
          <w:rPr>
            <w:rStyle w:val="Hyperlink"/>
            <w:rFonts w:cs="Times New Roman"/>
            <w:lang w:val="en-GB"/>
          </w:rPr>
          <w:t>https://doi.org/10.1108/09653561211256152</w:t>
        </w:r>
      </w:hyperlink>
    </w:p>
    <w:p w14:paraId="0F64D9F3" w14:textId="77777777" w:rsidR="00C415F0" w:rsidRPr="00870E9F" w:rsidRDefault="00C415F0" w:rsidP="0079537E">
      <w:pPr>
        <w:pStyle w:val="NoSpacing"/>
        <w:spacing w:line="276" w:lineRule="auto"/>
        <w:rPr>
          <w:rFonts w:cs="Times New Roman"/>
          <w:lang w:val="en-GB"/>
        </w:rPr>
      </w:pPr>
    </w:p>
    <w:p w14:paraId="686945AB" w14:textId="0AB0E919" w:rsidR="00C415F0" w:rsidRPr="00870E9F" w:rsidRDefault="00C415F0" w:rsidP="0079537E">
      <w:pPr>
        <w:pStyle w:val="NoSpacing"/>
        <w:spacing w:line="276" w:lineRule="auto"/>
        <w:rPr>
          <w:rFonts w:cs="Times New Roman"/>
          <w:lang w:val="en-GB"/>
        </w:rPr>
      </w:pPr>
      <w:r w:rsidRPr="00870E9F">
        <w:rPr>
          <w:rFonts w:cs="Times New Roman"/>
          <w:lang w:val="en-GB"/>
        </w:rPr>
        <w:t xml:space="preserve">Gond, J., Grubnic, S., Herzig, C. &amp; Moon, J. (2012) 'Configuring management control systems: theorizing the integration of strategy and sustainability', Management Accounting Research, 23(3), pp. 205-223. </w:t>
      </w:r>
      <w:hyperlink r:id="rId25" w:history="1">
        <w:r w:rsidRPr="00870E9F">
          <w:rPr>
            <w:rStyle w:val="Hyperlink"/>
            <w:rFonts w:cs="Times New Roman"/>
            <w:lang w:val="en-GB"/>
          </w:rPr>
          <w:t>https://doi.org/10.1016/j.mar.2012.06.003</w:t>
        </w:r>
      </w:hyperlink>
    </w:p>
    <w:p w14:paraId="691B972A" w14:textId="77777777" w:rsidR="002C04D5" w:rsidRPr="00870E9F" w:rsidRDefault="002C04D5" w:rsidP="002C04D5">
      <w:pPr>
        <w:pStyle w:val="NoSpacing"/>
        <w:spacing w:line="276" w:lineRule="auto"/>
        <w:rPr>
          <w:rFonts w:cs="Times New Roman"/>
          <w:lang w:val="en-GB"/>
        </w:rPr>
      </w:pPr>
    </w:p>
    <w:p w14:paraId="62830B8F" w14:textId="50624F56" w:rsidR="002C04D5" w:rsidRPr="00870E9F" w:rsidRDefault="002C04D5" w:rsidP="002C04D5">
      <w:pPr>
        <w:pStyle w:val="NoSpacing"/>
        <w:spacing w:line="276" w:lineRule="auto"/>
        <w:rPr>
          <w:rFonts w:cs="Times New Roman"/>
          <w:lang w:val="en-GB"/>
        </w:rPr>
      </w:pPr>
      <w:r w:rsidRPr="00870E9F">
        <w:rPr>
          <w:rFonts w:cs="Times New Roman"/>
          <w:lang w:val="en-GB"/>
        </w:rPr>
        <w:t xml:space="preserve">Gotsis, G. and Grimani, A. (2016). The role of servant leadership in fostering inclusive organizations. The Journal of Management Development, 35(8), pp. 985-1010. </w:t>
      </w:r>
      <w:hyperlink r:id="rId26" w:history="1">
        <w:r w:rsidR="0079537E" w:rsidRPr="00870E9F">
          <w:rPr>
            <w:rStyle w:val="Hyperlink"/>
            <w:rFonts w:cs="Times New Roman"/>
            <w:lang w:val="en-GB"/>
          </w:rPr>
          <w:t>https://doi.org/10.1108/jmd-07-2015-0095</w:t>
        </w:r>
      </w:hyperlink>
    </w:p>
    <w:p w14:paraId="585F5CF7" w14:textId="77777777" w:rsidR="002C04D5" w:rsidRPr="00870E9F" w:rsidRDefault="002C04D5" w:rsidP="002C04D5">
      <w:pPr>
        <w:pStyle w:val="NoSpacing"/>
        <w:spacing w:line="276" w:lineRule="auto"/>
        <w:rPr>
          <w:rFonts w:cs="Times New Roman"/>
          <w:lang w:val="en-GB"/>
        </w:rPr>
      </w:pPr>
    </w:p>
    <w:p w14:paraId="5D7E5EC6" w14:textId="0A170658" w:rsidR="002C04D5" w:rsidRPr="00870E9F" w:rsidRDefault="002C04D5" w:rsidP="002C04D5">
      <w:pPr>
        <w:pStyle w:val="NoSpacing"/>
        <w:spacing w:line="276" w:lineRule="auto"/>
        <w:rPr>
          <w:rFonts w:cs="Times New Roman"/>
          <w:lang w:val="en-GB"/>
        </w:rPr>
      </w:pPr>
      <w:r w:rsidRPr="00870E9F">
        <w:rPr>
          <w:rFonts w:cs="Times New Roman"/>
          <w:lang w:val="en-GB"/>
        </w:rPr>
        <w:t xml:space="preserve">Greenough, P., Bateman, L., Sorensen, B., &amp; Foran, M. (2011). Innovations in humanitarian technologies working group–report of the proceedings, humanitarian action summit 2011. Prehospital and Disaster </w:t>
      </w:r>
      <w:r w:rsidR="00EA7B70" w:rsidRPr="00870E9F">
        <w:rPr>
          <w:rFonts w:cs="Times New Roman"/>
          <w:lang w:val="en-GB"/>
        </w:rPr>
        <w:t>Medicine, 26</w:t>
      </w:r>
      <w:r w:rsidRPr="00870E9F">
        <w:rPr>
          <w:rFonts w:cs="Times New Roman"/>
          <w:lang w:val="en-GB"/>
        </w:rPr>
        <w:t xml:space="preserve">(6), pp. 482-486. </w:t>
      </w:r>
      <w:hyperlink r:id="rId27" w:history="1">
        <w:r w:rsidR="0079537E" w:rsidRPr="00870E9F">
          <w:rPr>
            <w:rStyle w:val="Hyperlink"/>
            <w:rFonts w:cs="Times New Roman"/>
            <w:lang w:val="en-GB"/>
          </w:rPr>
          <w:t>https://doi.org/10.1017/s1049023x12000131</w:t>
        </w:r>
      </w:hyperlink>
    </w:p>
    <w:p w14:paraId="5406B31C" w14:textId="77777777" w:rsidR="002C04D5" w:rsidRPr="00870E9F" w:rsidRDefault="002C04D5" w:rsidP="002C04D5">
      <w:pPr>
        <w:pStyle w:val="NoSpacing"/>
        <w:spacing w:line="276" w:lineRule="auto"/>
        <w:rPr>
          <w:rFonts w:cs="Times New Roman"/>
          <w:lang w:val="en-GB"/>
        </w:rPr>
      </w:pPr>
    </w:p>
    <w:p w14:paraId="20122991" w14:textId="2F2B0CB6" w:rsidR="002C04D5" w:rsidRPr="00870E9F" w:rsidRDefault="002C04D5" w:rsidP="002C04D5">
      <w:pPr>
        <w:pStyle w:val="NoSpacing"/>
        <w:spacing w:line="276" w:lineRule="auto"/>
        <w:rPr>
          <w:rFonts w:cs="Times New Roman"/>
          <w:lang w:val="en-GB"/>
        </w:rPr>
      </w:pPr>
      <w:r w:rsidRPr="00870E9F">
        <w:rPr>
          <w:rFonts w:cs="Times New Roman"/>
          <w:lang w:val="en-GB"/>
        </w:rPr>
        <w:t xml:space="preserve">Grote, T. and Berens, P. (2019). On the ethics of algorithmic decision-making in healthcare. Journal of Medical Ethics, 46(3), pp. 205-211. </w:t>
      </w:r>
      <w:hyperlink r:id="rId28" w:history="1">
        <w:r w:rsidR="0079537E" w:rsidRPr="00870E9F">
          <w:rPr>
            <w:rStyle w:val="Hyperlink"/>
            <w:rFonts w:cs="Times New Roman"/>
            <w:lang w:val="en-GB"/>
          </w:rPr>
          <w:t>https://doi.org/10.1136/medethics-2019-105586</w:t>
        </w:r>
      </w:hyperlink>
    </w:p>
    <w:p w14:paraId="729AADE8" w14:textId="77777777" w:rsidR="0079537E" w:rsidRPr="00870E9F" w:rsidRDefault="0079537E" w:rsidP="002C04D5">
      <w:pPr>
        <w:pStyle w:val="NoSpacing"/>
        <w:spacing w:line="276" w:lineRule="auto"/>
        <w:rPr>
          <w:rFonts w:cs="Times New Roman"/>
          <w:lang w:val="en-GB"/>
        </w:rPr>
      </w:pPr>
    </w:p>
    <w:p w14:paraId="6F0AC9C2" w14:textId="4B4B317F" w:rsidR="0079537E" w:rsidRPr="00870E9F" w:rsidRDefault="0079537E" w:rsidP="002C04D5">
      <w:pPr>
        <w:pStyle w:val="NoSpacing"/>
        <w:spacing w:line="276" w:lineRule="auto"/>
        <w:rPr>
          <w:rFonts w:cs="Times New Roman"/>
          <w:lang w:val="en-GB"/>
        </w:rPr>
      </w:pPr>
      <w:r w:rsidRPr="00870E9F">
        <w:rPr>
          <w:rFonts w:cs="Times New Roman"/>
          <w:lang w:val="en-GB"/>
        </w:rPr>
        <w:t xml:space="preserve">Guan, J. (2019). Artificial intelligence in healthcare and medicine: promises, ethical challenges, and governance. Chinese Medical Sciences Journal, 0(0), p. 99. doi: </w:t>
      </w:r>
      <w:hyperlink r:id="rId29" w:history="1">
        <w:r w:rsidRPr="00870E9F">
          <w:rPr>
            <w:rStyle w:val="Hyperlink"/>
            <w:rFonts w:cs="Times New Roman"/>
            <w:lang w:val="en-GB"/>
          </w:rPr>
          <w:t>https://doi.org/10.24920/003611</w:t>
        </w:r>
      </w:hyperlink>
    </w:p>
    <w:p w14:paraId="4158DDFF" w14:textId="77777777" w:rsidR="00C415F0" w:rsidRPr="00870E9F" w:rsidRDefault="00C415F0" w:rsidP="002C04D5">
      <w:pPr>
        <w:pStyle w:val="NoSpacing"/>
        <w:spacing w:line="276" w:lineRule="auto"/>
        <w:rPr>
          <w:rFonts w:cs="Times New Roman"/>
          <w:lang w:val="en-GB"/>
        </w:rPr>
      </w:pPr>
    </w:p>
    <w:p w14:paraId="271CFCD3" w14:textId="4AACC285" w:rsidR="00C415F0" w:rsidRPr="00870E9F" w:rsidRDefault="00C415F0" w:rsidP="00C415F0">
      <w:pPr>
        <w:pStyle w:val="NoSpacing"/>
        <w:spacing w:line="276" w:lineRule="auto"/>
        <w:rPr>
          <w:rFonts w:cs="Times New Roman"/>
          <w:lang w:val="en-GB"/>
        </w:rPr>
      </w:pPr>
      <w:r w:rsidRPr="00870E9F">
        <w:rPr>
          <w:rFonts w:cs="Times New Roman"/>
          <w:lang w:val="en-GB"/>
        </w:rPr>
        <w:t xml:space="preserve">Guan, H., Liye, D. &amp; Zhao, A. (2022) 'Ethical risk factors and mechanisms in artificial intelligence decision making', Behavioral Sciences, 12(9), p. 343. </w:t>
      </w:r>
      <w:hyperlink r:id="rId30" w:history="1">
        <w:r w:rsidRPr="00870E9F">
          <w:rPr>
            <w:rStyle w:val="Hyperlink"/>
            <w:rFonts w:cs="Times New Roman"/>
            <w:lang w:val="en-GB"/>
          </w:rPr>
          <w:t>https://doi.org/10.3390/bs12090343</w:t>
        </w:r>
      </w:hyperlink>
    </w:p>
    <w:p w14:paraId="78066F34" w14:textId="77777777" w:rsidR="00C415F0" w:rsidRPr="00870E9F" w:rsidRDefault="00C415F0" w:rsidP="00C415F0">
      <w:pPr>
        <w:pStyle w:val="NoSpacing"/>
        <w:spacing w:line="276" w:lineRule="auto"/>
        <w:rPr>
          <w:rFonts w:cs="Times New Roman"/>
          <w:lang w:val="en-GB"/>
        </w:rPr>
      </w:pPr>
    </w:p>
    <w:p w14:paraId="5330EDF3" w14:textId="41B75F9E" w:rsidR="00C415F0" w:rsidRPr="00870E9F" w:rsidRDefault="00C415F0" w:rsidP="00C415F0">
      <w:pPr>
        <w:pStyle w:val="NoSpacing"/>
        <w:spacing w:line="276" w:lineRule="auto"/>
        <w:rPr>
          <w:rFonts w:cs="Times New Roman"/>
          <w:lang w:val="en-GB"/>
        </w:rPr>
      </w:pPr>
      <w:r w:rsidRPr="00870E9F">
        <w:rPr>
          <w:rFonts w:cs="Times New Roman"/>
          <w:lang w:val="en-GB"/>
        </w:rPr>
        <w:t xml:space="preserve">Halldorsson, A., Gremyr, I., Winter, A. &amp; Taghahvi, N. (2018) 'Lean energy: turning sustainable development into organizational renewal', Sustainability, 10(12), p. 4464. </w:t>
      </w:r>
      <w:hyperlink r:id="rId31" w:history="1">
        <w:r w:rsidRPr="00870E9F">
          <w:rPr>
            <w:rStyle w:val="Hyperlink"/>
            <w:rFonts w:cs="Times New Roman"/>
            <w:lang w:val="en-GB"/>
          </w:rPr>
          <w:t>https://doi.org/10.3390/su10124464</w:t>
        </w:r>
      </w:hyperlink>
    </w:p>
    <w:p w14:paraId="73D164D5" w14:textId="77777777" w:rsidR="002C04D5" w:rsidRPr="00870E9F" w:rsidRDefault="002C04D5" w:rsidP="002C04D5">
      <w:pPr>
        <w:pStyle w:val="NoSpacing"/>
        <w:spacing w:line="276" w:lineRule="auto"/>
        <w:rPr>
          <w:rFonts w:cs="Times New Roman"/>
          <w:lang w:val="en-GB"/>
        </w:rPr>
      </w:pPr>
    </w:p>
    <w:p w14:paraId="43163252" w14:textId="636F2170" w:rsidR="002C04D5" w:rsidRPr="00870E9F" w:rsidRDefault="002C04D5" w:rsidP="002C04D5">
      <w:pPr>
        <w:pStyle w:val="NoSpacing"/>
        <w:spacing w:line="276" w:lineRule="auto"/>
        <w:rPr>
          <w:rFonts w:cs="Times New Roman"/>
          <w:lang w:val="en-GB"/>
        </w:rPr>
      </w:pPr>
      <w:r w:rsidRPr="00870E9F">
        <w:rPr>
          <w:rFonts w:cs="Times New Roman"/>
          <w:lang w:val="en-GB"/>
        </w:rPr>
        <w:lastRenderedPageBreak/>
        <w:t>Hannah, S., Avolio, B., &amp; Walumbwa, F. (2011). Relationships between authentic leadership, moral courage, and ethical and pro-social behavio</w:t>
      </w:r>
      <w:r w:rsidR="00EA7B70" w:rsidRPr="00870E9F">
        <w:rPr>
          <w:rFonts w:cs="Times New Roman"/>
          <w:lang w:val="en-GB"/>
        </w:rPr>
        <w:t>u</w:t>
      </w:r>
      <w:r w:rsidRPr="00870E9F">
        <w:rPr>
          <w:rFonts w:cs="Times New Roman"/>
          <w:lang w:val="en-GB"/>
        </w:rPr>
        <w:t xml:space="preserve">rs. Business Ethics Quarterly, 21(4), pp. 555-578. </w:t>
      </w:r>
      <w:hyperlink r:id="rId32" w:history="1">
        <w:r w:rsidR="0079537E" w:rsidRPr="00870E9F">
          <w:rPr>
            <w:rStyle w:val="Hyperlink"/>
            <w:rFonts w:cs="Times New Roman"/>
            <w:lang w:val="en-GB"/>
          </w:rPr>
          <w:t>https://doi.org/10.5840/beq201121436</w:t>
        </w:r>
      </w:hyperlink>
    </w:p>
    <w:p w14:paraId="45953FD7" w14:textId="77777777" w:rsidR="002C04D5" w:rsidRPr="00870E9F" w:rsidRDefault="002C04D5" w:rsidP="002C04D5">
      <w:pPr>
        <w:pStyle w:val="NoSpacing"/>
        <w:spacing w:line="276" w:lineRule="auto"/>
        <w:rPr>
          <w:rFonts w:cs="Times New Roman"/>
          <w:lang w:val="en-GB"/>
        </w:rPr>
      </w:pPr>
    </w:p>
    <w:p w14:paraId="09BF02F6" w14:textId="314E58D0" w:rsidR="002C04D5" w:rsidRPr="00870E9F" w:rsidRDefault="002C04D5" w:rsidP="002C04D5">
      <w:pPr>
        <w:pStyle w:val="NoSpacing"/>
        <w:spacing w:line="276" w:lineRule="auto"/>
        <w:rPr>
          <w:rFonts w:cs="Times New Roman"/>
          <w:lang w:val="en-GB"/>
        </w:rPr>
      </w:pPr>
      <w:r w:rsidRPr="00870E9F">
        <w:rPr>
          <w:rFonts w:cs="Times New Roman"/>
          <w:lang w:val="en-GB"/>
        </w:rPr>
        <w:t xml:space="preserve">Hendricks, S. (2021). Rethinking innovation and the role of stakeholder engagement in sport and exercise medicine. BMJ Open Sport &amp; Exercise Medicine, 7(2), e001009. </w:t>
      </w:r>
      <w:hyperlink r:id="rId33" w:history="1">
        <w:r w:rsidR="0079537E" w:rsidRPr="00870E9F">
          <w:rPr>
            <w:rStyle w:val="Hyperlink"/>
            <w:rFonts w:cs="Times New Roman"/>
            <w:lang w:val="en-GB"/>
          </w:rPr>
          <w:t>https://doi.org/10.1136/bmjsem-2020-001009</w:t>
        </w:r>
      </w:hyperlink>
    </w:p>
    <w:p w14:paraId="7FE14166" w14:textId="77777777" w:rsidR="002C04D5" w:rsidRPr="00870E9F" w:rsidRDefault="002C04D5" w:rsidP="002C04D5">
      <w:pPr>
        <w:pStyle w:val="NoSpacing"/>
        <w:spacing w:line="276" w:lineRule="auto"/>
        <w:rPr>
          <w:rFonts w:cs="Times New Roman"/>
          <w:lang w:val="en-GB"/>
        </w:rPr>
      </w:pPr>
    </w:p>
    <w:p w14:paraId="7F96E26F" w14:textId="6B8B8001" w:rsidR="002C04D5" w:rsidRPr="00870E9F" w:rsidRDefault="002C04D5" w:rsidP="002C04D5">
      <w:pPr>
        <w:pStyle w:val="NoSpacing"/>
        <w:spacing w:line="276" w:lineRule="auto"/>
        <w:rPr>
          <w:rFonts w:cs="Times New Roman"/>
          <w:lang w:val="en-GB"/>
        </w:rPr>
      </w:pPr>
      <w:r w:rsidRPr="00870E9F">
        <w:rPr>
          <w:rFonts w:cs="Times New Roman"/>
          <w:lang w:val="en-GB"/>
        </w:rPr>
        <w:t xml:space="preserve">Hoover, S., Tiwari, S., Kim, J., Green, M., Richmond, A., Wynn, M., &amp; Corbie-Smith, G. (2019). Convergence despite divergence: views of academic and community stakeholders about the ethics of community-engaged research. Ethnicity &amp; Disease, 29(2), pp. 309-316. </w:t>
      </w:r>
      <w:hyperlink r:id="rId34" w:history="1">
        <w:r w:rsidR="0079537E" w:rsidRPr="00870E9F">
          <w:rPr>
            <w:rStyle w:val="Hyperlink"/>
            <w:rFonts w:cs="Times New Roman"/>
            <w:lang w:val="en-GB"/>
          </w:rPr>
          <w:t>https://doi.org/10.18865/ed.29.2.309</w:t>
        </w:r>
      </w:hyperlink>
    </w:p>
    <w:p w14:paraId="5A79AA3E" w14:textId="77777777" w:rsidR="002C04D5" w:rsidRPr="00870E9F" w:rsidRDefault="002C04D5" w:rsidP="002C04D5">
      <w:pPr>
        <w:pStyle w:val="NoSpacing"/>
        <w:spacing w:line="276" w:lineRule="auto"/>
        <w:rPr>
          <w:rFonts w:cs="Times New Roman"/>
          <w:lang w:val="en-GB"/>
        </w:rPr>
      </w:pPr>
    </w:p>
    <w:p w14:paraId="3268E318" w14:textId="26A853F6" w:rsidR="0079537E" w:rsidRPr="00870E9F" w:rsidRDefault="002C04D5" w:rsidP="002C04D5">
      <w:pPr>
        <w:pStyle w:val="NoSpacing"/>
        <w:spacing w:line="276" w:lineRule="auto"/>
        <w:rPr>
          <w:rFonts w:cs="Times New Roman"/>
          <w:lang w:val="en-GB"/>
        </w:rPr>
      </w:pPr>
      <w:r w:rsidRPr="00870E9F">
        <w:rPr>
          <w:rFonts w:cs="Times New Roman"/>
          <w:lang w:val="en-GB"/>
        </w:rPr>
        <w:t xml:space="preserve">Hunt, M., Eckenwiler, L., Hyppolite, S., Pringle, J., Pal, N., &amp; Chung, R. (2020). Closing well: national and international humanitarian workers’ perspectives on the ethics of closing humanitarian health projects. Journal of International Humanitarian Action, 5(1). </w:t>
      </w:r>
      <w:hyperlink r:id="rId35" w:history="1">
        <w:r w:rsidR="0079537E" w:rsidRPr="00870E9F">
          <w:rPr>
            <w:rStyle w:val="Hyperlink"/>
            <w:rFonts w:cs="Times New Roman"/>
            <w:lang w:val="en-GB"/>
          </w:rPr>
          <w:t>https://doi.org/10.1186/s41018-020-00082-4</w:t>
        </w:r>
      </w:hyperlink>
    </w:p>
    <w:p w14:paraId="7038306B" w14:textId="77777777" w:rsidR="002C04D5" w:rsidRPr="00870E9F" w:rsidRDefault="002C04D5" w:rsidP="002C04D5">
      <w:pPr>
        <w:pStyle w:val="NoSpacing"/>
        <w:spacing w:line="276" w:lineRule="auto"/>
        <w:rPr>
          <w:rFonts w:cs="Times New Roman"/>
          <w:lang w:val="en-GB"/>
        </w:rPr>
      </w:pPr>
    </w:p>
    <w:p w14:paraId="36A65AA7" w14:textId="524D9EB9" w:rsidR="002C04D5" w:rsidRPr="00870E9F" w:rsidRDefault="002C04D5" w:rsidP="002C04D5">
      <w:pPr>
        <w:pStyle w:val="NoSpacing"/>
        <w:spacing w:line="276" w:lineRule="auto"/>
        <w:rPr>
          <w:rFonts w:cs="Times New Roman"/>
          <w:lang w:val="en-GB"/>
        </w:rPr>
      </w:pPr>
      <w:r w:rsidRPr="00870E9F">
        <w:rPr>
          <w:rFonts w:cs="Times New Roman"/>
          <w:lang w:val="en-GB"/>
        </w:rPr>
        <w:t>ICRC. (2023a). ICRC Strategy 2019-2022. International Committee of the Red Cross. [Online] Available at: &lt;https://www.icrc.org/en/publication/4354-icrc-strategy-2019-2022&gt; [Accessed 22 May 2024].</w:t>
      </w:r>
    </w:p>
    <w:p w14:paraId="26F09428" w14:textId="77777777" w:rsidR="002C04D5" w:rsidRPr="00870E9F" w:rsidRDefault="002C04D5" w:rsidP="002C04D5">
      <w:pPr>
        <w:pStyle w:val="NoSpacing"/>
        <w:spacing w:line="276" w:lineRule="auto"/>
        <w:rPr>
          <w:rFonts w:cs="Times New Roman"/>
          <w:lang w:val="en-GB"/>
        </w:rPr>
      </w:pPr>
    </w:p>
    <w:p w14:paraId="7670940D" w14:textId="5042EFDB" w:rsidR="002C04D5" w:rsidRPr="00870E9F" w:rsidRDefault="002C04D5" w:rsidP="002C04D5">
      <w:pPr>
        <w:pStyle w:val="NoSpacing"/>
        <w:spacing w:line="276" w:lineRule="auto"/>
        <w:rPr>
          <w:rFonts w:cs="Times New Roman"/>
          <w:lang w:val="en-GB"/>
        </w:rPr>
      </w:pPr>
      <w:r w:rsidRPr="00870E9F">
        <w:rPr>
          <w:rFonts w:cs="Times New Roman"/>
          <w:lang w:val="en-GB"/>
        </w:rPr>
        <w:t>ICRC. (2023b). ICRC Organizational Chart. International Committee of the Red Cross. [Online] Available at: &lt;https://www.icrc.org/en/document/icrc-organizational-chart&gt; [Accessed 22 May 2024].</w:t>
      </w:r>
    </w:p>
    <w:p w14:paraId="57ECA88A" w14:textId="77777777" w:rsidR="002C04D5" w:rsidRPr="00870E9F" w:rsidRDefault="002C04D5" w:rsidP="002C04D5">
      <w:pPr>
        <w:pStyle w:val="NoSpacing"/>
        <w:spacing w:line="276" w:lineRule="auto"/>
        <w:rPr>
          <w:rFonts w:cs="Times New Roman"/>
          <w:lang w:val="en-GB"/>
        </w:rPr>
      </w:pPr>
    </w:p>
    <w:p w14:paraId="27108312" w14:textId="3F811C7C" w:rsidR="0079537E" w:rsidRPr="00870E9F" w:rsidRDefault="002C04D5" w:rsidP="002C04D5">
      <w:pPr>
        <w:pStyle w:val="NoSpacing"/>
        <w:spacing w:line="276" w:lineRule="auto"/>
        <w:rPr>
          <w:rFonts w:cs="Times New Roman"/>
          <w:lang w:val="en-GB"/>
        </w:rPr>
      </w:pPr>
      <w:r w:rsidRPr="00870E9F">
        <w:rPr>
          <w:rFonts w:cs="Times New Roman"/>
          <w:lang w:val="en-GB"/>
        </w:rPr>
        <w:t>ICRC. (2023c). Health Strategy 2020-2023: Effectively Addressing Health Needs of People Affected by Armed Conflict. International Committee of the Red Cross. [Online] Available at: &lt;https://www.icrc.org/en/publication/4454-health-strategy-2020-2023-effectively-addressing-health-needs-people-affected-armed&gt; [Accessed 22 May 2024].</w:t>
      </w:r>
    </w:p>
    <w:p w14:paraId="08C39AD3" w14:textId="77777777" w:rsidR="002C04D5" w:rsidRPr="00870E9F" w:rsidRDefault="002C04D5" w:rsidP="002C04D5">
      <w:pPr>
        <w:pStyle w:val="NoSpacing"/>
        <w:spacing w:line="276" w:lineRule="auto"/>
        <w:rPr>
          <w:rFonts w:cs="Times New Roman"/>
          <w:lang w:val="en-GB"/>
        </w:rPr>
      </w:pPr>
    </w:p>
    <w:p w14:paraId="313B8D62" w14:textId="5D4A90B5" w:rsidR="0079537E" w:rsidRPr="00870E9F" w:rsidRDefault="002C04D5" w:rsidP="002C04D5">
      <w:pPr>
        <w:pStyle w:val="NoSpacing"/>
        <w:spacing w:line="276" w:lineRule="auto"/>
        <w:rPr>
          <w:rFonts w:cs="Times New Roman"/>
          <w:lang w:val="en-GB"/>
        </w:rPr>
      </w:pPr>
      <w:r w:rsidRPr="00870E9F">
        <w:rPr>
          <w:rFonts w:cs="Times New Roman"/>
          <w:lang w:val="en-GB"/>
        </w:rPr>
        <w:t xml:space="preserve">Jiang, H. and Luo, Y. (2018). Crafting employee trust: from authenticity, transparency to engagement. Journal of Communication Management, 22(2), pp. 138-160. </w:t>
      </w:r>
      <w:hyperlink r:id="rId36" w:history="1">
        <w:r w:rsidR="0079537E" w:rsidRPr="00870E9F">
          <w:rPr>
            <w:rStyle w:val="Hyperlink"/>
            <w:rFonts w:cs="Times New Roman"/>
            <w:lang w:val="en-GB"/>
          </w:rPr>
          <w:t>https://doi.org/10.1108/jcom-07-2016-0055</w:t>
        </w:r>
      </w:hyperlink>
    </w:p>
    <w:p w14:paraId="3CF9CA8B" w14:textId="77777777" w:rsidR="002C04D5" w:rsidRPr="00870E9F" w:rsidRDefault="002C04D5" w:rsidP="002C04D5">
      <w:pPr>
        <w:pStyle w:val="NoSpacing"/>
        <w:spacing w:line="276" w:lineRule="auto"/>
        <w:rPr>
          <w:rFonts w:cs="Times New Roman"/>
          <w:lang w:val="en-GB"/>
        </w:rPr>
      </w:pPr>
    </w:p>
    <w:p w14:paraId="55DC03BF" w14:textId="30D2527E" w:rsidR="002C04D5" w:rsidRPr="00870E9F" w:rsidRDefault="002C04D5" w:rsidP="002C04D5">
      <w:pPr>
        <w:pStyle w:val="NoSpacing"/>
        <w:spacing w:line="276" w:lineRule="auto"/>
        <w:rPr>
          <w:rFonts w:cs="Times New Roman"/>
          <w:lang w:val="en-GB"/>
        </w:rPr>
      </w:pPr>
      <w:r w:rsidRPr="00870E9F">
        <w:rPr>
          <w:rFonts w:cs="Times New Roman"/>
          <w:lang w:val="en-GB"/>
        </w:rPr>
        <w:t>Jiang, H. and Shen, H. (2020). Toward a relational theory of employee engagement: understanding authenticity, transparency, and employee behavio</w:t>
      </w:r>
      <w:r w:rsidR="00EA7B70" w:rsidRPr="00870E9F">
        <w:rPr>
          <w:rFonts w:cs="Times New Roman"/>
          <w:lang w:val="en-GB"/>
        </w:rPr>
        <w:t>u</w:t>
      </w:r>
      <w:r w:rsidRPr="00870E9F">
        <w:rPr>
          <w:rFonts w:cs="Times New Roman"/>
          <w:lang w:val="en-GB"/>
        </w:rPr>
        <w:t xml:space="preserve">rs. International Journal of Business Communication, 60(3), pp. 948-975. </w:t>
      </w:r>
      <w:hyperlink r:id="rId37" w:history="1">
        <w:r w:rsidR="0079537E" w:rsidRPr="00870E9F">
          <w:rPr>
            <w:rStyle w:val="Hyperlink"/>
            <w:rFonts w:cs="Times New Roman"/>
            <w:lang w:val="en-GB"/>
          </w:rPr>
          <w:t>https://doi.org/10.1177/2329488420954236</w:t>
        </w:r>
      </w:hyperlink>
    </w:p>
    <w:p w14:paraId="0D965210" w14:textId="77777777" w:rsidR="00C415F0" w:rsidRPr="00870E9F" w:rsidRDefault="00C415F0" w:rsidP="002C04D5">
      <w:pPr>
        <w:pStyle w:val="NoSpacing"/>
        <w:spacing w:line="276" w:lineRule="auto"/>
        <w:rPr>
          <w:rFonts w:cs="Times New Roman"/>
          <w:lang w:val="en-GB"/>
        </w:rPr>
      </w:pPr>
    </w:p>
    <w:p w14:paraId="2F3FB417" w14:textId="391A5B82" w:rsidR="00C415F0" w:rsidRPr="00870E9F" w:rsidRDefault="00C415F0" w:rsidP="00C415F0">
      <w:pPr>
        <w:pStyle w:val="NoSpacing"/>
        <w:spacing w:line="276" w:lineRule="auto"/>
        <w:rPr>
          <w:rFonts w:cs="Times New Roman"/>
          <w:lang w:val="en-GB"/>
        </w:rPr>
      </w:pPr>
      <w:r w:rsidRPr="00870E9F">
        <w:rPr>
          <w:rFonts w:cs="Times New Roman"/>
          <w:lang w:val="en-GB"/>
        </w:rPr>
        <w:t xml:space="preserve">Jones, T. (1991) 'Ethical decision making by individuals in organizations: an issue-contingent model', Academy of Management Review, 16(2), p. 366. </w:t>
      </w:r>
      <w:hyperlink r:id="rId38" w:history="1">
        <w:r w:rsidR="0073343A" w:rsidRPr="00870E9F">
          <w:rPr>
            <w:rStyle w:val="Hyperlink"/>
            <w:rFonts w:cs="Times New Roman"/>
            <w:lang w:val="en-GB"/>
          </w:rPr>
          <w:t>https://doi.org/10.2307/258867</w:t>
        </w:r>
      </w:hyperlink>
    </w:p>
    <w:p w14:paraId="418DFDE3" w14:textId="77777777" w:rsidR="0073343A" w:rsidRPr="00870E9F" w:rsidRDefault="0073343A" w:rsidP="00C415F0">
      <w:pPr>
        <w:pStyle w:val="NoSpacing"/>
        <w:spacing w:line="276" w:lineRule="auto"/>
        <w:rPr>
          <w:rFonts w:cs="Times New Roman"/>
          <w:lang w:val="en-GB"/>
        </w:rPr>
      </w:pPr>
    </w:p>
    <w:p w14:paraId="6D499633" w14:textId="5B32C515" w:rsidR="0073343A" w:rsidRPr="00870E9F" w:rsidRDefault="0073343A" w:rsidP="0073343A">
      <w:pPr>
        <w:jc w:val="both"/>
        <w:rPr>
          <w:color w:val="1E1D1A"/>
          <w:shd w:val="clear" w:color="auto" w:fill="FFFFFF"/>
        </w:rPr>
      </w:pPr>
      <w:r w:rsidRPr="00870E9F">
        <w:rPr>
          <w:color w:val="1E1D1A"/>
          <w:shd w:val="clear" w:color="auto" w:fill="FFFFFF"/>
        </w:rPr>
        <w:t xml:space="preserve">Kalu, C. and Rugami, J. (2021). Stakeholder involvement and infrastructure projects implementation at kenya ports authority. International Journal of Business Management Entrepreneurship and Innovation, 3(1), 78-90. </w:t>
      </w:r>
      <w:hyperlink r:id="rId39" w:history="1">
        <w:r w:rsidRPr="00870E9F">
          <w:rPr>
            <w:rStyle w:val="Hyperlink"/>
            <w:shd w:val="clear" w:color="auto" w:fill="FFFFFF"/>
          </w:rPr>
          <w:t>https://doi.org/10.35942/jbmed.v3i1.166</w:t>
        </w:r>
      </w:hyperlink>
    </w:p>
    <w:p w14:paraId="470C4AB3" w14:textId="77777777" w:rsidR="00C415F0" w:rsidRPr="00870E9F" w:rsidRDefault="00C415F0" w:rsidP="00C415F0">
      <w:pPr>
        <w:pStyle w:val="NoSpacing"/>
        <w:spacing w:line="276" w:lineRule="auto"/>
        <w:rPr>
          <w:rFonts w:cs="Times New Roman"/>
          <w:lang w:val="en-GB"/>
        </w:rPr>
      </w:pPr>
    </w:p>
    <w:p w14:paraId="3D9A9935" w14:textId="329AD722" w:rsidR="00C415F0" w:rsidRPr="00870E9F" w:rsidRDefault="00C415F0" w:rsidP="00C415F0">
      <w:pPr>
        <w:pStyle w:val="NoSpacing"/>
        <w:spacing w:line="276" w:lineRule="auto"/>
        <w:rPr>
          <w:rFonts w:cs="Times New Roman"/>
          <w:lang w:val="en-GB"/>
        </w:rPr>
      </w:pPr>
      <w:r w:rsidRPr="00870E9F">
        <w:rPr>
          <w:rFonts w:cs="Times New Roman"/>
          <w:lang w:val="en-GB"/>
        </w:rPr>
        <w:t xml:space="preserve">Kiesnere, A. &amp; Baumgartner, R. (2019) 'Sustainability management emergence and integration on different management levels in smaller large‐sized companies in Austria', Corporate Social Responsibility and Environmental Management, 26(6), pp. 1607-1626. </w:t>
      </w:r>
      <w:hyperlink r:id="rId40" w:history="1">
        <w:r w:rsidRPr="00870E9F">
          <w:rPr>
            <w:rStyle w:val="Hyperlink"/>
            <w:rFonts w:cs="Times New Roman"/>
            <w:lang w:val="en-GB"/>
          </w:rPr>
          <w:t>https://doi.org/10.1002/csr.1854</w:t>
        </w:r>
      </w:hyperlink>
    </w:p>
    <w:p w14:paraId="10DF8E80" w14:textId="77777777" w:rsidR="00C415F0" w:rsidRPr="00870E9F" w:rsidRDefault="00C415F0" w:rsidP="002C04D5">
      <w:pPr>
        <w:pStyle w:val="NoSpacing"/>
        <w:spacing w:line="276" w:lineRule="auto"/>
        <w:rPr>
          <w:rFonts w:cs="Times New Roman"/>
          <w:lang w:val="en-GB"/>
        </w:rPr>
      </w:pPr>
    </w:p>
    <w:p w14:paraId="1AB02C6D" w14:textId="240569FE" w:rsidR="0073343A" w:rsidRPr="00870E9F" w:rsidRDefault="00C415F0" w:rsidP="00C415F0">
      <w:pPr>
        <w:pStyle w:val="NoSpacing"/>
        <w:spacing w:line="276" w:lineRule="auto"/>
        <w:rPr>
          <w:rFonts w:cs="Times New Roman"/>
          <w:lang w:val="en-GB"/>
        </w:rPr>
      </w:pPr>
      <w:r w:rsidRPr="00870E9F">
        <w:rPr>
          <w:rFonts w:cs="Times New Roman"/>
          <w:lang w:val="en-GB"/>
        </w:rPr>
        <w:t xml:space="preserve">Kovács, G. &amp; Spens, K. (2009) 'Identifying challenges in humanitarian logistics', International Journal of Physical Distribution &amp; Logistics Management, 39(6), pp. 506-528. </w:t>
      </w:r>
      <w:hyperlink r:id="rId41" w:history="1">
        <w:r w:rsidRPr="00870E9F">
          <w:rPr>
            <w:rStyle w:val="Hyperlink"/>
            <w:rFonts w:cs="Times New Roman"/>
            <w:lang w:val="en-GB"/>
          </w:rPr>
          <w:t>https://doi.org/10.1108/09600030910985848</w:t>
        </w:r>
      </w:hyperlink>
    </w:p>
    <w:p w14:paraId="74889AA3" w14:textId="77777777" w:rsidR="002C04D5" w:rsidRPr="00870E9F" w:rsidRDefault="002C04D5" w:rsidP="002C04D5">
      <w:pPr>
        <w:pStyle w:val="NoSpacing"/>
        <w:spacing w:line="276" w:lineRule="auto"/>
        <w:rPr>
          <w:rFonts w:cs="Times New Roman"/>
          <w:lang w:val="en-GB"/>
        </w:rPr>
      </w:pPr>
    </w:p>
    <w:p w14:paraId="6DA5C371" w14:textId="01A46EA9" w:rsidR="0079537E" w:rsidRPr="00870E9F" w:rsidRDefault="002C04D5" w:rsidP="002C04D5">
      <w:pPr>
        <w:pStyle w:val="NoSpacing"/>
        <w:spacing w:line="276" w:lineRule="auto"/>
        <w:rPr>
          <w:rFonts w:cs="Times New Roman"/>
          <w:lang w:val="en-GB"/>
        </w:rPr>
      </w:pPr>
      <w:r w:rsidRPr="00870E9F">
        <w:rPr>
          <w:rFonts w:cs="Times New Roman"/>
          <w:lang w:val="en-GB"/>
        </w:rPr>
        <w:t xml:space="preserve">Langsdale, S. and Cardwell, H. (2022). Stakeholder engagement for sustainable water supply management: what does the future hold? Journal of Water Supply Research and Technology—aqua, 71(10), pp. 1095-1104. </w:t>
      </w:r>
      <w:hyperlink r:id="rId42" w:history="1">
        <w:r w:rsidR="0079537E" w:rsidRPr="00870E9F">
          <w:rPr>
            <w:rStyle w:val="Hyperlink"/>
            <w:rFonts w:cs="Times New Roman"/>
            <w:lang w:val="en-GB"/>
          </w:rPr>
          <w:t>https://doi.org/10.2166/aqua.2022.041</w:t>
        </w:r>
      </w:hyperlink>
    </w:p>
    <w:p w14:paraId="450A1B4A" w14:textId="77777777" w:rsidR="002C04D5" w:rsidRPr="00870E9F" w:rsidRDefault="002C04D5" w:rsidP="002C04D5">
      <w:pPr>
        <w:pStyle w:val="NoSpacing"/>
        <w:spacing w:line="276" w:lineRule="auto"/>
        <w:rPr>
          <w:rFonts w:cs="Times New Roman"/>
          <w:lang w:val="en-GB"/>
        </w:rPr>
      </w:pPr>
    </w:p>
    <w:p w14:paraId="2FC5C8CA" w14:textId="644CD1F3" w:rsidR="002C04D5" w:rsidRPr="00870E9F" w:rsidRDefault="002C04D5" w:rsidP="002C04D5">
      <w:pPr>
        <w:pStyle w:val="NoSpacing"/>
        <w:spacing w:line="276" w:lineRule="auto"/>
        <w:rPr>
          <w:rFonts w:cs="Times New Roman"/>
          <w:lang w:val="en-GB"/>
        </w:rPr>
      </w:pPr>
      <w:r w:rsidRPr="00870E9F">
        <w:rPr>
          <w:rFonts w:cs="Times New Roman"/>
          <w:lang w:val="en-GB"/>
        </w:rPr>
        <w:t xml:space="preserve">Lemke, A. and Harris-Wai, J. (2015). Stakeholder engagement in policy development: challenges and opportunities for human genomics. Genetics in Medicine, 17(12), pp. 949-957. </w:t>
      </w:r>
      <w:hyperlink r:id="rId43" w:history="1">
        <w:r w:rsidR="0079537E" w:rsidRPr="00870E9F">
          <w:rPr>
            <w:rStyle w:val="Hyperlink"/>
            <w:rFonts w:cs="Times New Roman"/>
            <w:lang w:val="en-GB"/>
          </w:rPr>
          <w:t>https://doi.org/10.1038/gim.2015.8</w:t>
        </w:r>
      </w:hyperlink>
    </w:p>
    <w:p w14:paraId="51B4BE3B" w14:textId="77777777" w:rsidR="002C04D5" w:rsidRPr="00870E9F" w:rsidRDefault="002C04D5" w:rsidP="002C04D5">
      <w:pPr>
        <w:pStyle w:val="NoSpacing"/>
        <w:spacing w:line="276" w:lineRule="auto"/>
        <w:rPr>
          <w:rFonts w:cs="Times New Roman"/>
          <w:lang w:val="en-GB"/>
        </w:rPr>
      </w:pPr>
    </w:p>
    <w:p w14:paraId="035F6AC1" w14:textId="59A304C7" w:rsidR="002C04D5" w:rsidRPr="00870E9F" w:rsidRDefault="002C04D5" w:rsidP="002C04D5">
      <w:pPr>
        <w:pStyle w:val="NoSpacing"/>
        <w:spacing w:line="276" w:lineRule="auto"/>
        <w:rPr>
          <w:rFonts w:cs="Times New Roman"/>
          <w:lang w:val="en-GB"/>
        </w:rPr>
      </w:pPr>
      <w:r w:rsidRPr="00870E9F">
        <w:rPr>
          <w:rFonts w:cs="Times New Roman"/>
          <w:lang w:val="en-GB"/>
        </w:rPr>
        <w:t xml:space="preserve">McPherson, K., Barnard, J., Tenney, M., Holliman, B., Morrison, K., Kneeland, P., &amp; Moss, M. (2022). Burnout and the role of authentic leadership in academic medicine. BMC Health Services Research, 22(1). </w:t>
      </w:r>
      <w:hyperlink r:id="rId44" w:history="1">
        <w:r w:rsidR="0079537E" w:rsidRPr="00870E9F">
          <w:rPr>
            <w:rStyle w:val="Hyperlink"/>
            <w:rFonts w:cs="Times New Roman"/>
            <w:lang w:val="en-GB"/>
          </w:rPr>
          <w:t>https://doi.org/10.1186/s12913-022-08034-x</w:t>
        </w:r>
      </w:hyperlink>
    </w:p>
    <w:p w14:paraId="464EFC31" w14:textId="77777777" w:rsidR="00C415F0" w:rsidRPr="00870E9F" w:rsidRDefault="00C415F0" w:rsidP="002C04D5">
      <w:pPr>
        <w:pStyle w:val="NoSpacing"/>
        <w:spacing w:line="276" w:lineRule="auto"/>
        <w:rPr>
          <w:rFonts w:cs="Times New Roman"/>
          <w:lang w:val="en-GB"/>
        </w:rPr>
      </w:pPr>
    </w:p>
    <w:p w14:paraId="63A95A6B" w14:textId="4AC8F15C" w:rsidR="00C415F0" w:rsidRPr="00870E9F" w:rsidRDefault="00C415F0" w:rsidP="00C415F0">
      <w:pPr>
        <w:pStyle w:val="NoSpacing"/>
        <w:spacing w:line="276" w:lineRule="auto"/>
        <w:rPr>
          <w:rFonts w:cs="Times New Roman"/>
          <w:lang w:val="en-GB"/>
        </w:rPr>
      </w:pPr>
      <w:r w:rsidRPr="00870E9F">
        <w:rPr>
          <w:rFonts w:cs="Times New Roman"/>
          <w:lang w:val="en-GB"/>
        </w:rPr>
        <w:t xml:space="preserve">Medne, A. &amp; Lapiņa, I. (2019) 'Sustainability and continuous improvement of organization: review of process-oriented performance indicators', Journal of Open Innovation Technology Market and Complexity, 5(3), p. 49. </w:t>
      </w:r>
      <w:hyperlink r:id="rId45" w:history="1">
        <w:r w:rsidRPr="00870E9F">
          <w:rPr>
            <w:rStyle w:val="Hyperlink"/>
            <w:rFonts w:cs="Times New Roman"/>
            <w:lang w:val="en-GB"/>
          </w:rPr>
          <w:t>https://doi.org/10.3390/joitmc5030049</w:t>
        </w:r>
      </w:hyperlink>
    </w:p>
    <w:p w14:paraId="05EFCB52" w14:textId="77777777" w:rsidR="0079537E" w:rsidRPr="00870E9F" w:rsidRDefault="0079537E" w:rsidP="002C04D5">
      <w:pPr>
        <w:pStyle w:val="NoSpacing"/>
        <w:spacing w:line="276" w:lineRule="auto"/>
        <w:rPr>
          <w:rFonts w:cs="Times New Roman"/>
          <w:lang w:val="en-GB"/>
        </w:rPr>
      </w:pPr>
    </w:p>
    <w:p w14:paraId="7E8F0F61" w14:textId="506CBF7C" w:rsidR="002C04D5" w:rsidRPr="00870E9F" w:rsidRDefault="002C04D5" w:rsidP="002C04D5">
      <w:pPr>
        <w:pStyle w:val="NoSpacing"/>
        <w:spacing w:line="276" w:lineRule="auto"/>
        <w:rPr>
          <w:rFonts w:cs="Times New Roman"/>
          <w:lang w:val="en-GB"/>
        </w:rPr>
      </w:pPr>
      <w:r w:rsidRPr="00870E9F">
        <w:rPr>
          <w:rFonts w:cs="Times New Roman"/>
          <w:lang w:val="en-GB"/>
        </w:rPr>
        <w:t xml:space="preserve">Meskens, G. (2020). Ethical considerations on stakeholder engagement in radiological risk governance. Radioprotection, 55, pp. S259-S262. </w:t>
      </w:r>
      <w:hyperlink r:id="rId46" w:history="1">
        <w:r w:rsidR="0079537E" w:rsidRPr="00870E9F">
          <w:rPr>
            <w:rStyle w:val="Hyperlink"/>
            <w:rFonts w:cs="Times New Roman"/>
            <w:lang w:val="en-GB"/>
          </w:rPr>
          <w:t>https://doi.org/10.1051/radiopro/2020043</w:t>
        </w:r>
      </w:hyperlink>
    </w:p>
    <w:p w14:paraId="514DEEF4" w14:textId="77777777" w:rsidR="002C04D5" w:rsidRPr="00870E9F" w:rsidRDefault="002C04D5" w:rsidP="002C04D5">
      <w:pPr>
        <w:pStyle w:val="NoSpacing"/>
        <w:spacing w:line="276" w:lineRule="auto"/>
        <w:rPr>
          <w:rFonts w:cs="Times New Roman"/>
          <w:lang w:val="en-GB"/>
        </w:rPr>
      </w:pPr>
    </w:p>
    <w:p w14:paraId="53AC7733" w14:textId="73A9AA67" w:rsidR="002C04D5" w:rsidRPr="00870E9F" w:rsidRDefault="002C04D5" w:rsidP="002C04D5">
      <w:pPr>
        <w:pStyle w:val="NoSpacing"/>
        <w:spacing w:line="276" w:lineRule="auto"/>
        <w:rPr>
          <w:rFonts w:cs="Times New Roman"/>
          <w:lang w:val="en-GB"/>
        </w:rPr>
      </w:pPr>
      <w:r w:rsidRPr="00870E9F">
        <w:rPr>
          <w:rFonts w:cs="Times New Roman"/>
          <w:lang w:val="en-GB"/>
        </w:rPr>
        <w:t xml:space="preserve">Nair, B., Prasad, T., &amp; Nair, S. (2021). Self‐awareness trigger leading to authentic leadership: conceptualization and development of reliable and valid self‐awareness trigger scale. Dynamic Relationships Management Journal, 10(1). </w:t>
      </w:r>
      <w:hyperlink r:id="rId47" w:history="1">
        <w:r w:rsidR="0079537E" w:rsidRPr="00870E9F">
          <w:rPr>
            <w:rStyle w:val="Hyperlink"/>
            <w:rFonts w:cs="Times New Roman"/>
            <w:lang w:val="en-GB"/>
          </w:rPr>
          <w:t>https://doi.org/10.17708/drmj.2021.v10n01a02</w:t>
        </w:r>
      </w:hyperlink>
    </w:p>
    <w:p w14:paraId="1C8C0E5A" w14:textId="77777777" w:rsidR="0079537E" w:rsidRPr="00870E9F" w:rsidRDefault="0079537E" w:rsidP="002C04D5">
      <w:pPr>
        <w:pStyle w:val="NoSpacing"/>
        <w:spacing w:line="276" w:lineRule="auto"/>
        <w:rPr>
          <w:rFonts w:cs="Times New Roman"/>
          <w:lang w:val="en-GB"/>
        </w:rPr>
      </w:pPr>
    </w:p>
    <w:p w14:paraId="4DEF26E9" w14:textId="30D42B9A" w:rsidR="0079537E" w:rsidRPr="00870E9F" w:rsidRDefault="0079537E" w:rsidP="0079537E">
      <w:pPr>
        <w:pStyle w:val="NoSpacing"/>
        <w:spacing w:line="276" w:lineRule="auto"/>
        <w:rPr>
          <w:rFonts w:cs="Times New Roman"/>
          <w:lang w:val="en-GB"/>
        </w:rPr>
      </w:pPr>
      <w:r w:rsidRPr="00870E9F">
        <w:rPr>
          <w:rFonts w:cs="Times New Roman"/>
          <w:lang w:val="en-GB"/>
        </w:rPr>
        <w:t xml:space="preserve">Neștian, A., Tiţă, S. &amp; Guță, A. (2020). Incorporating artificial intelligence in knowledge creation processes in organizations. Proceedings of the International Conference on Business Excellence, 14(1), pp. 597-606. doi: </w:t>
      </w:r>
      <w:hyperlink r:id="rId48" w:history="1">
        <w:r w:rsidRPr="00870E9F">
          <w:rPr>
            <w:rStyle w:val="Hyperlink"/>
            <w:rFonts w:cs="Times New Roman"/>
            <w:lang w:val="en-GB"/>
          </w:rPr>
          <w:t>https://doi.org/10.2478/picbe-2020-0056</w:t>
        </w:r>
      </w:hyperlink>
    </w:p>
    <w:p w14:paraId="635D8D91" w14:textId="77777777" w:rsidR="00C415F0" w:rsidRPr="00870E9F" w:rsidRDefault="00C415F0" w:rsidP="002C04D5">
      <w:pPr>
        <w:pStyle w:val="NoSpacing"/>
        <w:spacing w:line="276" w:lineRule="auto"/>
        <w:rPr>
          <w:rFonts w:cs="Times New Roman"/>
          <w:lang w:val="en-GB"/>
        </w:rPr>
      </w:pPr>
    </w:p>
    <w:p w14:paraId="1449EEC6" w14:textId="4D0BA319" w:rsidR="00C415F0" w:rsidRPr="00870E9F" w:rsidRDefault="00C415F0" w:rsidP="00C415F0">
      <w:pPr>
        <w:pStyle w:val="NoSpacing"/>
        <w:spacing w:line="276" w:lineRule="auto"/>
        <w:rPr>
          <w:rFonts w:cs="Times New Roman"/>
          <w:lang w:val="en-GB"/>
        </w:rPr>
      </w:pPr>
      <w:r w:rsidRPr="00870E9F">
        <w:rPr>
          <w:rFonts w:cs="Times New Roman"/>
          <w:lang w:val="en-GB"/>
        </w:rPr>
        <w:t xml:space="preserve">Nurmala, N., Leeuw, S. &amp; Dullaert, W. (2017) 'Humanitarian–business partnerships in managing humanitarian logistics', Supply Chain Management an International Journal, 22(1), pp. 82-94. </w:t>
      </w:r>
      <w:hyperlink r:id="rId49" w:history="1">
        <w:r w:rsidRPr="00870E9F">
          <w:rPr>
            <w:rStyle w:val="Hyperlink"/>
            <w:rFonts w:cs="Times New Roman"/>
            <w:lang w:val="en-GB"/>
          </w:rPr>
          <w:t>https://doi.org/10.1108/scm-07-2016-0262</w:t>
        </w:r>
      </w:hyperlink>
    </w:p>
    <w:p w14:paraId="37BED325" w14:textId="77777777" w:rsidR="00C415F0" w:rsidRPr="00870E9F" w:rsidRDefault="00C415F0" w:rsidP="00C415F0">
      <w:pPr>
        <w:pStyle w:val="NoSpacing"/>
        <w:spacing w:line="276" w:lineRule="auto"/>
        <w:rPr>
          <w:rFonts w:cs="Times New Roman"/>
          <w:lang w:val="en-GB"/>
        </w:rPr>
      </w:pPr>
    </w:p>
    <w:p w14:paraId="66BE32DE" w14:textId="634EA35C" w:rsidR="00C415F0" w:rsidRPr="00870E9F" w:rsidRDefault="00C415F0" w:rsidP="002C04D5">
      <w:pPr>
        <w:pStyle w:val="NoSpacing"/>
        <w:spacing w:line="276" w:lineRule="auto"/>
        <w:rPr>
          <w:rFonts w:cs="Times New Roman"/>
          <w:lang w:val="en-GB"/>
        </w:rPr>
      </w:pPr>
      <w:r w:rsidRPr="00870E9F">
        <w:rPr>
          <w:rFonts w:cs="Times New Roman"/>
          <w:lang w:val="en-GB"/>
        </w:rPr>
        <w:t xml:space="preserve">Nurmala, N., Vries, J. &amp; Leeuw, S. (2018) 'Cross-sector humanitarian–business partnerships in managing humanitarian logistics: an empirical verification', International Journal of Production Research, 56(21), pp. 6842-6858. </w:t>
      </w:r>
      <w:hyperlink r:id="rId50" w:history="1">
        <w:r w:rsidRPr="00870E9F">
          <w:rPr>
            <w:rStyle w:val="Hyperlink"/>
            <w:rFonts w:cs="Times New Roman"/>
            <w:lang w:val="en-GB"/>
          </w:rPr>
          <w:t>https://doi.org/10.1080/00207543.2018.1449977</w:t>
        </w:r>
      </w:hyperlink>
    </w:p>
    <w:p w14:paraId="6A10A662" w14:textId="77777777" w:rsidR="002C04D5" w:rsidRPr="00870E9F" w:rsidRDefault="002C04D5" w:rsidP="002C04D5">
      <w:pPr>
        <w:pStyle w:val="NoSpacing"/>
        <w:spacing w:line="276" w:lineRule="auto"/>
        <w:rPr>
          <w:rFonts w:cs="Times New Roman"/>
          <w:lang w:val="en-GB"/>
        </w:rPr>
      </w:pPr>
    </w:p>
    <w:p w14:paraId="1BCBEBAC" w14:textId="03D378AD" w:rsidR="002C04D5" w:rsidRPr="00870E9F" w:rsidRDefault="002C04D5" w:rsidP="002C04D5">
      <w:pPr>
        <w:pStyle w:val="NoSpacing"/>
        <w:spacing w:line="276" w:lineRule="auto"/>
        <w:rPr>
          <w:rFonts w:cs="Times New Roman"/>
          <w:lang w:val="en-GB"/>
        </w:rPr>
      </w:pPr>
      <w:r w:rsidRPr="00870E9F">
        <w:rPr>
          <w:rFonts w:cs="Times New Roman"/>
          <w:lang w:val="en-GB"/>
        </w:rPr>
        <w:t xml:space="preserve">Osobajo, O., Koliousis, I., &amp; McLaughlin, H. (2021). Stakeholder engagement: a conceptual framework and initial validation to foster sustainability development in a maritime cluster. European Journal of Sustainable Development Research, 5(1), em0149. </w:t>
      </w:r>
      <w:hyperlink r:id="rId51" w:history="1">
        <w:r w:rsidR="0079537E" w:rsidRPr="00870E9F">
          <w:rPr>
            <w:rStyle w:val="Hyperlink"/>
            <w:rFonts w:cs="Times New Roman"/>
            <w:lang w:val="en-GB"/>
          </w:rPr>
          <w:t>https://doi.org/10.21601/ejosdr/9664</w:t>
        </w:r>
      </w:hyperlink>
    </w:p>
    <w:p w14:paraId="4C3723C7" w14:textId="77777777" w:rsidR="00C415F0" w:rsidRPr="00870E9F" w:rsidRDefault="00C415F0" w:rsidP="002C04D5">
      <w:pPr>
        <w:pStyle w:val="NoSpacing"/>
        <w:spacing w:line="276" w:lineRule="auto"/>
        <w:rPr>
          <w:rFonts w:cs="Times New Roman"/>
          <w:lang w:val="en-GB"/>
        </w:rPr>
      </w:pPr>
    </w:p>
    <w:p w14:paraId="0D0B8CE9" w14:textId="2C8D878A" w:rsidR="00C415F0" w:rsidRPr="00870E9F" w:rsidRDefault="00C415F0" w:rsidP="00C415F0">
      <w:pPr>
        <w:pStyle w:val="NoSpacing"/>
        <w:spacing w:line="276" w:lineRule="auto"/>
        <w:rPr>
          <w:rFonts w:cs="Times New Roman"/>
          <w:lang w:val="en-GB"/>
        </w:rPr>
      </w:pPr>
      <w:r w:rsidRPr="00870E9F">
        <w:rPr>
          <w:rFonts w:cs="Times New Roman"/>
          <w:lang w:val="en-GB"/>
        </w:rPr>
        <w:t xml:space="preserve">Park, E. (2011) 'An integrated ethical decision-making model for nurses', Nursing Ethics, 19(1), pp. 139-159. </w:t>
      </w:r>
      <w:hyperlink r:id="rId52" w:history="1">
        <w:r w:rsidRPr="00870E9F">
          <w:rPr>
            <w:rStyle w:val="Hyperlink"/>
            <w:rFonts w:cs="Times New Roman"/>
            <w:lang w:val="en-GB"/>
          </w:rPr>
          <w:t>https://doi.org/10.1177/0969733011413491</w:t>
        </w:r>
      </w:hyperlink>
    </w:p>
    <w:p w14:paraId="791CF8CD" w14:textId="77777777" w:rsidR="002C04D5" w:rsidRPr="00870E9F" w:rsidRDefault="002C04D5" w:rsidP="002C04D5">
      <w:pPr>
        <w:pStyle w:val="NoSpacing"/>
        <w:spacing w:line="276" w:lineRule="auto"/>
        <w:rPr>
          <w:rFonts w:cs="Times New Roman"/>
          <w:lang w:val="en-GB"/>
        </w:rPr>
      </w:pPr>
    </w:p>
    <w:p w14:paraId="6781D013" w14:textId="77777777" w:rsidR="002C04D5" w:rsidRPr="00870E9F" w:rsidRDefault="002C04D5" w:rsidP="002C04D5">
      <w:pPr>
        <w:pStyle w:val="NoSpacing"/>
        <w:spacing w:line="276" w:lineRule="auto"/>
        <w:rPr>
          <w:rFonts w:cs="Times New Roman"/>
          <w:lang w:val="en-GB"/>
        </w:rPr>
      </w:pPr>
      <w:r w:rsidRPr="00870E9F">
        <w:rPr>
          <w:rFonts w:cs="Times New Roman"/>
          <w:lang w:val="en-GB"/>
        </w:rPr>
        <w:t>Pekel, J. and Wallace, D. (2006). 10-Step Method for Ethical Decision-Making (Short Version). [pdf] Available at: &lt;https://management.org/businessethics/10-Step-Method-Short-Version.pdf&gt; [Accessed 22 May 2024].</w:t>
      </w:r>
    </w:p>
    <w:p w14:paraId="5DEAAA01" w14:textId="77777777" w:rsidR="0079537E" w:rsidRPr="00870E9F" w:rsidRDefault="0079537E" w:rsidP="002C04D5">
      <w:pPr>
        <w:pStyle w:val="NoSpacing"/>
        <w:spacing w:line="276" w:lineRule="auto"/>
        <w:rPr>
          <w:rFonts w:cs="Times New Roman"/>
          <w:lang w:val="en-GB"/>
        </w:rPr>
      </w:pPr>
    </w:p>
    <w:p w14:paraId="28A5A5CF" w14:textId="5A2EB764" w:rsidR="0079537E" w:rsidRPr="00870E9F" w:rsidRDefault="0079537E" w:rsidP="0079537E">
      <w:pPr>
        <w:pStyle w:val="NoSpacing"/>
        <w:spacing w:line="276" w:lineRule="auto"/>
        <w:rPr>
          <w:rFonts w:cs="Times New Roman"/>
          <w:lang w:val="en-GB"/>
        </w:rPr>
      </w:pPr>
      <w:r w:rsidRPr="00870E9F">
        <w:rPr>
          <w:rFonts w:cs="Times New Roman"/>
          <w:lang w:val="en-GB"/>
        </w:rPr>
        <w:t xml:space="preserve">Salem, H., Nafad, R. &amp; Taha, S. (2022). Legal response of physicians towards workplace violence during COVID-19 pandemic in Egypt: a cross-sectional study. Zagazig Journal of Forensic Medicine, 0(0), pp. 0-0. doi: </w:t>
      </w:r>
      <w:hyperlink r:id="rId53" w:history="1">
        <w:r w:rsidRPr="00870E9F">
          <w:rPr>
            <w:rStyle w:val="Hyperlink"/>
            <w:rFonts w:cs="Times New Roman"/>
            <w:lang w:val="en-GB"/>
          </w:rPr>
          <w:t>https://doi.org/10.21608/zjfm.2022.128014.1110</w:t>
        </w:r>
      </w:hyperlink>
    </w:p>
    <w:p w14:paraId="096AA625" w14:textId="77777777" w:rsidR="00C415F0" w:rsidRPr="00870E9F" w:rsidRDefault="00C415F0" w:rsidP="0079537E">
      <w:pPr>
        <w:pStyle w:val="NoSpacing"/>
        <w:spacing w:line="276" w:lineRule="auto"/>
        <w:rPr>
          <w:rFonts w:cs="Times New Roman"/>
          <w:lang w:val="en-GB"/>
        </w:rPr>
      </w:pPr>
    </w:p>
    <w:p w14:paraId="21AA39AC" w14:textId="2608D6EB" w:rsidR="00C415F0" w:rsidRPr="00870E9F" w:rsidRDefault="00C415F0" w:rsidP="00C415F0">
      <w:pPr>
        <w:pStyle w:val="NoSpacing"/>
        <w:spacing w:line="276" w:lineRule="auto"/>
        <w:rPr>
          <w:rFonts w:cs="Times New Roman"/>
          <w:lang w:val="en-GB"/>
        </w:rPr>
      </w:pPr>
      <w:r w:rsidRPr="00870E9F">
        <w:rPr>
          <w:rFonts w:cs="Times New Roman"/>
          <w:lang w:val="en-GB"/>
        </w:rPr>
        <w:t xml:space="preserve">Sangwan, K., Bhakar, V. &amp; Digalwar, A. (2019) 'A sustainability assessment framework for cement industry – a case study', Benchmarking an International Journal, 26(2), pp. 470-497. </w:t>
      </w:r>
      <w:hyperlink r:id="rId54" w:history="1">
        <w:r w:rsidRPr="00870E9F">
          <w:rPr>
            <w:rStyle w:val="Hyperlink"/>
            <w:rFonts w:cs="Times New Roman"/>
            <w:lang w:val="en-GB"/>
          </w:rPr>
          <w:t>https://doi.org/10.1108/bij-01-2018-0021</w:t>
        </w:r>
      </w:hyperlink>
    </w:p>
    <w:p w14:paraId="1A734810" w14:textId="77777777" w:rsidR="00C415F0" w:rsidRPr="00870E9F" w:rsidRDefault="00C415F0" w:rsidP="00C415F0">
      <w:pPr>
        <w:pStyle w:val="NoSpacing"/>
        <w:spacing w:line="276" w:lineRule="auto"/>
        <w:rPr>
          <w:rFonts w:cs="Times New Roman"/>
          <w:lang w:val="en-GB"/>
        </w:rPr>
      </w:pPr>
    </w:p>
    <w:p w14:paraId="499E9B65" w14:textId="34BE3815" w:rsidR="00C415F0" w:rsidRPr="00870E9F" w:rsidRDefault="00C415F0" w:rsidP="00C415F0">
      <w:pPr>
        <w:pStyle w:val="NoSpacing"/>
        <w:spacing w:line="276" w:lineRule="auto"/>
        <w:rPr>
          <w:rFonts w:cs="Times New Roman"/>
          <w:lang w:val="en-GB"/>
        </w:rPr>
      </w:pPr>
      <w:r w:rsidRPr="00870E9F">
        <w:rPr>
          <w:rFonts w:cs="Times New Roman"/>
          <w:lang w:val="en-GB"/>
        </w:rPr>
        <w:t xml:space="preserve">Schick‐Makaroff, K., Storch, J., Pauly, B. &amp; Newton, L. (2014) 'Searching for ethical leadership in nursing', Nursing Ethics, 21(6), pp. 642-658. </w:t>
      </w:r>
      <w:hyperlink r:id="rId55" w:history="1">
        <w:r w:rsidRPr="00870E9F">
          <w:rPr>
            <w:rStyle w:val="Hyperlink"/>
            <w:rFonts w:cs="Times New Roman"/>
            <w:lang w:val="en-GB"/>
          </w:rPr>
          <w:t>https://doi.org/10.1177/0969733013513213</w:t>
        </w:r>
      </w:hyperlink>
    </w:p>
    <w:p w14:paraId="7A184FA0" w14:textId="77777777" w:rsidR="002C04D5" w:rsidRPr="00870E9F" w:rsidRDefault="002C04D5" w:rsidP="002C04D5">
      <w:pPr>
        <w:pStyle w:val="NoSpacing"/>
        <w:spacing w:line="276" w:lineRule="auto"/>
        <w:rPr>
          <w:rFonts w:cs="Times New Roman"/>
          <w:lang w:val="en-GB"/>
        </w:rPr>
      </w:pPr>
    </w:p>
    <w:p w14:paraId="11B3AE74" w14:textId="01476757" w:rsidR="002C04D5" w:rsidRPr="00870E9F" w:rsidRDefault="002C04D5" w:rsidP="002C04D5">
      <w:pPr>
        <w:pStyle w:val="NoSpacing"/>
        <w:spacing w:line="276" w:lineRule="auto"/>
        <w:rPr>
          <w:rFonts w:cs="Times New Roman"/>
          <w:lang w:val="en-GB"/>
        </w:rPr>
      </w:pPr>
      <w:r w:rsidRPr="00870E9F">
        <w:rPr>
          <w:rFonts w:cs="Times New Roman"/>
          <w:lang w:val="en-GB"/>
        </w:rPr>
        <w:t xml:space="preserve">Shrestha, A., Tamrakar, D., Shrestha, B., Shrestha, A., Pyakurel, P., &amp; Spiegelman, D. (2022). Stakeholder engagement in a hypertension and diabetes prevention research program: description and lessons learned. Plos One, 17(10), e0276478. </w:t>
      </w:r>
      <w:hyperlink r:id="rId56" w:history="1">
        <w:r w:rsidR="00C415F0" w:rsidRPr="00870E9F">
          <w:rPr>
            <w:rStyle w:val="Hyperlink"/>
            <w:rFonts w:cs="Times New Roman"/>
            <w:lang w:val="en-GB"/>
          </w:rPr>
          <w:t>https://doi.org/10.1371/journal.pone.0276478</w:t>
        </w:r>
      </w:hyperlink>
    </w:p>
    <w:p w14:paraId="35385F66" w14:textId="77777777" w:rsidR="002C04D5" w:rsidRPr="00870E9F" w:rsidRDefault="002C04D5" w:rsidP="002C04D5">
      <w:pPr>
        <w:pStyle w:val="NoSpacing"/>
        <w:spacing w:line="276" w:lineRule="auto"/>
        <w:rPr>
          <w:rFonts w:cs="Times New Roman"/>
          <w:lang w:val="en-GB"/>
        </w:rPr>
      </w:pPr>
    </w:p>
    <w:p w14:paraId="4EB09BED" w14:textId="1D941427" w:rsidR="002C04D5" w:rsidRPr="00870E9F" w:rsidRDefault="002C04D5" w:rsidP="002C04D5">
      <w:pPr>
        <w:pStyle w:val="NoSpacing"/>
        <w:spacing w:line="276" w:lineRule="auto"/>
        <w:rPr>
          <w:rFonts w:cs="Times New Roman"/>
          <w:lang w:val="en-GB"/>
        </w:rPr>
      </w:pPr>
      <w:r w:rsidRPr="00870E9F">
        <w:rPr>
          <w:rFonts w:cs="Times New Roman"/>
          <w:lang w:val="en-GB"/>
        </w:rPr>
        <w:t xml:space="preserve">Simm, K. (2020). Ethical decision-making in humanitarian medicine: how best to prepare?. Disaster Medicine and Public Health Preparedness, 15(4), pp. 499-503. </w:t>
      </w:r>
      <w:hyperlink r:id="rId57" w:history="1">
        <w:r w:rsidR="0079537E" w:rsidRPr="00870E9F">
          <w:rPr>
            <w:rStyle w:val="Hyperlink"/>
            <w:rFonts w:cs="Times New Roman"/>
            <w:lang w:val="en-GB"/>
          </w:rPr>
          <w:t>https://doi.org/10.1017/dmp.2020.85</w:t>
        </w:r>
      </w:hyperlink>
    </w:p>
    <w:p w14:paraId="17FDEBC4" w14:textId="77777777" w:rsidR="0079537E" w:rsidRPr="00870E9F" w:rsidRDefault="0079537E" w:rsidP="0079537E">
      <w:pPr>
        <w:pStyle w:val="NoSpacing"/>
        <w:spacing w:line="276" w:lineRule="auto"/>
        <w:rPr>
          <w:rFonts w:cs="Times New Roman"/>
          <w:lang w:val="en-GB"/>
        </w:rPr>
      </w:pPr>
    </w:p>
    <w:p w14:paraId="7D46DB37" w14:textId="2400E340" w:rsidR="002C04D5" w:rsidRPr="00870E9F" w:rsidRDefault="002C04D5" w:rsidP="002C04D5">
      <w:pPr>
        <w:pStyle w:val="NoSpacing"/>
        <w:spacing w:line="276" w:lineRule="auto"/>
        <w:rPr>
          <w:rFonts w:cs="Times New Roman"/>
          <w:lang w:val="en-GB"/>
        </w:rPr>
      </w:pPr>
      <w:r w:rsidRPr="00870E9F">
        <w:rPr>
          <w:rFonts w:cs="Times New Roman"/>
          <w:lang w:val="en-GB"/>
        </w:rPr>
        <w:t xml:space="preserve">Slack, C., Wilkinson, A., Salzwedel, J., &amp; Ndebele, P. (2018). Strengthening stakeholder engagement through ethics review in biomedical HIV prevention trials: opportunities and complexities. Journal of the International Aids Society, 21(S7). </w:t>
      </w:r>
      <w:hyperlink r:id="rId58" w:history="1">
        <w:r w:rsidR="0079537E" w:rsidRPr="00870E9F">
          <w:rPr>
            <w:rStyle w:val="Hyperlink"/>
            <w:rFonts w:cs="Times New Roman"/>
            <w:lang w:val="en-GB"/>
          </w:rPr>
          <w:t>https://doi.org/10.1002/jia2.25172</w:t>
        </w:r>
      </w:hyperlink>
    </w:p>
    <w:p w14:paraId="0B196622" w14:textId="77777777" w:rsidR="0079537E" w:rsidRPr="00870E9F" w:rsidRDefault="0079537E" w:rsidP="002C04D5">
      <w:pPr>
        <w:pStyle w:val="NoSpacing"/>
        <w:spacing w:line="276" w:lineRule="auto"/>
        <w:rPr>
          <w:rFonts w:cs="Times New Roman"/>
          <w:lang w:val="en-GB"/>
        </w:rPr>
      </w:pPr>
    </w:p>
    <w:p w14:paraId="3C845AFF" w14:textId="77777777" w:rsidR="0079537E" w:rsidRPr="00870E9F" w:rsidRDefault="0079537E" w:rsidP="002C04D5">
      <w:pPr>
        <w:pStyle w:val="NoSpacing"/>
        <w:spacing w:line="276" w:lineRule="auto"/>
        <w:rPr>
          <w:rFonts w:cs="Times New Roman"/>
          <w:lang w:val="en-GB"/>
        </w:rPr>
      </w:pPr>
    </w:p>
    <w:p w14:paraId="32BE5CB7" w14:textId="312D643D" w:rsidR="0079537E" w:rsidRPr="00870E9F" w:rsidRDefault="0079537E" w:rsidP="0079537E">
      <w:pPr>
        <w:pStyle w:val="NoSpacing"/>
        <w:spacing w:line="276" w:lineRule="auto"/>
        <w:rPr>
          <w:rFonts w:cs="Times New Roman"/>
          <w:lang w:val="en-GB"/>
        </w:rPr>
      </w:pPr>
      <w:r w:rsidRPr="00870E9F">
        <w:rPr>
          <w:rFonts w:cs="Times New Roman"/>
          <w:lang w:val="en-GB"/>
        </w:rPr>
        <w:t xml:space="preserve">Wahl, B., Cossy-Gantner, A., Germann, S. &amp; Schwalbe, N. (2018). Artificial intelligence (AI) and global health: how can AI contribute to health in resource-poor settings?. BMJ Global Health, 3(4), e000798. doi: </w:t>
      </w:r>
      <w:hyperlink r:id="rId59" w:history="1">
        <w:r w:rsidRPr="00870E9F">
          <w:rPr>
            <w:rStyle w:val="Hyperlink"/>
            <w:rFonts w:cs="Times New Roman"/>
            <w:lang w:val="en-GB"/>
          </w:rPr>
          <w:t>https://doi.org/10.1136/bmjgh-2018-000798</w:t>
        </w:r>
      </w:hyperlink>
    </w:p>
    <w:p w14:paraId="2254B61B" w14:textId="77777777" w:rsidR="002C04D5" w:rsidRPr="00870E9F" w:rsidRDefault="002C04D5" w:rsidP="002C04D5">
      <w:pPr>
        <w:pStyle w:val="NoSpacing"/>
        <w:spacing w:line="276" w:lineRule="auto"/>
        <w:rPr>
          <w:rFonts w:cs="Times New Roman"/>
          <w:lang w:val="en-GB"/>
        </w:rPr>
      </w:pPr>
    </w:p>
    <w:p w14:paraId="26DAFDA8" w14:textId="328ACBA8" w:rsidR="002C04D5" w:rsidRPr="00870E9F" w:rsidRDefault="002C04D5" w:rsidP="002C04D5">
      <w:pPr>
        <w:pStyle w:val="NoSpacing"/>
        <w:spacing w:line="276" w:lineRule="auto"/>
        <w:rPr>
          <w:rFonts w:cs="Times New Roman"/>
          <w:lang w:val="en-GB"/>
        </w:rPr>
      </w:pPr>
      <w:r w:rsidRPr="00870E9F">
        <w:rPr>
          <w:rFonts w:cs="Times New Roman"/>
          <w:lang w:val="en-GB"/>
        </w:rPr>
        <w:lastRenderedPageBreak/>
        <w:t xml:space="preserve">Walumbwa, F., Avolio, B., Gardner, W., Wernsing, T., &amp; Peterson, S. (2007). Authentic leadership: development and validation of a theory-based measure. Journal of Management, 34(1), pp. 89-126. </w:t>
      </w:r>
      <w:hyperlink r:id="rId60" w:history="1">
        <w:r w:rsidR="0079537E" w:rsidRPr="00870E9F">
          <w:rPr>
            <w:rStyle w:val="Hyperlink"/>
            <w:rFonts w:cs="Times New Roman"/>
            <w:lang w:val="en-GB"/>
          </w:rPr>
          <w:t>https://doi.org/10.1177/0149206307308913</w:t>
        </w:r>
      </w:hyperlink>
    </w:p>
    <w:p w14:paraId="3A41D353" w14:textId="77777777" w:rsidR="002C04D5" w:rsidRPr="00870E9F" w:rsidRDefault="002C04D5" w:rsidP="002C04D5">
      <w:pPr>
        <w:pStyle w:val="NoSpacing"/>
        <w:spacing w:line="276" w:lineRule="auto"/>
        <w:rPr>
          <w:rFonts w:cs="Times New Roman"/>
          <w:lang w:val="en-GB"/>
        </w:rPr>
      </w:pPr>
    </w:p>
    <w:p w14:paraId="3294E610" w14:textId="45E1D4E3" w:rsidR="00620D70" w:rsidRPr="00870E9F" w:rsidRDefault="002C04D5" w:rsidP="002C04D5">
      <w:pPr>
        <w:pStyle w:val="NoSpacing"/>
        <w:spacing w:line="276" w:lineRule="auto"/>
        <w:rPr>
          <w:rFonts w:cs="Times New Roman"/>
          <w:lang w:val="en-GB"/>
        </w:rPr>
      </w:pPr>
      <w:r w:rsidRPr="00870E9F">
        <w:rPr>
          <w:rFonts w:cs="Times New Roman"/>
          <w:lang w:val="en-GB"/>
        </w:rPr>
        <w:t xml:space="preserve">Wang, H. and Yen, Y. (2021). How the organizational ethical climate accounts for employee voice behavior: a multilevel analysis. Asia Pacific Journal of Human Resources, 61(1), pp. 124-145. </w:t>
      </w:r>
      <w:hyperlink r:id="rId61" w:history="1">
        <w:r w:rsidR="00E50764" w:rsidRPr="00870E9F">
          <w:rPr>
            <w:rStyle w:val="Hyperlink"/>
            <w:rFonts w:cs="Times New Roman"/>
            <w:lang w:val="en-GB"/>
          </w:rPr>
          <w:t>https://doi.org/10.1111/1744-7941.12315</w:t>
        </w:r>
      </w:hyperlink>
    </w:p>
    <w:p w14:paraId="4809DED9" w14:textId="77777777" w:rsidR="0079537E" w:rsidRPr="00870E9F" w:rsidRDefault="0079537E" w:rsidP="0079537E">
      <w:pPr>
        <w:pStyle w:val="NoSpacing"/>
        <w:spacing w:line="276" w:lineRule="auto"/>
        <w:rPr>
          <w:rFonts w:cs="Times New Roman"/>
          <w:lang w:val="en-GB"/>
        </w:rPr>
      </w:pPr>
    </w:p>
    <w:p w14:paraId="3DB70426" w14:textId="104B817E" w:rsidR="0079537E" w:rsidRPr="005A1FF2" w:rsidRDefault="0079537E" w:rsidP="0079537E">
      <w:pPr>
        <w:pStyle w:val="NoSpacing"/>
        <w:spacing w:line="276" w:lineRule="auto"/>
        <w:rPr>
          <w:rFonts w:cs="Times New Roman"/>
          <w:lang w:val="en-GB"/>
        </w:rPr>
      </w:pPr>
      <w:r w:rsidRPr="00870E9F">
        <w:rPr>
          <w:rFonts w:cs="Times New Roman"/>
          <w:lang w:val="en-GB"/>
        </w:rPr>
        <w:t xml:space="preserve">Winfield, A. &amp; Jirotka, M. (2018). Ethical governance is essential to building trust in robotics and artificial intelligence systems. Philosophical Transactions of the Royal Society A: Mathematical, Physical and Engineering Sciences, 376(2133), 20180085. doi: </w:t>
      </w:r>
      <w:hyperlink r:id="rId62" w:history="1">
        <w:r w:rsidRPr="00870E9F">
          <w:rPr>
            <w:rStyle w:val="Hyperlink"/>
            <w:rFonts w:cs="Times New Roman"/>
            <w:lang w:val="en-GB"/>
          </w:rPr>
          <w:t>https://doi.org/10.1098/rsta.2018.0085</w:t>
        </w:r>
      </w:hyperlink>
    </w:p>
    <w:p w14:paraId="16E60DE7" w14:textId="77777777" w:rsidR="00E50764" w:rsidRPr="0079537E" w:rsidRDefault="00E50764" w:rsidP="00E50764">
      <w:pPr>
        <w:pStyle w:val="NoSpacing"/>
        <w:spacing w:line="276" w:lineRule="auto"/>
        <w:rPr>
          <w:lang w:val="en-GB"/>
        </w:rPr>
      </w:pPr>
    </w:p>
    <w:p w14:paraId="06749767" w14:textId="77777777" w:rsidR="00E50764" w:rsidRPr="0079537E" w:rsidRDefault="00E50764" w:rsidP="00E50764">
      <w:pPr>
        <w:pStyle w:val="NoSpacing"/>
        <w:spacing w:line="276" w:lineRule="auto"/>
        <w:rPr>
          <w:lang w:val="en-GB"/>
        </w:rPr>
      </w:pPr>
    </w:p>
    <w:p w14:paraId="646BA954" w14:textId="77777777" w:rsidR="00E50764" w:rsidRPr="0079537E" w:rsidRDefault="00E50764" w:rsidP="00E50764">
      <w:pPr>
        <w:pStyle w:val="NoSpacing"/>
        <w:spacing w:line="276" w:lineRule="auto"/>
        <w:rPr>
          <w:lang w:val="en-GB"/>
        </w:rPr>
      </w:pPr>
    </w:p>
    <w:p w14:paraId="7A6523C2" w14:textId="77777777" w:rsidR="00E50764" w:rsidRPr="0079537E" w:rsidRDefault="00E50764" w:rsidP="00E50764">
      <w:pPr>
        <w:pStyle w:val="NoSpacing"/>
        <w:spacing w:line="276" w:lineRule="auto"/>
        <w:rPr>
          <w:lang w:val="en-GB"/>
        </w:rPr>
      </w:pPr>
    </w:p>
    <w:p w14:paraId="154AD36D" w14:textId="77777777" w:rsidR="00620D70" w:rsidRPr="0079537E" w:rsidRDefault="00620D70" w:rsidP="00620D70"/>
    <w:p w14:paraId="118398E1" w14:textId="3E827C80" w:rsidR="00C30421" w:rsidRPr="0079537E" w:rsidRDefault="00C30421" w:rsidP="00333BEA">
      <w:r w:rsidRPr="0079537E">
        <w:br w:type="page"/>
      </w:r>
    </w:p>
    <w:p w14:paraId="5CE0B73D" w14:textId="6A140C0F" w:rsidR="00AE1D2C" w:rsidRPr="0079537E" w:rsidRDefault="00145C4A" w:rsidP="00AE1D2C">
      <w:pPr>
        <w:pStyle w:val="Heading1"/>
        <w:rPr>
          <w:rFonts w:cs="Times New Roman"/>
          <w:lang w:val="en-GB"/>
        </w:rPr>
      </w:pPr>
      <w:bookmarkStart w:id="25" w:name="_Toc167892902"/>
      <w:r w:rsidRPr="0079537E">
        <w:rPr>
          <w:rFonts w:cs="Times New Roman"/>
          <w:lang w:val="en-GB"/>
        </w:rPr>
        <w:lastRenderedPageBreak/>
        <w:t>Annex</w:t>
      </w:r>
      <w:r w:rsidR="00AE1D2C" w:rsidRPr="0079537E">
        <w:rPr>
          <w:rFonts w:cs="Times New Roman"/>
          <w:lang w:val="en-GB"/>
        </w:rPr>
        <w:t>e</w:t>
      </w:r>
      <w:r w:rsidRPr="0079537E">
        <w:rPr>
          <w:rFonts w:cs="Times New Roman"/>
          <w:lang w:val="en-GB"/>
        </w:rPr>
        <w:t xml:space="preserve"> 1</w:t>
      </w:r>
      <w:bookmarkStart w:id="26" w:name="_Toc149043582"/>
      <w:r w:rsidR="00AE1D2C" w:rsidRPr="0079537E">
        <w:rPr>
          <w:rFonts w:cs="Times New Roman"/>
          <w:lang w:val="en-GB"/>
        </w:rPr>
        <w:t xml:space="preserve">: </w:t>
      </w:r>
      <w:r w:rsidR="00B66B5E" w:rsidRPr="0079537E">
        <w:rPr>
          <w:rFonts w:cs="Times New Roman"/>
          <w:lang w:val="en-GB"/>
        </w:rPr>
        <w:t>Summary of ICRC Strategy 2019-2024</w:t>
      </w:r>
      <w:bookmarkEnd w:id="25"/>
      <w:bookmarkEnd w:id="26"/>
    </w:p>
    <w:p w14:paraId="56D29B3B" w14:textId="77777777" w:rsidR="00B66B5E" w:rsidRPr="0079537E" w:rsidRDefault="00B66B5E" w:rsidP="00B66B5E">
      <w:pPr>
        <w:rPr>
          <w:b/>
        </w:rPr>
      </w:pPr>
    </w:p>
    <w:p w14:paraId="689A1B78" w14:textId="77777777" w:rsidR="00B66B5E" w:rsidRPr="0079537E" w:rsidRDefault="00B66B5E" w:rsidP="00896AB0">
      <w:pPr>
        <w:pStyle w:val="NoSpacing"/>
        <w:rPr>
          <w:lang w:val="en-GB"/>
        </w:rPr>
      </w:pPr>
      <w:r w:rsidRPr="0079537E">
        <w:rPr>
          <w:lang w:val="en-GB"/>
        </w:rPr>
        <w:t>The International Committee of the Red Cross (ICRC) Strategy for 2019-2024 outlines the organization's overarching goals and priorities during that period. Here is a summary of the ICRC Strategy for 2019-2024 (ICRC, 2023a):</w:t>
      </w:r>
    </w:p>
    <w:p w14:paraId="7B1CC027" w14:textId="77777777" w:rsidR="00B66B5E" w:rsidRPr="0079537E" w:rsidRDefault="00B66B5E" w:rsidP="00896AB0">
      <w:pPr>
        <w:pStyle w:val="NoSpacing"/>
        <w:rPr>
          <w:lang w:val="en-GB"/>
        </w:rPr>
      </w:pPr>
    </w:p>
    <w:p w14:paraId="19049826" w14:textId="77777777" w:rsidR="00B66B5E" w:rsidRPr="0079537E" w:rsidRDefault="00B66B5E" w:rsidP="00896AB0">
      <w:pPr>
        <w:pStyle w:val="NoSpacing"/>
        <w:rPr>
          <w:lang w:val="en-GB"/>
        </w:rPr>
      </w:pPr>
      <w:r w:rsidRPr="0079537E">
        <w:rPr>
          <w:b/>
          <w:bCs/>
          <w:lang w:val="en-GB"/>
        </w:rPr>
        <w:t>1. Humanitarian Action:</w:t>
      </w:r>
      <w:r w:rsidRPr="0079537E">
        <w:rPr>
          <w:lang w:val="en-GB"/>
        </w:rPr>
        <w:t xml:space="preserve"> The ICRC aims to provide assistance and protection to people affected by armed conflicts and other situations of violence. It focuses on addressing the immediate needs of affected individuals, including healthcare, water, sanitation, and other essential services including access to health. The strategy emphasizes the importance of ensuring the dignity and safety of those affected.</w:t>
      </w:r>
    </w:p>
    <w:p w14:paraId="604DA692" w14:textId="77777777" w:rsidR="00B66B5E" w:rsidRPr="0079537E" w:rsidRDefault="00B66B5E" w:rsidP="00896AB0">
      <w:pPr>
        <w:pStyle w:val="NoSpacing"/>
        <w:rPr>
          <w:lang w:val="en-GB"/>
        </w:rPr>
      </w:pPr>
    </w:p>
    <w:p w14:paraId="1DFC14CB" w14:textId="77777777" w:rsidR="00B66B5E" w:rsidRPr="0079537E" w:rsidRDefault="00B66B5E" w:rsidP="00896AB0">
      <w:pPr>
        <w:pStyle w:val="NoSpacing"/>
        <w:rPr>
          <w:lang w:val="en-GB"/>
        </w:rPr>
      </w:pPr>
      <w:r w:rsidRPr="0079537E">
        <w:rPr>
          <w:b/>
          <w:bCs/>
          <w:lang w:val="en-GB"/>
        </w:rPr>
        <w:t>2. Promoting Compliance with International Humanitarian Law (IHL):</w:t>
      </w:r>
      <w:r w:rsidRPr="0079537E">
        <w:rPr>
          <w:lang w:val="en-GB"/>
        </w:rPr>
        <w:t xml:space="preserve"> The ICRC places a strong emphasis on promoting and reinforcing respect for International Humanitarian Law. It engages in dialogue and cooperation with parties to the conflict, states, and other stakeholders to strengthen compliance with IHL and reduce the humanitarian impact of armed conflicts.</w:t>
      </w:r>
    </w:p>
    <w:p w14:paraId="6AB67CD8" w14:textId="77777777" w:rsidR="00B66B5E" w:rsidRPr="0079537E" w:rsidRDefault="00B66B5E" w:rsidP="00896AB0">
      <w:pPr>
        <w:pStyle w:val="NoSpacing"/>
        <w:rPr>
          <w:lang w:val="en-GB"/>
        </w:rPr>
      </w:pPr>
    </w:p>
    <w:p w14:paraId="75E06725" w14:textId="77777777" w:rsidR="00B66B5E" w:rsidRPr="0079537E" w:rsidRDefault="00B66B5E" w:rsidP="00896AB0">
      <w:pPr>
        <w:pStyle w:val="NoSpacing"/>
        <w:rPr>
          <w:lang w:val="en-GB"/>
        </w:rPr>
      </w:pPr>
      <w:r w:rsidRPr="0079537E">
        <w:rPr>
          <w:b/>
          <w:bCs/>
          <w:lang w:val="en-GB"/>
        </w:rPr>
        <w:t>3. Addressing the Humanitarian Consequences of Weapon Contamination:</w:t>
      </w:r>
      <w:r w:rsidRPr="0079537E">
        <w:rPr>
          <w:lang w:val="en-GB"/>
        </w:rPr>
        <w:t xml:space="preserve"> The ICRC recognizes the devastating impact of explosive weapons and other hazardous devices on civilians. It seeks to prevent harm from weapon contamination, assist victims, and advocate for stronger norms and practices related to the use of weapons in populated areas.</w:t>
      </w:r>
    </w:p>
    <w:p w14:paraId="3CE2003C" w14:textId="77777777" w:rsidR="00B66B5E" w:rsidRPr="0079537E" w:rsidRDefault="00B66B5E" w:rsidP="00896AB0">
      <w:pPr>
        <w:pStyle w:val="NoSpacing"/>
        <w:rPr>
          <w:lang w:val="en-GB"/>
        </w:rPr>
      </w:pPr>
    </w:p>
    <w:p w14:paraId="452FD922" w14:textId="77777777" w:rsidR="00B66B5E" w:rsidRPr="0079537E" w:rsidRDefault="00B66B5E" w:rsidP="00896AB0">
      <w:pPr>
        <w:pStyle w:val="NoSpacing"/>
        <w:rPr>
          <w:lang w:val="en-GB"/>
        </w:rPr>
      </w:pPr>
      <w:r w:rsidRPr="0079537E">
        <w:rPr>
          <w:b/>
          <w:bCs/>
          <w:lang w:val="en-GB"/>
        </w:rPr>
        <w:t>4. Enhancing Protection and Respect for Individuals:</w:t>
      </w:r>
      <w:r w:rsidRPr="0079537E">
        <w:rPr>
          <w:lang w:val="en-GB"/>
        </w:rPr>
        <w:t xml:space="preserve"> The strategy underscores the ICRC's commitment to protecting and promoting the rights and dignity of individuals affected by armed conflict and other situations of violence. It focuses on addressing specific protection concerns, including violence against healthcare, detention-related issues, missing persons, and sexual violence.</w:t>
      </w:r>
    </w:p>
    <w:p w14:paraId="57A9D74D" w14:textId="77777777" w:rsidR="00B66B5E" w:rsidRPr="0079537E" w:rsidRDefault="00B66B5E" w:rsidP="00896AB0">
      <w:pPr>
        <w:pStyle w:val="NoSpacing"/>
        <w:rPr>
          <w:lang w:val="en-GB"/>
        </w:rPr>
      </w:pPr>
    </w:p>
    <w:p w14:paraId="29B578AB" w14:textId="77777777" w:rsidR="00B66B5E" w:rsidRPr="0079537E" w:rsidRDefault="00B66B5E" w:rsidP="00896AB0">
      <w:pPr>
        <w:pStyle w:val="NoSpacing"/>
        <w:rPr>
          <w:lang w:val="en-GB"/>
        </w:rPr>
      </w:pPr>
      <w:r w:rsidRPr="0079537E">
        <w:rPr>
          <w:b/>
          <w:bCs/>
          <w:lang w:val="en-GB"/>
        </w:rPr>
        <w:t>5. Strengthening Humanitarian Diplomacy:</w:t>
      </w:r>
      <w:r w:rsidRPr="0079537E">
        <w:rPr>
          <w:lang w:val="en-GB"/>
        </w:rPr>
        <w:t xml:space="preserve"> The ICRC aims to enhance its humanitarian diplomacy efforts to influence and engage with states, armed groups, and other actors to improve the protection and assistance provided to affected populations. It seeks to promote an understanding of humanitarian needs, principles, and solutions.</w:t>
      </w:r>
    </w:p>
    <w:p w14:paraId="31E30DD7" w14:textId="77777777" w:rsidR="00B66B5E" w:rsidRPr="0079537E" w:rsidRDefault="00B66B5E" w:rsidP="00896AB0">
      <w:pPr>
        <w:pStyle w:val="NoSpacing"/>
        <w:rPr>
          <w:lang w:val="en-GB"/>
        </w:rPr>
      </w:pPr>
    </w:p>
    <w:p w14:paraId="6E96C326" w14:textId="77777777" w:rsidR="00B66B5E" w:rsidRPr="0079537E" w:rsidRDefault="00B66B5E" w:rsidP="00896AB0">
      <w:pPr>
        <w:pStyle w:val="NoSpacing"/>
        <w:rPr>
          <w:lang w:val="en-GB"/>
        </w:rPr>
      </w:pPr>
      <w:r w:rsidRPr="0079537E">
        <w:rPr>
          <w:b/>
          <w:bCs/>
          <w:lang w:val="en-GB"/>
        </w:rPr>
        <w:t>6. Partnerships and Coordination:</w:t>
      </w:r>
      <w:r w:rsidRPr="0079537E">
        <w:rPr>
          <w:lang w:val="en-GB"/>
        </w:rPr>
        <w:t xml:space="preserve"> The ICRC recognizes the importance of partnerships and coordination to maximize its impact and effectiveness. It collaborates with other humanitarian organizations, National Red Cross and Red Crescent Societies, states, and other stakeholders to strengthen humanitarian responses and ensure a coordinated approach.</w:t>
      </w:r>
    </w:p>
    <w:p w14:paraId="28C9850A" w14:textId="77777777" w:rsidR="00B66B5E" w:rsidRPr="0079537E" w:rsidRDefault="00B66B5E" w:rsidP="00896AB0">
      <w:pPr>
        <w:pStyle w:val="NoSpacing"/>
        <w:rPr>
          <w:lang w:val="en-GB"/>
        </w:rPr>
      </w:pPr>
    </w:p>
    <w:p w14:paraId="56018A67" w14:textId="77777777" w:rsidR="00B66B5E" w:rsidRPr="0079537E" w:rsidRDefault="00B66B5E" w:rsidP="00896AB0">
      <w:pPr>
        <w:pStyle w:val="NoSpacing"/>
        <w:rPr>
          <w:lang w:val="en-GB"/>
        </w:rPr>
      </w:pPr>
      <w:r w:rsidRPr="0079537E">
        <w:rPr>
          <w:b/>
          <w:bCs/>
          <w:lang w:val="en-GB"/>
        </w:rPr>
        <w:t>7. Organizational Adaptation:</w:t>
      </w:r>
      <w:r w:rsidRPr="0079537E">
        <w:rPr>
          <w:lang w:val="en-GB"/>
        </w:rPr>
        <w:t xml:space="preserve"> The strategy acknowledges the need for the ICRC to continually adapt to the evolving humanitarian landscape. It emphasizes investing in staff, technology, and innovation to enhance operational capabilities, improve efficiency, and respond effectively to emerging challenges.</w:t>
      </w:r>
    </w:p>
    <w:p w14:paraId="14276CFC" w14:textId="77777777" w:rsidR="00B66B5E" w:rsidRPr="0079537E" w:rsidRDefault="00B66B5E" w:rsidP="00896AB0">
      <w:pPr>
        <w:pStyle w:val="NoSpacing"/>
        <w:rPr>
          <w:lang w:val="en-GB"/>
        </w:rPr>
      </w:pPr>
    </w:p>
    <w:p w14:paraId="478CB1AC" w14:textId="455CD7BD" w:rsidR="00B66B5E" w:rsidRPr="0079537E" w:rsidRDefault="00B66B5E" w:rsidP="00896AB0">
      <w:pPr>
        <w:pStyle w:val="NoSpacing"/>
        <w:rPr>
          <w:lang w:val="en-GB"/>
        </w:rPr>
      </w:pPr>
      <w:r w:rsidRPr="0079537E">
        <w:rPr>
          <w:lang w:val="en-GB"/>
        </w:rPr>
        <w:t>Overall, the ICRC Strategy for 2019-2024 outlines the organization's commitment to providing assistance, protection, and promoting respect for international humanitarian law in armed conflicts and other situations of violence. It focuses on addressing immediate needs, advocating for stronger compliance with humanitarian norms, and ensuring the dignity and safety of affected individuals.</w:t>
      </w:r>
      <w:r w:rsidRPr="0079537E">
        <w:rPr>
          <w:lang w:val="en-GB"/>
        </w:rPr>
        <w:br w:type="page"/>
      </w:r>
    </w:p>
    <w:p w14:paraId="5A1A28CA" w14:textId="18A83B34" w:rsidR="00AE1D2C" w:rsidRPr="0079537E" w:rsidRDefault="00B66B5E" w:rsidP="00AE1D2C">
      <w:pPr>
        <w:pStyle w:val="Heading1"/>
        <w:rPr>
          <w:rFonts w:cs="Times New Roman"/>
          <w:lang w:val="en-GB"/>
        </w:rPr>
      </w:pPr>
      <w:bookmarkStart w:id="27" w:name="_Toc167892903"/>
      <w:r w:rsidRPr="0079537E">
        <w:rPr>
          <w:rFonts w:cs="Times New Roman"/>
          <w:lang w:val="en-GB"/>
        </w:rPr>
        <w:lastRenderedPageBreak/>
        <w:t>Annex</w:t>
      </w:r>
      <w:r w:rsidR="00AE1D2C" w:rsidRPr="0079537E">
        <w:rPr>
          <w:rFonts w:cs="Times New Roman"/>
          <w:lang w:val="en-GB"/>
        </w:rPr>
        <w:t>e</w:t>
      </w:r>
      <w:r w:rsidRPr="0079537E">
        <w:rPr>
          <w:rFonts w:cs="Times New Roman"/>
          <w:lang w:val="en-GB"/>
        </w:rPr>
        <w:t xml:space="preserve"> 2</w:t>
      </w:r>
      <w:bookmarkStart w:id="28" w:name="_Toc149043589"/>
      <w:r w:rsidR="00AE1D2C" w:rsidRPr="0079537E">
        <w:rPr>
          <w:rFonts w:cs="Times New Roman"/>
          <w:lang w:val="en-GB"/>
        </w:rPr>
        <w:t>: Strategic Objectives and Proposed Commitments</w:t>
      </w:r>
      <w:bookmarkEnd w:id="27"/>
      <w:bookmarkEnd w:id="28"/>
      <w:r w:rsidR="00AE1D2C" w:rsidRPr="0079537E">
        <w:rPr>
          <w:rFonts w:cs="Times New Roman"/>
          <w:lang w:val="en-GB"/>
        </w:rPr>
        <w:t xml:space="preserve"> </w:t>
      </w:r>
    </w:p>
    <w:p w14:paraId="4B16D194" w14:textId="722AD20A" w:rsidR="00AE1D2C" w:rsidRPr="0079537E" w:rsidRDefault="00AE1D2C" w:rsidP="00AE1D2C">
      <w:pPr>
        <w:pStyle w:val="Caption"/>
        <w:spacing w:line="360" w:lineRule="auto"/>
        <w:jc w:val="center"/>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3114"/>
        <w:gridCol w:w="5942"/>
      </w:tblGrid>
      <w:tr w:rsidR="00AE1D2C" w:rsidRPr="0079537E" w14:paraId="18ADBCBD" w14:textId="77777777" w:rsidTr="00A976D7">
        <w:tc>
          <w:tcPr>
            <w:tcW w:w="3114" w:type="dxa"/>
            <w:shd w:val="clear" w:color="auto" w:fill="D9E2F3" w:themeFill="accent1" w:themeFillTint="33"/>
          </w:tcPr>
          <w:p w14:paraId="45730025" w14:textId="77777777" w:rsidR="00AE1D2C" w:rsidRPr="0079537E" w:rsidRDefault="00AE1D2C" w:rsidP="00A976D7">
            <w:pPr>
              <w:pStyle w:val="NormalWeb"/>
              <w:spacing w:line="360" w:lineRule="auto"/>
            </w:pPr>
            <w:r w:rsidRPr="0079537E">
              <w:t>STRATEGIC OBJECTIVE 1</w:t>
            </w:r>
          </w:p>
        </w:tc>
        <w:tc>
          <w:tcPr>
            <w:tcW w:w="5942" w:type="dxa"/>
            <w:shd w:val="clear" w:color="auto" w:fill="D9E2F3" w:themeFill="accent1" w:themeFillTint="33"/>
          </w:tcPr>
          <w:p w14:paraId="67D95C10" w14:textId="77777777" w:rsidR="00AE1D2C" w:rsidRPr="0079537E" w:rsidRDefault="00AE1D2C" w:rsidP="00A976D7">
            <w:pPr>
              <w:pStyle w:val="NormalWeb"/>
              <w:spacing w:line="360" w:lineRule="auto"/>
            </w:pPr>
            <w:r w:rsidRPr="0079537E">
              <w:t xml:space="preserve">Strengthen the ICRC’s capacity to </w:t>
            </w:r>
            <w:r w:rsidRPr="0079537E">
              <w:rPr>
                <w:b/>
                <w:bCs/>
              </w:rPr>
              <w:t xml:space="preserve">deliver quality essential health services </w:t>
            </w:r>
            <w:r w:rsidRPr="0079537E">
              <w:t xml:space="preserve">and address lifesaving needs in a timely and effective manner across all health programmes in sup- port of the ICRC’s overall emergency response. </w:t>
            </w:r>
          </w:p>
        </w:tc>
      </w:tr>
      <w:tr w:rsidR="00AE1D2C" w:rsidRPr="0079537E" w14:paraId="64A38D50" w14:textId="77777777" w:rsidTr="00A976D7">
        <w:tc>
          <w:tcPr>
            <w:tcW w:w="9056" w:type="dxa"/>
            <w:gridSpan w:val="2"/>
          </w:tcPr>
          <w:p w14:paraId="5C2E59DA" w14:textId="77777777" w:rsidR="00AE1D2C" w:rsidRPr="0079537E" w:rsidRDefault="00AE1D2C" w:rsidP="00A976D7">
            <w:pPr>
              <w:pStyle w:val="NormalWeb"/>
              <w:rPr>
                <w:b/>
                <w:bCs/>
                <w:color w:val="000000" w:themeColor="text1"/>
                <w:sz w:val="20"/>
                <w:szCs w:val="20"/>
              </w:rPr>
            </w:pPr>
            <w:r w:rsidRPr="0079537E">
              <w:rPr>
                <w:b/>
                <w:bCs/>
                <w:color w:val="000000" w:themeColor="text1"/>
                <w:sz w:val="20"/>
                <w:szCs w:val="20"/>
              </w:rPr>
              <w:t xml:space="preserve">Commitments: </w:t>
            </w:r>
          </w:p>
          <w:p w14:paraId="7939ED10" w14:textId="77777777" w:rsidR="00AE1D2C" w:rsidRPr="0079537E" w:rsidRDefault="00AE1D2C" w:rsidP="00A976D7">
            <w:pPr>
              <w:pStyle w:val="NormalWeb"/>
              <w:numPr>
                <w:ilvl w:val="1"/>
                <w:numId w:val="10"/>
              </w:numPr>
              <w:rPr>
                <w:color w:val="000000" w:themeColor="text1"/>
                <w:position w:val="-2"/>
                <w:sz w:val="20"/>
                <w:szCs w:val="20"/>
              </w:rPr>
            </w:pPr>
            <w:r w:rsidRPr="0079537E">
              <w:rPr>
                <w:color w:val="000000" w:themeColor="text1"/>
                <w:position w:val="-2"/>
                <w:sz w:val="20"/>
                <w:szCs w:val="20"/>
              </w:rPr>
              <w:t>The ICRC aims to enhance its ability to provide high-quality prehospital and hospital care, including surgical interventions, to individuals injured in conflict and those requiring life-saving surgical treatment. This will be achieved by actively collaborating with partners within the Movement, academic institutions, and other humanitarian organizations to build and strengthen its expertise in hospitals and surgical services.</w:t>
            </w:r>
          </w:p>
          <w:p w14:paraId="3E487C18" w14:textId="77777777" w:rsidR="00AE1D2C" w:rsidRPr="0079537E" w:rsidRDefault="00AE1D2C" w:rsidP="00A976D7">
            <w:pPr>
              <w:pStyle w:val="NormalWeb"/>
              <w:numPr>
                <w:ilvl w:val="1"/>
                <w:numId w:val="10"/>
              </w:numPr>
              <w:rPr>
                <w:color w:val="000000" w:themeColor="text1"/>
                <w:position w:val="-2"/>
                <w:sz w:val="20"/>
                <w:szCs w:val="20"/>
              </w:rPr>
            </w:pPr>
            <w:r w:rsidRPr="0079537E">
              <w:rPr>
                <w:color w:val="000000" w:themeColor="text1"/>
                <w:position w:val="-2"/>
                <w:sz w:val="20"/>
                <w:szCs w:val="20"/>
              </w:rPr>
              <w:t>To improve the efficiency of emergency responses across all health programs, the ICRC will ensure that its staff receive adequate training and onboarding. Additionally, the organization will have access to reliable health data management tools and logistical support to enable timely and effective emergency interventions.</w:t>
            </w:r>
          </w:p>
          <w:p w14:paraId="7DCD732A" w14:textId="77777777" w:rsidR="00AE1D2C" w:rsidRPr="0079537E" w:rsidRDefault="00AE1D2C" w:rsidP="00A976D7">
            <w:pPr>
              <w:pStyle w:val="NormalWeb"/>
              <w:numPr>
                <w:ilvl w:val="1"/>
                <w:numId w:val="10"/>
              </w:numPr>
              <w:rPr>
                <w:color w:val="000000" w:themeColor="text1"/>
                <w:position w:val="-2"/>
                <w:sz w:val="20"/>
                <w:szCs w:val="20"/>
              </w:rPr>
            </w:pPr>
            <w:r w:rsidRPr="0079537E">
              <w:rPr>
                <w:color w:val="000000" w:themeColor="text1"/>
                <w:position w:val="-2"/>
                <w:sz w:val="20"/>
                <w:szCs w:val="20"/>
              </w:rPr>
              <w:t>The ICRC will establish clear decision-making processes regarding proposed health-care activities that deviate from established standards or traditional ICRC practices. The objective is to foster internal accountability at both technical and managerial levels for institutional decision-making.</w:t>
            </w:r>
          </w:p>
          <w:p w14:paraId="4DC81947" w14:textId="77777777" w:rsidR="00AE1D2C" w:rsidRPr="0079537E" w:rsidRDefault="00AE1D2C" w:rsidP="00A976D7">
            <w:pPr>
              <w:pStyle w:val="NormalWeb"/>
              <w:numPr>
                <w:ilvl w:val="1"/>
                <w:numId w:val="10"/>
              </w:numPr>
              <w:rPr>
                <w:color w:val="000000" w:themeColor="text1"/>
                <w:position w:val="-2"/>
                <w:sz w:val="20"/>
                <w:szCs w:val="20"/>
              </w:rPr>
            </w:pPr>
            <w:r w:rsidRPr="0079537E">
              <w:rPr>
                <w:color w:val="000000" w:themeColor="text1"/>
                <w:position w:val="-2"/>
                <w:sz w:val="20"/>
                <w:szCs w:val="20"/>
              </w:rPr>
              <w:t>The ICRC will prioritize the care of vulnerable groups by either delivering services directly or forming sustainable partnerships with National Societies to ensure their well-being and access to healthcare.</w:t>
            </w:r>
          </w:p>
          <w:p w14:paraId="107E9EEC" w14:textId="77777777" w:rsidR="00AE1D2C" w:rsidRPr="0079537E" w:rsidRDefault="00AE1D2C" w:rsidP="00A976D7">
            <w:pPr>
              <w:pStyle w:val="NormalWeb"/>
              <w:numPr>
                <w:ilvl w:val="1"/>
                <w:numId w:val="10"/>
              </w:numPr>
              <w:rPr>
                <w:color w:val="000000" w:themeColor="text1"/>
                <w:position w:val="-2"/>
                <w:sz w:val="16"/>
                <w:szCs w:val="16"/>
              </w:rPr>
            </w:pPr>
            <w:r w:rsidRPr="0079537E">
              <w:rPr>
                <w:color w:val="000000" w:themeColor="text1"/>
                <w:position w:val="-2"/>
                <w:sz w:val="20"/>
                <w:szCs w:val="20"/>
              </w:rPr>
              <w:t>The ICRC remains committed to integrating practical measures within all health programs to reduce attacks on healthcare workers, facilities, and ambulance services. Moreover, the organization will work to minimize the consequences of such attacks on individuals affected by armed conflict and other forms of violence.</w:t>
            </w:r>
          </w:p>
        </w:tc>
      </w:tr>
      <w:tr w:rsidR="00AE1D2C" w:rsidRPr="0079537E" w14:paraId="18F32B79" w14:textId="77777777" w:rsidTr="00A976D7">
        <w:tc>
          <w:tcPr>
            <w:tcW w:w="3114" w:type="dxa"/>
            <w:shd w:val="clear" w:color="auto" w:fill="D9E2F3" w:themeFill="accent1" w:themeFillTint="33"/>
          </w:tcPr>
          <w:p w14:paraId="71711E23" w14:textId="77777777" w:rsidR="00AE1D2C" w:rsidRPr="0079537E" w:rsidRDefault="00AE1D2C" w:rsidP="00A976D7">
            <w:pPr>
              <w:pStyle w:val="NormalWeb"/>
              <w:spacing w:line="360" w:lineRule="auto"/>
            </w:pPr>
            <w:r w:rsidRPr="0079537E">
              <w:t>STRATEGIC OBJECTIVE 2</w:t>
            </w:r>
          </w:p>
        </w:tc>
        <w:tc>
          <w:tcPr>
            <w:tcW w:w="5942" w:type="dxa"/>
            <w:shd w:val="clear" w:color="auto" w:fill="D9E2F3" w:themeFill="accent1" w:themeFillTint="33"/>
          </w:tcPr>
          <w:p w14:paraId="1B9E0A05" w14:textId="77777777" w:rsidR="00AE1D2C" w:rsidRPr="0079537E" w:rsidRDefault="00AE1D2C" w:rsidP="00A976D7">
            <w:pPr>
              <w:pStyle w:val="NormalWeb"/>
              <w:spacing w:line="360" w:lineRule="auto"/>
            </w:pPr>
            <w:r w:rsidRPr="0079537E">
              <w:rPr>
                <w:b/>
                <w:bCs/>
              </w:rPr>
              <w:t xml:space="preserve">Contribute to sustainable health outcomes </w:t>
            </w:r>
            <w:r w:rsidRPr="0079537E">
              <w:t>by actively bolstering the resilience of both health systems and communities amidst crises.</w:t>
            </w:r>
          </w:p>
        </w:tc>
      </w:tr>
      <w:tr w:rsidR="00AE1D2C" w:rsidRPr="0079537E" w14:paraId="40D23A4A" w14:textId="77777777" w:rsidTr="00A976D7">
        <w:tc>
          <w:tcPr>
            <w:tcW w:w="9056" w:type="dxa"/>
            <w:gridSpan w:val="2"/>
          </w:tcPr>
          <w:p w14:paraId="43D789A3" w14:textId="77777777" w:rsidR="00AE1D2C" w:rsidRPr="0079537E" w:rsidRDefault="00AE1D2C" w:rsidP="00A976D7">
            <w:pPr>
              <w:pStyle w:val="NormalWeb"/>
              <w:rPr>
                <w:b/>
                <w:bCs/>
                <w:color w:val="000000" w:themeColor="text1"/>
                <w:sz w:val="20"/>
                <w:szCs w:val="20"/>
              </w:rPr>
            </w:pPr>
            <w:r w:rsidRPr="0079537E">
              <w:rPr>
                <w:b/>
                <w:bCs/>
                <w:color w:val="000000" w:themeColor="text1"/>
                <w:sz w:val="20"/>
                <w:szCs w:val="20"/>
              </w:rPr>
              <w:t xml:space="preserve">Commitments </w:t>
            </w:r>
          </w:p>
          <w:p w14:paraId="3EC81366" w14:textId="77777777" w:rsidR="00AE1D2C" w:rsidRPr="0079537E" w:rsidRDefault="00AE1D2C" w:rsidP="00A976D7">
            <w:pPr>
              <w:pStyle w:val="NormalWeb"/>
              <w:numPr>
                <w:ilvl w:val="1"/>
                <w:numId w:val="10"/>
              </w:numPr>
              <w:rPr>
                <w:color w:val="000000" w:themeColor="text1"/>
                <w:sz w:val="20"/>
                <w:szCs w:val="20"/>
              </w:rPr>
            </w:pPr>
            <w:r w:rsidRPr="0079537E">
              <w:rPr>
                <w:color w:val="000000" w:themeColor="text1"/>
                <w:position w:val="-2"/>
                <w:sz w:val="20"/>
                <w:szCs w:val="20"/>
              </w:rPr>
              <w:t>The ICRC will respond to emergency health needs while proactively initiating discussions with local and national health authorities and development stakeholders at an early stage to ensure sustainable outcomes, foster collaboration, and enhance local capabilities.</w:t>
            </w:r>
          </w:p>
          <w:p w14:paraId="1C9CFA16" w14:textId="77777777" w:rsidR="00AE1D2C" w:rsidRPr="0079537E" w:rsidRDefault="00AE1D2C" w:rsidP="00A976D7">
            <w:pPr>
              <w:pStyle w:val="NormalWeb"/>
              <w:numPr>
                <w:ilvl w:val="1"/>
                <w:numId w:val="10"/>
              </w:numPr>
              <w:rPr>
                <w:color w:val="000000" w:themeColor="text1"/>
                <w:sz w:val="20"/>
                <w:szCs w:val="20"/>
              </w:rPr>
            </w:pPr>
            <w:r w:rsidRPr="0079537E">
              <w:rPr>
                <w:color w:val="000000" w:themeColor="text1"/>
                <w:position w:val="-2"/>
                <w:sz w:val="20"/>
                <w:szCs w:val="20"/>
              </w:rPr>
              <w:t>By default, the ICRC's health-care initiatives will support and reinforce existing health systems and facilities. However, the organization acknowledges that specific contexts or circumstances may require standalone emergency responses.</w:t>
            </w:r>
          </w:p>
          <w:p w14:paraId="4D32E327" w14:textId="77777777" w:rsidR="00AE1D2C" w:rsidRPr="0079537E" w:rsidRDefault="00AE1D2C" w:rsidP="00A976D7">
            <w:pPr>
              <w:pStyle w:val="NormalWeb"/>
              <w:numPr>
                <w:ilvl w:val="1"/>
                <w:numId w:val="10"/>
              </w:numPr>
              <w:rPr>
                <w:color w:val="000000" w:themeColor="text1"/>
                <w:sz w:val="20"/>
                <w:szCs w:val="20"/>
              </w:rPr>
            </w:pPr>
            <w:r w:rsidRPr="0079537E">
              <w:rPr>
                <w:color w:val="000000" w:themeColor="text1"/>
                <w:position w:val="-2"/>
                <w:sz w:val="20"/>
                <w:szCs w:val="20"/>
              </w:rPr>
              <w:t>The ICRC will continue to cultivate and expand its partnerships and networks of expertise, collaborating with humanitarian and academic organizations, to empower and strengthen local health-care capacities.</w:t>
            </w:r>
          </w:p>
          <w:p w14:paraId="34411BBF" w14:textId="77777777" w:rsidR="00AE1D2C" w:rsidRPr="0079537E" w:rsidRDefault="00AE1D2C" w:rsidP="00A976D7">
            <w:pPr>
              <w:pStyle w:val="NormalWeb"/>
              <w:numPr>
                <w:ilvl w:val="1"/>
                <w:numId w:val="10"/>
              </w:numPr>
              <w:rPr>
                <w:color w:val="000000" w:themeColor="text1"/>
                <w:sz w:val="16"/>
                <w:szCs w:val="16"/>
              </w:rPr>
            </w:pPr>
            <w:r w:rsidRPr="0079537E">
              <w:rPr>
                <w:color w:val="000000" w:themeColor="text1"/>
                <w:position w:val="-2"/>
                <w:sz w:val="20"/>
                <w:szCs w:val="20"/>
              </w:rPr>
              <w:t>The ICRC will enhance its own capacity and expertise in supporting health-care systems by promoting knowledge and skill development across relevant units and departments. Moreover, the organization will forge stronger collaborations with relevant development actors to bolster its effectiveness in this endeavour.</w:t>
            </w:r>
          </w:p>
        </w:tc>
      </w:tr>
      <w:tr w:rsidR="00AE1D2C" w:rsidRPr="0079537E" w14:paraId="3D11AF05" w14:textId="77777777" w:rsidTr="00A976D7">
        <w:tc>
          <w:tcPr>
            <w:tcW w:w="3114" w:type="dxa"/>
            <w:shd w:val="clear" w:color="auto" w:fill="D9E2F3" w:themeFill="accent1" w:themeFillTint="33"/>
          </w:tcPr>
          <w:p w14:paraId="5C1302CC" w14:textId="77777777" w:rsidR="00AE1D2C" w:rsidRPr="0079537E" w:rsidRDefault="00AE1D2C" w:rsidP="00A976D7">
            <w:pPr>
              <w:pStyle w:val="NormalWeb"/>
              <w:spacing w:line="360" w:lineRule="auto"/>
            </w:pPr>
            <w:r w:rsidRPr="0079537E">
              <w:t>STRATEGIC OBJECTIVE 3</w:t>
            </w:r>
          </w:p>
        </w:tc>
        <w:tc>
          <w:tcPr>
            <w:tcW w:w="5942" w:type="dxa"/>
            <w:shd w:val="clear" w:color="auto" w:fill="D9E2F3" w:themeFill="accent1" w:themeFillTint="33"/>
          </w:tcPr>
          <w:p w14:paraId="605F24BF" w14:textId="77777777" w:rsidR="00AE1D2C" w:rsidRPr="0079537E" w:rsidRDefault="00AE1D2C" w:rsidP="00A976D7">
            <w:pPr>
              <w:pStyle w:val="NormalWeb"/>
              <w:spacing w:line="360" w:lineRule="auto"/>
            </w:pPr>
            <w:r w:rsidRPr="0079537E">
              <w:rPr>
                <w:b/>
                <w:bCs/>
              </w:rPr>
              <w:t>Influence practice and policy in key areas of health expertise</w:t>
            </w:r>
            <w:r w:rsidRPr="0079537E">
              <w:t xml:space="preserve">, particularly the clinical management of people </w:t>
            </w:r>
            <w:r w:rsidRPr="0079537E">
              <w:lastRenderedPageBreak/>
              <w:t>wounded by weapons, the provision of health care to people deprived of their liberty, the rehabilitation of persons with physical disabilities, and the provision of mental health and psychosocial support services to people affected by armed conflict and other violence.</w:t>
            </w:r>
          </w:p>
        </w:tc>
      </w:tr>
      <w:tr w:rsidR="00AE1D2C" w:rsidRPr="0079537E" w14:paraId="0DE62A82" w14:textId="77777777" w:rsidTr="00A976D7">
        <w:tc>
          <w:tcPr>
            <w:tcW w:w="9056" w:type="dxa"/>
            <w:gridSpan w:val="2"/>
          </w:tcPr>
          <w:p w14:paraId="6A74216A" w14:textId="77777777" w:rsidR="00AE1D2C" w:rsidRPr="0079537E" w:rsidRDefault="00AE1D2C" w:rsidP="00A976D7">
            <w:pPr>
              <w:pStyle w:val="NormalWeb"/>
              <w:rPr>
                <w:b/>
                <w:bCs/>
                <w:color w:val="000000" w:themeColor="text1"/>
                <w:sz w:val="20"/>
                <w:szCs w:val="20"/>
              </w:rPr>
            </w:pPr>
            <w:r w:rsidRPr="0079537E">
              <w:rPr>
                <w:b/>
                <w:bCs/>
                <w:color w:val="000000" w:themeColor="text1"/>
                <w:sz w:val="20"/>
                <w:szCs w:val="20"/>
              </w:rPr>
              <w:t>Commitments:</w:t>
            </w:r>
          </w:p>
          <w:p w14:paraId="0432CE1B" w14:textId="77777777" w:rsidR="00AE1D2C" w:rsidRPr="0079537E" w:rsidRDefault="00AE1D2C" w:rsidP="00A976D7">
            <w:pPr>
              <w:pStyle w:val="NormalWeb"/>
              <w:numPr>
                <w:ilvl w:val="1"/>
                <w:numId w:val="10"/>
              </w:numPr>
              <w:rPr>
                <w:color w:val="000000" w:themeColor="text1"/>
                <w:sz w:val="20"/>
                <w:szCs w:val="20"/>
              </w:rPr>
            </w:pPr>
            <w:r w:rsidRPr="0079537E">
              <w:rPr>
                <w:color w:val="000000" w:themeColor="text1"/>
                <w:sz w:val="20"/>
                <w:szCs w:val="20"/>
              </w:rPr>
              <w:t>The ICRC will persist in advocating for the adoption of ethical approaches and proven methodologies in critical areas such as caring for weapon-wounded individuals, providing health care in detention facilities, facilitating physical rehabilitation, and offering mental health and psychosocial support. These efforts will extend to local, national, regional, and global levels, actively contributing to the development or revision of relevant technical guidelines and protocols.</w:t>
            </w:r>
          </w:p>
          <w:p w14:paraId="2C19992F" w14:textId="77777777" w:rsidR="00AE1D2C" w:rsidRPr="0079537E" w:rsidRDefault="00AE1D2C" w:rsidP="00A976D7">
            <w:pPr>
              <w:pStyle w:val="NormalWeb"/>
              <w:numPr>
                <w:ilvl w:val="1"/>
                <w:numId w:val="10"/>
              </w:numPr>
              <w:rPr>
                <w:color w:val="000000" w:themeColor="text1"/>
                <w:sz w:val="20"/>
                <w:szCs w:val="20"/>
              </w:rPr>
            </w:pPr>
            <w:r w:rsidRPr="0079537E">
              <w:rPr>
                <w:color w:val="000000" w:themeColor="text1"/>
                <w:sz w:val="20"/>
                <w:szCs w:val="20"/>
              </w:rPr>
              <w:t>The ICRC will intensify its endeavours to persuade and collaborate with authorities and relevant stakeholders, ensuring that populations affected by armed conflict and violence have unhindered access to essential health-care services. The organization will actively support the formulation of policies aimed at safeguarding health-care workers, facilities, and ambulance services.</w:t>
            </w:r>
          </w:p>
          <w:p w14:paraId="6D165C77" w14:textId="77777777" w:rsidR="00AE1D2C" w:rsidRPr="0079537E" w:rsidRDefault="00AE1D2C" w:rsidP="00A976D7">
            <w:pPr>
              <w:pStyle w:val="NormalWeb"/>
              <w:numPr>
                <w:ilvl w:val="1"/>
                <w:numId w:val="10"/>
              </w:numPr>
              <w:rPr>
                <w:b/>
                <w:bCs/>
                <w:color w:val="000000" w:themeColor="text1"/>
                <w:sz w:val="16"/>
                <w:szCs w:val="16"/>
              </w:rPr>
            </w:pPr>
            <w:r w:rsidRPr="0079537E">
              <w:rPr>
                <w:color w:val="000000" w:themeColor="text1"/>
                <w:sz w:val="20"/>
                <w:szCs w:val="20"/>
              </w:rPr>
              <w:t>The ICRC will systematically document its health-care initiatives and foster knowledge-sharing and collaboration with diverse entities, including components of the Movement, local partners, health-care workers, and humanitarian organizations. Through these efforts, the ICRC seeks to exert a positive influence on health-care practices within the humanitarian sphere.</w:t>
            </w:r>
          </w:p>
        </w:tc>
      </w:tr>
      <w:tr w:rsidR="00AE1D2C" w:rsidRPr="0079537E" w14:paraId="1E56C69D" w14:textId="77777777" w:rsidTr="00A976D7">
        <w:tc>
          <w:tcPr>
            <w:tcW w:w="3114" w:type="dxa"/>
            <w:shd w:val="clear" w:color="auto" w:fill="D9E2F3" w:themeFill="accent1" w:themeFillTint="33"/>
          </w:tcPr>
          <w:p w14:paraId="51F978A5" w14:textId="77777777" w:rsidR="00AE1D2C" w:rsidRPr="0079537E" w:rsidRDefault="00AE1D2C" w:rsidP="00A976D7">
            <w:pPr>
              <w:pStyle w:val="NormalWeb"/>
              <w:spacing w:line="360" w:lineRule="auto"/>
            </w:pPr>
            <w:r w:rsidRPr="0079537E">
              <w:t>STRATEGIC OBJECTIVE 4</w:t>
            </w:r>
          </w:p>
        </w:tc>
        <w:tc>
          <w:tcPr>
            <w:tcW w:w="5942" w:type="dxa"/>
            <w:shd w:val="clear" w:color="auto" w:fill="D9E2F3" w:themeFill="accent1" w:themeFillTint="33"/>
          </w:tcPr>
          <w:p w14:paraId="6A962D5A" w14:textId="77777777" w:rsidR="00AE1D2C" w:rsidRPr="0079537E" w:rsidRDefault="00AE1D2C" w:rsidP="00A976D7">
            <w:pPr>
              <w:pStyle w:val="NormalWeb"/>
              <w:spacing w:line="360" w:lineRule="auto"/>
            </w:pPr>
            <w:r w:rsidRPr="0079537E">
              <w:rPr>
                <w:b/>
                <w:bCs/>
              </w:rPr>
              <w:t xml:space="preserve">Enhance Data-Driven Decision-Making and Learning </w:t>
            </w:r>
            <w:r w:rsidRPr="0079537E">
              <w:t>to improve and strengthen the process of making informed and evidence-based decisions by utilizing relevant and reliable data and emphasizes the importance of using data as a valuable resource to drive efficiency, transparency, and effectiveness in decision-making processes.</w:t>
            </w:r>
          </w:p>
        </w:tc>
      </w:tr>
      <w:tr w:rsidR="00AE1D2C" w:rsidRPr="0079537E" w14:paraId="30C51286" w14:textId="77777777" w:rsidTr="00A976D7">
        <w:tc>
          <w:tcPr>
            <w:tcW w:w="9056" w:type="dxa"/>
            <w:gridSpan w:val="2"/>
          </w:tcPr>
          <w:p w14:paraId="020E449D" w14:textId="77777777" w:rsidR="00AE1D2C" w:rsidRPr="0079537E" w:rsidRDefault="00AE1D2C" w:rsidP="00A976D7">
            <w:pPr>
              <w:pStyle w:val="NormalWeb"/>
              <w:rPr>
                <w:b/>
                <w:bCs/>
                <w:sz w:val="20"/>
                <w:szCs w:val="20"/>
              </w:rPr>
            </w:pPr>
            <w:r w:rsidRPr="0079537E">
              <w:rPr>
                <w:b/>
                <w:bCs/>
                <w:sz w:val="20"/>
                <w:szCs w:val="20"/>
              </w:rPr>
              <w:t>Commitments:</w:t>
            </w:r>
          </w:p>
          <w:p w14:paraId="786AEAC3" w14:textId="77777777" w:rsidR="00AE1D2C" w:rsidRPr="0079537E" w:rsidRDefault="00AE1D2C" w:rsidP="00A976D7">
            <w:pPr>
              <w:pStyle w:val="NormalWeb"/>
              <w:numPr>
                <w:ilvl w:val="1"/>
                <w:numId w:val="10"/>
              </w:numPr>
              <w:rPr>
                <w:sz w:val="20"/>
                <w:szCs w:val="20"/>
              </w:rPr>
            </w:pPr>
            <w:r w:rsidRPr="0079537E">
              <w:rPr>
                <w:sz w:val="20"/>
                <w:szCs w:val="20"/>
              </w:rPr>
              <w:t>The ICRC will establish a comprehensive data collection and management system that ensures the gathering of relevant and reliable data from various sources, encompassing health programs in conflict zones.</w:t>
            </w:r>
          </w:p>
          <w:p w14:paraId="38BD2FBB" w14:textId="77777777" w:rsidR="00AE1D2C" w:rsidRPr="0079537E" w:rsidRDefault="00AE1D2C" w:rsidP="00A976D7">
            <w:pPr>
              <w:pStyle w:val="NormalWeb"/>
              <w:numPr>
                <w:ilvl w:val="1"/>
                <w:numId w:val="10"/>
              </w:numPr>
              <w:rPr>
                <w:sz w:val="20"/>
                <w:szCs w:val="20"/>
              </w:rPr>
            </w:pPr>
            <w:r w:rsidRPr="0079537E">
              <w:rPr>
                <w:sz w:val="20"/>
                <w:szCs w:val="20"/>
              </w:rPr>
              <w:t>The ICRC will invest in training and capacity-building initiatives for its staff to enhance their proficiency in data analysis and utilization, enabling evidence-based decision-making in all aspects of health interventions.</w:t>
            </w:r>
          </w:p>
          <w:p w14:paraId="4CDCF146" w14:textId="77777777" w:rsidR="00AE1D2C" w:rsidRPr="0079537E" w:rsidRDefault="00AE1D2C" w:rsidP="00A976D7">
            <w:pPr>
              <w:pStyle w:val="NormalWeb"/>
              <w:numPr>
                <w:ilvl w:val="1"/>
                <w:numId w:val="10"/>
              </w:numPr>
              <w:rPr>
                <w:sz w:val="20"/>
                <w:szCs w:val="20"/>
              </w:rPr>
            </w:pPr>
            <w:r w:rsidRPr="0079537E">
              <w:rPr>
                <w:sz w:val="20"/>
                <w:szCs w:val="20"/>
              </w:rPr>
              <w:t>The ICRC will promote a culture of learning and knowledge-sharing within the organization, encouraging regular evaluations and assessments of health programs based on data insights to identify areas for improvement and innovation.</w:t>
            </w:r>
          </w:p>
          <w:p w14:paraId="5320EA30" w14:textId="77777777" w:rsidR="00AE1D2C" w:rsidRPr="0079537E" w:rsidRDefault="00AE1D2C" w:rsidP="00A976D7">
            <w:pPr>
              <w:pStyle w:val="NormalWeb"/>
              <w:numPr>
                <w:ilvl w:val="1"/>
                <w:numId w:val="10"/>
              </w:numPr>
              <w:rPr>
                <w:sz w:val="16"/>
                <w:szCs w:val="16"/>
              </w:rPr>
            </w:pPr>
            <w:r w:rsidRPr="0079537E">
              <w:rPr>
                <w:sz w:val="20"/>
                <w:szCs w:val="20"/>
              </w:rPr>
              <w:t>The ICRC will collaborate with academic institutions, research organizations, and technology partners to leverage advanced data analytics and visualization tools, empowering data-driven decision-making processes that enhance efficiency, transparency, and effectiveness in humanitarian operations.</w:t>
            </w:r>
          </w:p>
        </w:tc>
      </w:tr>
    </w:tbl>
    <w:p w14:paraId="1364656A" w14:textId="77777777" w:rsidR="00AE1D2C" w:rsidRPr="0079537E" w:rsidRDefault="00AE1D2C" w:rsidP="00AE1D2C">
      <w:pPr>
        <w:spacing w:line="360" w:lineRule="auto"/>
      </w:pPr>
      <w:r w:rsidRPr="0079537E">
        <w:t>Source: ICRC, 2023c</w:t>
      </w:r>
    </w:p>
    <w:p w14:paraId="0D9358F8" w14:textId="77777777" w:rsidR="00AE1D2C" w:rsidRPr="0079537E" w:rsidRDefault="00AE1D2C" w:rsidP="00AE1D2C">
      <w:pPr>
        <w:spacing w:line="360" w:lineRule="auto"/>
      </w:pPr>
    </w:p>
    <w:p w14:paraId="68C8E42E" w14:textId="77777777" w:rsidR="00AE1D2C" w:rsidRPr="0079537E" w:rsidRDefault="00AE1D2C" w:rsidP="00AE1D2C">
      <w:pPr>
        <w:spacing w:line="360" w:lineRule="auto"/>
      </w:pPr>
      <w:r w:rsidRPr="0079537E">
        <w:lastRenderedPageBreak/>
        <w:t>This strategy strongly commits to integrating actions within ICRC health programming to prevent and decrease attacks on healthcare workers, infrastructure, and ambulance services. It also highlights the importance of taking a multidisciplinary approach to address various factors affecting health outcomes, such as water and sanitation, economic security, and protection. Additionally, the strategy recognizes the interconnectedness of health operations with effective people management, the establishment and continuation of meaningful and enduring partnerships, and the secure utilization of health data and digital technologies (ICRC, 2023c).</w:t>
      </w:r>
    </w:p>
    <w:p w14:paraId="7DE69A7D" w14:textId="77777777" w:rsidR="00AE1D2C" w:rsidRPr="0079537E" w:rsidRDefault="00AE1D2C" w:rsidP="00AE1D2C">
      <w:pPr>
        <w:spacing w:line="360" w:lineRule="auto"/>
        <w:rPr>
          <w:bCs/>
        </w:rPr>
      </w:pPr>
    </w:p>
    <w:p w14:paraId="12C1AF30" w14:textId="77777777" w:rsidR="00AE1D2C" w:rsidRPr="0079537E" w:rsidRDefault="00AE1D2C" w:rsidP="00AE1D2C">
      <w:pPr>
        <w:keepNext/>
        <w:spacing w:line="360" w:lineRule="auto"/>
      </w:pPr>
      <w:r w:rsidRPr="0079537E">
        <w:rPr>
          <w:bCs/>
          <w:noProof/>
        </w:rPr>
        <w:drawing>
          <wp:inline distT="0" distB="0" distL="0" distR="0" wp14:anchorId="31FC75D9" wp14:editId="3D41DBED">
            <wp:extent cx="5756910" cy="3934069"/>
            <wp:effectExtent l="0" t="0" r="0" b="3175"/>
            <wp:docPr id="1544635725" name="Picture 1" descr="A screenshot of a medical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35725" name="Picture 1" descr="A screenshot of a medical strategy&#10;&#10;Description automatically generated"/>
                    <pic:cNvPicPr/>
                  </pic:nvPicPr>
                  <pic:blipFill rotWithShape="1">
                    <a:blip r:embed="rId63"/>
                    <a:srcRect t="7752"/>
                    <a:stretch/>
                  </pic:blipFill>
                  <pic:spPr bwMode="auto">
                    <a:xfrm>
                      <a:off x="0" y="0"/>
                      <a:ext cx="5756910" cy="3934069"/>
                    </a:xfrm>
                    <a:prstGeom prst="rect">
                      <a:avLst/>
                    </a:prstGeom>
                    <a:ln>
                      <a:noFill/>
                    </a:ln>
                    <a:extLst>
                      <a:ext uri="{53640926-AAD7-44D8-BBD7-CCE9431645EC}">
                        <a14:shadowObscured xmlns:a14="http://schemas.microsoft.com/office/drawing/2010/main"/>
                      </a:ext>
                    </a:extLst>
                  </pic:spPr>
                </pic:pic>
              </a:graphicData>
            </a:graphic>
          </wp:inline>
        </w:drawing>
      </w:r>
    </w:p>
    <w:p w14:paraId="2B6A8EFE" w14:textId="13CD50F5" w:rsidR="00AE1D2C" w:rsidRPr="0079537E" w:rsidRDefault="00AE1D2C" w:rsidP="00752416">
      <w:pPr>
        <w:jc w:val="center"/>
        <w:rPr>
          <w:bCs/>
        </w:rPr>
      </w:pPr>
      <w:bookmarkStart w:id="29" w:name="_Toc149639441"/>
      <w:r w:rsidRPr="0079537E">
        <w:t>ICRC Health Strategy 2024-2027</w:t>
      </w:r>
      <w:bookmarkEnd w:id="29"/>
    </w:p>
    <w:p w14:paraId="7B507EB7" w14:textId="77777777" w:rsidR="00AE1D2C" w:rsidRPr="0079537E" w:rsidRDefault="00AE1D2C" w:rsidP="00896AB0">
      <w:pPr>
        <w:pStyle w:val="NoSpacing"/>
        <w:rPr>
          <w:lang w:val="en-GB"/>
        </w:rPr>
      </w:pPr>
    </w:p>
    <w:p w14:paraId="19033E38" w14:textId="77777777" w:rsidR="00AE1D2C" w:rsidRPr="0079537E" w:rsidRDefault="00AE1D2C" w:rsidP="00B66B5E">
      <w:pPr>
        <w:pStyle w:val="Heading1"/>
        <w:rPr>
          <w:rFonts w:cs="Times New Roman"/>
          <w:lang w:val="en-GB"/>
        </w:rPr>
      </w:pPr>
      <w:r w:rsidRPr="0079537E">
        <w:rPr>
          <w:rFonts w:cs="Times New Roman"/>
          <w:lang w:val="en-GB"/>
        </w:rPr>
        <w:br w:type="page"/>
      </w:r>
    </w:p>
    <w:p w14:paraId="45E0C2E1" w14:textId="3F1DD907" w:rsidR="00145C4A" w:rsidRPr="0079537E" w:rsidRDefault="00B66B5E" w:rsidP="00B66B5E">
      <w:pPr>
        <w:pStyle w:val="Heading1"/>
        <w:rPr>
          <w:rFonts w:cs="Times New Roman"/>
          <w:lang w:val="en-GB"/>
        </w:rPr>
      </w:pPr>
      <w:bookmarkStart w:id="30" w:name="_Toc167892904"/>
      <w:r w:rsidRPr="0079537E">
        <w:rPr>
          <w:rFonts w:cs="Times New Roman"/>
          <w:lang w:val="en-GB"/>
        </w:rPr>
        <w:lastRenderedPageBreak/>
        <w:t>Annex</w:t>
      </w:r>
      <w:r w:rsidR="00AE1D2C" w:rsidRPr="0079537E">
        <w:rPr>
          <w:rFonts w:cs="Times New Roman"/>
          <w:lang w:val="en-GB"/>
        </w:rPr>
        <w:t>e</w:t>
      </w:r>
      <w:r w:rsidRPr="0079537E">
        <w:rPr>
          <w:rFonts w:cs="Times New Roman"/>
          <w:lang w:val="en-GB"/>
        </w:rPr>
        <w:t xml:space="preserve"> 3</w:t>
      </w:r>
      <w:r w:rsidR="00AE1D2C" w:rsidRPr="0079537E">
        <w:rPr>
          <w:rFonts w:cs="Times New Roman"/>
          <w:lang w:val="en-GB"/>
        </w:rPr>
        <w:t>: The Ten-Step Method of Decision-Making</w:t>
      </w:r>
      <w:bookmarkEnd w:id="30"/>
      <w:r w:rsidR="00AE1D2C" w:rsidRPr="0079537E">
        <w:rPr>
          <w:rFonts w:cs="Times New Roman"/>
          <w:lang w:val="en-GB"/>
        </w:rPr>
        <w:t xml:space="preserve"> </w:t>
      </w:r>
    </w:p>
    <w:p w14:paraId="71E6A02C" w14:textId="77777777" w:rsidR="00145C4A" w:rsidRPr="0079537E" w:rsidRDefault="00145C4A" w:rsidP="00896AB0">
      <w:pPr>
        <w:pStyle w:val="NoSpacing"/>
        <w:rPr>
          <w:lang w:val="en-GB"/>
        </w:rPr>
      </w:pPr>
    </w:p>
    <w:p w14:paraId="3A5ABE48" w14:textId="1E5F5C64" w:rsidR="00145C4A" w:rsidRPr="0079537E" w:rsidRDefault="00145C4A" w:rsidP="00896AB0">
      <w:pPr>
        <w:pStyle w:val="NoSpacing"/>
        <w:rPr>
          <w:lang w:val="en-GB"/>
        </w:rPr>
      </w:pPr>
      <w:r w:rsidRPr="0079537E">
        <w:rPr>
          <w:noProof/>
          <w:lang w:val="en-GB"/>
        </w:rPr>
        <w:drawing>
          <wp:inline distT="0" distB="0" distL="0" distR="0" wp14:anchorId="4B682C4A" wp14:editId="1D82958B">
            <wp:extent cx="5756910" cy="4404360"/>
            <wp:effectExtent l="0" t="0" r="0" b="2540"/>
            <wp:docPr id="74201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14401" name=""/>
                    <pic:cNvPicPr/>
                  </pic:nvPicPr>
                  <pic:blipFill>
                    <a:blip r:embed="rId64"/>
                    <a:stretch>
                      <a:fillRect/>
                    </a:stretch>
                  </pic:blipFill>
                  <pic:spPr>
                    <a:xfrm>
                      <a:off x="0" y="0"/>
                      <a:ext cx="5756910" cy="4404360"/>
                    </a:xfrm>
                    <a:prstGeom prst="rect">
                      <a:avLst/>
                    </a:prstGeom>
                  </pic:spPr>
                </pic:pic>
              </a:graphicData>
            </a:graphic>
          </wp:inline>
        </w:drawing>
      </w:r>
    </w:p>
    <w:p w14:paraId="0BDB3075" w14:textId="4EE761E4" w:rsidR="008D6BBE" w:rsidRPr="0079537E" w:rsidRDefault="00145C4A" w:rsidP="00896AB0">
      <w:pPr>
        <w:pStyle w:val="NoSpacing"/>
        <w:rPr>
          <w:lang w:val="en-GB"/>
        </w:rPr>
      </w:pPr>
      <w:r w:rsidRPr="0079537E">
        <w:rPr>
          <w:noProof/>
          <w:lang w:val="en-GB"/>
        </w:rPr>
        <w:lastRenderedPageBreak/>
        <w:drawing>
          <wp:inline distT="0" distB="0" distL="0" distR="0" wp14:anchorId="1DA33A54" wp14:editId="0B564625">
            <wp:extent cx="5756910" cy="4291330"/>
            <wp:effectExtent l="0" t="0" r="0" b="1270"/>
            <wp:docPr id="211385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55248" name=""/>
                    <pic:cNvPicPr/>
                  </pic:nvPicPr>
                  <pic:blipFill>
                    <a:blip r:embed="rId65"/>
                    <a:stretch>
                      <a:fillRect/>
                    </a:stretch>
                  </pic:blipFill>
                  <pic:spPr>
                    <a:xfrm>
                      <a:off x="0" y="0"/>
                      <a:ext cx="5756910" cy="4291330"/>
                    </a:xfrm>
                    <a:prstGeom prst="rect">
                      <a:avLst/>
                    </a:prstGeom>
                  </pic:spPr>
                </pic:pic>
              </a:graphicData>
            </a:graphic>
          </wp:inline>
        </w:drawing>
      </w:r>
    </w:p>
    <w:p w14:paraId="7A04D2CE" w14:textId="630638DC" w:rsidR="00145C4A" w:rsidRPr="00896AB0" w:rsidRDefault="00145C4A" w:rsidP="00896AB0">
      <w:pPr>
        <w:pStyle w:val="NoSpacing"/>
        <w:rPr>
          <w:lang w:val="en-GB"/>
        </w:rPr>
      </w:pPr>
      <w:r w:rsidRPr="0079537E">
        <w:rPr>
          <w:noProof/>
          <w:lang w:val="en-GB"/>
        </w:rPr>
        <w:drawing>
          <wp:inline distT="0" distB="0" distL="0" distR="0" wp14:anchorId="00C03DD9" wp14:editId="61FD1F00">
            <wp:extent cx="5756910" cy="4297045"/>
            <wp:effectExtent l="0" t="0" r="0" b="0"/>
            <wp:docPr id="33483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32537" name=""/>
                    <pic:cNvPicPr/>
                  </pic:nvPicPr>
                  <pic:blipFill>
                    <a:blip r:embed="rId66"/>
                    <a:stretch>
                      <a:fillRect/>
                    </a:stretch>
                  </pic:blipFill>
                  <pic:spPr>
                    <a:xfrm>
                      <a:off x="0" y="0"/>
                      <a:ext cx="5756910" cy="4297045"/>
                    </a:xfrm>
                    <a:prstGeom prst="rect">
                      <a:avLst/>
                    </a:prstGeom>
                  </pic:spPr>
                </pic:pic>
              </a:graphicData>
            </a:graphic>
          </wp:inline>
        </w:drawing>
      </w:r>
    </w:p>
    <w:sectPr w:rsidR="00145C4A" w:rsidRPr="00896AB0" w:rsidSect="008E09B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A944E" w14:textId="77777777" w:rsidR="009A55CC" w:rsidRDefault="009A55CC" w:rsidP="004D0413">
      <w:r>
        <w:separator/>
      </w:r>
    </w:p>
  </w:endnote>
  <w:endnote w:type="continuationSeparator" w:id="0">
    <w:p w14:paraId="00D6413D" w14:textId="77777777" w:rsidR="009A55CC" w:rsidRDefault="009A55CC" w:rsidP="004D0413">
      <w:r>
        <w:continuationSeparator/>
      </w:r>
    </w:p>
  </w:endnote>
  <w:endnote w:type="continuationNotice" w:id="1">
    <w:p w14:paraId="054881FD" w14:textId="77777777" w:rsidR="009A55CC" w:rsidRDefault="009A55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IBM Plex Sans">
    <w:panose1 w:val="020B0503050203000203"/>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807171"/>
      <w:docPartObj>
        <w:docPartGallery w:val="Page Numbers (Bottom of Page)"/>
        <w:docPartUnique/>
      </w:docPartObj>
    </w:sdtPr>
    <w:sdtEndPr>
      <w:rPr>
        <w:rFonts w:ascii="Times New Roman" w:hAnsi="Times New Roman" w:cs="Times New Roman"/>
        <w:sz w:val="20"/>
      </w:rPr>
    </w:sdtEndPr>
    <w:sdtContent>
      <w:p w14:paraId="2C56E4BF" w14:textId="77777777" w:rsidR="005A3707" w:rsidRPr="005A3707" w:rsidRDefault="005A3707">
        <w:pPr>
          <w:pStyle w:val="Footer"/>
          <w:jc w:val="right"/>
          <w:rPr>
            <w:rFonts w:ascii="Times New Roman" w:hAnsi="Times New Roman" w:cs="Times New Roman"/>
            <w:sz w:val="20"/>
          </w:rPr>
        </w:pPr>
        <w:r w:rsidRPr="005A3707">
          <w:rPr>
            <w:rFonts w:ascii="Times New Roman" w:hAnsi="Times New Roman" w:cs="Times New Roman"/>
            <w:sz w:val="20"/>
          </w:rPr>
          <w:fldChar w:fldCharType="begin"/>
        </w:r>
        <w:r w:rsidRPr="005A3707">
          <w:rPr>
            <w:rFonts w:ascii="Times New Roman" w:hAnsi="Times New Roman" w:cs="Times New Roman"/>
            <w:sz w:val="20"/>
          </w:rPr>
          <w:instrText>PAGE   \* MERGEFORMAT</w:instrText>
        </w:r>
        <w:r w:rsidRPr="005A3707">
          <w:rPr>
            <w:rFonts w:ascii="Times New Roman" w:hAnsi="Times New Roman" w:cs="Times New Roman"/>
            <w:sz w:val="20"/>
          </w:rPr>
          <w:fldChar w:fldCharType="separate"/>
        </w:r>
        <w:r w:rsidRPr="005A3707">
          <w:rPr>
            <w:rFonts w:ascii="Times New Roman" w:hAnsi="Times New Roman" w:cs="Times New Roman"/>
            <w:sz w:val="20"/>
          </w:rPr>
          <w:t>2</w:t>
        </w:r>
        <w:r w:rsidRPr="005A3707">
          <w:rPr>
            <w:rFonts w:ascii="Times New Roman" w:hAnsi="Times New Roman" w:cs="Times New Roman"/>
            <w:sz w:val="20"/>
          </w:rPr>
          <w:fldChar w:fldCharType="end"/>
        </w:r>
      </w:p>
    </w:sdtContent>
  </w:sdt>
  <w:p w14:paraId="1C924C2E" w14:textId="77777777" w:rsidR="005A3707" w:rsidRPr="003B73CD" w:rsidRDefault="005A3707" w:rsidP="009726AC">
    <w:pPr>
      <w:pStyle w:val="Footer"/>
      <w:ind w:right="36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FDF63" w14:textId="77777777" w:rsidR="009A55CC" w:rsidRDefault="009A55CC" w:rsidP="004D0413">
      <w:r>
        <w:separator/>
      </w:r>
    </w:p>
  </w:footnote>
  <w:footnote w:type="continuationSeparator" w:id="0">
    <w:p w14:paraId="1BB30FD9" w14:textId="77777777" w:rsidR="009A55CC" w:rsidRDefault="009A55CC" w:rsidP="004D0413">
      <w:r>
        <w:continuationSeparator/>
      </w:r>
    </w:p>
  </w:footnote>
  <w:footnote w:type="continuationNotice" w:id="1">
    <w:p w14:paraId="579903AB" w14:textId="77777777" w:rsidR="009A55CC" w:rsidRDefault="009A55CC"/>
  </w:footnote>
  <w:footnote w:id="2">
    <w:p w14:paraId="27848CF5" w14:textId="29956D78" w:rsidR="00B66B5E" w:rsidRPr="0012044D" w:rsidRDefault="00B66B5E">
      <w:pPr>
        <w:pStyle w:val="FootnoteText"/>
        <w:rPr>
          <w:rFonts w:ascii="Times New Roman" w:hAnsi="Times New Roman" w:cs="Times New Roman"/>
          <w:sz w:val="16"/>
          <w:szCs w:val="16"/>
          <w:lang w:val="en-GB"/>
        </w:rPr>
      </w:pPr>
      <w:r w:rsidRPr="0012044D">
        <w:rPr>
          <w:rStyle w:val="FootnoteReference"/>
          <w:rFonts w:ascii="Times New Roman" w:hAnsi="Times New Roman" w:cs="Times New Roman"/>
          <w:sz w:val="16"/>
          <w:szCs w:val="16"/>
        </w:rPr>
        <w:footnoteRef/>
      </w:r>
      <w:r w:rsidRPr="0012044D">
        <w:rPr>
          <w:rFonts w:ascii="Times New Roman" w:hAnsi="Times New Roman" w:cs="Times New Roman"/>
          <w:sz w:val="16"/>
          <w:szCs w:val="16"/>
        </w:rPr>
        <w:t xml:space="preserve"> </w:t>
      </w:r>
      <w:r w:rsidRPr="0012044D">
        <w:rPr>
          <w:rFonts w:ascii="Times New Roman" w:hAnsi="Times New Roman" w:cs="Times New Roman"/>
          <w:sz w:val="16"/>
          <w:szCs w:val="16"/>
          <w:lang w:val="en-GB"/>
        </w:rPr>
        <w:t>See Annex 1 for the Summary of ICRC Strategic Plan 2019-2024</w:t>
      </w:r>
    </w:p>
  </w:footnote>
  <w:footnote w:id="3">
    <w:p w14:paraId="2567BE49" w14:textId="751E48B6" w:rsidR="00AE1D2C" w:rsidRPr="0012044D" w:rsidRDefault="00AE1D2C">
      <w:pPr>
        <w:pStyle w:val="FootnoteText"/>
        <w:rPr>
          <w:rFonts w:ascii="Times New Roman" w:hAnsi="Times New Roman" w:cs="Times New Roman"/>
          <w:sz w:val="16"/>
          <w:szCs w:val="16"/>
          <w:lang w:val="en-GB"/>
        </w:rPr>
      </w:pPr>
      <w:r w:rsidRPr="0012044D">
        <w:rPr>
          <w:rStyle w:val="FootnoteReference"/>
          <w:rFonts w:ascii="Times New Roman" w:hAnsi="Times New Roman" w:cs="Times New Roman"/>
          <w:sz w:val="16"/>
          <w:szCs w:val="16"/>
        </w:rPr>
        <w:footnoteRef/>
      </w:r>
      <w:r w:rsidRPr="0012044D">
        <w:rPr>
          <w:rFonts w:ascii="Times New Roman" w:hAnsi="Times New Roman" w:cs="Times New Roman"/>
          <w:sz w:val="16"/>
          <w:szCs w:val="16"/>
        </w:rPr>
        <w:t xml:space="preserve"> </w:t>
      </w:r>
      <w:r w:rsidRPr="0012044D">
        <w:rPr>
          <w:rFonts w:ascii="Times New Roman" w:hAnsi="Times New Roman" w:cs="Times New Roman"/>
          <w:sz w:val="16"/>
          <w:szCs w:val="16"/>
          <w:lang w:val="en-GB"/>
        </w:rPr>
        <w:t>See Annex 2 for the Summary of proposed ICRC Health Strategic Plan 2024-2027</w:t>
      </w:r>
    </w:p>
  </w:footnote>
  <w:footnote w:id="4">
    <w:p w14:paraId="5ED7CAE7" w14:textId="6B5A49C1" w:rsidR="00C30421" w:rsidRPr="0012044D" w:rsidRDefault="00C30421">
      <w:pPr>
        <w:pStyle w:val="FootnoteText"/>
        <w:rPr>
          <w:rFonts w:ascii="Times New Roman" w:hAnsi="Times New Roman" w:cs="Times New Roman"/>
          <w:sz w:val="16"/>
          <w:szCs w:val="16"/>
          <w:lang w:val="en-GB"/>
        </w:rPr>
      </w:pPr>
      <w:r w:rsidRPr="0012044D">
        <w:rPr>
          <w:rStyle w:val="FootnoteReference"/>
          <w:rFonts w:ascii="Times New Roman" w:hAnsi="Times New Roman" w:cs="Times New Roman"/>
          <w:sz w:val="16"/>
          <w:szCs w:val="16"/>
        </w:rPr>
        <w:footnoteRef/>
      </w:r>
      <w:r w:rsidRPr="0012044D">
        <w:rPr>
          <w:rFonts w:ascii="Times New Roman" w:hAnsi="Times New Roman" w:cs="Times New Roman"/>
          <w:sz w:val="16"/>
          <w:szCs w:val="16"/>
        </w:rPr>
        <w:t xml:space="preserve"> </w:t>
      </w:r>
      <w:r w:rsidRPr="0012044D">
        <w:rPr>
          <w:rFonts w:ascii="Times New Roman" w:hAnsi="Times New Roman" w:cs="Times New Roman"/>
          <w:sz w:val="16"/>
          <w:szCs w:val="16"/>
          <w:lang w:val="en-GB"/>
        </w:rPr>
        <w:t xml:space="preserve">See Annex </w:t>
      </w:r>
      <w:r w:rsidR="00B66B5E" w:rsidRPr="0012044D">
        <w:rPr>
          <w:rFonts w:ascii="Times New Roman" w:hAnsi="Times New Roman" w:cs="Times New Roman"/>
          <w:sz w:val="16"/>
          <w:szCs w:val="16"/>
          <w:lang w:val="en-GB"/>
        </w:rPr>
        <w:t>2</w:t>
      </w:r>
      <w:r w:rsidRPr="0012044D">
        <w:rPr>
          <w:rFonts w:ascii="Times New Roman" w:hAnsi="Times New Roman" w:cs="Times New Roman"/>
          <w:sz w:val="16"/>
          <w:szCs w:val="16"/>
          <w:lang w:val="en-GB"/>
        </w:rPr>
        <w:t xml:space="preserve"> for Pekel and Walace </w:t>
      </w:r>
      <w:r w:rsidR="008450C7" w:rsidRPr="0012044D">
        <w:rPr>
          <w:rFonts w:ascii="Times New Roman" w:hAnsi="Times New Roman" w:cs="Times New Roman"/>
          <w:sz w:val="16"/>
          <w:szCs w:val="16"/>
          <w:lang w:val="en-GB"/>
        </w:rPr>
        <w:t>the</w:t>
      </w:r>
      <w:r w:rsidRPr="0012044D">
        <w:rPr>
          <w:rFonts w:ascii="Times New Roman" w:hAnsi="Times New Roman" w:cs="Times New Roman"/>
          <w:sz w:val="16"/>
          <w:szCs w:val="16"/>
          <w:lang w:val="en-GB"/>
        </w:rPr>
        <w:t xml:space="preserve"> Ten-Step Method of Decision Making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67C"/>
    <w:multiLevelType w:val="hybridMultilevel"/>
    <w:tmpl w:val="207C9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23EE0"/>
    <w:multiLevelType w:val="hybridMultilevel"/>
    <w:tmpl w:val="5E569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502CE"/>
    <w:multiLevelType w:val="hybridMultilevel"/>
    <w:tmpl w:val="ACD64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945474"/>
    <w:multiLevelType w:val="multilevel"/>
    <w:tmpl w:val="DAB268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8D7CD5"/>
    <w:multiLevelType w:val="hybridMultilevel"/>
    <w:tmpl w:val="7E9E0B54"/>
    <w:lvl w:ilvl="0" w:tplc="0BB200AE">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8659B"/>
    <w:multiLevelType w:val="multilevel"/>
    <w:tmpl w:val="7F9CE8B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546E92"/>
    <w:multiLevelType w:val="hybridMultilevel"/>
    <w:tmpl w:val="50006E00"/>
    <w:lvl w:ilvl="0" w:tplc="9F2E30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FC755F"/>
    <w:multiLevelType w:val="multilevel"/>
    <w:tmpl w:val="FBD8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B92FCB"/>
    <w:multiLevelType w:val="hybridMultilevel"/>
    <w:tmpl w:val="A832F65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EF3870"/>
    <w:multiLevelType w:val="multilevel"/>
    <w:tmpl w:val="E3DA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C358E"/>
    <w:multiLevelType w:val="hybridMultilevel"/>
    <w:tmpl w:val="154EAB84"/>
    <w:lvl w:ilvl="0" w:tplc="7E7AB3E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83D54"/>
    <w:multiLevelType w:val="hybridMultilevel"/>
    <w:tmpl w:val="5D064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6631A8"/>
    <w:multiLevelType w:val="hybridMultilevel"/>
    <w:tmpl w:val="DFBCE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CC75C6"/>
    <w:multiLevelType w:val="multilevel"/>
    <w:tmpl w:val="E41E0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446F71"/>
    <w:multiLevelType w:val="multilevel"/>
    <w:tmpl w:val="012419F0"/>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236307"/>
    <w:multiLevelType w:val="hybridMultilevel"/>
    <w:tmpl w:val="715EC7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0D2C77"/>
    <w:multiLevelType w:val="hybridMultilevel"/>
    <w:tmpl w:val="EC704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5E1910"/>
    <w:multiLevelType w:val="multilevel"/>
    <w:tmpl w:val="653E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7359FD"/>
    <w:multiLevelType w:val="multilevel"/>
    <w:tmpl w:val="0160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807448"/>
    <w:multiLevelType w:val="hybridMultilevel"/>
    <w:tmpl w:val="A09C2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8F26D6"/>
    <w:multiLevelType w:val="hybridMultilevel"/>
    <w:tmpl w:val="2B34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0D4368"/>
    <w:multiLevelType w:val="multilevel"/>
    <w:tmpl w:val="411A02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85B593D"/>
    <w:multiLevelType w:val="hybridMultilevel"/>
    <w:tmpl w:val="52808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C13A32"/>
    <w:multiLevelType w:val="hybridMultilevel"/>
    <w:tmpl w:val="38B86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E47E94"/>
    <w:multiLevelType w:val="hybridMultilevel"/>
    <w:tmpl w:val="B776AA50"/>
    <w:lvl w:ilvl="0" w:tplc="08070001">
      <w:start w:val="1"/>
      <w:numFmt w:val="bullet"/>
      <w:lvlText w:val=""/>
      <w:lvlJc w:val="left"/>
      <w:pPr>
        <w:ind w:left="780" w:hanging="360"/>
      </w:pPr>
      <w:rPr>
        <w:rFonts w:ascii="Symbol" w:hAnsi="Symbol"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abstractNum w:abstractNumId="25" w15:restartNumberingAfterBreak="0">
    <w:nsid w:val="72B85C7D"/>
    <w:multiLevelType w:val="hybridMultilevel"/>
    <w:tmpl w:val="09B48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A83A74"/>
    <w:multiLevelType w:val="hybridMultilevel"/>
    <w:tmpl w:val="F32C7958"/>
    <w:lvl w:ilvl="0" w:tplc="A19C5CF0">
      <w:start w:val="1"/>
      <w:numFmt w:val="decimal"/>
      <w:lvlText w:val="%1."/>
      <w:lvlJc w:val="right"/>
      <w:pPr>
        <w:ind w:left="720" w:hanging="360"/>
      </w:pPr>
      <w:rPr>
        <w:rFonts w:ascii="Arial" w:eastAsia="Times New Roman" w:hAnsi="Arial" w:cs="Arial"/>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num w:numId="1" w16cid:durableId="9101643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60728695">
    <w:abstractNumId w:val="26"/>
  </w:num>
  <w:num w:numId="3" w16cid:durableId="1387218537">
    <w:abstractNumId w:val="24"/>
  </w:num>
  <w:num w:numId="4" w16cid:durableId="1389911420">
    <w:abstractNumId w:val="13"/>
  </w:num>
  <w:num w:numId="5" w16cid:durableId="224486817">
    <w:abstractNumId w:val="0"/>
  </w:num>
  <w:num w:numId="6" w16cid:durableId="2085225545">
    <w:abstractNumId w:val="25"/>
  </w:num>
  <w:num w:numId="7" w16cid:durableId="355153345">
    <w:abstractNumId w:val="12"/>
  </w:num>
  <w:num w:numId="8" w16cid:durableId="1938832172">
    <w:abstractNumId w:val="15"/>
  </w:num>
  <w:num w:numId="9" w16cid:durableId="646133424">
    <w:abstractNumId w:val="6"/>
  </w:num>
  <w:num w:numId="10" w16cid:durableId="1553272428">
    <w:abstractNumId w:val="3"/>
  </w:num>
  <w:num w:numId="11" w16cid:durableId="1971934837">
    <w:abstractNumId w:val="4"/>
  </w:num>
  <w:num w:numId="12" w16cid:durableId="1081366327">
    <w:abstractNumId w:val="14"/>
  </w:num>
  <w:num w:numId="13" w16cid:durableId="560792797">
    <w:abstractNumId w:val="21"/>
  </w:num>
  <w:num w:numId="14" w16cid:durableId="2136100137">
    <w:abstractNumId w:val="19"/>
  </w:num>
  <w:num w:numId="15" w16cid:durableId="1132795631">
    <w:abstractNumId w:val="5"/>
  </w:num>
  <w:num w:numId="16" w16cid:durableId="1574968912">
    <w:abstractNumId w:val="18"/>
  </w:num>
  <w:num w:numId="17" w16cid:durableId="1870870637">
    <w:abstractNumId w:val="17"/>
  </w:num>
  <w:num w:numId="18" w16cid:durableId="1513568148">
    <w:abstractNumId w:val="7"/>
  </w:num>
  <w:num w:numId="19" w16cid:durableId="1576474181">
    <w:abstractNumId w:val="9"/>
  </w:num>
  <w:num w:numId="20" w16cid:durableId="622082080">
    <w:abstractNumId w:val="8"/>
  </w:num>
  <w:num w:numId="21" w16cid:durableId="1587301633">
    <w:abstractNumId w:val="16"/>
  </w:num>
  <w:num w:numId="22" w16cid:durableId="230114582">
    <w:abstractNumId w:val="23"/>
  </w:num>
  <w:num w:numId="23" w16cid:durableId="1100107281">
    <w:abstractNumId w:val="11"/>
  </w:num>
  <w:num w:numId="24" w16cid:durableId="1413508651">
    <w:abstractNumId w:val="10"/>
  </w:num>
  <w:num w:numId="25" w16cid:durableId="107968218">
    <w:abstractNumId w:val="2"/>
  </w:num>
  <w:num w:numId="26" w16cid:durableId="769353258">
    <w:abstractNumId w:val="1"/>
  </w:num>
  <w:num w:numId="27" w16cid:durableId="1778788575">
    <w:abstractNumId w:val="22"/>
  </w:num>
  <w:num w:numId="28" w16cid:durableId="5890003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AA2"/>
    <w:rsid w:val="000020AE"/>
    <w:rsid w:val="0001065E"/>
    <w:rsid w:val="00012F60"/>
    <w:rsid w:val="00015B86"/>
    <w:rsid w:val="0002182A"/>
    <w:rsid w:val="00021AB9"/>
    <w:rsid w:val="0003284E"/>
    <w:rsid w:val="00032F7F"/>
    <w:rsid w:val="000422AF"/>
    <w:rsid w:val="00051F67"/>
    <w:rsid w:val="00052575"/>
    <w:rsid w:val="00052D93"/>
    <w:rsid w:val="00062854"/>
    <w:rsid w:val="00065D6D"/>
    <w:rsid w:val="0007011A"/>
    <w:rsid w:val="00076D6C"/>
    <w:rsid w:val="00092D67"/>
    <w:rsid w:val="0009712B"/>
    <w:rsid w:val="000B433B"/>
    <w:rsid w:val="000C4333"/>
    <w:rsid w:val="000C498B"/>
    <w:rsid w:val="000D1173"/>
    <w:rsid w:val="000D4086"/>
    <w:rsid w:val="000E2296"/>
    <w:rsid w:val="000E56E3"/>
    <w:rsid w:val="000E78B5"/>
    <w:rsid w:val="000E7A33"/>
    <w:rsid w:val="000F1DE8"/>
    <w:rsid w:val="000F2826"/>
    <w:rsid w:val="001002FE"/>
    <w:rsid w:val="00116A1A"/>
    <w:rsid w:val="0012044D"/>
    <w:rsid w:val="001257F7"/>
    <w:rsid w:val="0013708E"/>
    <w:rsid w:val="00142502"/>
    <w:rsid w:val="00145C4A"/>
    <w:rsid w:val="001465A1"/>
    <w:rsid w:val="00154B97"/>
    <w:rsid w:val="00161219"/>
    <w:rsid w:val="001818B5"/>
    <w:rsid w:val="00181B01"/>
    <w:rsid w:val="001857D2"/>
    <w:rsid w:val="00187A1D"/>
    <w:rsid w:val="001A0B70"/>
    <w:rsid w:val="001A3D44"/>
    <w:rsid w:val="001A3F09"/>
    <w:rsid w:val="001B47DA"/>
    <w:rsid w:val="001D1816"/>
    <w:rsid w:val="001D533C"/>
    <w:rsid w:val="001D76A0"/>
    <w:rsid w:val="001E0700"/>
    <w:rsid w:val="001E1BAE"/>
    <w:rsid w:val="002015CB"/>
    <w:rsid w:val="00201F57"/>
    <w:rsid w:val="002252C0"/>
    <w:rsid w:val="00231BFF"/>
    <w:rsid w:val="00236EB8"/>
    <w:rsid w:val="0024419F"/>
    <w:rsid w:val="00245396"/>
    <w:rsid w:val="002474E4"/>
    <w:rsid w:val="00260593"/>
    <w:rsid w:val="0026458F"/>
    <w:rsid w:val="00266227"/>
    <w:rsid w:val="00281287"/>
    <w:rsid w:val="00294057"/>
    <w:rsid w:val="00294A87"/>
    <w:rsid w:val="002A0A8B"/>
    <w:rsid w:val="002B0C89"/>
    <w:rsid w:val="002B7AB8"/>
    <w:rsid w:val="002C04D5"/>
    <w:rsid w:val="002C2DCB"/>
    <w:rsid w:val="002D25EB"/>
    <w:rsid w:val="002D273F"/>
    <w:rsid w:val="002E438C"/>
    <w:rsid w:val="002E57EB"/>
    <w:rsid w:val="002F3F2E"/>
    <w:rsid w:val="0030655E"/>
    <w:rsid w:val="00311812"/>
    <w:rsid w:val="00321D15"/>
    <w:rsid w:val="00330D1D"/>
    <w:rsid w:val="00333BEA"/>
    <w:rsid w:val="00335C16"/>
    <w:rsid w:val="00337CE0"/>
    <w:rsid w:val="00343671"/>
    <w:rsid w:val="00345300"/>
    <w:rsid w:val="00350BFA"/>
    <w:rsid w:val="00350D66"/>
    <w:rsid w:val="00350EAF"/>
    <w:rsid w:val="00352D11"/>
    <w:rsid w:val="0036135B"/>
    <w:rsid w:val="003639F9"/>
    <w:rsid w:val="00374E5C"/>
    <w:rsid w:val="00385185"/>
    <w:rsid w:val="00395C8E"/>
    <w:rsid w:val="003A3553"/>
    <w:rsid w:val="003B024D"/>
    <w:rsid w:val="003B3D4C"/>
    <w:rsid w:val="003B6BCD"/>
    <w:rsid w:val="003B73CD"/>
    <w:rsid w:val="003D5F4D"/>
    <w:rsid w:val="003E579E"/>
    <w:rsid w:val="003E7CFF"/>
    <w:rsid w:val="003F4C2D"/>
    <w:rsid w:val="004103F2"/>
    <w:rsid w:val="00415FFE"/>
    <w:rsid w:val="00417BDE"/>
    <w:rsid w:val="00433298"/>
    <w:rsid w:val="00434129"/>
    <w:rsid w:val="00447C79"/>
    <w:rsid w:val="004526E3"/>
    <w:rsid w:val="00452D1F"/>
    <w:rsid w:val="004576FB"/>
    <w:rsid w:val="00470BD8"/>
    <w:rsid w:val="00481184"/>
    <w:rsid w:val="00481742"/>
    <w:rsid w:val="004827C7"/>
    <w:rsid w:val="00486332"/>
    <w:rsid w:val="004919C8"/>
    <w:rsid w:val="00493E24"/>
    <w:rsid w:val="004A1E9A"/>
    <w:rsid w:val="004A4FFE"/>
    <w:rsid w:val="004B3AE3"/>
    <w:rsid w:val="004C4B41"/>
    <w:rsid w:val="004D0413"/>
    <w:rsid w:val="004D07A6"/>
    <w:rsid w:val="004D2024"/>
    <w:rsid w:val="004D4703"/>
    <w:rsid w:val="004F7742"/>
    <w:rsid w:val="005237BF"/>
    <w:rsid w:val="00523EE4"/>
    <w:rsid w:val="00535232"/>
    <w:rsid w:val="00536853"/>
    <w:rsid w:val="00541BF3"/>
    <w:rsid w:val="005429DE"/>
    <w:rsid w:val="005453CF"/>
    <w:rsid w:val="005453D1"/>
    <w:rsid w:val="00554E08"/>
    <w:rsid w:val="00555213"/>
    <w:rsid w:val="00560539"/>
    <w:rsid w:val="0057032A"/>
    <w:rsid w:val="00572DD3"/>
    <w:rsid w:val="005748D6"/>
    <w:rsid w:val="00577269"/>
    <w:rsid w:val="00577E10"/>
    <w:rsid w:val="00587D70"/>
    <w:rsid w:val="00590F32"/>
    <w:rsid w:val="00597871"/>
    <w:rsid w:val="005A0CA1"/>
    <w:rsid w:val="005A1033"/>
    <w:rsid w:val="005A1FF2"/>
    <w:rsid w:val="005A3707"/>
    <w:rsid w:val="005B0479"/>
    <w:rsid w:val="005B0ABA"/>
    <w:rsid w:val="005B483B"/>
    <w:rsid w:val="005C4B5B"/>
    <w:rsid w:val="005D238F"/>
    <w:rsid w:val="005E35DA"/>
    <w:rsid w:val="005F22F3"/>
    <w:rsid w:val="005F7247"/>
    <w:rsid w:val="0060469B"/>
    <w:rsid w:val="006057A1"/>
    <w:rsid w:val="006149FD"/>
    <w:rsid w:val="00616204"/>
    <w:rsid w:val="00616FD8"/>
    <w:rsid w:val="00617B3D"/>
    <w:rsid w:val="00620D70"/>
    <w:rsid w:val="00625CA0"/>
    <w:rsid w:val="006272D4"/>
    <w:rsid w:val="006321C7"/>
    <w:rsid w:val="00635D5F"/>
    <w:rsid w:val="00636D11"/>
    <w:rsid w:val="00641144"/>
    <w:rsid w:val="00641EA3"/>
    <w:rsid w:val="0064388F"/>
    <w:rsid w:val="00646659"/>
    <w:rsid w:val="00652FE2"/>
    <w:rsid w:val="006628FE"/>
    <w:rsid w:val="006677F3"/>
    <w:rsid w:val="00672CD1"/>
    <w:rsid w:val="00676422"/>
    <w:rsid w:val="00686D18"/>
    <w:rsid w:val="0068729E"/>
    <w:rsid w:val="00691A52"/>
    <w:rsid w:val="006971BB"/>
    <w:rsid w:val="006A27C4"/>
    <w:rsid w:val="006A59AA"/>
    <w:rsid w:val="006B10F8"/>
    <w:rsid w:val="006B655E"/>
    <w:rsid w:val="006D0141"/>
    <w:rsid w:val="006E19CF"/>
    <w:rsid w:val="006E6ECC"/>
    <w:rsid w:val="007001DD"/>
    <w:rsid w:val="007037D4"/>
    <w:rsid w:val="007151BD"/>
    <w:rsid w:val="00716BB2"/>
    <w:rsid w:val="00717D35"/>
    <w:rsid w:val="00724E5B"/>
    <w:rsid w:val="00726C7B"/>
    <w:rsid w:val="0073343A"/>
    <w:rsid w:val="00733638"/>
    <w:rsid w:val="0073488E"/>
    <w:rsid w:val="0074237F"/>
    <w:rsid w:val="00750AE1"/>
    <w:rsid w:val="0075173E"/>
    <w:rsid w:val="00752416"/>
    <w:rsid w:val="00754D44"/>
    <w:rsid w:val="00756BD1"/>
    <w:rsid w:val="0075738A"/>
    <w:rsid w:val="00761920"/>
    <w:rsid w:val="00765AD9"/>
    <w:rsid w:val="00767647"/>
    <w:rsid w:val="00770F05"/>
    <w:rsid w:val="00785A95"/>
    <w:rsid w:val="00786C30"/>
    <w:rsid w:val="0079537E"/>
    <w:rsid w:val="0079662B"/>
    <w:rsid w:val="007A2F4B"/>
    <w:rsid w:val="007A7FFB"/>
    <w:rsid w:val="007C4C17"/>
    <w:rsid w:val="007C53A0"/>
    <w:rsid w:val="007C71C6"/>
    <w:rsid w:val="007D2753"/>
    <w:rsid w:val="007D586C"/>
    <w:rsid w:val="007E6000"/>
    <w:rsid w:val="007F5BD4"/>
    <w:rsid w:val="00802A57"/>
    <w:rsid w:val="008109E8"/>
    <w:rsid w:val="00820AEC"/>
    <w:rsid w:val="00823DA8"/>
    <w:rsid w:val="00830597"/>
    <w:rsid w:val="00830F2B"/>
    <w:rsid w:val="00835970"/>
    <w:rsid w:val="00840484"/>
    <w:rsid w:val="0084290C"/>
    <w:rsid w:val="008450C7"/>
    <w:rsid w:val="00855681"/>
    <w:rsid w:val="008575D7"/>
    <w:rsid w:val="00860B50"/>
    <w:rsid w:val="00870DEA"/>
    <w:rsid w:val="00870E9F"/>
    <w:rsid w:val="00873185"/>
    <w:rsid w:val="00892F64"/>
    <w:rsid w:val="00896AB0"/>
    <w:rsid w:val="008A1F8C"/>
    <w:rsid w:val="008A35C2"/>
    <w:rsid w:val="008A5A05"/>
    <w:rsid w:val="008A60F5"/>
    <w:rsid w:val="008A72C1"/>
    <w:rsid w:val="008A7536"/>
    <w:rsid w:val="008B21BF"/>
    <w:rsid w:val="008C3180"/>
    <w:rsid w:val="008D6BBE"/>
    <w:rsid w:val="008D7A28"/>
    <w:rsid w:val="008E084D"/>
    <w:rsid w:val="008E09B4"/>
    <w:rsid w:val="008E74E1"/>
    <w:rsid w:val="008F227F"/>
    <w:rsid w:val="00913774"/>
    <w:rsid w:val="00915955"/>
    <w:rsid w:val="00916642"/>
    <w:rsid w:val="009174AB"/>
    <w:rsid w:val="0092761E"/>
    <w:rsid w:val="00930B39"/>
    <w:rsid w:val="00934E1D"/>
    <w:rsid w:val="00936F7B"/>
    <w:rsid w:val="00937909"/>
    <w:rsid w:val="00952574"/>
    <w:rsid w:val="00970114"/>
    <w:rsid w:val="009726AC"/>
    <w:rsid w:val="00977F7A"/>
    <w:rsid w:val="009872BB"/>
    <w:rsid w:val="00992FAF"/>
    <w:rsid w:val="00995655"/>
    <w:rsid w:val="009A3269"/>
    <w:rsid w:val="009A35AD"/>
    <w:rsid w:val="009A55CC"/>
    <w:rsid w:val="009A7F76"/>
    <w:rsid w:val="009B09D7"/>
    <w:rsid w:val="009C06B5"/>
    <w:rsid w:val="009C5F75"/>
    <w:rsid w:val="009C74BC"/>
    <w:rsid w:val="009D106F"/>
    <w:rsid w:val="009D1C51"/>
    <w:rsid w:val="009D233D"/>
    <w:rsid w:val="009D2608"/>
    <w:rsid w:val="009D5A44"/>
    <w:rsid w:val="009E2E29"/>
    <w:rsid w:val="009E4589"/>
    <w:rsid w:val="009E686D"/>
    <w:rsid w:val="009F0A00"/>
    <w:rsid w:val="009F469A"/>
    <w:rsid w:val="009F59AA"/>
    <w:rsid w:val="00A03AC2"/>
    <w:rsid w:val="00A115D8"/>
    <w:rsid w:val="00A14602"/>
    <w:rsid w:val="00A163DD"/>
    <w:rsid w:val="00A2775E"/>
    <w:rsid w:val="00A450B6"/>
    <w:rsid w:val="00A5482A"/>
    <w:rsid w:val="00A54B3B"/>
    <w:rsid w:val="00A56331"/>
    <w:rsid w:val="00A7143B"/>
    <w:rsid w:val="00A94131"/>
    <w:rsid w:val="00A9714B"/>
    <w:rsid w:val="00A9738A"/>
    <w:rsid w:val="00AA0F0A"/>
    <w:rsid w:val="00AA2A51"/>
    <w:rsid w:val="00AA3071"/>
    <w:rsid w:val="00AA3EAA"/>
    <w:rsid w:val="00AB0646"/>
    <w:rsid w:val="00AB5652"/>
    <w:rsid w:val="00AC0897"/>
    <w:rsid w:val="00AC36A9"/>
    <w:rsid w:val="00AD2324"/>
    <w:rsid w:val="00AE1D2C"/>
    <w:rsid w:val="00AE625F"/>
    <w:rsid w:val="00B04749"/>
    <w:rsid w:val="00B1026B"/>
    <w:rsid w:val="00B176A8"/>
    <w:rsid w:val="00B24D0B"/>
    <w:rsid w:val="00B26944"/>
    <w:rsid w:val="00B32F5D"/>
    <w:rsid w:val="00B33255"/>
    <w:rsid w:val="00B36EA3"/>
    <w:rsid w:val="00B41980"/>
    <w:rsid w:val="00B44ED6"/>
    <w:rsid w:val="00B45336"/>
    <w:rsid w:val="00B66B5E"/>
    <w:rsid w:val="00B70BB0"/>
    <w:rsid w:val="00B72576"/>
    <w:rsid w:val="00B7489A"/>
    <w:rsid w:val="00B77326"/>
    <w:rsid w:val="00B8171C"/>
    <w:rsid w:val="00B87419"/>
    <w:rsid w:val="00B95A3B"/>
    <w:rsid w:val="00BA4BFF"/>
    <w:rsid w:val="00BA4E07"/>
    <w:rsid w:val="00BB0798"/>
    <w:rsid w:val="00BC3552"/>
    <w:rsid w:val="00BC49B4"/>
    <w:rsid w:val="00BC49C2"/>
    <w:rsid w:val="00BD26D6"/>
    <w:rsid w:val="00BD52B4"/>
    <w:rsid w:val="00BD7AE5"/>
    <w:rsid w:val="00BF0C20"/>
    <w:rsid w:val="00BF2E07"/>
    <w:rsid w:val="00BF521A"/>
    <w:rsid w:val="00C02988"/>
    <w:rsid w:val="00C02F18"/>
    <w:rsid w:val="00C12C9F"/>
    <w:rsid w:val="00C133B2"/>
    <w:rsid w:val="00C169FC"/>
    <w:rsid w:val="00C26F5B"/>
    <w:rsid w:val="00C279C7"/>
    <w:rsid w:val="00C30421"/>
    <w:rsid w:val="00C415F0"/>
    <w:rsid w:val="00C43AC4"/>
    <w:rsid w:val="00C5253B"/>
    <w:rsid w:val="00C544BC"/>
    <w:rsid w:val="00C56A0A"/>
    <w:rsid w:val="00C730A7"/>
    <w:rsid w:val="00C80943"/>
    <w:rsid w:val="00C85E99"/>
    <w:rsid w:val="00C873FE"/>
    <w:rsid w:val="00C94361"/>
    <w:rsid w:val="00C955A7"/>
    <w:rsid w:val="00C95E79"/>
    <w:rsid w:val="00CA6759"/>
    <w:rsid w:val="00CB4400"/>
    <w:rsid w:val="00CB5FD9"/>
    <w:rsid w:val="00CB7AF4"/>
    <w:rsid w:val="00CC001E"/>
    <w:rsid w:val="00CC510D"/>
    <w:rsid w:val="00CD0326"/>
    <w:rsid w:val="00CD0F7B"/>
    <w:rsid w:val="00CE070F"/>
    <w:rsid w:val="00CE2987"/>
    <w:rsid w:val="00D07778"/>
    <w:rsid w:val="00D12B85"/>
    <w:rsid w:val="00D166E7"/>
    <w:rsid w:val="00D245BB"/>
    <w:rsid w:val="00D263C1"/>
    <w:rsid w:val="00D32D0A"/>
    <w:rsid w:val="00D4170B"/>
    <w:rsid w:val="00D54460"/>
    <w:rsid w:val="00D54A9B"/>
    <w:rsid w:val="00D55E27"/>
    <w:rsid w:val="00D6312A"/>
    <w:rsid w:val="00D714CC"/>
    <w:rsid w:val="00D72B63"/>
    <w:rsid w:val="00D73895"/>
    <w:rsid w:val="00D75669"/>
    <w:rsid w:val="00D756DC"/>
    <w:rsid w:val="00D80316"/>
    <w:rsid w:val="00D872F4"/>
    <w:rsid w:val="00D87671"/>
    <w:rsid w:val="00DA0060"/>
    <w:rsid w:val="00DA5827"/>
    <w:rsid w:val="00DB486D"/>
    <w:rsid w:val="00DB7BB3"/>
    <w:rsid w:val="00DC0CAB"/>
    <w:rsid w:val="00DC22A4"/>
    <w:rsid w:val="00DC37A8"/>
    <w:rsid w:val="00DD3F93"/>
    <w:rsid w:val="00DD4C31"/>
    <w:rsid w:val="00DF283A"/>
    <w:rsid w:val="00E0282B"/>
    <w:rsid w:val="00E2084D"/>
    <w:rsid w:val="00E24D71"/>
    <w:rsid w:val="00E32792"/>
    <w:rsid w:val="00E3629D"/>
    <w:rsid w:val="00E40DE3"/>
    <w:rsid w:val="00E50764"/>
    <w:rsid w:val="00E5077A"/>
    <w:rsid w:val="00E53147"/>
    <w:rsid w:val="00E53A72"/>
    <w:rsid w:val="00E559EB"/>
    <w:rsid w:val="00E71CB2"/>
    <w:rsid w:val="00E73D0C"/>
    <w:rsid w:val="00E80CB0"/>
    <w:rsid w:val="00E82147"/>
    <w:rsid w:val="00E8360B"/>
    <w:rsid w:val="00E9319A"/>
    <w:rsid w:val="00EA32BB"/>
    <w:rsid w:val="00EA5760"/>
    <w:rsid w:val="00EA7B70"/>
    <w:rsid w:val="00EB02FD"/>
    <w:rsid w:val="00EB0408"/>
    <w:rsid w:val="00EB51AF"/>
    <w:rsid w:val="00EB66A2"/>
    <w:rsid w:val="00ED46CD"/>
    <w:rsid w:val="00EF2C08"/>
    <w:rsid w:val="00EF4A4E"/>
    <w:rsid w:val="00F03F4A"/>
    <w:rsid w:val="00F06D45"/>
    <w:rsid w:val="00F204B5"/>
    <w:rsid w:val="00F267DD"/>
    <w:rsid w:val="00F26B0D"/>
    <w:rsid w:val="00F27220"/>
    <w:rsid w:val="00F307AB"/>
    <w:rsid w:val="00F329E0"/>
    <w:rsid w:val="00F4305E"/>
    <w:rsid w:val="00F4671A"/>
    <w:rsid w:val="00F51CE8"/>
    <w:rsid w:val="00F5228E"/>
    <w:rsid w:val="00F526CA"/>
    <w:rsid w:val="00F546F7"/>
    <w:rsid w:val="00F604CA"/>
    <w:rsid w:val="00F61AA2"/>
    <w:rsid w:val="00F64847"/>
    <w:rsid w:val="00F74953"/>
    <w:rsid w:val="00F806B4"/>
    <w:rsid w:val="00F941F5"/>
    <w:rsid w:val="00FA40BB"/>
    <w:rsid w:val="00FA5AA2"/>
    <w:rsid w:val="00FA5F01"/>
    <w:rsid w:val="00FB03E7"/>
    <w:rsid w:val="00FB5FED"/>
    <w:rsid w:val="00FB77D4"/>
    <w:rsid w:val="00FC0671"/>
    <w:rsid w:val="00FE3B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C19B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53B"/>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9726AC"/>
    <w:pPr>
      <w:keepNext/>
      <w:keepLines/>
      <w:spacing w:before="240"/>
      <w:jc w:val="both"/>
      <w:outlineLvl w:val="0"/>
    </w:pPr>
    <w:rPr>
      <w:rFonts w:eastAsiaTheme="majorEastAsia" w:cstheme="majorBidi"/>
      <w:b/>
      <w:color w:val="000000" w:themeColor="text1"/>
      <w:sz w:val="28"/>
      <w:szCs w:val="32"/>
      <w:lang w:val="de-DE" w:eastAsia="en-US"/>
    </w:rPr>
  </w:style>
  <w:style w:type="paragraph" w:styleId="Heading2">
    <w:name w:val="heading 2"/>
    <w:basedOn w:val="Normal"/>
    <w:next w:val="Normal"/>
    <w:link w:val="Heading2Char"/>
    <w:uiPriority w:val="9"/>
    <w:unhideWhenUsed/>
    <w:qFormat/>
    <w:rsid w:val="00F51CE8"/>
    <w:pPr>
      <w:jc w:val="both"/>
      <w:outlineLvl w:val="1"/>
    </w:pPr>
    <w:rPr>
      <w:b/>
    </w:rPr>
  </w:style>
  <w:style w:type="paragraph" w:styleId="Heading3">
    <w:name w:val="heading 3"/>
    <w:basedOn w:val="Normal"/>
    <w:next w:val="Normal"/>
    <w:link w:val="Heading3Char"/>
    <w:uiPriority w:val="9"/>
    <w:unhideWhenUsed/>
    <w:qFormat/>
    <w:rsid w:val="009D1C51"/>
    <w:pPr>
      <w:keepNext/>
      <w:keepLines/>
      <w:spacing w:before="40"/>
      <w:jc w:val="both"/>
      <w:outlineLvl w:val="2"/>
    </w:pPr>
    <w:rPr>
      <w:rFonts w:asciiTheme="majorHAnsi" w:eastAsiaTheme="majorEastAsia" w:hAnsiTheme="majorHAnsi" w:cstheme="majorBidi"/>
      <w:color w:val="1F3763" w:themeColor="accent1" w:themeShade="7F"/>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0413"/>
    <w:pPr>
      <w:tabs>
        <w:tab w:val="center" w:pos="4536"/>
        <w:tab w:val="right" w:pos="9072"/>
      </w:tabs>
      <w:jc w:val="both"/>
    </w:pPr>
    <w:rPr>
      <w:rFonts w:asciiTheme="minorHAnsi" w:eastAsiaTheme="minorHAnsi" w:hAnsiTheme="minorHAnsi" w:cstheme="minorBidi"/>
      <w:lang w:val="de-DE" w:eastAsia="en-US"/>
    </w:rPr>
  </w:style>
  <w:style w:type="character" w:customStyle="1" w:styleId="HeaderChar">
    <w:name w:val="Header Char"/>
    <w:basedOn w:val="DefaultParagraphFont"/>
    <w:link w:val="Header"/>
    <w:uiPriority w:val="99"/>
    <w:rsid w:val="004D0413"/>
  </w:style>
  <w:style w:type="paragraph" w:styleId="Footer">
    <w:name w:val="footer"/>
    <w:basedOn w:val="Normal"/>
    <w:link w:val="FooterChar"/>
    <w:uiPriority w:val="99"/>
    <w:unhideWhenUsed/>
    <w:rsid w:val="004D0413"/>
    <w:pPr>
      <w:tabs>
        <w:tab w:val="center" w:pos="4536"/>
        <w:tab w:val="right" w:pos="9072"/>
      </w:tabs>
      <w:jc w:val="both"/>
    </w:pPr>
    <w:rPr>
      <w:rFonts w:asciiTheme="minorHAnsi" w:eastAsiaTheme="minorHAnsi" w:hAnsiTheme="minorHAnsi" w:cstheme="minorBidi"/>
      <w:lang w:val="de-DE" w:eastAsia="en-US"/>
    </w:rPr>
  </w:style>
  <w:style w:type="character" w:customStyle="1" w:styleId="FooterChar">
    <w:name w:val="Footer Char"/>
    <w:basedOn w:val="DefaultParagraphFont"/>
    <w:link w:val="Footer"/>
    <w:uiPriority w:val="99"/>
    <w:rsid w:val="004D0413"/>
  </w:style>
  <w:style w:type="table" w:styleId="TableGrid">
    <w:name w:val="Table Grid"/>
    <w:basedOn w:val="TableNormal"/>
    <w:uiPriority w:val="39"/>
    <w:rsid w:val="00830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726AC"/>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F51CE8"/>
    <w:rPr>
      <w:rFonts w:ascii="Times New Roman" w:eastAsia="Times New Roman" w:hAnsi="Times New Roman" w:cs="Times New Roman"/>
      <w:b/>
      <w:lang w:val="en-GB" w:eastAsia="en-GB"/>
    </w:rPr>
  </w:style>
  <w:style w:type="character" w:styleId="PageNumber">
    <w:name w:val="page number"/>
    <w:basedOn w:val="DefaultParagraphFont"/>
    <w:uiPriority w:val="99"/>
    <w:semiHidden/>
    <w:unhideWhenUsed/>
    <w:rsid w:val="009726AC"/>
  </w:style>
  <w:style w:type="paragraph" w:styleId="TOC1">
    <w:name w:val="toc 1"/>
    <w:basedOn w:val="Normal"/>
    <w:next w:val="Normal"/>
    <w:autoRedefine/>
    <w:uiPriority w:val="39"/>
    <w:unhideWhenUsed/>
    <w:rsid w:val="00830597"/>
    <w:pPr>
      <w:spacing w:before="120"/>
      <w:jc w:val="both"/>
    </w:pPr>
    <w:rPr>
      <w:rFonts w:eastAsiaTheme="minorHAnsi" w:cstheme="minorBidi"/>
      <w:b/>
      <w:bCs/>
      <w:lang w:val="de-DE" w:eastAsia="en-US"/>
    </w:rPr>
  </w:style>
  <w:style w:type="paragraph" w:styleId="TOC2">
    <w:name w:val="toc 2"/>
    <w:basedOn w:val="Normal"/>
    <w:next w:val="Normal"/>
    <w:autoRedefine/>
    <w:uiPriority w:val="39"/>
    <w:unhideWhenUsed/>
    <w:rsid w:val="00830597"/>
    <w:pPr>
      <w:ind w:left="240"/>
      <w:jc w:val="both"/>
    </w:pPr>
    <w:rPr>
      <w:rFonts w:eastAsiaTheme="minorHAnsi" w:cstheme="minorBidi"/>
      <w:bCs/>
      <w:sz w:val="22"/>
      <w:szCs w:val="22"/>
      <w:lang w:val="de-DE" w:eastAsia="en-US"/>
    </w:rPr>
  </w:style>
  <w:style w:type="paragraph" w:styleId="TOC3">
    <w:name w:val="toc 3"/>
    <w:basedOn w:val="Normal"/>
    <w:next w:val="Normal"/>
    <w:autoRedefine/>
    <w:uiPriority w:val="39"/>
    <w:unhideWhenUsed/>
    <w:rsid w:val="003B73CD"/>
    <w:pPr>
      <w:ind w:left="480"/>
      <w:jc w:val="both"/>
    </w:pPr>
    <w:rPr>
      <w:rFonts w:asciiTheme="minorHAnsi" w:eastAsiaTheme="minorHAnsi" w:hAnsiTheme="minorHAnsi" w:cstheme="minorBidi"/>
      <w:sz w:val="22"/>
      <w:szCs w:val="22"/>
      <w:lang w:val="de-DE" w:eastAsia="en-US"/>
    </w:rPr>
  </w:style>
  <w:style w:type="paragraph" w:styleId="TOC4">
    <w:name w:val="toc 4"/>
    <w:basedOn w:val="Normal"/>
    <w:next w:val="Normal"/>
    <w:autoRedefine/>
    <w:uiPriority w:val="39"/>
    <w:unhideWhenUsed/>
    <w:rsid w:val="003B73CD"/>
    <w:pPr>
      <w:ind w:left="720"/>
      <w:jc w:val="both"/>
    </w:pPr>
    <w:rPr>
      <w:rFonts w:asciiTheme="minorHAnsi" w:eastAsiaTheme="minorHAnsi" w:hAnsiTheme="minorHAnsi" w:cstheme="minorBidi"/>
      <w:sz w:val="20"/>
      <w:szCs w:val="20"/>
      <w:lang w:val="de-DE" w:eastAsia="en-US"/>
    </w:rPr>
  </w:style>
  <w:style w:type="paragraph" w:styleId="TOC5">
    <w:name w:val="toc 5"/>
    <w:basedOn w:val="Normal"/>
    <w:next w:val="Normal"/>
    <w:autoRedefine/>
    <w:uiPriority w:val="39"/>
    <w:unhideWhenUsed/>
    <w:rsid w:val="003B73CD"/>
    <w:pPr>
      <w:ind w:left="960"/>
      <w:jc w:val="both"/>
    </w:pPr>
    <w:rPr>
      <w:rFonts w:asciiTheme="minorHAnsi" w:eastAsiaTheme="minorHAnsi" w:hAnsiTheme="minorHAnsi" w:cstheme="minorBidi"/>
      <w:sz w:val="20"/>
      <w:szCs w:val="20"/>
      <w:lang w:val="de-DE" w:eastAsia="en-US"/>
    </w:rPr>
  </w:style>
  <w:style w:type="paragraph" w:styleId="TOC6">
    <w:name w:val="toc 6"/>
    <w:basedOn w:val="Normal"/>
    <w:next w:val="Normal"/>
    <w:autoRedefine/>
    <w:uiPriority w:val="39"/>
    <w:unhideWhenUsed/>
    <w:rsid w:val="003B73CD"/>
    <w:pPr>
      <w:ind w:left="1200"/>
      <w:jc w:val="both"/>
    </w:pPr>
    <w:rPr>
      <w:rFonts w:asciiTheme="minorHAnsi" w:eastAsiaTheme="minorHAnsi" w:hAnsiTheme="minorHAnsi" w:cstheme="minorBidi"/>
      <w:sz w:val="20"/>
      <w:szCs w:val="20"/>
      <w:lang w:val="de-DE" w:eastAsia="en-US"/>
    </w:rPr>
  </w:style>
  <w:style w:type="paragraph" w:styleId="TOC7">
    <w:name w:val="toc 7"/>
    <w:basedOn w:val="Normal"/>
    <w:next w:val="Normal"/>
    <w:autoRedefine/>
    <w:uiPriority w:val="39"/>
    <w:unhideWhenUsed/>
    <w:rsid w:val="003B73CD"/>
    <w:pPr>
      <w:ind w:left="1440"/>
      <w:jc w:val="both"/>
    </w:pPr>
    <w:rPr>
      <w:rFonts w:asciiTheme="minorHAnsi" w:eastAsiaTheme="minorHAnsi" w:hAnsiTheme="minorHAnsi" w:cstheme="minorBidi"/>
      <w:sz w:val="20"/>
      <w:szCs w:val="20"/>
      <w:lang w:val="de-DE" w:eastAsia="en-US"/>
    </w:rPr>
  </w:style>
  <w:style w:type="paragraph" w:styleId="TOC8">
    <w:name w:val="toc 8"/>
    <w:basedOn w:val="Normal"/>
    <w:next w:val="Normal"/>
    <w:autoRedefine/>
    <w:uiPriority w:val="39"/>
    <w:unhideWhenUsed/>
    <w:rsid w:val="003B73CD"/>
    <w:pPr>
      <w:ind w:left="1680"/>
      <w:jc w:val="both"/>
    </w:pPr>
    <w:rPr>
      <w:rFonts w:asciiTheme="minorHAnsi" w:eastAsiaTheme="minorHAnsi" w:hAnsiTheme="minorHAnsi" w:cstheme="minorBidi"/>
      <w:sz w:val="20"/>
      <w:szCs w:val="20"/>
      <w:lang w:val="de-DE" w:eastAsia="en-US"/>
    </w:rPr>
  </w:style>
  <w:style w:type="paragraph" w:styleId="TOC9">
    <w:name w:val="toc 9"/>
    <w:basedOn w:val="Normal"/>
    <w:next w:val="Normal"/>
    <w:autoRedefine/>
    <w:uiPriority w:val="39"/>
    <w:unhideWhenUsed/>
    <w:rsid w:val="003B73CD"/>
    <w:pPr>
      <w:ind w:left="1920"/>
      <w:jc w:val="both"/>
    </w:pPr>
    <w:rPr>
      <w:rFonts w:asciiTheme="minorHAnsi" w:eastAsiaTheme="minorHAnsi" w:hAnsiTheme="minorHAnsi" w:cstheme="minorBidi"/>
      <w:sz w:val="20"/>
      <w:szCs w:val="20"/>
      <w:lang w:val="de-DE" w:eastAsia="en-US"/>
    </w:rPr>
  </w:style>
  <w:style w:type="character" w:styleId="Hyperlink">
    <w:name w:val="Hyperlink"/>
    <w:basedOn w:val="DefaultParagraphFont"/>
    <w:uiPriority w:val="99"/>
    <w:unhideWhenUsed/>
    <w:rsid w:val="003B73CD"/>
    <w:rPr>
      <w:color w:val="0563C1" w:themeColor="hyperlink"/>
      <w:u w:val="single"/>
    </w:rPr>
  </w:style>
  <w:style w:type="character" w:styleId="CommentReference">
    <w:name w:val="annotation reference"/>
    <w:basedOn w:val="DefaultParagraphFont"/>
    <w:uiPriority w:val="99"/>
    <w:semiHidden/>
    <w:unhideWhenUsed/>
    <w:rsid w:val="000B433B"/>
    <w:rPr>
      <w:sz w:val="16"/>
      <w:szCs w:val="16"/>
    </w:rPr>
  </w:style>
  <w:style w:type="paragraph" w:styleId="CommentText">
    <w:name w:val="annotation text"/>
    <w:basedOn w:val="Normal"/>
    <w:link w:val="CommentTextChar"/>
    <w:uiPriority w:val="99"/>
    <w:unhideWhenUsed/>
    <w:rsid w:val="000B433B"/>
    <w:pPr>
      <w:jc w:val="both"/>
    </w:pPr>
    <w:rPr>
      <w:rFonts w:asciiTheme="minorHAnsi" w:eastAsiaTheme="minorHAnsi" w:hAnsiTheme="minorHAnsi" w:cstheme="minorBidi"/>
      <w:sz w:val="20"/>
      <w:szCs w:val="20"/>
      <w:lang w:val="de-DE" w:eastAsia="en-US"/>
    </w:rPr>
  </w:style>
  <w:style w:type="character" w:customStyle="1" w:styleId="CommentTextChar">
    <w:name w:val="Comment Text Char"/>
    <w:basedOn w:val="DefaultParagraphFont"/>
    <w:link w:val="CommentText"/>
    <w:uiPriority w:val="99"/>
    <w:rsid w:val="000B433B"/>
    <w:rPr>
      <w:sz w:val="20"/>
      <w:szCs w:val="20"/>
    </w:rPr>
  </w:style>
  <w:style w:type="paragraph" w:styleId="CommentSubject">
    <w:name w:val="annotation subject"/>
    <w:basedOn w:val="CommentText"/>
    <w:next w:val="CommentText"/>
    <w:link w:val="CommentSubjectChar"/>
    <w:uiPriority w:val="99"/>
    <w:semiHidden/>
    <w:unhideWhenUsed/>
    <w:rsid w:val="000B433B"/>
    <w:rPr>
      <w:b/>
      <w:bCs/>
    </w:rPr>
  </w:style>
  <w:style w:type="character" w:customStyle="1" w:styleId="CommentSubjectChar">
    <w:name w:val="Comment Subject Char"/>
    <w:basedOn w:val="CommentTextChar"/>
    <w:link w:val="CommentSubject"/>
    <w:uiPriority w:val="99"/>
    <w:semiHidden/>
    <w:rsid w:val="000B433B"/>
    <w:rPr>
      <w:b/>
      <w:bCs/>
      <w:sz w:val="20"/>
      <w:szCs w:val="20"/>
    </w:rPr>
  </w:style>
  <w:style w:type="paragraph" w:styleId="BalloonText">
    <w:name w:val="Balloon Text"/>
    <w:basedOn w:val="Normal"/>
    <w:link w:val="BalloonTextChar"/>
    <w:uiPriority w:val="99"/>
    <w:semiHidden/>
    <w:unhideWhenUsed/>
    <w:rsid w:val="000B433B"/>
    <w:pPr>
      <w:jc w:val="both"/>
    </w:pPr>
    <w:rPr>
      <w:rFonts w:ascii="Segoe UI" w:eastAsiaTheme="minorHAnsi" w:hAnsi="Segoe UI" w:cs="Segoe UI"/>
      <w:sz w:val="18"/>
      <w:szCs w:val="18"/>
      <w:lang w:val="de-DE" w:eastAsia="en-US"/>
    </w:rPr>
  </w:style>
  <w:style w:type="character" w:customStyle="1" w:styleId="BalloonTextChar">
    <w:name w:val="Balloon Text Char"/>
    <w:basedOn w:val="DefaultParagraphFont"/>
    <w:link w:val="BalloonText"/>
    <w:uiPriority w:val="99"/>
    <w:semiHidden/>
    <w:rsid w:val="000B433B"/>
    <w:rPr>
      <w:rFonts w:ascii="Segoe UI" w:hAnsi="Segoe UI" w:cs="Segoe UI"/>
      <w:sz w:val="18"/>
      <w:szCs w:val="18"/>
    </w:rPr>
  </w:style>
  <w:style w:type="paragraph" w:styleId="TOCHeading">
    <w:name w:val="TOC Heading"/>
    <w:basedOn w:val="Heading1"/>
    <w:next w:val="Normal"/>
    <w:uiPriority w:val="39"/>
    <w:unhideWhenUsed/>
    <w:qFormat/>
    <w:rsid w:val="00830597"/>
    <w:pPr>
      <w:spacing w:line="259" w:lineRule="auto"/>
      <w:outlineLvl w:val="9"/>
    </w:pPr>
    <w:rPr>
      <w:rFonts w:asciiTheme="majorHAnsi" w:hAnsiTheme="majorHAnsi"/>
      <w:b w:val="0"/>
      <w:color w:val="2F5496" w:themeColor="accent1" w:themeShade="BF"/>
      <w:sz w:val="32"/>
      <w:lang w:val="de-CH" w:eastAsia="de-CH"/>
    </w:rPr>
  </w:style>
  <w:style w:type="paragraph" w:styleId="Index1">
    <w:name w:val="index 1"/>
    <w:basedOn w:val="Normal"/>
    <w:next w:val="Normal"/>
    <w:autoRedefine/>
    <w:uiPriority w:val="99"/>
    <w:semiHidden/>
    <w:unhideWhenUsed/>
    <w:rsid w:val="00830597"/>
    <w:pPr>
      <w:ind w:left="240" w:hanging="240"/>
      <w:jc w:val="both"/>
    </w:pPr>
    <w:rPr>
      <w:rFonts w:asciiTheme="minorHAnsi" w:eastAsiaTheme="minorHAnsi" w:hAnsiTheme="minorHAnsi" w:cstheme="minorBidi"/>
      <w:lang w:val="de-DE" w:eastAsia="en-US"/>
    </w:rPr>
  </w:style>
  <w:style w:type="paragraph" w:styleId="ListParagraph">
    <w:name w:val="List Paragraph"/>
    <w:basedOn w:val="Normal"/>
    <w:uiPriority w:val="34"/>
    <w:qFormat/>
    <w:rsid w:val="009D233D"/>
    <w:pPr>
      <w:ind w:left="720"/>
      <w:jc w:val="both"/>
    </w:pPr>
    <w:rPr>
      <w:rFonts w:ascii="Calibri" w:eastAsiaTheme="minorHAnsi" w:hAnsi="Calibri" w:cs="Calibri"/>
      <w:sz w:val="22"/>
      <w:szCs w:val="22"/>
      <w:lang w:val="de-CH" w:eastAsia="en-US"/>
    </w:rPr>
  </w:style>
  <w:style w:type="character" w:styleId="Strong">
    <w:name w:val="Strong"/>
    <w:basedOn w:val="DefaultParagraphFont"/>
    <w:uiPriority w:val="22"/>
    <w:qFormat/>
    <w:rsid w:val="0074237F"/>
    <w:rPr>
      <w:b/>
      <w:bCs/>
    </w:rPr>
  </w:style>
  <w:style w:type="paragraph" w:styleId="Revision">
    <w:name w:val="Revision"/>
    <w:hidden/>
    <w:uiPriority w:val="99"/>
    <w:semiHidden/>
    <w:rsid w:val="0074237F"/>
  </w:style>
  <w:style w:type="character" w:styleId="UnresolvedMention">
    <w:name w:val="Unresolved Mention"/>
    <w:basedOn w:val="DefaultParagraphFont"/>
    <w:uiPriority w:val="99"/>
    <w:semiHidden/>
    <w:unhideWhenUsed/>
    <w:rsid w:val="008A7536"/>
    <w:rPr>
      <w:color w:val="605E5C"/>
      <w:shd w:val="clear" w:color="auto" w:fill="E1DFDD"/>
    </w:rPr>
  </w:style>
  <w:style w:type="character" w:customStyle="1" w:styleId="Heading3Char">
    <w:name w:val="Heading 3 Char"/>
    <w:basedOn w:val="DefaultParagraphFont"/>
    <w:link w:val="Heading3"/>
    <w:uiPriority w:val="9"/>
    <w:rsid w:val="009D1C51"/>
    <w:rPr>
      <w:rFonts w:asciiTheme="majorHAnsi" w:eastAsiaTheme="majorEastAsia" w:hAnsiTheme="majorHAnsi" w:cstheme="majorBidi"/>
      <w:color w:val="1F3763" w:themeColor="accent1" w:themeShade="7F"/>
    </w:rPr>
  </w:style>
  <w:style w:type="paragraph" w:styleId="NoSpacing">
    <w:name w:val="No Spacing"/>
    <w:uiPriority w:val="1"/>
    <w:qFormat/>
    <w:rsid w:val="00896AB0"/>
    <w:pPr>
      <w:jc w:val="both"/>
    </w:pPr>
    <w:rPr>
      <w:rFonts w:ascii="Times New Roman" w:hAnsi="Times New Roman"/>
    </w:rPr>
  </w:style>
  <w:style w:type="character" w:styleId="FollowedHyperlink">
    <w:name w:val="FollowedHyperlink"/>
    <w:basedOn w:val="DefaultParagraphFont"/>
    <w:uiPriority w:val="99"/>
    <w:semiHidden/>
    <w:unhideWhenUsed/>
    <w:rsid w:val="009E686D"/>
    <w:rPr>
      <w:color w:val="954F72" w:themeColor="followedHyperlink"/>
      <w:u w:val="single"/>
    </w:rPr>
  </w:style>
  <w:style w:type="character" w:styleId="PlaceholderText">
    <w:name w:val="Placeholder Text"/>
    <w:basedOn w:val="DefaultParagraphFont"/>
    <w:uiPriority w:val="99"/>
    <w:semiHidden/>
    <w:rsid w:val="00015B86"/>
    <w:rPr>
      <w:color w:val="808080"/>
    </w:rPr>
  </w:style>
  <w:style w:type="paragraph" w:styleId="Caption">
    <w:name w:val="caption"/>
    <w:basedOn w:val="Normal"/>
    <w:next w:val="Normal"/>
    <w:uiPriority w:val="35"/>
    <w:unhideWhenUsed/>
    <w:qFormat/>
    <w:rsid w:val="005A0CA1"/>
    <w:pPr>
      <w:spacing w:after="200"/>
      <w:jc w:val="both"/>
    </w:pPr>
    <w:rPr>
      <w:rFonts w:asciiTheme="minorHAnsi" w:eastAsiaTheme="minorHAnsi" w:hAnsiTheme="minorHAnsi" w:cstheme="minorBidi"/>
      <w:i/>
      <w:iCs/>
      <w:color w:val="44546A" w:themeColor="text2"/>
      <w:sz w:val="18"/>
      <w:szCs w:val="18"/>
      <w:lang w:val="de-DE" w:eastAsia="en-US"/>
    </w:rPr>
  </w:style>
  <w:style w:type="paragraph" w:styleId="TableofFigures">
    <w:name w:val="table of figures"/>
    <w:basedOn w:val="Normal"/>
    <w:next w:val="Normal"/>
    <w:uiPriority w:val="99"/>
    <w:unhideWhenUsed/>
    <w:rsid w:val="0060469B"/>
    <w:pPr>
      <w:jc w:val="both"/>
    </w:pPr>
    <w:rPr>
      <w:rFonts w:asciiTheme="minorHAnsi" w:eastAsiaTheme="minorHAnsi" w:hAnsiTheme="minorHAnsi" w:cstheme="minorBidi"/>
      <w:lang w:val="de-DE" w:eastAsia="en-US"/>
    </w:rPr>
  </w:style>
  <w:style w:type="paragraph" w:styleId="NormalWeb">
    <w:name w:val="Normal (Web)"/>
    <w:basedOn w:val="Normal"/>
    <w:uiPriority w:val="99"/>
    <w:unhideWhenUsed/>
    <w:rsid w:val="00337CE0"/>
    <w:pPr>
      <w:spacing w:before="100" w:beforeAutospacing="1" w:after="100" w:afterAutospacing="1"/>
      <w:jc w:val="both"/>
    </w:pPr>
  </w:style>
  <w:style w:type="paragraph" w:styleId="FootnoteText">
    <w:name w:val="footnote text"/>
    <w:basedOn w:val="Normal"/>
    <w:link w:val="FootnoteTextChar"/>
    <w:uiPriority w:val="99"/>
    <w:semiHidden/>
    <w:unhideWhenUsed/>
    <w:rsid w:val="00802A57"/>
    <w:pPr>
      <w:jc w:val="both"/>
    </w:pPr>
    <w:rPr>
      <w:rFonts w:asciiTheme="minorHAnsi" w:eastAsiaTheme="minorHAnsi" w:hAnsiTheme="minorHAnsi" w:cstheme="minorBidi"/>
      <w:sz w:val="20"/>
      <w:szCs w:val="20"/>
      <w:lang w:val="de-DE" w:eastAsia="en-US"/>
    </w:rPr>
  </w:style>
  <w:style w:type="character" w:customStyle="1" w:styleId="FootnoteTextChar">
    <w:name w:val="Footnote Text Char"/>
    <w:basedOn w:val="DefaultParagraphFont"/>
    <w:link w:val="FootnoteText"/>
    <w:uiPriority w:val="99"/>
    <w:semiHidden/>
    <w:rsid w:val="00802A57"/>
    <w:rPr>
      <w:sz w:val="20"/>
      <w:szCs w:val="20"/>
    </w:rPr>
  </w:style>
  <w:style w:type="character" w:styleId="FootnoteReference">
    <w:name w:val="footnote reference"/>
    <w:basedOn w:val="DefaultParagraphFont"/>
    <w:uiPriority w:val="99"/>
    <w:semiHidden/>
    <w:unhideWhenUsed/>
    <w:rsid w:val="00802A57"/>
    <w:rPr>
      <w:vertAlign w:val="superscript"/>
    </w:rPr>
  </w:style>
  <w:style w:type="character" w:customStyle="1" w:styleId="apple-converted-space">
    <w:name w:val="apple-converted-space"/>
    <w:basedOn w:val="DefaultParagraphFont"/>
    <w:rsid w:val="00E83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9008">
      <w:bodyDiv w:val="1"/>
      <w:marLeft w:val="0"/>
      <w:marRight w:val="0"/>
      <w:marTop w:val="0"/>
      <w:marBottom w:val="0"/>
      <w:divBdr>
        <w:top w:val="none" w:sz="0" w:space="0" w:color="auto"/>
        <w:left w:val="none" w:sz="0" w:space="0" w:color="auto"/>
        <w:bottom w:val="none" w:sz="0" w:space="0" w:color="auto"/>
        <w:right w:val="none" w:sz="0" w:space="0" w:color="auto"/>
      </w:divBdr>
    </w:div>
    <w:div w:id="96295690">
      <w:bodyDiv w:val="1"/>
      <w:marLeft w:val="0"/>
      <w:marRight w:val="0"/>
      <w:marTop w:val="0"/>
      <w:marBottom w:val="0"/>
      <w:divBdr>
        <w:top w:val="none" w:sz="0" w:space="0" w:color="auto"/>
        <w:left w:val="none" w:sz="0" w:space="0" w:color="auto"/>
        <w:bottom w:val="none" w:sz="0" w:space="0" w:color="auto"/>
        <w:right w:val="none" w:sz="0" w:space="0" w:color="auto"/>
      </w:divBdr>
      <w:divsChild>
        <w:div w:id="581061684">
          <w:marLeft w:val="0"/>
          <w:marRight w:val="0"/>
          <w:marTop w:val="0"/>
          <w:marBottom w:val="0"/>
          <w:divBdr>
            <w:top w:val="none" w:sz="0" w:space="0" w:color="auto"/>
            <w:left w:val="none" w:sz="0" w:space="0" w:color="auto"/>
            <w:bottom w:val="none" w:sz="0" w:space="0" w:color="auto"/>
            <w:right w:val="none" w:sz="0" w:space="0" w:color="auto"/>
          </w:divBdr>
          <w:divsChild>
            <w:div w:id="42951458">
              <w:marLeft w:val="0"/>
              <w:marRight w:val="0"/>
              <w:marTop w:val="0"/>
              <w:marBottom w:val="0"/>
              <w:divBdr>
                <w:top w:val="none" w:sz="0" w:space="0" w:color="auto"/>
                <w:left w:val="none" w:sz="0" w:space="0" w:color="auto"/>
                <w:bottom w:val="none" w:sz="0" w:space="0" w:color="auto"/>
                <w:right w:val="none" w:sz="0" w:space="0" w:color="auto"/>
              </w:divBdr>
              <w:divsChild>
                <w:div w:id="14639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133">
      <w:bodyDiv w:val="1"/>
      <w:marLeft w:val="0"/>
      <w:marRight w:val="0"/>
      <w:marTop w:val="0"/>
      <w:marBottom w:val="0"/>
      <w:divBdr>
        <w:top w:val="none" w:sz="0" w:space="0" w:color="auto"/>
        <w:left w:val="none" w:sz="0" w:space="0" w:color="auto"/>
        <w:bottom w:val="none" w:sz="0" w:space="0" w:color="auto"/>
        <w:right w:val="none" w:sz="0" w:space="0" w:color="auto"/>
      </w:divBdr>
    </w:div>
    <w:div w:id="172651962">
      <w:bodyDiv w:val="1"/>
      <w:marLeft w:val="0"/>
      <w:marRight w:val="0"/>
      <w:marTop w:val="0"/>
      <w:marBottom w:val="0"/>
      <w:divBdr>
        <w:top w:val="none" w:sz="0" w:space="0" w:color="auto"/>
        <w:left w:val="none" w:sz="0" w:space="0" w:color="auto"/>
        <w:bottom w:val="none" w:sz="0" w:space="0" w:color="auto"/>
        <w:right w:val="none" w:sz="0" w:space="0" w:color="auto"/>
      </w:divBdr>
    </w:div>
    <w:div w:id="194732513">
      <w:bodyDiv w:val="1"/>
      <w:marLeft w:val="0"/>
      <w:marRight w:val="0"/>
      <w:marTop w:val="0"/>
      <w:marBottom w:val="0"/>
      <w:divBdr>
        <w:top w:val="none" w:sz="0" w:space="0" w:color="auto"/>
        <w:left w:val="none" w:sz="0" w:space="0" w:color="auto"/>
        <w:bottom w:val="none" w:sz="0" w:space="0" w:color="auto"/>
        <w:right w:val="none" w:sz="0" w:space="0" w:color="auto"/>
      </w:divBdr>
      <w:divsChild>
        <w:div w:id="927470937">
          <w:marLeft w:val="0"/>
          <w:marRight w:val="0"/>
          <w:marTop w:val="0"/>
          <w:marBottom w:val="0"/>
          <w:divBdr>
            <w:top w:val="none" w:sz="0" w:space="0" w:color="auto"/>
            <w:left w:val="none" w:sz="0" w:space="0" w:color="auto"/>
            <w:bottom w:val="none" w:sz="0" w:space="0" w:color="auto"/>
            <w:right w:val="none" w:sz="0" w:space="0" w:color="auto"/>
          </w:divBdr>
        </w:div>
      </w:divsChild>
    </w:div>
    <w:div w:id="229771262">
      <w:bodyDiv w:val="1"/>
      <w:marLeft w:val="0"/>
      <w:marRight w:val="0"/>
      <w:marTop w:val="0"/>
      <w:marBottom w:val="0"/>
      <w:divBdr>
        <w:top w:val="none" w:sz="0" w:space="0" w:color="auto"/>
        <w:left w:val="none" w:sz="0" w:space="0" w:color="auto"/>
        <w:bottom w:val="none" w:sz="0" w:space="0" w:color="auto"/>
        <w:right w:val="none" w:sz="0" w:space="0" w:color="auto"/>
      </w:divBdr>
    </w:div>
    <w:div w:id="245574166">
      <w:bodyDiv w:val="1"/>
      <w:marLeft w:val="0"/>
      <w:marRight w:val="0"/>
      <w:marTop w:val="0"/>
      <w:marBottom w:val="0"/>
      <w:divBdr>
        <w:top w:val="none" w:sz="0" w:space="0" w:color="auto"/>
        <w:left w:val="none" w:sz="0" w:space="0" w:color="auto"/>
        <w:bottom w:val="none" w:sz="0" w:space="0" w:color="auto"/>
        <w:right w:val="none" w:sz="0" w:space="0" w:color="auto"/>
      </w:divBdr>
      <w:divsChild>
        <w:div w:id="665129625">
          <w:marLeft w:val="0"/>
          <w:marRight w:val="0"/>
          <w:marTop w:val="0"/>
          <w:marBottom w:val="0"/>
          <w:divBdr>
            <w:top w:val="none" w:sz="0" w:space="0" w:color="auto"/>
            <w:left w:val="none" w:sz="0" w:space="0" w:color="auto"/>
            <w:bottom w:val="none" w:sz="0" w:space="0" w:color="auto"/>
            <w:right w:val="none" w:sz="0" w:space="0" w:color="auto"/>
          </w:divBdr>
          <w:divsChild>
            <w:div w:id="251396194">
              <w:marLeft w:val="0"/>
              <w:marRight w:val="0"/>
              <w:marTop w:val="0"/>
              <w:marBottom w:val="0"/>
              <w:divBdr>
                <w:top w:val="none" w:sz="0" w:space="0" w:color="auto"/>
                <w:left w:val="none" w:sz="0" w:space="0" w:color="auto"/>
                <w:bottom w:val="none" w:sz="0" w:space="0" w:color="auto"/>
                <w:right w:val="none" w:sz="0" w:space="0" w:color="auto"/>
              </w:divBdr>
              <w:divsChild>
                <w:div w:id="2125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4559">
      <w:bodyDiv w:val="1"/>
      <w:marLeft w:val="0"/>
      <w:marRight w:val="0"/>
      <w:marTop w:val="0"/>
      <w:marBottom w:val="0"/>
      <w:divBdr>
        <w:top w:val="none" w:sz="0" w:space="0" w:color="auto"/>
        <w:left w:val="none" w:sz="0" w:space="0" w:color="auto"/>
        <w:bottom w:val="none" w:sz="0" w:space="0" w:color="auto"/>
        <w:right w:val="none" w:sz="0" w:space="0" w:color="auto"/>
      </w:divBdr>
    </w:div>
    <w:div w:id="328026881">
      <w:bodyDiv w:val="1"/>
      <w:marLeft w:val="0"/>
      <w:marRight w:val="0"/>
      <w:marTop w:val="0"/>
      <w:marBottom w:val="0"/>
      <w:divBdr>
        <w:top w:val="none" w:sz="0" w:space="0" w:color="auto"/>
        <w:left w:val="none" w:sz="0" w:space="0" w:color="auto"/>
        <w:bottom w:val="none" w:sz="0" w:space="0" w:color="auto"/>
        <w:right w:val="none" w:sz="0" w:space="0" w:color="auto"/>
      </w:divBdr>
    </w:div>
    <w:div w:id="330105065">
      <w:bodyDiv w:val="1"/>
      <w:marLeft w:val="0"/>
      <w:marRight w:val="0"/>
      <w:marTop w:val="0"/>
      <w:marBottom w:val="0"/>
      <w:divBdr>
        <w:top w:val="none" w:sz="0" w:space="0" w:color="auto"/>
        <w:left w:val="none" w:sz="0" w:space="0" w:color="auto"/>
        <w:bottom w:val="none" w:sz="0" w:space="0" w:color="auto"/>
        <w:right w:val="none" w:sz="0" w:space="0" w:color="auto"/>
      </w:divBdr>
      <w:divsChild>
        <w:div w:id="924728788">
          <w:marLeft w:val="0"/>
          <w:marRight w:val="0"/>
          <w:marTop w:val="0"/>
          <w:marBottom w:val="0"/>
          <w:divBdr>
            <w:top w:val="none" w:sz="0" w:space="0" w:color="auto"/>
            <w:left w:val="none" w:sz="0" w:space="0" w:color="auto"/>
            <w:bottom w:val="none" w:sz="0" w:space="0" w:color="auto"/>
            <w:right w:val="none" w:sz="0" w:space="0" w:color="auto"/>
          </w:divBdr>
          <w:divsChild>
            <w:div w:id="477574866">
              <w:marLeft w:val="0"/>
              <w:marRight w:val="0"/>
              <w:marTop w:val="0"/>
              <w:marBottom w:val="0"/>
              <w:divBdr>
                <w:top w:val="none" w:sz="0" w:space="0" w:color="auto"/>
                <w:left w:val="none" w:sz="0" w:space="0" w:color="auto"/>
                <w:bottom w:val="none" w:sz="0" w:space="0" w:color="auto"/>
                <w:right w:val="none" w:sz="0" w:space="0" w:color="auto"/>
              </w:divBdr>
              <w:divsChild>
                <w:div w:id="20608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48233">
      <w:bodyDiv w:val="1"/>
      <w:marLeft w:val="0"/>
      <w:marRight w:val="0"/>
      <w:marTop w:val="0"/>
      <w:marBottom w:val="0"/>
      <w:divBdr>
        <w:top w:val="none" w:sz="0" w:space="0" w:color="auto"/>
        <w:left w:val="none" w:sz="0" w:space="0" w:color="auto"/>
        <w:bottom w:val="none" w:sz="0" w:space="0" w:color="auto"/>
        <w:right w:val="none" w:sz="0" w:space="0" w:color="auto"/>
      </w:divBdr>
    </w:div>
    <w:div w:id="422185860">
      <w:bodyDiv w:val="1"/>
      <w:marLeft w:val="0"/>
      <w:marRight w:val="0"/>
      <w:marTop w:val="0"/>
      <w:marBottom w:val="0"/>
      <w:divBdr>
        <w:top w:val="none" w:sz="0" w:space="0" w:color="auto"/>
        <w:left w:val="none" w:sz="0" w:space="0" w:color="auto"/>
        <w:bottom w:val="none" w:sz="0" w:space="0" w:color="auto"/>
        <w:right w:val="none" w:sz="0" w:space="0" w:color="auto"/>
      </w:divBdr>
      <w:divsChild>
        <w:div w:id="783616185">
          <w:marLeft w:val="0"/>
          <w:marRight w:val="0"/>
          <w:marTop w:val="0"/>
          <w:marBottom w:val="0"/>
          <w:divBdr>
            <w:top w:val="none" w:sz="0" w:space="0" w:color="auto"/>
            <w:left w:val="none" w:sz="0" w:space="0" w:color="auto"/>
            <w:bottom w:val="none" w:sz="0" w:space="0" w:color="auto"/>
            <w:right w:val="none" w:sz="0" w:space="0" w:color="auto"/>
          </w:divBdr>
          <w:divsChild>
            <w:div w:id="1016886958">
              <w:marLeft w:val="0"/>
              <w:marRight w:val="0"/>
              <w:marTop w:val="0"/>
              <w:marBottom w:val="0"/>
              <w:divBdr>
                <w:top w:val="none" w:sz="0" w:space="0" w:color="auto"/>
                <w:left w:val="none" w:sz="0" w:space="0" w:color="auto"/>
                <w:bottom w:val="none" w:sz="0" w:space="0" w:color="auto"/>
                <w:right w:val="none" w:sz="0" w:space="0" w:color="auto"/>
              </w:divBdr>
              <w:divsChild>
                <w:div w:id="84306813">
                  <w:marLeft w:val="0"/>
                  <w:marRight w:val="0"/>
                  <w:marTop w:val="0"/>
                  <w:marBottom w:val="0"/>
                  <w:divBdr>
                    <w:top w:val="none" w:sz="0" w:space="0" w:color="auto"/>
                    <w:left w:val="none" w:sz="0" w:space="0" w:color="auto"/>
                    <w:bottom w:val="none" w:sz="0" w:space="0" w:color="auto"/>
                    <w:right w:val="none" w:sz="0" w:space="0" w:color="auto"/>
                  </w:divBdr>
                  <w:divsChild>
                    <w:div w:id="59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69554">
      <w:bodyDiv w:val="1"/>
      <w:marLeft w:val="0"/>
      <w:marRight w:val="0"/>
      <w:marTop w:val="0"/>
      <w:marBottom w:val="0"/>
      <w:divBdr>
        <w:top w:val="none" w:sz="0" w:space="0" w:color="auto"/>
        <w:left w:val="none" w:sz="0" w:space="0" w:color="auto"/>
        <w:bottom w:val="none" w:sz="0" w:space="0" w:color="auto"/>
        <w:right w:val="none" w:sz="0" w:space="0" w:color="auto"/>
      </w:divBdr>
    </w:div>
    <w:div w:id="447621881">
      <w:bodyDiv w:val="1"/>
      <w:marLeft w:val="0"/>
      <w:marRight w:val="0"/>
      <w:marTop w:val="0"/>
      <w:marBottom w:val="0"/>
      <w:divBdr>
        <w:top w:val="none" w:sz="0" w:space="0" w:color="auto"/>
        <w:left w:val="none" w:sz="0" w:space="0" w:color="auto"/>
        <w:bottom w:val="none" w:sz="0" w:space="0" w:color="auto"/>
        <w:right w:val="none" w:sz="0" w:space="0" w:color="auto"/>
      </w:divBdr>
    </w:div>
    <w:div w:id="465859036">
      <w:bodyDiv w:val="1"/>
      <w:marLeft w:val="0"/>
      <w:marRight w:val="0"/>
      <w:marTop w:val="0"/>
      <w:marBottom w:val="0"/>
      <w:divBdr>
        <w:top w:val="none" w:sz="0" w:space="0" w:color="auto"/>
        <w:left w:val="none" w:sz="0" w:space="0" w:color="auto"/>
        <w:bottom w:val="none" w:sz="0" w:space="0" w:color="auto"/>
        <w:right w:val="none" w:sz="0" w:space="0" w:color="auto"/>
      </w:divBdr>
    </w:div>
    <w:div w:id="481165828">
      <w:bodyDiv w:val="1"/>
      <w:marLeft w:val="0"/>
      <w:marRight w:val="0"/>
      <w:marTop w:val="0"/>
      <w:marBottom w:val="0"/>
      <w:divBdr>
        <w:top w:val="none" w:sz="0" w:space="0" w:color="auto"/>
        <w:left w:val="none" w:sz="0" w:space="0" w:color="auto"/>
        <w:bottom w:val="none" w:sz="0" w:space="0" w:color="auto"/>
        <w:right w:val="none" w:sz="0" w:space="0" w:color="auto"/>
      </w:divBdr>
    </w:div>
    <w:div w:id="547910904">
      <w:bodyDiv w:val="1"/>
      <w:marLeft w:val="0"/>
      <w:marRight w:val="0"/>
      <w:marTop w:val="0"/>
      <w:marBottom w:val="0"/>
      <w:divBdr>
        <w:top w:val="none" w:sz="0" w:space="0" w:color="auto"/>
        <w:left w:val="none" w:sz="0" w:space="0" w:color="auto"/>
        <w:bottom w:val="none" w:sz="0" w:space="0" w:color="auto"/>
        <w:right w:val="none" w:sz="0" w:space="0" w:color="auto"/>
      </w:divBdr>
      <w:divsChild>
        <w:div w:id="200871236">
          <w:marLeft w:val="480"/>
          <w:marRight w:val="0"/>
          <w:marTop w:val="0"/>
          <w:marBottom w:val="0"/>
          <w:divBdr>
            <w:top w:val="none" w:sz="0" w:space="0" w:color="auto"/>
            <w:left w:val="none" w:sz="0" w:space="0" w:color="auto"/>
            <w:bottom w:val="none" w:sz="0" w:space="0" w:color="auto"/>
            <w:right w:val="none" w:sz="0" w:space="0" w:color="auto"/>
          </w:divBdr>
        </w:div>
        <w:div w:id="1987666415">
          <w:marLeft w:val="480"/>
          <w:marRight w:val="0"/>
          <w:marTop w:val="0"/>
          <w:marBottom w:val="0"/>
          <w:divBdr>
            <w:top w:val="none" w:sz="0" w:space="0" w:color="auto"/>
            <w:left w:val="none" w:sz="0" w:space="0" w:color="auto"/>
            <w:bottom w:val="none" w:sz="0" w:space="0" w:color="auto"/>
            <w:right w:val="none" w:sz="0" w:space="0" w:color="auto"/>
          </w:divBdr>
        </w:div>
      </w:divsChild>
    </w:div>
    <w:div w:id="609240065">
      <w:bodyDiv w:val="1"/>
      <w:marLeft w:val="0"/>
      <w:marRight w:val="0"/>
      <w:marTop w:val="0"/>
      <w:marBottom w:val="0"/>
      <w:divBdr>
        <w:top w:val="none" w:sz="0" w:space="0" w:color="auto"/>
        <w:left w:val="none" w:sz="0" w:space="0" w:color="auto"/>
        <w:bottom w:val="none" w:sz="0" w:space="0" w:color="auto"/>
        <w:right w:val="none" w:sz="0" w:space="0" w:color="auto"/>
      </w:divBdr>
    </w:div>
    <w:div w:id="721439138">
      <w:bodyDiv w:val="1"/>
      <w:marLeft w:val="0"/>
      <w:marRight w:val="0"/>
      <w:marTop w:val="0"/>
      <w:marBottom w:val="0"/>
      <w:divBdr>
        <w:top w:val="none" w:sz="0" w:space="0" w:color="auto"/>
        <w:left w:val="none" w:sz="0" w:space="0" w:color="auto"/>
        <w:bottom w:val="none" w:sz="0" w:space="0" w:color="auto"/>
        <w:right w:val="none" w:sz="0" w:space="0" w:color="auto"/>
      </w:divBdr>
      <w:divsChild>
        <w:div w:id="182479891">
          <w:marLeft w:val="0"/>
          <w:marRight w:val="0"/>
          <w:marTop w:val="0"/>
          <w:marBottom w:val="0"/>
          <w:divBdr>
            <w:top w:val="none" w:sz="0" w:space="0" w:color="auto"/>
            <w:left w:val="none" w:sz="0" w:space="0" w:color="auto"/>
            <w:bottom w:val="none" w:sz="0" w:space="0" w:color="auto"/>
            <w:right w:val="none" w:sz="0" w:space="0" w:color="auto"/>
          </w:divBdr>
          <w:divsChild>
            <w:div w:id="891577251">
              <w:marLeft w:val="0"/>
              <w:marRight w:val="0"/>
              <w:marTop w:val="0"/>
              <w:marBottom w:val="0"/>
              <w:divBdr>
                <w:top w:val="none" w:sz="0" w:space="0" w:color="auto"/>
                <w:left w:val="none" w:sz="0" w:space="0" w:color="auto"/>
                <w:bottom w:val="none" w:sz="0" w:space="0" w:color="auto"/>
                <w:right w:val="none" w:sz="0" w:space="0" w:color="auto"/>
              </w:divBdr>
              <w:divsChild>
                <w:div w:id="11904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1477">
      <w:bodyDiv w:val="1"/>
      <w:marLeft w:val="0"/>
      <w:marRight w:val="0"/>
      <w:marTop w:val="0"/>
      <w:marBottom w:val="0"/>
      <w:divBdr>
        <w:top w:val="none" w:sz="0" w:space="0" w:color="auto"/>
        <w:left w:val="none" w:sz="0" w:space="0" w:color="auto"/>
        <w:bottom w:val="none" w:sz="0" w:space="0" w:color="auto"/>
        <w:right w:val="none" w:sz="0" w:space="0" w:color="auto"/>
      </w:divBdr>
      <w:divsChild>
        <w:div w:id="1549219248">
          <w:marLeft w:val="0"/>
          <w:marRight w:val="0"/>
          <w:marTop w:val="0"/>
          <w:marBottom w:val="0"/>
          <w:divBdr>
            <w:top w:val="none" w:sz="0" w:space="0" w:color="auto"/>
            <w:left w:val="none" w:sz="0" w:space="0" w:color="auto"/>
            <w:bottom w:val="none" w:sz="0" w:space="0" w:color="auto"/>
            <w:right w:val="none" w:sz="0" w:space="0" w:color="auto"/>
          </w:divBdr>
          <w:divsChild>
            <w:div w:id="1779762302">
              <w:marLeft w:val="0"/>
              <w:marRight w:val="0"/>
              <w:marTop w:val="0"/>
              <w:marBottom w:val="0"/>
              <w:divBdr>
                <w:top w:val="none" w:sz="0" w:space="0" w:color="auto"/>
                <w:left w:val="none" w:sz="0" w:space="0" w:color="auto"/>
                <w:bottom w:val="none" w:sz="0" w:space="0" w:color="auto"/>
                <w:right w:val="none" w:sz="0" w:space="0" w:color="auto"/>
              </w:divBdr>
              <w:divsChild>
                <w:div w:id="14176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2514">
      <w:bodyDiv w:val="1"/>
      <w:marLeft w:val="0"/>
      <w:marRight w:val="0"/>
      <w:marTop w:val="0"/>
      <w:marBottom w:val="0"/>
      <w:divBdr>
        <w:top w:val="none" w:sz="0" w:space="0" w:color="auto"/>
        <w:left w:val="none" w:sz="0" w:space="0" w:color="auto"/>
        <w:bottom w:val="none" w:sz="0" w:space="0" w:color="auto"/>
        <w:right w:val="none" w:sz="0" w:space="0" w:color="auto"/>
      </w:divBdr>
    </w:div>
    <w:div w:id="892621128">
      <w:bodyDiv w:val="1"/>
      <w:marLeft w:val="0"/>
      <w:marRight w:val="0"/>
      <w:marTop w:val="0"/>
      <w:marBottom w:val="0"/>
      <w:divBdr>
        <w:top w:val="none" w:sz="0" w:space="0" w:color="auto"/>
        <w:left w:val="none" w:sz="0" w:space="0" w:color="auto"/>
        <w:bottom w:val="none" w:sz="0" w:space="0" w:color="auto"/>
        <w:right w:val="none" w:sz="0" w:space="0" w:color="auto"/>
      </w:divBdr>
    </w:div>
    <w:div w:id="896666150">
      <w:bodyDiv w:val="1"/>
      <w:marLeft w:val="0"/>
      <w:marRight w:val="0"/>
      <w:marTop w:val="0"/>
      <w:marBottom w:val="0"/>
      <w:divBdr>
        <w:top w:val="none" w:sz="0" w:space="0" w:color="auto"/>
        <w:left w:val="none" w:sz="0" w:space="0" w:color="auto"/>
        <w:bottom w:val="none" w:sz="0" w:space="0" w:color="auto"/>
        <w:right w:val="none" w:sz="0" w:space="0" w:color="auto"/>
      </w:divBdr>
      <w:divsChild>
        <w:div w:id="2021277185">
          <w:marLeft w:val="0"/>
          <w:marRight w:val="0"/>
          <w:marTop w:val="0"/>
          <w:marBottom w:val="0"/>
          <w:divBdr>
            <w:top w:val="none" w:sz="0" w:space="0" w:color="auto"/>
            <w:left w:val="none" w:sz="0" w:space="0" w:color="auto"/>
            <w:bottom w:val="none" w:sz="0" w:space="0" w:color="auto"/>
            <w:right w:val="none" w:sz="0" w:space="0" w:color="auto"/>
          </w:divBdr>
          <w:divsChild>
            <w:div w:id="1264191782">
              <w:marLeft w:val="0"/>
              <w:marRight w:val="0"/>
              <w:marTop w:val="0"/>
              <w:marBottom w:val="0"/>
              <w:divBdr>
                <w:top w:val="none" w:sz="0" w:space="0" w:color="auto"/>
                <w:left w:val="none" w:sz="0" w:space="0" w:color="auto"/>
                <w:bottom w:val="none" w:sz="0" w:space="0" w:color="auto"/>
                <w:right w:val="none" w:sz="0" w:space="0" w:color="auto"/>
              </w:divBdr>
              <w:divsChild>
                <w:div w:id="4482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02154">
      <w:bodyDiv w:val="1"/>
      <w:marLeft w:val="0"/>
      <w:marRight w:val="0"/>
      <w:marTop w:val="0"/>
      <w:marBottom w:val="0"/>
      <w:divBdr>
        <w:top w:val="none" w:sz="0" w:space="0" w:color="auto"/>
        <w:left w:val="none" w:sz="0" w:space="0" w:color="auto"/>
        <w:bottom w:val="none" w:sz="0" w:space="0" w:color="auto"/>
        <w:right w:val="none" w:sz="0" w:space="0" w:color="auto"/>
      </w:divBdr>
    </w:div>
    <w:div w:id="908030672">
      <w:bodyDiv w:val="1"/>
      <w:marLeft w:val="0"/>
      <w:marRight w:val="0"/>
      <w:marTop w:val="0"/>
      <w:marBottom w:val="0"/>
      <w:divBdr>
        <w:top w:val="none" w:sz="0" w:space="0" w:color="auto"/>
        <w:left w:val="none" w:sz="0" w:space="0" w:color="auto"/>
        <w:bottom w:val="none" w:sz="0" w:space="0" w:color="auto"/>
        <w:right w:val="none" w:sz="0" w:space="0" w:color="auto"/>
      </w:divBdr>
    </w:div>
    <w:div w:id="918904388">
      <w:bodyDiv w:val="1"/>
      <w:marLeft w:val="0"/>
      <w:marRight w:val="0"/>
      <w:marTop w:val="0"/>
      <w:marBottom w:val="0"/>
      <w:divBdr>
        <w:top w:val="none" w:sz="0" w:space="0" w:color="auto"/>
        <w:left w:val="none" w:sz="0" w:space="0" w:color="auto"/>
        <w:bottom w:val="none" w:sz="0" w:space="0" w:color="auto"/>
        <w:right w:val="none" w:sz="0" w:space="0" w:color="auto"/>
      </w:divBdr>
      <w:divsChild>
        <w:div w:id="565459805">
          <w:marLeft w:val="480"/>
          <w:marRight w:val="0"/>
          <w:marTop w:val="0"/>
          <w:marBottom w:val="0"/>
          <w:divBdr>
            <w:top w:val="none" w:sz="0" w:space="0" w:color="auto"/>
            <w:left w:val="none" w:sz="0" w:space="0" w:color="auto"/>
            <w:bottom w:val="none" w:sz="0" w:space="0" w:color="auto"/>
            <w:right w:val="none" w:sz="0" w:space="0" w:color="auto"/>
          </w:divBdr>
        </w:div>
        <w:div w:id="145587180">
          <w:marLeft w:val="480"/>
          <w:marRight w:val="0"/>
          <w:marTop w:val="0"/>
          <w:marBottom w:val="0"/>
          <w:divBdr>
            <w:top w:val="none" w:sz="0" w:space="0" w:color="auto"/>
            <w:left w:val="none" w:sz="0" w:space="0" w:color="auto"/>
            <w:bottom w:val="none" w:sz="0" w:space="0" w:color="auto"/>
            <w:right w:val="none" w:sz="0" w:space="0" w:color="auto"/>
          </w:divBdr>
        </w:div>
      </w:divsChild>
    </w:div>
    <w:div w:id="970862601">
      <w:bodyDiv w:val="1"/>
      <w:marLeft w:val="0"/>
      <w:marRight w:val="0"/>
      <w:marTop w:val="0"/>
      <w:marBottom w:val="0"/>
      <w:divBdr>
        <w:top w:val="none" w:sz="0" w:space="0" w:color="auto"/>
        <w:left w:val="none" w:sz="0" w:space="0" w:color="auto"/>
        <w:bottom w:val="none" w:sz="0" w:space="0" w:color="auto"/>
        <w:right w:val="none" w:sz="0" w:space="0" w:color="auto"/>
      </w:divBdr>
      <w:divsChild>
        <w:div w:id="793448437">
          <w:marLeft w:val="480"/>
          <w:marRight w:val="0"/>
          <w:marTop w:val="0"/>
          <w:marBottom w:val="0"/>
          <w:divBdr>
            <w:top w:val="none" w:sz="0" w:space="0" w:color="auto"/>
            <w:left w:val="none" w:sz="0" w:space="0" w:color="auto"/>
            <w:bottom w:val="none" w:sz="0" w:space="0" w:color="auto"/>
            <w:right w:val="none" w:sz="0" w:space="0" w:color="auto"/>
          </w:divBdr>
        </w:div>
      </w:divsChild>
    </w:div>
    <w:div w:id="998192395">
      <w:bodyDiv w:val="1"/>
      <w:marLeft w:val="0"/>
      <w:marRight w:val="0"/>
      <w:marTop w:val="0"/>
      <w:marBottom w:val="0"/>
      <w:divBdr>
        <w:top w:val="none" w:sz="0" w:space="0" w:color="auto"/>
        <w:left w:val="none" w:sz="0" w:space="0" w:color="auto"/>
        <w:bottom w:val="none" w:sz="0" w:space="0" w:color="auto"/>
        <w:right w:val="none" w:sz="0" w:space="0" w:color="auto"/>
      </w:divBdr>
    </w:div>
    <w:div w:id="1150026065">
      <w:bodyDiv w:val="1"/>
      <w:marLeft w:val="0"/>
      <w:marRight w:val="0"/>
      <w:marTop w:val="0"/>
      <w:marBottom w:val="0"/>
      <w:divBdr>
        <w:top w:val="none" w:sz="0" w:space="0" w:color="auto"/>
        <w:left w:val="none" w:sz="0" w:space="0" w:color="auto"/>
        <w:bottom w:val="none" w:sz="0" w:space="0" w:color="auto"/>
        <w:right w:val="none" w:sz="0" w:space="0" w:color="auto"/>
      </w:divBdr>
      <w:divsChild>
        <w:div w:id="1080562915">
          <w:marLeft w:val="0"/>
          <w:marRight w:val="0"/>
          <w:marTop w:val="0"/>
          <w:marBottom w:val="0"/>
          <w:divBdr>
            <w:top w:val="none" w:sz="0" w:space="0" w:color="auto"/>
            <w:left w:val="none" w:sz="0" w:space="0" w:color="auto"/>
            <w:bottom w:val="none" w:sz="0" w:space="0" w:color="auto"/>
            <w:right w:val="none" w:sz="0" w:space="0" w:color="auto"/>
          </w:divBdr>
          <w:divsChild>
            <w:div w:id="1898583587">
              <w:marLeft w:val="0"/>
              <w:marRight w:val="0"/>
              <w:marTop w:val="0"/>
              <w:marBottom w:val="0"/>
              <w:divBdr>
                <w:top w:val="none" w:sz="0" w:space="0" w:color="auto"/>
                <w:left w:val="none" w:sz="0" w:space="0" w:color="auto"/>
                <w:bottom w:val="none" w:sz="0" w:space="0" w:color="auto"/>
                <w:right w:val="none" w:sz="0" w:space="0" w:color="auto"/>
              </w:divBdr>
              <w:divsChild>
                <w:div w:id="19381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4476">
      <w:bodyDiv w:val="1"/>
      <w:marLeft w:val="0"/>
      <w:marRight w:val="0"/>
      <w:marTop w:val="0"/>
      <w:marBottom w:val="0"/>
      <w:divBdr>
        <w:top w:val="none" w:sz="0" w:space="0" w:color="auto"/>
        <w:left w:val="none" w:sz="0" w:space="0" w:color="auto"/>
        <w:bottom w:val="none" w:sz="0" w:space="0" w:color="auto"/>
        <w:right w:val="none" w:sz="0" w:space="0" w:color="auto"/>
      </w:divBdr>
    </w:div>
    <w:div w:id="1251810109">
      <w:bodyDiv w:val="1"/>
      <w:marLeft w:val="0"/>
      <w:marRight w:val="0"/>
      <w:marTop w:val="0"/>
      <w:marBottom w:val="0"/>
      <w:divBdr>
        <w:top w:val="none" w:sz="0" w:space="0" w:color="auto"/>
        <w:left w:val="none" w:sz="0" w:space="0" w:color="auto"/>
        <w:bottom w:val="none" w:sz="0" w:space="0" w:color="auto"/>
        <w:right w:val="none" w:sz="0" w:space="0" w:color="auto"/>
      </w:divBdr>
    </w:div>
    <w:div w:id="1258293201">
      <w:bodyDiv w:val="1"/>
      <w:marLeft w:val="0"/>
      <w:marRight w:val="0"/>
      <w:marTop w:val="0"/>
      <w:marBottom w:val="0"/>
      <w:divBdr>
        <w:top w:val="none" w:sz="0" w:space="0" w:color="auto"/>
        <w:left w:val="none" w:sz="0" w:space="0" w:color="auto"/>
        <w:bottom w:val="none" w:sz="0" w:space="0" w:color="auto"/>
        <w:right w:val="none" w:sz="0" w:space="0" w:color="auto"/>
      </w:divBdr>
      <w:divsChild>
        <w:div w:id="968051934">
          <w:marLeft w:val="480"/>
          <w:marRight w:val="0"/>
          <w:marTop w:val="0"/>
          <w:marBottom w:val="0"/>
          <w:divBdr>
            <w:top w:val="none" w:sz="0" w:space="0" w:color="auto"/>
            <w:left w:val="none" w:sz="0" w:space="0" w:color="auto"/>
            <w:bottom w:val="none" w:sz="0" w:space="0" w:color="auto"/>
            <w:right w:val="none" w:sz="0" w:space="0" w:color="auto"/>
          </w:divBdr>
        </w:div>
        <w:div w:id="117727808">
          <w:marLeft w:val="480"/>
          <w:marRight w:val="0"/>
          <w:marTop w:val="0"/>
          <w:marBottom w:val="0"/>
          <w:divBdr>
            <w:top w:val="none" w:sz="0" w:space="0" w:color="auto"/>
            <w:left w:val="none" w:sz="0" w:space="0" w:color="auto"/>
            <w:bottom w:val="none" w:sz="0" w:space="0" w:color="auto"/>
            <w:right w:val="none" w:sz="0" w:space="0" w:color="auto"/>
          </w:divBdr>
        </w:div>
      </w:divsChild>
    </w:div>
    <w:div w:id="1282034550">
      <w:bodyDiv w:val="1"/>
      <w:marLeft w:val="0"/>
      <w:marRight w:val="0"/>
      <w:marTop w:val="0"/>
      <w:marBottom w:val="0"/>
      <w:divBdr>
        <w:top w:val="none" w:sz="0" w:space="0" w:color="auto"/>
        <w:left w:val="none" w:sz="0" w:space="0" w:color="auto"/>
        <w:bottom w:val="none" w:sz="0" w:space="0" w:color="auto"/>
        <w:right w:val="none" w:sz="0" w:space="0" w:color="auto"/>
      </w:divBdr>
    </w:div>
    <w:div w:id="1292396084">
      <w:bodyDiv w:val="1"/>
      <w:marLeft w:val="0"/>
      <w:marRight w:val="0"/>
      <w:marTop w:val="0"/>
      <w:marBottom w:val="0"/>
      <w:divBdr>
        <w:top w:val="none" w:sz="0" w:space="0" w:color="auto"/>
        <w:left w:val="none" w:sz="0" w:space="0" w:color="auto"/>
        <w:bottom w:val="none" w:sz="0" w:space="0" w:color="auto"/>
        <w:right w:val="none" w:sz="0" w:space="0" w:color="auto"/>
      </w:divBdr>
      <w:divsChild>
        <w:div w:id="1309431229">
          <w:marLeft w:val="0"/>
          <w:marRight w:val="0"/>
          <w:marTop w:val="0"/>
          <w:marBottom w:val="0"/>
          <w:divBdr>
            <w:top w:val="none" w:sz="0" w:space="0" w:color="auto"/>
            <w:left w:val="none" w:sz="0" w:space="0" w:color="auto"/>
            <w:bottom w:val="none" w:sz="0" w:space="0" w:color="auto"/>
            <w:right w:val="none" w:sz="0" w:space="0" w:color="auto"/>
          </w:divBdr>
          <w:divsChild>
            <w:div w:id="1628000847">
              <w:marLeft w:val="0"/>
              <w:marRight w:val="0"/>
              <w:marTop w:val="0"/>
              <w:marBottom w:val="0"/>
              <w:divBdr>
                <w:top w:val="none" w:sz="0" w:space="0" w:color="auto"/>
                <w:left w:val="none" w:sz="0" w:space="0" w:color="auto"/>
                <w:bottom w:val="none" w:sz="0" w:space="0" w:color="auto"/>
                <w:right w:val="none" w:sz="0" w:space="0" w:color="auto"/>
              </w:divBdr>
              <w:divsChild>
                <w:div w:id="136721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093">
      <w:bodyDiv w:val="1"/>
      <w:marLeft w:val="0"/>
      <w:marRight w:val="0"/>
      <w:marTop w:val="0"/>
      <w:marBottom w:val="0"/>
      <w:divBdr>
        <w:top w:val="none" w:sz="0" w:space="0" w:color="auto"/>
        <w:left w:val="none" w:sz="0" w:space="0" w:color="auto"/>
        <w:bottom w:val="none" w:sz="0" w:space="0" w:color="auto"/>
        <w:right w:val="none" w:sz="0" w:space="0" w:color="auto"/>
      </w:divBdr>
      <w:divsChild>
        <w:div w:id="1490249020">
          <w:marLeft w:val="0"/>
          <w:marRight w:val="0"/>
          <w:marTop w:val="0"/>
          <w:marBottom w:val="0"/>
          <w:divBdr>
            <w:top w:val="none" w:sz="0" w:space="0" w:color="auto"/>
            <w:left w:val="none" w:sz="0" w:space="0" w:color="auto"/>
            <w:bottom w:val="none" w:sz="0" w:space="0" w:color="auto"/>
            <w:right w:val="none" w:sz="0" w:space="0" w:color="auto"/>
          </w:divBdr>
          <w:divsChild>
            <w:div w:id="711737124">
              <w:marLeft w:val="0"/>
              <w:marRight w:val="0"/>
              <w:marTop w:val="0"/>
              <w:marBottom w:val="0"/>
              <w:divBdr>
                <w:top w:val="none" w:sz="0" w:space="0" w:color="auto"/>
                <w:left w:val="none" w:sz="0" w:space="0" w:color="auto"/>
                <w:bottom w:val="none" w:sz="0" w:space="0" w:color="auto"/>
                <w:right w:val="none" w:sz="0" w:space="0" w:color="auto"/>
              </w:divBdr>
              <w:divsChild>
                <w:div w:id="3738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10427">
      <w:bodyDiv w:val="1"/>
      <w:marLeft w:val="0"/>
      <w:marRight w:val="0"/>
      <w:marTop w:val="0"/>
      <w:marBottom w:val="0"/>
      <w:divBdr>
        <w:top w:val="none" w:sz="0" w:space="0" w:color="auto"/>
        <w:left w:val="none" w:sz="0" w:space="0" w:color="auto"/>
        <w:bottom w:val="none" w:sz="0" w:space="0" w:color="auto"/>
        <w:right w:val="none" w:sz="0" w:space="0" w:color="auto"/>
      </w:divBdr>
    </w:div>
    <w:div w:id="1561093357">
      <w:bodyDiv w:val="1"/>
      <w:marLeft w:val="0"/>
      <w:marRight w:val="0"/>
      <w:marTop w:val="0"/>
      <w:marBottom w:val="0"/>
      <w:divBdr>
        <w:top w:val="none" w:sz="0" w:space="0" w:color="auto"/>
        <w:left w:val="none" w:sz="0" w:space="0" w:color="auto"/>
        <w:bottom w:val="none" w:sz="0" w:space="0" w:color="auto"/>
        <w:right w:val="none" w:sz="0" w:space="0" w:color="auto"/>
      </w:divBdr>
      <w:divsChild>
        <w:div w:id="368069519">
          <w:marLeft w:val="0"/>
          <w:marRight w:val="0"/>
          <w:marTop w:val="0"/>
          <w:marBottom w:val="0"/>
          <w:divBdr>
            <w:top w:val="none" w:sz="0" w:space="0" w:color="auto"/>
            <w:left w:val="none" w:sz="0" w:space="0" w:color="auto"/>
            <w:bottom w:val="none" w:sz="0" w:space="0" w:color="auto"/>
            <w:right w:val="none" w:sz="0" w:space="0" w:color="auto"/>
          </w:divBdr>
          <w:divsChild>
            <w:div w:id="1706058916">
              <w:marLeft w:val="0"/>
              <w:marRight w:val="0"/>
              <w:marTop w:val="0"/>
              <w:marBottom w:val="0"/>
              <w:divBdr>
                <w:top w:val="none" w:sz="0" w:space="0" w:color="auto"/>
                <w:left w:val="none" w:sz="0" w:space="0" w:color="auto"/>
                <w:bottom w:val="none" w:sz="0" w:space="0" w:color="auto"/>
                <w:right w:val="none" w:sz="0" w:space="0" w:color="auto"/>
              </w:divBdr>
              <w:divsChild>
                <w:div w:id="17067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5253">
      <w:bodyDiv w:val="1"/>
      <w:marLeft w:val="0"/>
      <w:marRight w:val="0"/>
      <w:marTop w:val="0"/>
      <w:marBottom w:val="0"/>
      <w:divBdr>
        <w:top w:val="none" w:sz="0" w:space="0" w:color="auto"/>
        <w:left w:val="none" w:sz="0" w:space="0" w:color="auto"/>
        <w:bottom w:val="none" w:sz="0" w:space="0" w:color="auto"/>
        <w:right w:val="none" w:sz="0" w:space="0" w:color="auto"/>
      </w:divBdr>
    </w:div>
    <w:div w:id="1646741704">
      <w:bodyDiv w:val="1"/>
      <w:marLeft w:val="0"/>
      <w:marRight w:val="0"/>
      <w:marTop w:val="0"/>
      <w:marBottom w:val="0"/>
      <w:divBdr>
        <w:top w:val="none" w:sz="0" w:space="0" w:color="auto"/>
        <w:left w:val="none" w:sz="0" w:space="0" w:color="auto"/>
        <w:bottom w:val="none" w:sz="0" w:space="0" w:color="auto"/>
        <w:right w:val="none" w:sz="0" w:space="0" w:color="auto"/>
      </w:divBdr>
    </w:div>
    <w:div w:id="1653483280">
      <w:bodyDiv w:val="1"/>
      <w:marLeft w:val="0"/>
      <w:marRight w:val="0"/>
      <w:marTop w:val="0"/>
      <w:marBottom w:val="0"/>
      <w:divBdr>
        <w:top w:val="none" w:sz="0" w:space="0" w:color="auto"/>
        <w:left w:val="none" w:sz="0" w:space="0" w:color="auto"/>
        <w:bottom w:val="none" w:sz="0" w:space="0" w:color="auto"/>
        <w:right w:val="none" w:sz="0" w:space="0" w:color="auto"/>
      </w:divBdr>
    </w:div>
    <w:div w:id="1843739971">
      <w:bodyDiv w:val="1"/>
      <w:marLeft w:val="0"/>
      <w:marRight w:val="0"/>
      <w:marTop w:val="0"/>
      <w:marBottom w:val="0"/>
      <w:divBdr>
        <w:top w:val="none" w:sz="0" w:space="0" w:color="auto"/>
        <w:left w:val="none" w:sz="0" w:space="0" w:color="auto"/>
        <w:bottom w:val="none" w:sz="0" w:space="0" w:color="auto"/>
        <w:right w:val="none" w:sz="0" w:space="0" w:color="auto"/>
      </w:divBdr>
    </w:div>
    <w:div w:id="1945652103">
      <w:bodyDiv w:val="1"/>
      <w:marLeft w:val="0"/>
      <w:marRight w:val="0"/>
      <w:marTop w:val="0"/>
      <w:marBottom w:val="0"/>
      <w:divBdr>
        <w:top w:val="none" w:sz="0" w:space="0" w:color="auto"/>
        <w:left w:val="none" w:sz="0" w:space="0" w:color="auto"/>
        <w:bottom w:val="none" w:sz="0" w:space="0" w:color="auto"/>
        <w:right w:val="none" w:sz="0" w:space="0" w:color="auto"/>
      </w:divBdr>
      <w:divsChild>
        <w:div w:id="958031799">
          <w:marLeft w:val="0"/>
          <w:marRight w:val="0"/>
          <w:marTop w:val="0"/>
          <w:marBottom w:val="0"/>
          <w:divBdr>
            <w:top w:val="none" w:sz="0" w:space="0" w:color="auto"/>
            <w:left w:val="none" w:sz="0" w:space="0" w:color="auto"/>
            <w:bottom w:val="none" w:sz="0" w:space="0" w:color="auto"/>
            <w:right w:val="none" w:sz="0" w:space="0" w:color="auto"/>
          </w:divBdr>
          <w:divsChild>
            <w:div w:id="758216640">
              <w:marLeft w:val="0"/>
              <w:marRight w:val="0"/>
              <w:marTop w:val="0"/>
              <w:marBottom w:val="0"/>
              <w:divBdr>
                <w:top w:val="none" w:sz="0" w:space="0" w:color="auto"/>
                <w:left w:val="none" w:sz="0" w:space="0" w:color="auto"/>
                <w:bottom w:val="none" w:sz="0" w:space="0" w:color="auto"/>
                <w:right w:val="none" w:sz="0" w:space="0" w:color="auto"/>
              </w:divBdr>
              <w:divsChild>
                <w:div w:id="7429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6465">
      <w:bodyDiv w:val="1"/>
      <w:marLeft w:val="0"/>
      <w:marRight w:val="0"/>
      <w:marTop w:val="0"/>
      <w:marBottom w:val="0"/>
      <w:divBdr>
        <w:top w:val="none" w:sz="0" w:space="0" w:color="auto"/>
        <w:left w:val="none" w:sz="0" w:space="0" w:color="auto"/>
        <w:bottom w:val="none" w:sz="0" w:space="0" w:color="auto"/>
        <w:right w:val="none" w:sz="0" w:space="0" w:color="auto"/>
      </w:divBdr>
      <w:divsChild>
        <w:div w:id="683482854">
          <w:marLeft w:val="0"/>
          <w:marRight w:val="0"/>
          <w:marTop w:val="0"/>
          <w:marBottom w:val="0"/>
          <w:divBdr>
            <w:top w:val="none" w:sz="0" w:space="0" w:color="auto"/>
            <w:left w:val="none" w:sz="0" w:space="0" w:color="auto"/>
            <w:bottom w:val="none" w:sz="0" w:space="0" w:color="auto"/>
            <w:right w:val="none" w:sz="0" w:space="0" w:color="auto"/>
          </w:divBdr>
          <w:divsChild>
            <w:div w:id="1811047162">
              <w:marLeft w:val="0"/>
              <w:marRight w:val="0"/>
              <w:marTop w:val="0"/>
              <w:marBottom w:val="0"/>
              <w:divBdr>
                <w:top w:val="none" w:sz="0" w:space="0" w:color="auto"/>
                <w:left w:val="none" w:sz="0" w:space="0" w:color="auto"/>
                <w:bottom w:val="none" w:sz="0" w:space="0" w:color="auto"/>
                <w:right w:val="none" w:sz="0" w:space="0" w:color="auto"/>
              </w:divBdr>
              <w:divsChild>
                <w:div w:id="21098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06378">
      <w:bodyDiv w:val="1"/>
      <w:marLeft w:val="0"/>
      <w:marRight w:val="0"/>
      <w:marTop w:val="0"/>
      <w:marBottom w:val="0"/>
      <w:divBdr>
        <w:top w:val="none" w:sz="0" w:space="0" w:color="auto"/>
        <w:left w:val="none" w:sz="0" w:space="0" w:color="auto"/>
        <w:bottom w:val="none" w:sz="0" w:space="0" w:color="auto"/>
        <w:right w:val="none" w:sz="0" w:space="0" w:color="auto"/>
      </w:divBdr>
    </w:div>
    <w:div w:id="2043898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8/jmd-07-2015-0095" TargetMode="External"/><Relationship Id="rId21" Type="http://schemas.openxmlformats.org/officeDocument/2006/relationships/hyperlink" Target="https://doi.org/10.1108/dpm-11-2022-0226" TargetMode="External"/><Relationship Id="rId34" Type="http://schemas.openxmlformats.org/officeDocument/2006/relationships/hyperlink" Target="https://doi.org/10.18865/ed.29.2.309" TargetMode="External"/><Relationship Id="rId42" Type="http://schemas.openxmlformats.org/officeDocument/2006/relationships/hyperlink" Target="https://doi.org/10.2166/aqua.2022.041" TargetMode="External"/><Relationship Id="rId47" Type="http://schemas.openxmlformats.org/officeDocument/2006/relationships/hyperlink" Target="https://doi.org/10.17708/drmj.2021.v10n01a02" TargetMode="External"/><Relationship Id="rId50" Type="http://schemas.openxmlformats.org/officeDocument/2006/relationships/hyperlink" Target="https://doi.org/10.1080/00207543.2018.1449977" TargetMode="External"/><Relationship Id="rId55" Type="http://schemas.openxmlformats.org/officeDocument/2006/relationships/hyperlink" Target="https://doi.org/10.1177/0969733013513213" TargetMode="External"/><Relationship Id="rId63" Type="http://schemas.openxmlformats.org/officeDocument/2006/relationships/image" Target="media/image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86/s41018-021-00096-6" TargetMode="External"/><Relationship Id="rId29" Type="http://schemas.openxmlformats.org/officeDocument/2006/relationships/hyperlink" Target="https://doi.org/10.24920/003611" TargetMode="External"/><Relationship Id="rId11" Type="http://schemas.openxmlformats.org/officeDocument/2006/relationships/hyperlink" Target="https://doi.org/10.1525/jer.2012.7.2.3" TargetMode="External"/><Relationship Id="rId24" Type="http://schemas.openxmlformats.org/officeDocument/2006/relationships/hyperlink" Target="https://doi.org/10.1108/09653561211256152" TargetMode="External"/><Relationship Id="rId32" Type="http://schemas.openxmlformats.org/officeDocument/2006/relationships/hyperlink" Target="https://doi.org/10.5840/beq201121436" TargetMode="External"/><Relationship Id="rId37" Type="http://schemas.openxmlformats.org/officeDocument/2006/relationships/hyperlink" Target="https://doi.org/10.1177/2329488420954236" TargetMode="External"/><Relationship Id="rId40" Type="http://schemas.openxmlformats.org/officeDocument/2006/relationships/hyperlink" Target="https://doi.org/10.1002/csr.1854" TargetMode="External"/><Relationship Id="rId45" Type="http://schemas.openxmlformats.org/officeDocument/2006/relationships/hyperlink" Target="https://doi.org/10.3390/joitmc5030049" TargetMode="External"/><Relationship Id="rId53" Type="http://schemas.openxmlformats.org/officeDocument/2006/relationships/hyperlink" Target="https://doi.org/10.21608/zjfm.2022.128014.1110" TargetMode="External"/><Relationship Id="rId58" Type="http://schemas.openxmlformats.org/officeDocument/2006/relationships/hyperlink" Target="https://doi.org/10.1002/jia2.25172" TargetMode="External"/><Relationship Id="rId66"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https://doi.org/10.1111/1744-7941.12315" TargetMode="External"/><Relationship Id="rId19" Type="http://schemas.openxmlformats.org/officeDocument/2006/relationships/hyperlink" Target="https://doi.org/10.1108/ijqss-02-2017-0012" TargetMode="External"/><Relationship Id="rId14" Type="http://schemas.openxmlformats.org/officeDocument/2006/relationships/hyperlink" Target="https://doi.org/10.1080/09585192.2017.1308414" TargetMode="External"/><Relationship Id="rId22" Type="http://schemas.openxmlformats.org/officeDocument/2006/relationships/hyperlink" Target="https://doi.org/10.1108/mrr-06-2012-0136" TargetMode="External"/><Relationship Id="rId27" Type="http://schemas.openxmlformats.org/officeDocument/2006/relationships/hyperlink" Target="https://doi.org/10.1017/s1049023x12000131" TargetMode="External"/><Relationship Id="rId30" Type="http://schemas.openxmlformats.org/officeDocument/2006/relationships/hyperlink" Target="https://doi.org/10.3390/bs12090343" TargetMode="External"/><Relationship Id="rId35" Type="http://schemas.openxmlformats.org/officeDocument/2006/relationships/hyperlink" Target="https://doi.org/10.1186/s41018-020-00082-4" TargetMode="External"/><Relationship Id="rId43" Type="http://schemas.openxmlformats.org/officeDocument/2006/relationships/hyperlink" Target="https://doi.org/10.1038/gim.2015.8" TargetMode="External"/><Relationship Id="rId48" Type="http://schemas.openxmlformats.org/officeDocument/2006/relationships/hyperlink" Target="https://doi.org/10.2478/picbe-2020-0056" TargetMode="External"/><Relationship Id="rId56" Type="http://schemas.openxmlformats.org/officeDocument/2006/relationships/hyperlink" Target="https://doi.org/10.1371/journal.pone.0276478" TargetMode="External"/><Relationship Id="rId64" Type="http://schemas.openxmlformats.org/officeDocument/2006/relationships/image" Target="media/image3.png"/><Relationship Id="rId8" Type="http://schemas.openxmlformats.org/officeDocument/2006/relationships/footer" Target="footer1.xml"/><Relationship Id="rId51" Type="http://schemas.openxmlformats.org/officeDocument/2006/relationships/hyperlink" Target="https://doi.org/10.21601/ejosdr/9664" TargetMode="External"/><Relationship Id="rId3" Type="http://schemas.openxmlformats.org/officeDocument/2006/relationships/styles" Target="styles.xml"/><Relationship Id="rId12" Type="http://schemas.openxmlformats.org/officeDocument/2006/relationships/hyperlink" Target="https://doi.org/10.1093/jopart/mum032" TargetMode="External"/><Relationship Id="rId17" Type="http://schemas.openxmlformats.org/officeDocument/2006/relationships/hyperlink" Target="https://doi.org/10.1017/s1049023x23006325" TargetMode="External"/><Relationship Id="rId25" Type="http://schemas.openxmlformats.org/officeDocument/2006/relationships/hyperlink" Target="https://doi.org/10.1016/j.mar.2012.06.003" TargetMode="External"/><Relationship Id="rId33" Type="http://schemas.openxmlformats.org/officeDocument/2006/relationships/hyperlink" Target="https://doi.org/10.1136/bmjsem-2020-001009" TargetMode="External"/><Relationship Id="rId38" Type="http://schemas.openxmlformats.org/officeDocument/2006/relationships/hyperlink" Target="https://doi.org/10.2307/258867" TargetMode="External"/><Relationship Id="rId46" Type="http://schemas.openxmlformats.org/officeDocument/2006/relationships/hyperlink" Target="https://doi.org/10.1051/radiopro/2020043" TargetMode="External"/><Relationship Id="rId59" Type="http://schemas.openxmlformats.org/officeDocument/2006/relationships/hyperlink" Target="https://doi.org/10.1136/bmjgh-2018-000798" TargetMode="External"/><Relationship Id="rId67" Type="http://schemas.openxmlformats.org/officeDocument/2006/relationships/fontTable" Target="fontTable.xml"/><Relationship Id="rId20" Type="http://schemas.openxmlformats.org/officeDocument/2006/relationships/hyperlink" Target="https://doi.org/10.1002/jls.21569" TargetMode="External"/><Relationship Id="rId41" Type="http://schemas.openxmlformats.org/officeDocument/2006/relationships/hyperlink" Target="https://doi.org/10.1108/09600030910985848" TargetMode="External"/><Relationship Id="rId54" Type="http://schemas.openxmlformats.org/officeDocument/2006/relationships/hyperlink" Target="https://doi.org/10.1108/bij-01-2018-0021" TargetMode="External"/><Relationship Id="rId62" Type="http://schemas.openxmlformats.org/officeDocument/2006/relationships/hyperlink" Target="https://doi.org/10.1098/rsta.2018.008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86/s41018-020-00068-2" TargetMode="External"/><Relationship Id="rId23" Type="http://schemas.openxmlformats.org/officeDocument/2006/relationships/hyperlink" Target="https://doi.org/10.1002/sys.21718" TargetMode="External"/><Relationship Id="rId28" Type="http://schemas.openxmlformats.org/officeDocument/2006/relationships/hyperlink" Target="https://doi.org/10.1136/medethics-2019-105586" TargetMode="External"/><Relationship Id="rId36" Type="http://schemas.openxmlformats.org/officeDocument/2006/relationships/hyperlink" Target="https://doi.org/10.1108/jcom-07-2016-0055" TargetMode="External"/><Relationship Id="rId49" Type="http://schemas.openxmlformats.org/officeDocument/2006/relationships/hyperlink" Target="https://doi.org/10.1108/scm-07-2016-0262" TargetMode="External"/><Relationship Id="rId57" Type="http://schemas.openxmlformats.org/officeDocument/2006/relationships/hyperlink" Target="https://doi.org/10.1017/dmp.2020.85" TargetMode="External"/><Relationship Id="rId10" Type="http://schemas.openxmlformats.org/officeDocument/2006/relationships/image" Target="media/image1.png"/><Relationship Id="rId31" Type="http://schemas.openxmlformats.org/officeDocument/2006/relationships/hyperlink" Target="https://doi.org/10.3390/su10124464" TargetMode="External"/><Relationship Id="rId44" Type="http://schemas.openxmlformats.org/officeDocument/2006/relationships/hyperlink" Target="https://doi.org/10.1186/s12913-022-08034-x" TargetMode="External"/><Relationship Id="rId52" Type="http://schemas.openxmlformats.org/officeDocument/2006/relationships/hyperlink" Target="https://doi.org/10.1177/0969733011413491" TargetMode="External"/><Relationship Id="rId60" Type="http://schemas.openxmlformats.org/officeDocument/2006/relationships/hyperlink" Target="https://doi.org/10.1177/0149206307308913" TargetMode="External"/><Relationship Id="rId65"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guides.library.ucla.edu/posters" TargetMode="External"/><Relationship Id="rId13" Type="http://schemas.openxmlformats.org/officeDocument/2006/relationships/hyperlink" Target="https://doi.org/10.1016/j.leaqua.2005.03.001" TargetMode="External"/><Relationship Id="rId18" Type="http://schemas.openxmlformats.org/officeDocument/2006/relationships/hyperlink" Target="https://doi.org/10.1136/bmjmilitary-2021-001927" TargetMode="External"/><Relationship Id="rId39" Type="http://schemas.openxmlformats.org/officeDocument/2006/relationships/hyperlink" Target="https://doi.org/10.35942/jbmed.v3i1.166"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E571FC-8E8A-3F42-BE91-1B5EC4E831A9}">
  <we:reference id="wa104382081" version="1.55.1.0" store="en-GB" storeType="OMEX"/>
  <we:alternateReferences>
    <we:reference id="wa104382081" version="1.55.1.0" store="en-GB" storeType="OMEX"/>
  </we:alternateReferences>
  <we:properties>
    <we:property name="MENDELEY_CITATIONS" value="[{&quot;citationID&quot;:&quot;MENDELEY_CITATION_dba431db-75f8-490c-bd26-451e5bb12993&quot;,&quot;properties&quot;:{&quot;noteIndex&quot;:0},&quot;isEdited&quot;:false,&quot;manualOverride&quot;:{&quot;isManuallyOverridden&quot;:false,&quot;citeprocText&quot;:&quot;(Borovecki et al., 2015; RRN, 1994)&quot;,&quot;manualOverrideText&quot;:&quot;&quot;},&quot;citationTag&quot;:&quot;MENDELEY_CITATION_v3_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&quot;,&quot;citationItems&quot;:[{&quot;id&quot;:&quot;5b471d2a-612b-3a9c-8433-69f91b936fe7&quot;,&quot;itemData&quot;:{&quot;type&quot;:&quot;article-journal&quot;,&quot;id&quot;:&quot;5b471d2a-612b-3a9c-8433-69f91b936fe7&quot;,&quot;title&quot;:&quot;Code of Conduct for the International Red Cross and Red Crescent Movement and NGOs in Disaster Relief&quot;,&quot;author&quot;:[{&quot;family&quot;:&quot;RRN&quot;,&quot;given&quot;:&quot;Relief and Rehabilitation Network&quot;,&quot;parse-names&quot;:false,&quot;dropping-particle&quot;:&quot;&quot;,&quot;non-dropping-particle&quot;:&quot;&quot;}],&quot;container-title&quot;:&quot;RRN Network Paper 7&quot;,&quot;issued&quot;:{&quot;date-parts&quot;:[[1994]]},&quot;abstract&quot;:&quot;Prepared jointly by the International Federation of Red Cross and Red Crescent Societies and the ICRC [1 ] Purpose This Code of Conduct seeks to guard our standards of behaviour. It is not about operational details, such as how one should calculate food rations or set up a refugee camp. Rather, it seeks to maintain the high standards of independence, effectiveness and impact to which disaster response NGOs and the International Red Cross and Red Crescent Movement aspires. It is a voluntary code, enforced by the will of each organization accepting it to maintain the standards laid down in the Code. In the event of armed conflict, the present Code of Conduct will be interpreted and applied in conformity with international humanitarian law. The Code of Conduct is presented first. Attached to it are three annexes, describing the working environment that we would like to see created by Host Governments, Donor Governments and Intergovernmental Organizations in order to facilitate the effective delivery of humanitarian assistance. Definitions NGOs: NGOs (Non­Governmental Organizations) refers here to organizations, both national and international, which are const ituted separate from the government of the country in which they are founded.&quot;,&quot;container-title-short&quot;:&quot;&quot;},&quot;isTemporary&quot;:false},{&quot;id&quot;:&quot;32b0f407-eb9e-3548-aac6-b98a0368b3cd&quot;,&quot;itemData&quot;:{&quot;type&quot;:&quot;article&quot;,&quot;id&quot;:&quot;32b0f407-eb9e-3548-aac6-b98a0368b3cd&quot;,&quot;title&quot;:&quot;20 years of the ICRC code of conduct for disaster relief: What do we need to improve?&quot;,&quot;author&quot;:[{&quot;family&quot;:&quot;Borovecki&quot;,&quot;given&quot;:&quot;Ana&quot;,&quot;parse-names&quot;:false,&quot;dropping-particle&quot;:&quot;&quot;,&quot;non-dropping-particle&quot;:&quot;&quot;},{&quot;family&quot;:&quot;Einarsdóttir&quot;,&quot;given&quot;:&quot;Jónína&quot;,&quot;parse-names&quot;:false,&quot;dropping-particle&quot;:&quot;&quot;,&quot;non-dropping-particle&quot;:&quot;&quot;},{&quot;family&quot;:&quot;O'Mathúna&quot;,&quot;given&quot;:&quot;Dónal&quot;,&quot;parse-names&quot;:false,&quot;dropping-particle&quot;:&quot;&quot;,&quot;non-dropping-particle&quot;:&quot;&quot;},{&quot;family&quot;:&quot;Pospieszna&quot;,&quot;given&quot;:&quot;Paulina&quot;,&quot;parse-names&quot;:false,&quot;dropping-particle&quot;:&quot;&quot;,&quot;non-dropping-particle&quot;:&quot;&quot;},{&quot;family&quot;:&quot;Stern&quot;,&quot;given&quot;:&quot;Orly Maya&quot;,&quot;parse-names&quot;:false,&quot;dropping-particle&quot;:&quot;&quot;,&quot;non-dropping-particle&quot;:&quot;&quot;},{&quot;family&quot;:&quot;Teles&quot;,&quot;given&quot;:&quot;Natália Oliva&quot;,&quot;parse-names&quot;:false,&quot;dropping-particle&quot;:&quot;&quot;,&quot;non-dropping-particle&quot;:&quot;&quot;}],&quot;container-title&quot;:&quot;The Lancet&quot;,&quot;DOI&quot;:&quot;10.1016/S0140-6736(15)60710-3&quot;,&quot;ISSN&quot;:&quot;1474547X&quot;,&quot;issued&quot;:{&quot;date-parts&quot;:[[2015]]},&quot;issue&quot;:&quot;9976&quot;,&quot;volume&quot;:&quot;38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6D5EE63-B788-2947-9DBD-018615E7C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5658</TotalTime>
  <Pages>32</Pages>
  <Words>10309</Words>
  <Characters>58766</Characters>
  <Application>Microsoft Office Word</Application>
  <DocSecurity>0</DocSecurity>
  <Lines>489</Lines>
  <Paragraphs>137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 Luzern</Company>
  <LinksUpToDate>false</LinksUpToDate>
  <CharactersWithSpaces>68938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Knobel Thomas Alexander</dc:creator>
  <cp:keywords/>
  <dc:description/>
  <cp:lastModifiedBy>John Bert Macato</cp:lastModifiedBy>
  <cp:revision>93</cp:revision>
  <dcterms:created xsi:type="dcterms:W3CDTF">2023-07-26T11:29:00Z</dcterms:created>
  <dcterms:modified xsi:type="dcterms:W3CDTF">2024-05-29T16:09:00Z</dcterms:modified>
</cp:coreProperties>
</file>