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EF0DD" w14:textId="77777777" w:rsidR="00DF1BB5" w:rsidRDefault="00DF1BB5">
      <w:pPr>
        <w:jc w:val="center"/>
      </w:pPr>
    </w:p>
    <w:p w14:paraId="45CEF0DE" w14:textId="77777777" w:rsidR="00DF1BB5" w:rsidRDefault="00DF1BB5">
      <w:pPr>
        <w:jc w:val="center"/>
      </w:pPr>
    </w:p>
    <w:p w14:paraId="45CEF0DF" w14:textId="77777777" w:rsidR="00DF1BB5" w:rsidRDefault="00DF1BB5">
      <w:pPr>
        <w:jc w:val="center"/>
      </w:pPr>
    </w:p>
    <w:p w14:paraId="45CEF0E0" w14:textId="77777777" w:rsidR="00DF1BB5" w:rsidRDefault="003C7292">
      <w:pPr>
        <w:jc w:val="center"/>
      </w:pPr>
      <w:r>
        <w:rPr>
          <w:noProof/>
        </w:rPr>
        <w:drawing>
          <wp:inline distT="0" distB="0" distL="0" distR="0" wp14:anchorId="45CEF27C" wp14:editId="45CEF27D">
            <wp:extent cx="2286000" cy="24288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86000" cy="2428875"/>
                    </a:xfrm>
                    <a:prstGeom prst="rect">
                      <a:avLst/>
                    </a:prstGeom>
                    <a:ln/>
                  </pic:spPr>
                </pic:pic>
              </a:graphicData>
            </a:graphic>
          </wp:inline>
        </w:drawing>
      </w:r>
    </w:p>
    <w:p w14:paraId="45CEF0E1" w14:textId="77777777" w:rsidR="00DF1BB5" w:rsidRDefault="00DF1BB5">
      <w:pPr>
        <w:jc w:val="center"/>
      </w:pPr>
    </w:p>
    <w:p w14:paraId="45CEF0E2" w14:textId="77777777" w:rsidR="00DF1BB5" w:rsidRDefault="00DF1BB5">
      <w:pPr>
        <w:jc w:val="center"/>
      </w:pPr>
    </w:p>
    <w:p w14:paraId="45CEF0E3" w14:textId="77777777" w:rsidR="00DF1BB5" w:rsidRDefault="00DF1BB5">
      <w:pPr>
        <w:jc w:val="center"/>
      </w:pPr>
    </w:p>
    <w:p w14:paraId="45CEF0E4" w14:textId="77777777" w:rsidR="00DF1BB5" w:rsidRDefault="003C7292">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SWISS SCHOOL OF BUSINESS RESEARCH</w:t>
      </w:r>
    </w:p>
    <w:p w14:paraId="45CEF0E5" w14:textId="77777777" w:rsidR="00DF1BB5" w:rsidRDefault="00DF1BB5">
      <w:pPr>
        <w:jc w:val="center"/>
        <w:rPr>
          <w:rFonts w:ascii="Times New Roman" w:eastAsia="Times New Roman" w:hAnsi="Times New Roman" w:cs="Times New Roman"/>
          <w:b/>
          <w:sz w:val="48"/>
          <w:szCs w:val="48"/>
        </w:rPr>
      </w:pPr>
    </w:p>
    <w:p w14:paraId="45CEF0E6" w14:textId="77777777" w:rsidR="00DF1BB5" w:rsidRDefault="00DF1BB5">
      <w:pPr>
        <w:jc w:val="center"/>
        <w:rPr>
          <w:rFonts w:ascii="Times New Roman" w:eastAsia="Times New Roman" w:hAnsi="Times New Roman" w:cs="Times New Roman"/>
          <w:b/>
          <w:sz w:val="48"/>
          <w:szCs w:val="48"/>
        </w:rPr>
      </w:pPr>
    </w:p>
    <w:p w14:paraId="45CEF0E7" w14:textId="77777777" w:rsidR="00DF1BB5" w:rsidRDefault="003C729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Mochamad Iqbal</w:t>
      </w:r>
    </w:p>
    <w:p w14:paraId="45CEF0E8" w14:textId="7D26C8D0" w:rsidR="00DF1BB5" w:rsidRDefault="006E34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Module </w:t>
      </w:r>
      <w:r w:rsidR="00625A43">
        <w:rPr>
          <w:rFonts w:ascii="Times New Roman" w:eastAsia="Times New Roman" w:hAnsi="Times New Roman" w:cs="Times New Roman"/>
          <w:sz w:val="28"/>
          <w:szCs w:val="28"/>
        </w:rPr>
        <w:t>3</w:t>
      </w:r>
    </w:p>
    <w:p w14:paraId="02352E02" w14:textId="05A666F8" w:rsidR="00576F10" w:rsidRDefault="00576F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Capstone Project</w:t>
      </w:r>
    </w:p>
    <w:p w14:paraId="45CEF0EA" w14:textId="0B84A133" w:rsidR="00DF1BB5" w:rsidRDefault="00576F10" w:rsidP="00576F10">
      <w:pPr>
        <w:jc w:val="center"/>
        <w:rPr>
          <w:rFonts w:ascii="Times New Roman" w:eastAsia="Times New Roman" w:hAnsi="Times New Roman" w:cs="Times New Roman"/>
          <w:sz w:val="28"/>
          <w:szCs w:val="28"/>
        </w:rPr>
      </w:pPr>
      <w:r w:rsidRPr="00576F10">
        <w:rPr>
          <w:rFonts w:ascii="Times New Roman" w:eastAsia="Times New Roman" w:hAnsi="Times New Roman" w:cs="Times New Roman"/>
          <w:sz w:val="28"/>
          <w:szCs w:val="28"/>
        </w:rPr>
        <w:t>Reinventing OTCA From Language Education Provider to an AI-Driven Global Education Media and Talent Ecosystem</w:t>
      </w:r>
    </w:p>
    <w:p w14:paraId="45CEF0EB" w14:textId="77777777" w:rsidR="00DF1BB5" w:rsidRDefault="00DF1BB5">
      <w:pPr>
        <w:rPr>
          <w:rFonts w:ascii="Times New Roman" w:eastAsia="Times New Roman" w:hAnsi="Times New Roman" w:cs="Times New Roman"/>
          <w:sz w:val="28"/>
          <w:szCs w:val="28"/>
        </w:rPr>
      </w:pPr>
    </w:p>
    <w:p w14:paraId="45CEF0EC" w14:textId="77777777" w:rsidR="00DF1BB5" w:rsidRDefault="00DF1BB5">
      <w:pPr>
        <w:rPr>
          <w:rFonts w:ascii="Times New Roman" w:eastAsia="Times New Roman" w:hAnsi="Times New Roman" w:cs="Times New Roman"/>
          <w:sz w:val="28"/>
          <w:szCs w:val="28"/>
        </w:rPr>
      </w:pPr>
    </w:p>
    <w:p w14:paraId="45CEF0ED" w14:textId="77777777" w:rsidR="00DF1BB5" w:rsidRDefault="00DF1BB5">
      <w:pPr>
        <w:rPr>
          <w:rFonts w:ascii="Times New Roman" w:eastAsia="Times New Roman" w:hAnsi="Times New Roman" w:cs="Times New Roman"/>
          <w:sz w:val="28"/>
          <w:szCs w:val="28"/>
        </w:rPr>
      </w:pPr>
    </w:p>
    <w:p w14:paraId="45CEF0EE" w14:textId="52D149FC" w:rsidR="00DF1BB5" w:rsidRDefault="000863B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March 2026</w:t>
      </w:r>
    </w:p>
    <w:p w14:paraId="45CEF0EF" w14:textId="77777777" w:rsidR="00DF1BB5" w:rsidRDefault="003C7292">
      <w:pPr>
        <w:pStyle w:val="Heading1"/>
        <w:jc w:val="center"/>
        <w:rPr>
          <w:rFonts w:ascii="Times New Roman" w:eastAsia="Times New Roman" w:hAnsi="Times New Roman" w:cs="Times New Roman"/>
          <w:color w:val="000000"/>
          <w:sz w:val="24"/>
          <w:szCs w:val="24"/>
        </w:rPr>
      </w:pPr>
      <w:bookmarkStart w:id="0" w:name="_Toc225915928"/>
      <w:r>
        <w:rPr>
          <w:rFonts w:ascii="Times New Roman" w:eastAsia="Times New Roman" w:hAnsi="Times New Roman" w:cs="Times New Roman"/>
          <w:color w:val="000000"/>
          <w:sz w:val="24"/>
          <w:szCs w:val="24"/>
        </w:rPr>
        <w:lastRenderedPageBreak/>
        <w:t>CONTENTS</w:t>
      </w:r>
      <w:bookmarkEnd w:id="0"/>
    </w:p>
    <w:p w14:paraId="45CEF0F0" w14:textId="77777777" w:rsidR="00DF1BB5" w:rsidRDefault="00DF1BB5">
      <w:pPr>
        <w:keepNext/>
        <w:keepLines/>
        <w:pBdr>
          <w:top w:val="nil"/>
          <w:left w:val="nil"/>
          <w:bottom w:val="nil"/>
          <w:right w:val="nil"/>
          <w:between w:val="nil"/>
        </w:pBdr>
        <w:spacing w:before="240" w:after="0" w:line="480" w:lineRule="auto"/>
        <w:rPr>
          <w:rFonts w:ascii="Times New Roman" w:eastAsia="Times New Roman" w:hAnsi="Times New Roman" w:cs="Times New Roman"/>
          <w:color w:val="000000"/>
          <w:sz w:val="28"/>
          <w:szCs w:val="28"/>
        </w:rPr>
      </w:pPr>
    </w:p>
    <w:sdt>
      <w:sdtPr>
        <w:rPr>
          <w:rFonts w:ascii="Calibri" w:eastAsia="Calibri" w:hAnsi="Calibri" w:cs="Calibri"/>
          <w:color w:val="auto"/>
          <w:sz w:val="22"/>
          <w:szCs w:val="22"/>
          <w:lang w:val="en-ID" w:eastAsia="en-ID"/>
        </w:rPr>
        <w:id w:val="-819191090"/>
        <w:docPartObj>
          <w:docPartGallery w:val="Table of Contents"/>
          <w:docPartUnique/>
        </w:docPartObj>
      </w:sdtPr>
      <w:sdtEndPr>
        <w:rPr>
          <w:b/>
          <w:bCs/>
          <w:noProof/>
        </w:rPr>
      </w:sdtEndPr>
      <w:sdtContent>
        <w:p w14:paraId="2FD7214C" w14:textId="3A76A598" w:rsidR="000B15B3" w:rsidRPr="00B251B9" w:rsidRDefault="000B15B3" w:rsidP="00B251B9">
          <w:pPr>
            <w:pStyle w:val="TOCHeading"/>
            <w:jc w:val="center"/>
            <w:rPr>
              <w:rFonts w:ascii="Times New Roman" w:hAnsi="Times New Roman" w:cs="Times New Roman"/>
              <w:sz w:val="24"/>
              <w:szCs w:val="24"/>
            </w:rPr>
          </w:pPr>
        </w:p>
        <w:p w14:paraId="678A9BCC" w14:textId="65E6B11C" w:rsidR="00EE38AB" w:rsidRDefault="000B15B3">
          <w:pPr>
            <w:pStyle w:val="TOC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5915928" w:history="1">
            <w:r w:rsidR="00EE38AB" w:rsidRPr="0052092A">
              <w:rPr>
                <w:rStyle w:val="Hyperlink"/>
                <w:rFonts w:ascii="Times New Roman" w:eastAsia="Times New Roman" w:hAnsi="Times New Roman" w:cs="Times New Roman"/>
                <w:noProof/>
              </w:rPr>
              <w:t>CONTENTS</w:t>
            </w:r>
            <w:r w:rsidR="00EE38AB">
              <w:rPr>
                <w:noProof/>
                <w:webHidden/>
              </w:rPr>
              <w:tab/>
            </w:r>
            <w:r w:rsidR="00EE38AB">
              <w:rPr>
                <w:noProof/>
                <w:webHidden/>
              </w:rPr>
              <w:fldChar w:fldCharType="begin"/>
            </w:r>
            <w:r w:rsidR="00EE38AB">
              <w:rPr>
                <w:noProof/>
                <w:webHidden/>
              </w:rPr>
              <w:instrText xml:space="preserve"> PAGEREF _Toc225915928 \h </w:instrText>
            </w:r>
            <w:r w:rsidR="00EE38AB">
              <w:rPr>
                <w:noProof/>
                <w:webHidden/>
              </w:rPr>
            </w:r>
            <w:r w:rsidR="00EE38AB">
              <w:rPr>
                <w:noProof/>
                <w:webHidden/>
              </w:rPr>
              <w:fldChar w:fldCharType="separate"/>
            </w:r>
            <w:r w:rsidR="00EE38AB">
              <w:rPr>
                <w:noProof/>
                <w:webHidden/>
              </w:rPr>
              <w:t>ii</w:t>
            </w:r>
            <w:r w:rsidR="00EE38AB">
              <w:rPr>
                <w:noProof/>
                <w:webHidden/>
              </w:rPr>
              <w:fldChar w:fldCharType="end"/>
            </w:r>
          </w:hyperlink>
        </w:p>
        <w:p w14:paraId="4B87D7CC" w14:textId="5CEDF611" w:rsidR="00EE38AB" w:rsidRDefault="00EE38AB">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915929" w:history="1">
            <w:r w:rsidRPr="0052092A">
              <w:rPr>
                <w:rStyle w:val="Hyperlink"/>
                <w:rFonts w:ascii="Times New Roman" w:hAnsi="Times New Roman" w:cs="Times New Roman"/>
                <w:noProof/>
              </w:rPr>
              <w:t>CHAPTER 1  INTRODUCTION</w:t>
            </w:r>
            <w:r>
              <w:rPr>
                <w:noProof/>
                <w:webHidden/>
              </w:rPr>
              <w:tab/>
            </w:r>
            <w:r>
              <w:rPr>
                <w:noProof/>
                <w:webHidden/>
              </w:rPr>
              <w:fldChar w:fldCharType="begin"/>
            </w:r>
            <w:r>
              <w:rPr>
                <w:noProof/>
                <w:webHidden/>
              </w:rPr>
              <w:instrText xml:space="preserve"> PAGEREF _Toc225915929 \h </w:instrText>
            </w:r>
            <w:r>
              <w:rPr>
                <w:noProof/>
                <w:webHidden/>
              </w:rPr>
            </w:r>
            <w:r>
              <w:rPr>
                <w:noProof/>
                <w:webHidden/>
              </w:rPr>
              <w:fldChar w:fldCharType="separate"/>
            </w:r>
            <w:r>
              <w:rPr>
                <w:noProof/>
                <w:webHidden/>
              </w:rPr>
              <w:t>1</w:t>
            </w:r>
            <w:r>
              <w:rPr>
                <w:noProof/>
                <w:webHidden/>
              </w:rPr>
              <w:fldChar w:fldCharType="end"/>
            </w:r>
          </w:hyperlink>
        </w:p>
        <w:p w14:paraId="356E7C29" w14:textId="6A31C89F" w:rsidR="00EE38AB" w:rsidRDefault="00EE38AB">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915930" w:history="1">
            <w:r w:rsidRPr="0052092A">
              <w:rPr>
                <w:rStyle w:val="Hyperlink"/>
                <w:rFonts w:ascii="Times New Roman" w:hAnsi="Times New Roman" w:cs="Times New Roman"/>
                <w:noProof/>
              </w:rPr>
              <w:t>CHAPTER 2  DISCUSSION</w:t>
            </w:r>
            <w:r>
              <w:rPr>
                <w:noProof/>
                <w:webHidden/>
              </w:rPr>
              <w:tab/>
            </w:r>
            <w:r>
              <w:rPr>
                <w:noProof/>
                <w:webHidden/>
              </w:rPr>
              <w:fldChar w:fldCharType="begin"/>
            </w:r>
            <w:r>
              <w:rPr>
                <w:noProof/>
                <w:webHidden/>
              </w:rPr>
              <w:instrText xml:space="preserve"> PAGEREF _Toc225915930 \h </w:instrText>
            </w:r>
            <w:r>
              <w:rPr>
                <w:noProof/>
                <w:webHidden/>
              </w:rPr>
            </w:r>
            <w:r>
              <w:rPr>
                <w:noProof/>
                <w:webHidden/>
              </w:rPr>
              <w:fldChar w:fldCharType="separate"/>
            </w:r>
            <w:r>
              <w:rPr>
                <w:noProof/>
                <w:webHidden/>
              </w:rPr>
              <w:t>6</w:t>
            </w:r>
            <w:r>
              <w:rPr>
                <w:noProof/>
                <w:webHidden/>
              </w:rPr>
              <w:fldChar w:fldCharType="end"/>
            </w:r>
          </w:hyperlink>
        </w:p>
        <w:p w14:paraId="6A9DFC92" w14:textId="4497B2F6" w:rsidR="00EE38AB" w:rsidRDefault="00EE38AB">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915931" w:history="1">
            <w:r w:rsidRPr="0052092A">
              <w:rPr>
                <w:rStyle w:val="Hyperlink"/>
                <w:rFonts w:ascii="Times New Roman" w:eastAsia="Times New Roman" w:hAnsi="Times New Roman" w:cs="Times New Roman"/>
                <w:noProof/>
              </w:rPr>
              <w:t>2.1. Context and Case for Reinvention</w:t>
            </w:r>
            <w:r>
              <w:rPr>
                <w:noProof/>
                <w:webHidden/>
              </w:rPr>
              <w:tab/>
            </w:r>
            <w:r>
              <w:rPr>
                <w:noProof/>
                <w:webHidden/>
              </w:rPr>
              <w:fldChar w:fldCharType="begin"/>
            </w:r>
            <w:r>
              <w:rPr>
                <w:noProof/>
                <w:webHidden/>
              </w:rPr>
              <w:instrText xml:space="preserve"> PAGEREF _Toc225915931 \h </w:instrText>
            </w:r>
            <w:r>
              <w:rPr>
                <w:noProof/>
                <w:webHidden/>
              </w:rPr>
            </w:r>
            <w:r>
              <w:rPr>
                <w:noProof/>
                <w:webHidden/>
              </w:rPr>
              <w:fldChar w:fldCharType="separate"/>
            </w:r>
            <w:r>
              <w:rPr>
                <w:noProof/>
                <w:webHidden/>
              </w:rPr>
              <w:t>6</w:t>
            </w:r>
            <w:r>
              <w:rPr>
                <w:noProof/>
                <w:webHidden/>
              </w:rPr>
              <w:fldChar w:fldCharType="end"/>
            </w:r>
          </w:hyperlink>
        </w:p>
        <w:p w14:paraId="49EF5869" w14:textId="02DED66F" w:rsidR="00EE38AB" w:rsidRDefault="00EE38AB">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915932" w:history="1">
            <w:r w:rsidRPr="0052092A">
              <w:rPr>
                <w:rStyle w:val="Hyperlink"/>
                <w:rFonts w:ascii="Times New Roman" w:eastAsia="Times New Roman" w:hAnsi="Times New Roman" w:cs="Times New Roman"/>
                <w:noProof/>
              </w:rPr>
              <w:t>2.2.  External Environment and Industry Dynamics</w:t>
            </w:r>
            <w:r>
              <w:rPr>
                <w:noProof/>
                <w:webHidden/>
              </w:rPr>
              <w:tab/>
            </w:r>
            <w:r>
              <w:rPr>
                <w:noProof/>
                <w:webHidden/>
              </w:rPr>
              <w:fldChar w:fldCharType="begin"/>
            </w:r>
            <w:r>
              <w:rPr>
                <w:noProof/>
                <w:webHidden/>
              </w:rPr>
              <w:instrText xml:space="preserve"> PAGEREF _Toc225915932 \h </w:instrText>
            </w:r>
            <w:r>
              <w:rPr>
                <w:noProof/>
                <w:webHidden/>
              </w:rPr>
            </w:r>
            <w:r>
              <w:rPr>
                <w:noProof/>
                <w:webHidden/>
              </w:rPr>
              <w:fldChar w:fldCharType="separate"/>
            </w:r>
            <w:r>
              <w:rPr>
                <w:noProof/>
                <w:webHidden/>
              </w:rPr>
              <w:t>8</w:t>
            </w:r>
            <w:r>
              <w:rPr>
                <w:noProof/>
                <w:webHidden/>
              </w:rPr>
              <w:fldChar w:fldCharType="end"/>
            </w:r>
          </w:hyperlink>
        </w:p>
        <w:p w14:paraId="7E1F9925" w14:textId="3C8E065B" w:rsidR="00EE38AB" w:rsidRDefault="00EE38AB">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915933" w:history="1">
            <w:r w:rsidRPr="0052092A">
              <w:rPr>
                <w:rStyle w:val="Hyperlink"/>
                <w:rFonts w:ascii="Times New Roman" w:eastAsia="Times New Roman" w:hAnsi="Times New Roman" w:cs="Times New Roman"/>
                <w:noProof/>
              </w:rPr>
              <w:t>2.3. Strategic Foundation and Problem Definition</w:t>
            </w:r>
            <w:r>
              <w:rPr>
                <w:noProof/>
                <w:webHidden/>
              </w:rPr>
              <w:tab/>
            </w:r>
            <w:r>
              <w:rPr>
                <w:noProof/>
                <w:webHidden/>
              </w:rPr>
              <w:fldChar w:fldCharType="begin"/>
            </w:r>
            <w:r>
              <w:rPr>
                <w:noProof/>
                <w:webHidden/>
              </w:rPr>
              <w:instrText xml:space="preserve"> PAGEREF _Toc225915933 \h </w:instrText>
            </w:r>
            <w:r>
              <w:rPr>
                <w:noProof/>
                <w:webHidden/>
              </w:rPr>
            </w:r>
            <w:r>
              <w:rPr>
                <w:noProof/>
                <w:webHidden/>
              </w:rPr>
              <w:fldChar w:fldCharType="separate"/>
            </w:r>
            <w:r>
              <w:rPr>
                <w:noProof/>
                <w:webHidden/>
              </w:rPr>
              <w:t>11</w:t>
            </w:r>
            <w:r>
              <w:rPr>
                <w:noProof/>
                <w:webHidden/>
              </w:rPr>
              <w:fldChar w:fldCharType="end"/>
            </w:r>
          </w:hyperlink>
        </w:p>
        <w:p w14:paraId="1D431AF4" w14:textId="4354DDA6" w:rsidR="00EE38AB" w:rsidRDefault="00EE38AB">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915934" w:history="1">
            <w:r w:rsidRPr="0052092A">
              <w:rPr>
                <w:rStyle w:val="Hyperlink"/>
                <w:rFonts w:ascii="Times New Roman" w:eastAsia="Times New Roman" w:hAnsi="Times New Roman" w:cs="Times New Roman"/>
                <w:noProof/>
              </w:rPr>
              <w:t>2.4. Disruptive Proposal</w:t>
            </w:r>
            <w:r>
              <w:rPr>
                <w:noProof/>
                <w:webHidden/>
              </w:rPr>
              <w:tab/>
            </w:r>
            <w:r>
              <w:rPr>
                <w:noProof/>
                <w:webHidden/>
              </w:rPr>
              <w:fldChar w:fldCharType="begin"/>
            </w:r>
            <w:r>
              <w:rPr>
                <w:noProof/>
                <w:webHidden/>
              </w:rPr>
              <w:instrText xml:space="preserve"> PAGEREF _Toc225915934 \h </w:instrText>
            </w:r>
            <w:r>
              <w:rPr>
                <w:noProof/>
                <w:webHidden/>
              </w:rPr>
            </w:r>
            <w:r>
              <w:rPr>
                <w:noProof/>
                <w:webHidden/>
              </w:rPr>
              <w:fldChar w:fldCharType="separate"/>
            </w:r>
            <w:r>
              <w:rPr>
                <w:noProof/>
                <w:webHidden/>
              </w:rPr>
              <w:t>14</w:t>
            </w:r>
            <w:r>
              <w:rPr>
                <w:noProof/>
                <w:webHidden/>
              </w:rPr>
              <w:fldChar w:fldCharType="end"/>
            </w:r>
          </w:hyperlink>
        </w:p>
        <w:p w14:paraId="326DB585" w14:textId="77812761" w:rsidR="00EE38AB" w:rsidRDefault="00EE38AB">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915935" w:history="1">
            <w:r w:rsidRPr="0052092A">
              <w:rPr>
                <w:rStyle w:val="Hyperlink"/>
                <w:rFonts w:ascii="Times New Roman" w:eastAsia="Times New Roman" w:hAnsi="Times New Roman" w:cs="Times New Roman"/>
                <w:noProof/>
              </w:rPr>
              <w:t>2.5. Delivery, Governance, and Implementation Roadmap</w:t>
            </w:r>
            <w:r>
              <w:rPr>
                <w:noProof/>
                <w:webHidden/>
              </w:rPr>
              <w:tab/>
            </w:r>
            <w:r>
              <w:rPr>
                <w:noProof/>
                <w:webHidden/>
              </w:rPr>
              <w:fldChar w:fldCharType="begin"/>
            </w:r>
            <w:r>
              <w:rPr>
                <w:noProof/>
                <w:webHidden/>
              </w:rPr>
              <w:instrText xml:space="preserve"> PAGEREF _Toc225915935 \h </w:instrText>
            </w:r>
            <w:r>
              <w:rPr>
                <w:noProof/>
                <w:webHidden/>
              </w:rPr>
            </w:r>
            <w:r>
              <w:rPr>
                <w:noProof/>
                <w:webHidden/>
              </w:rPr>
              <w:fldChar w:fldCharType="separate"/>
            </w:r>
            <w:r>
              <w:rPr>
                <w:noProof/>
                <w:webHidden/>
              </w:rPr>
              <w:t>20</w:t>
            </w:r>
            <w:r>
              <w:rPr>
                <w:noProof/>
                <w:webHidden/>
              </w:rPr>
              <w:fldChar w:fldCharType="end"/>
            </w:r>
          </w:hyperlink>
        </w:p>
        <w:p w14:paraId="35D96F9B" w14:textId="519E851C" w:rsidR="00EE38AB" w:rsidRDefault="00EE38AB">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915936" w:history="1">
            <w:r w:rsidRPr="0052092A">
              <w:rPr>
                <w:rStyle w:val="Hyperlink"/>
                <w:rFonts w:ascii="Times New Roman" w:eastAsia="Times New Roman" w:hAnsi="Times New Roman" w:cs="Times New Roman"/>
                <w:noProof/>
              </w:rPr>
              <w:t>2.6. Learning Outcome Evidence Map</w:t>
            </w:r>
            <w:r>
              <w:rPr>
                <w:noProof/>
                <w:webHidden/>
              </w:rPr>
              <w:tab/>
            </w:r>
            <w:r>
              <w:rPr>
                <w:noProof/>
                <w:webHidden/>
              </w:rPr>
              <w:fldChar w:fldCharType="begin"/>
            </w:r>
            <w:r>
              <w:rPr>
                <w:noProof/>
                <w:webHidden/>
              </w:rPr>
              <w:instrText xml:space="preserve"> PAGEREF _Toc225915936 \h </w:instrText>
            </w:r>
            <w:r>
              <w:rPr>
                <w:noProof/>
                <w:webHidden/>
              </w:rPr>
            </w:r>
            <w:r>
              <w:rPr>
                <w:noProof/>
                <w:webHidden/>
              </w:rPr>
              <w:fldChar w:fldCharType="separate"/>
            </w:r>
            <w:r>
              <w:rPr>
                <w:noProof/>
                <w:webHidden/>
              </w:rPr>
              <w:t>26</w:t>
            </w:r>
            <w:r>
              <w:rPr>
                <w:noProof/>
                <w:webHidden/>
              </w:rPr>
              <w:fldChar w:fldCharType="end"/>
            </w:r>
          </w:hyperlink>
        </w:p>
        <w:p w14:paraId="719B614D" w14:textId="52771933" w:rsidR="00EE38AB" w:rsidRDefault="00EE38AB">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915937" w:history="1">
            <w:r w:rsidRPr="0052092A">
              <w:rPr>
                <w:rStyle w:val="Hyperlink"/>
                <w:rFonts w:ascii="Times New Roman" w:eastAsia="Times New Roman" w:hAnsi="Times New Roman" w:cs="Times New Roman"/>
                <w:noProof/>
              </w:rPr>
              <w:t>CHAPTER 3  CONCLUSION</w:t>
            </w:r>
            <w:r>
              <w:rPr>
                <w:noProof/>
                <w:webHidden/>
              </w:rPr>
              <w:tab/>
            </w:r>
            <w:r>
              <w:rPr>
                <w:noProof/>
                <w:webHidden/>
              </w:rPr>
              <w:fldChar w:fldCharType="begin"/>
            </w:r>
            <w:r>
              <w:rPr>
                <w:noProof/>
                <w:webHidden/>
              </w:rPr>
              <w:instrText xml:space="preserve"> PAGEREF _Toc225915937 \h </w:instrText>
            </w:r>
            <w:r>
              <w:rPr>
                <w:noProof/>
                <w:webHidden/>
              </w:rPr>
            </w:r>
            <w:r>
              <w:rPr>
                <w:noProof/>
                <w:webHidden/>
              </w:rPr>
              <w:fldChar w:fldCharType="separate"/>
            </w:r>
            <w:r>
              <w:rPr>
                <w:noProof/>
                <w:webHidden/>
              </w:rPr>
              <w:t>28</w:t>
            </w:r>
            <w:r>
              <w:rPr>
                <w:noProof/>
                <w:webHidden/>
              </w:rPr>
              <w:fldChar w:fldCharType="end"/>
            </w:r>
          </w:hyperlink>
        </w:p>
        <w:p w14:paraId="70F0B890" w14:textId="4FB134E6" w:rsidR="00EE38AB" w:rsidRDefault="00EE38AB">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915938" w:history="1">
            <w:r w:rsidRPr="0052092A">
              <w:rPr>
                <w:rStyle w:val="Hyperlink"/>
                <w:rFonts w:ascii="Times New Roman" w:eastAsia="Times New Roman" w:hAnsi="Times New Roman" w:cs="Times New Roman"/>
                <w:noProof/>
              </w:rPr>
              <w:t>BIBLIOGRAPHY</w:t>
            </w:r>
            <w:r>
              <w:rPr>
                <w:noProof/>
                <w:webHidden/>
              </w:rPr>
              <w:tab/>
            </w:r>
            <w:r>
              <w:rPr>
                <w:noProof/>
                <w:webHidden/>
              </w:rPr>
              <w:fldChar w:fldCharType="begin"/>
            </w:r>
            <w:r>
              <w:rPr>
                <w:noProof/>
                <w:webHidden/>
              </w:rPr>
              <w:instrText xml:space="preserve"> PAGEREF _Toc225915938 \h </w:instrText>
            </w:r>
            <w:r>
              <w:rPr>
                <w:noProof/>
                <w:webHidden/>
              </w:rPr>
            </w:r>
            <w:r>
              <w:rPr>
                <w:noProof/>
                <w:webHidden/>
              </w:rPr>
              <w:fldChar w:fldCharType="separate"/>
            </w:r>
            <w:r>
              <w:rPr>
                <w:noProof/>
                <w:webHidden/>
              </w:rPr>
              <w:t>30</w:t>
            </w:r>
            <w:r>
              <w:rPr>
                <w:noProof/>
                <w:webHidden/>
              </w:rPr>
              <w:fldChar w:fldCharType="end"/>
            </w:r>
          </w:hyperlink>
        </w:p>
        <w:p w14:paraId="6B2531AE" w14:textId="5DE5543D" w:rsidR="000B15B3" w:rsidRDefault="000B15B3">
          <w:r>
            <w:rPr>
              <w:b/>
              <w:bCs/>
              <w:noProof/>
            </w:rPr>
            <w:fldChar w:fldCharType="end"/>
          </w:r>
        </w:p>
      </w:sdtContent>
    </w:sdt>
    <w:p w14:paraId="45CEF102" w14:textId="77777777" w:rsidR="00DF1BB5" w:rsidRDefault="003C7292">
      <w:pPr>
        <w:rPr>
          <w:rFonts w:ascii="Times New Roman" w:eastAsia="Times New Roman" w:hAnsi="Times New Roman" w:cs="Times New Roman"/>
          <w:sz w:val="28"/>
          <w:szCs w:val="28"/>
        </w:rPr>
        <w:sectPr w:rsidR="00DF1BB5" w:rsidSect="000D2BC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start="1"/>
          <w:cols w:space="720"/>
          <w:titlePg/>
        </w:sectPr>
      </w:pPr>
      <w:r>
        <w:br w:type="page"/>
      </w:r>
    </w:p>
    <w:p w14:paraId="45CEF103" w14:textId="77777777" w:rsidR="00DF1BB5" w:rsidRPr="000B15B3" w:rsidRDefault="003C7292" w:rsidP="000B15B3">
      <w:pPr>
        <w:pStyle w:val="Heading1"/>
        <w:jc w:val="center"/>
        <w:rPr>
          <w:rFonts w:ascii="Times New Roman" w:hAnsi="Times New Roman" w:cs="Times New Roman"/>
          <w:color w:val="000000" w:themeColor="text1"/>
          <w:sz w:val="24"/>
          <w:szCs w:val="24"/>
        </w:rPr>
      </w:pPr>
      <w:bookmarkStart w:id="1" w:name="_Toc225915929"/>
      <w:r w:rsidRPr="000B15B3">
        <w:rPr>
          <w:rFonts w:ascii="Times New Roman" w:hAnsi="Times New Roman" w:cs="Times New Roman"/>
          <w:color w:val="000000" w:themeColor="text1"/>
          <w:sz w:val="24"/>
          <w:szCs w:val="24"/>
        </w:rPr>
        <w:lastRenderedPageBreak/>
        <w:t xml:space="preserve">CHAPTER 1 </w:t>
      </w:r>
      <w:r w:rsidRPr="000B15B3">
        <w:rPr>
          <w:rFonts w:ascii="Times New Roman" w:hAnsi="Times New Roman" w:cs="Times New Roman"/>
          <w:color w:val="000000" w:themeColor="text1"/>
          <w:sz w:val="24"/>
          <w:szCs w:val="24"/>
        </w:rPr>
        <w:br/>
        <w:t>INTRODUCTION</w:t>
      </w:r>
      <w:bookmarkEnd w:id="1"/>
    </w:p>
    <w:p w14:paraId="45CEF104" w14:textId="77777777" w:rsidR="00DF1BB5" w:rsidRDefault="00DF1BB5"/>
    <w:p w14:paraId="03526D44" w14:textId="14991277"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The business OTCA has today, which is language education is stable economically but structurally unsound. Language learning can no longer be presented as a justifiable specialty in the late 2020s. Artificial intelligence (AI) tutors, lots of free digital content and creator-centric models of micro-education are increasingly commoditising it. At the same time, hybrid learning has also been normalized after Covid, making consumer choice and switching costs less and increasing competitive rivalry. The impact of this is a structural squeeze: language course providers are forced to pay more to acquire and are under pressure to reduce their prices at the same time as more and more substitutes appear and are considered to be of a sufficiently good quality by the market.</w:t>
      </w:r>
    </w:p>
    <w:p w14:paraId="20564BEF" w14:textId="203996B1"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The proposal presents the idea that the main issue behind OTCA is not an operational inefficiency, but structural obsoleteness regarding the changing logic of the industry. The conventional one-trad-selling courses model- this model is based on linear scaling where the revenue is directly related to teaching capacity and marketing expenditure. This model is less scalable, marginalized, and it makes it less defensible in the long term. Conversely, future of education has been moving towards the creation of value of the ecosystem where the organization is able to combine content, community, technology, and outcomes into the system.</w:t>
      </w:r>
    </w:p>
    <w:p w14:paraId="3D7B5627" w14:textId="543D6E27"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 xml:space="preserve">Towards this structural challenge, the following report suggests a truly disruptive reinvention OTCA can become an AI-based global education media and talent ecosystem by turning it into a language education provider. Language teaching in this state of the future still appears as a fundamental ability, but now it becomes a point of accessibility to a wider value stream. In selling instructional time, OTCA coordinates a framework that produces results; community membership, credential preparation, and access to global talent resources. This re-positioning </w:t>
      </w:r>
      <w:r w:rsidRPr="005432C1">
        <w:rPr>
          <w:rFonts w:ascii="Times New Roman" w:eastAsia="Times New Roman" w:hAnsi="Times New Roman" w:cs="Times New Roman"/>
          <w:sz w:val="24"/>
          <w:szCs w:val="24"/>
        </w:rPr>
        <w:lastRenderedPageBreak/>
        <w:t>radically alters the role of the firm to being more of an ecosystem orchestrator rather than a service provider.</w:t>
      </w:r>
    </w:p>
    <w:p w14:paraId="3623B817" w14:textId="131792DF"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 xml:space="preserve">The change is implemented with a dual logic of transformation wherein, the two strategic agendas are followed. Transformation A aims at safeguarding and maximizing the current course business to sustain cash flow and business stability. Transformation B develops the next-generation ecosystem, which brings new capabilities, revenue streams and organizational forms. This practice fits into the Harvard Business Review argument that reinvention demands organizations to operate in the present and at the same time build the future instead of postponing change until the current paradigm becomes unsustainable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{"citationID":"vUy9aX1P","properties":{"formattedCitation":"(Anthony, 2017)","plainCitation":"(Anthony, 2017)","noteIndex":0},"citationItems":[{"id":192,"uris":["http://zotero.org/users/local/Xt9Z7MiI/items/QUPTE2CG"],"itemData":{"id":192,"type":"webpage","container-title":"Harvard Business Review","note":"journalAbbreviation: Harvard Business Review","title":"To Reinvent Your Firm, Do Two Things at the Same Time","URL":"https://hbr.org/podcast/2017/04/to-reinvent-your-firm-do-two-things-at-the-same-time","author":[{"family":"Anthony","given":"Scott D."}],"issued":{"date-parts":[["2017",4,13]]}}}],"schema":"https://github.com/citation-style-language/schema/raw/master/csl-citation.json"}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(Anthony, 2017)</w:t>
      </w:r>
      <w:r w:rsidR="00EE38AB">
        <w:rPr>
          <w:rFonts w:ascii="Times New Roman" w:eastAsia="Times New Roman" w:hAnsi="Times New Roman" w:cs="Times New Roman"/>
          <w:sz w:val="24"/>
          <w:szCs w:val="24"/>
        </w:rPr>
        <w:fldChar w:fldCharType="end"/>
      </w:r>
      <w:r w:rsidRPr="005432C1">
        <w:rPr>
          <w:rFonts w:ascii="Times New Roman" w:eastAsia="Times New Roman" w:hAnsi="Times New Roman" w:cs="Times New Roman"/>
          <w:sz w:val="24"/>
          <w:szCs w:val="24"/>
        </w:rPr>
        <w:t>. Sequential transformation is especially risky when dealing with fast moving industries because in most cases, it will lead to late and reactive pivots.</w:t>
      </w:r>
    </w:p>
    <w:p w14:paraId="025F7888" w14:textId="5B237B38"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 xml:space="preserve">One of the crucial design principles of this proposal is that innovation metrics and mature financial metrics are to be separated. Lack of innovation in many organizations is because they assess the unestablished projects with the financial standards applied to business units. It results in early abortions of programs that are yet to prove their worth. In line with the argument of HBR, the present proposal will implement the staged measurement strategy: early initiatives assessment is carried out based on discovery and validation metrics (the level of engagement, retention, and intention to pay), and financial performance will become the main metric only after product-market fit is found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{"citationID":"7f7GpGSs","properties":{"formattedCitation":"(Kirsner, 2021)","plainCitation":"(Kirsner, 2021)","noteIndex":0},"citationItems":[{"id":193,"uris":["http://zotero.org/users/local/Xt9Z7MiI/items/MXNLMYAX"],"itemData":{"id":193,"type":"webpage","container-title":"Harvard Business Review","note":"journalAbbreviation: Harvard Business Review","title":"Don’t Let Financial Metrics Prematurely Stifle Innovation","URL":"https://hbr.org/2021/03/dont-let-financial-metrics-prematurely-stifle-innovation","author":[{"family":"Kirsner","given":"Scott"}],"issued":{"date-parts":[["2021",3,31]]}}}],"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(Kirsner, 2021)</w:t>
      </w:r>
      <w:r w:rsidR="00EE38AB">
        <w:rPr>
          <w:rFonts w:ascii="Times New Roman" w:eastAsia="Times New Roman" w:hAnsi="Times New Roman" w:cs="Times New Roman"/>
          <w:sz w:val="24"/>
          <w:szCs w:val="24"/>
        </w:rPr>
        <w:fldChar w:fldCharType="end"/>
      </w:r>
      <w:r w:rsidR="00EE38AB">
        <w:rPr>
          <w:rFonts w:ascii="Times New Roman" w:eastAsia="Times New Roman" w:hAnsi="Times New Roman" w:cs="Times New Roman"/>
          <w:sz w:val="24"/>
          <w:szCs w:val="24"/>
        </w:rPr>
        <w:t xml:space="preserve">. </w:t>
      </w:r>
      <w:r w:rsidRPr="005432C1">
        <w:rPr>
          <w:rFonts w:ascii="Times New Roman" w:eastAsia="Times New Roman" w:hAnsi="Times New Roman" w:cs="Times New Roman"/>
          <w:sz w:val="24"/>
          <w:szCs w:val="24"/>
        </w:rPr>
        <w:t xml:space="preserve">This will make sure that innovation is not limited by the </w:t>
      </w:r>
      <w:r w:rsidR="00EE38AB" w:rsidRPr="005432C1">
        <w:rPr>
          <w:rFonts w:ascii="Times New Roman" w:eastAsia="Times New Roman" w:hAnsi="Times New Roman" w:cs="Times New Roman"/>
          <w:sz w:val="24"/>
          <w:szCs w:val="24"/>
        </w:rPr>
        <w:t>short-term</w:t>
      </w:r>
      <w:r w:rsidRPr="005432C1">
        <w:rPr>
          <w:rFonts w:ascii="Times New Roman" w:eastAsia="Times New Roman" w:hAnsi="Times New Roman" w:cs="Times New Roman"/>
          <w:sz w:val="24"/>
          <w:szCs w:val="24"/>
        </w:rPr>
        <w:t xml:space="preserve"> financial pressures.</w:t>
      </w:r>
    </w:p>
    <w:p w14:paraId="239FB3A1" w14:textId="77777777"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The proposed ecosystem is premised on four combination engines that in turn reinvent the growth and value creation model of OTCA.</w:t>
      </w:r>
    </w:p>
    <w:p w14:paraId="40BAE023" w14:textId="77777777" w:rsidR="005432C1" w:rsidRPr="005432C1" w:rsidRDefault="005432C1" w:rsidP="005432C1">
      <w:pPr>
        <w:spacing w:line="480" w:lineRule="auto"/>
        <w:jc w:val="both"/>
        <w:rPr>
          <w:rFonts w:ascii="Times New Roman" w:eastAsia="Times New Roman" w:hAnsi="Times New Roman" w:cs="Times New Roman"/>
          <w:sz w:val="24"/>
          <w:szCs w:val="24"/>
        </w:rPr>
      </w:pPr>
    </w:p>
    <w:p w14:paraId="09E8D690" w14:textId="205A8303"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lastRenderedPageBreak/>
        <w:t xml:space="preserve">To begin with, an attention engine powered by the media crowds out traditional marketing as the major growth powerhouse. OTCA does not resort to overuse of paid advertising but builds a well-organized system of content with an apparent editorial thesis, regular production rhythm, and constant experimentation. This is not about being visible, but power and credibility in a specific niche. This shows the views of McKinsey and Company, which believe that once formalized, creativity and innovation can contribute to growth as opposed to the peripheral acts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{"citationID":"PwPU2Z8x","properties":{"formattedCitation":"({\\i{}Celebrating Creativity and Innovation}, 2020)","plainCitation":"(Celebrating Creativity and Innovation, 2020)","noteIndex":0},"citationItems":[{"id":200,"uris":["http://zotero.org/users/local/Xt9Z7MiI/items/SNEDGZFX"],"itemData":{"id":200,"type":"webpage","container-title":"McKinsey &amp; Company","note":"journalAbbreviation: McKinsey &amp; Company","title":"Celebrating Creativity and Innovation","URL":"https://www.mckinsey.com/featured-insights/themes/celebrating-creativity-and-innovation","issued":{"date-parts":[["2020"]]}}}],"schema":"https://github.com/citation-style-language/schema/raw/master/csl-citation.json"}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w:t>
      </w:r>
      <w:r w:rsidR="00EE38AB" w:rsidRPr="00EE38AB">
        <w:rPr>
          <w:rFonts w:ascii="Times New Roman" w:hAnsi="Times New Roman" w:cs="Times New Roman"/>
          <w:i/>
          <w:iCs/>
          <w:sz w:val="24"/>
        </w:rPr>
        <w:t>Celebrating Creativity and Innovation</w:t>
      </w:r>
      <w:r w:rsidR="00EE38AB" w:rsidRPr="00EE38AB">
        <w:rPr>
          <w:rFonts w:ascii="Times New Roman" w:hAnsi="Times New Roman" w:cs="Times New Roman"/>
          <w:sz w:val="24"/>
        </w:rPr>
        <w:t>, 2020)</w:t>
      </w:r>
      <w:r w:rsidR="00EE38AB">
        <w:rPr>
          <w:rFonts w:ascii="Times New Roman" w:eastAsia="Times New Roman" w:hAnsi="Times New Roman" w:cs="Times New Roman"/>
          <w:sz w:val="24"/>
          <w:szCs w:val="24"/>
        </w:rPr>
        <w:fldChar w:fldCharType="end"/>
      </w:r>
      <w:r w:rsidR="00EE38AB">
        <w:rPr>
          <w:rFonts w:ascii="Times New Roman" w:eastAsia="Times New Roman" w:hAnsi="Times New Roman" w:cs="Times New Roman"/>
          <w:sz w:val="24"/>
          <w:szCs w:val="24"/>
        </w:rPr>
        <w:t xml:space="preserve">. </w:t>
      </w:r>
      <w:r w:rsidRPr="005432C1">
        <w:rPr>
          <w:rFonts w:ascii="Times New Roman" w:eastAsia="Times New Roman" w:hAnsi="Times New Roman" w:cs="Times New Roman"/>
          <w:sz w:val="24"/>
          <w:szCs w:val="24"/>
        </w:rPr>
        <w:t xml:space="preserve">Content in this model is not a marketing </w:t>
      </w:r>
      <w:r w:rsidR="00EE38AB" w:rsidRPr="005432C1">
        <w:rPr>
          <w:rFonts w:ascii="Times New Roman" w:eastAsia="Times New Roman" w:hAnsi="Times New Roman" w:cs="Times New Roman"/>
          <w:sz w:val="24"/>
          <w:szCs w:val="24"/>
        </w:rPr>
        <w:t>support;</w:t>
      </w:r>
      <w:r w:rsidRPr="005432C1">
        <w:rPr>
          <w:rFonts w:ascii="Times New Roman" w:eastAsia="Times New Roman" w:hAnsi="Times New Roman" w:cs="Times New Roman"/>
          <w:sz w:val="24"/>
          <w:szCs w:val="24"/>
        </w:rPr>
        <w:t xml:space="preserve"> it is a strategic asset.</w:t>
      </w:r>
    </w:p>
    <w:p w14:paraId="6738AE0F" w14:textId="675FC7DD"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Second, the audience attention is transformed into long-term relationships through a community and data layer. OTCA develops an owned community by membership programs, events, and lifecycle management systems, which enhance retention and the lifetime value of customers. This layer makes the creation of the first-party data assets, essential in the post-cookie digital setting, possible as well. Making transactional interactions less important and resorting to the constant interaction, OTCA grows less dependent on the constant customer base acquisition and creates a more robust business model.</w:t>
      </w:r>
    </w:p>
    <w:p w14:paraId="6588214D" w14:textId="65CEF67E"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 xml:space="preserve">Thirdly, AI enhanced learning products serve as a structural force of scalability. Instead of considering AI as an extra resource, this proposal is built around the idea of building AI into the business infrastructure. OTCA-related AI tutor, adaption microlearning systems and </w:t>
      </w:r>
      <w:r w:rsidR="00EE38AB" w:rsidRPr="005432C1">
        <w:rPr>
          <w:rFonts w:ascii="Times New Roman" w:eastAsia="Times New Roman" w:hAnsi="Times New Roman" w:cs="Times New Roman"/>
          <w:sz w:val="24"/>
          <w:szCs w:val="24"/>
        </w:rPr>
        <w:t>coaches’</w:t>
      </w:r>
      <w:r w:rsidRPr="005432C1">
        <w:rPr>
          <w:rFonts w:ascii="Times New Roman" w:eastAsia="Times New Roman" w:hAnsi="Times New Roman" w:cs="Times New Roman"/>
          <w:sz w:val="24"/>
          <w:szCs w:val="24"/>
        </w:rPr>
        <w:t xml:space="preserve"> dashboards improve the learning results with less reliance on instructor hours. This changes cost structure of the organization allowing it to scale non-linearly and achieve better margins. Notably, AI is used in a governance system that can guarantee accuracy, transparency, and ethical application, which is in line with the emerging global practices.</w:t>
      </w:r>
    </w:p>
    <w:p w14:paraId="6A043134" w14:textId="5A9038D7"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 xml:space="preserve">Fourth, there is a talent and partnership layer, which is the monetary outcome of action. OTCA makes money off placement fees, sponsorships, and programs created in partnership with other </w:t>
      </w:r>
      <w:r w:rsidRPr="005432C1">
        <w:rPr>
          <w:rFonts w:ascii="Times New Roman" w:eastAsia="Times New Roman" w:hAnsi="Times New Roman" w:cs="Times New Roman"/>
          <w:sz w:val="24"/>
          <w:szCs w:val="24"/>
        </w:rPr>
        <w:lastRenderedPageBreak/>
        <w:t>players in the ecosystem by setting up partnerships with employers, institutions, and ecosystem players. This changes the organization to that of an orchestrator where value is created through coordination of networks other than solitary provision of services. The layer also enhances the defensibility, since integrated ecosystems are much harder to counterfeit in comparison to independent products.</w:t>
      </w:r>
    </w:p>
    <w:p w14:paraId="6C34C284" w14:textId="5B219581"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The project has an elaborate analytical framework. It encompasses PESTLE and Porters Five Forces analysis to evaluate the external forces, SWOT and TOWS matrices to convert knowledge into strategy, and root-cause analysis to determine constraints in the structure. Decision making models such as the opportunity prioritization checklist developed by HBR are implemented in order to have disciplined allocation of resources. The new value architecture is established via the Business Model Canvas and organization redesigned via the Business Model Canvas to guarantee that the strategy is aligned with the execution. Adapted versions of the Kotter and Lewin models are applied to change management and special emphasis is laid on the motivation, clarity of roles, and developing capability.</w:t>
      </w:r>
    </w:p>
    <w:p w14:paraId="7ADEA3DD" w14:textId="2C9649F0"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 xml:space="preserve">On a macro level, the proposal displays some of the trends that set the late-2020s business climate: the disruption of the technological environment, </w:t>
      </w:r>
      <w:r w:rsidR="00EE38AB" w:rsidRPr="005432C1">
        <w:rPr>
          <w:rFonts w:ascii="Times New Roman" w:eastAsia="Times New Roman" w:hAnsi="Times New Roman" w:cs="Times New Roman"/>
          <w:sz w:val="24"/>
          <w:szCs w:val="24"/>
        </w:rPr>
        <w:t>behavioural</w:t>
      </w:r>
      <w:r w:rsidRPr="005432C1">
        <w:rPr>
          <w:rFonts w:ascii="Times New Roman" w:eastAsia="Times New Roman" w:hAnsi="Times New Roman" w:cs="Times New Roman"/>
          <w:sz w:val="24"/>
          <w:szCs w:val="24"/>
        </w:rPr>
        <w:t xml:space="preserve"> changes in the aftermath of the pandemic, and the growing focus on sustainability and morally right practice. On the micro level it deals with internal issues like capability gap, organizational resistance and performance measurement. The implementation plan covers a period of 0-18 months with staged milestones, key performance indicators, and allocation plan.</w:t>
      </w:r>
    </w:p>
    <w:p w14:paraId="45E42077" w14:textId="40B3A8A8"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The proposal employs strict assumptions where explicit assumptions are applied where OTCA-specific information is not available so as to foster analytical rigor but at the same time, be flexible. It is possible to substitute these assumptions with real data in the first implementation phase without changing the logic of the implementation.</w:t>
      </w:r>
    </w:p>
    <w:p w14:paraId="31C9363C" w14:textId="5B5B37B0"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lastRenderedPageBreak/>
        <w:t>Lastly, the proposal clearly meets the four learning outcomes needed in this module. It will show the advanced understanding of industry frontiers (LO1), implement more advanced analytical and decision-making frameworks (LO2), presents a position of authority and innovation of strategic position (LO3), develops a new business model and is on the edge of practice (LO4).</w:t>
      </w:r>
    </w:p>
    <w:p w14:paraId="0F326621" w14:textId="77777777" w:rsidR="005432C1" w:rsidRPr="005432C1" w:rsidRDefault="005432C1" w:rsidP="005432C1">
      <w:pPr>
        <w:spacing w:line="480" w:lineRule="auto"/>
        <w:jc w:val="both"/>
        <w:rPr>
          <w:rFonts w:ascii="Times New Roman" w:eastAsia="Times New Roman" w:hAnsi="Times New Roman" w:cs="Times New Roman"/>
          <w:sz w:val="24"/>
          <w:szCs w:val="24"/>
        </w:rPr>
      </w:pPr>
      <w:r w:rsidRPr="005432C1">
        <w:rPr>
          <w:rFonts w:ascii="Times New Roman" w:eastAsia="Times New Roman" w:hAnsi="Times New Roman" w:cs="Times New Roman"/>
          <w:sz w:val="24"/>
          <w:szCs w:val="24"/>
        </w:rPr>
        <w:t>To sum up, this reinvention does not represent a facet in the strategy of bettering OTCA but a shift in the essence of its responsibility in its own industry. Swerving towards an AI-based ecosystem model, OTCA will be able to overcome the constraints of the old model of education and build a scalable, resilient, and future-proof organization. The change does not exist as an option, but rather as a strategic requirement of remaining relevant and competitive in a constantly changing, technological world.</w:t>
      </w:r>
    </w:p>
    <w:p w14:paraId="74B13E34" w14:textId="77777777" w:rsidR="00A24993" w:rsidRDefault="00A24993" w:rsidP="00DF3909">
      <w:pPr>
        <w:spacing w:line="480" w:lineRule="auto"/>
        <w:jc w:val="both"/>
        <w:rPr>
          <w:rFonts w:ascii="Times New Roman" w:eastAsia="Times New Roman" w:hAnsi="Times New Roman" w:cs="Times New Roman"/>
          <w:sz w:val="24"/>
          <w:szCs w:val="24"/>
        </w:rPr>
      </w:pPr>
    </w:p>
    <w:p w14:paraId="5CF9906B" w14:textId="77777777" w:rsidR="00DF3909" w:rsidRDefault="00DF3909">
      <w:pPr>
        <w:spacing w:line="480" w:lineRule="auto"/>
        <w:jc w:val="both"/>
        <w:rPr>
          <w:rFonts w:ascii="Times New Roman" w:eastAsia="Times New Roman" w:hAnsi="Times New Roman" w:cs="Times New Roman"/>
          <w:sz w:val="24"/>
          <w:szCs w:val="24"/>
        </w:rPr>
      </w:pPr>
    </w:p>
    <w:p w14:paraId="677B180E" w14:textId="77777777" w:rsidR="005432C1" w:rsidRDefault="005432C1">
      <w:pPr>
        <w:spacing w:line="480" w:lineRule="auto"/>
        <w:jc w:val="both"/>
        <w:rPr>
          <w:rFonts w:ascii="Times New Roman" w:eastAsia="Times New Roman" w:hAnsi="Times New Roman" w:cs="Times New Roman"/>
          <w:sz w:val="24"/>
          <w:szCs w:val="24"/>
        </w:rPr>
      </w:pPr>
    </w:p>
    <w:p w14:paraId="345D446E" w14:textId="77777777" w:rsidR="005432C1" w:rsidRDefault="005432C1">
      <w:pPr>
        <w:spacing w:line="480" w:lineRule="auto"/>
        <w:jc w:val="both"/>
        <w:rPr>
          <w:rFonts w:ascii="Times New Roman" w:eastAsia="Times New Roman" w:hAnsi="Times New Roman" w:cs="Times New Roman"/>
          <w:sz w:val="24"/>
          <w:szCs w:val="24"/>
        </w:rPr>
      </w:pPr>
    </w:p>
    <w:p w14:paraId="0019FA9A" w14:textId="77777777" w:rsidR="005432C1" w:rsidRDefault="005432C1">
      <w:pPr>
        <w:spacing w:line="480" w:lineRule="auto"/>
        <w:jc w:val="both"/>
        <w:rPr>
          <w:rFonts w:ascii="Times New Roman" w:eastAsia="Times New Roman" w:hAnsi="Times New Roman" w:cs="Times New Roman"/>
          <w:sz w:val="24"/>
          <w:szCs w:val="24"/>
        </w:rPr>
      </w:pPr>
    </w:p>
    <w:p w14:paraId="0F1C1038" w14:textId="77777777" w:rsidR="005432C1" w:rsidRDefault="005432C1">
      <w:pPr>
        <w:spacing w:line="480" w:lineRule="auto"/>
        <w:jc w:val="both"/>
        <w:rPr>
          <w:rFonts w:ascii="Times New Roman" w:eastAsia="Times New Roman" w:hAnsi="Times New Roman" w:cs="Times New Roman"/>
          <w:sz w:val="24"/>
          <w:szCs w:val="24"/>
        </w:rPr>
      </w:pPr>
    </w:p>
    <w:p w14:paraId="1BAA4BD6" w14:textId="77777777" w:rsidR="005432C1" w:rsidRDefault="005432C1">
      <w:pPr>
        <w:spacing w:line="480" w:lineRule="auto"/>
        <w:jc w:val="both"/>
        <w:rPr>
          <w:rFonts w:ascii="Times New Roman" w:eastAsia="Times New Roman" w:hAnsi="Times New Roman" w:cs="Times New Roman"/>
          <w:sz w:val="24"/>
          <w:szCs w:val="24"/>
        </w:rPr>
      </w:pPr>
    </w:p>
    <w:p w14:paraId="0B6D732F" w14:textId="77777777" w:rsidR="005432C1" w:rsidRDefault="005432C1">
      <w:pPr>
        <w:spacing w:line="480" w:lineRule="auto"/>
        <w:jc w:val="both"/>
        <w:rPr>
          <w:rFonts w:ascii="Times New Roman" w:eastAsia="Times New Roman" w:hAnsi="Times New Roman" w:cs="Times New Roman"/>
          <w:sz w:val="24"/>
          <w:szCs w:val="24"/>
        </w:rPr>
      </w:pPr>
    </w:p>
    <w:p w14:paraId="75E7A668" w14:textId="77777777" w:rsidR="005432C1" w:rsidRDefault="005432C1">
      <w:pPr>
        <w:spacing w:line="480" w:lineRule="auto"/>
        <w:jc w:val="both"/>
        <w:rPr>
          <w:rFonts w:ascii="Times New Roman" w:eastAsia="Times New Roman" w:hAnsi="Times New Roman" w:cs="Times New Roman"/>
          <w:sz w:val="24"/>
          <w:szCs w:val="24"/>
        </w:rPr>
      </w:pPr>
    </w:p>
    <w:p w14:paraId="45CEF115" w14:textId="77777777" w:rsidR="00DF1BB5" w:rsidRDefault="00DF1BB5">
      <w:pPr>
        <w:spacing w:line="480" w:lineRule="auto"/>
        <w:jc w:val="both"/>
        <w:rPr>
          <w:rFonts w:ascii="Times New Roman" w:eastAsia="Times New Roman" w:hAnsi="Times New Roman" w:cs="Times New Roman"/>
          <w:sz w:val="28"/>
          <w:szCs w:val="28"/>
        </w:rPr>
      </w:pPr>
    </w:p>
    <w:p w14:paraId="45CEF116" w14:textId="77777777" w:rsidR="00DF1BB5" w:rsidRPr="000B15B3" w:rsidRDefault="003C7292" w:rsidP="000B15B3">
      <w:pPr>
        <w:pStyle w:val="Heading1"/>
        <w:jc w:val="center"/>
        <w:rPr>
          <w:rFonts w:ascii="Times New Roman" w:hAnsi="Times New Roman" w:cs="Times New Roman"/>
          <w:color w:val="000000" w:themeColor="text1"/>
          <w:sz w:val="24"/>
          <w:szCs w:val="24"/>
        </w:rPr>
      </w:pPr>
      <w:bookmarkStart w:id="2" w:name="_Toc225915930"/>
      <w:r w:rsidRPr="000B15B3">
        <w:rPr>
          <w:rFonts w:ascii="Times New Roman" w:hAnsi="Times New Roman" w:cs="Times New Roman"/>
          <w:color w:val="000000" w:themeColor="text1"/>
          <w:sz w:val="24"/>
          <w:szCs w:val="24"/>
        </w:rPr>
        <w:lastRenderedPageBreak/>
        <w:t xml:space="preserve">CHAPTER 2 </w:t>
      </w:r>
      <w:r w:rsidRPr="000B15B3">
        <w:rPr>
          <w:rFonts w:ascii="Times New Roman" w:hAnsi="Times New Roman" w:cs="Times New Roman"/>
          <w:color w:val="000000" w:themeColor="text1"/>
          <w:sz w:val="24"/>
          <w:szCs w:val="24"/>
        </w:rPr>
        <w:br/>
        <w:t>DISCUSSION</w:t>
      </w:r>
      <w:bookmarkEnd w:id="2"/>
    </w:p>
    <w:p w14:paraId="45CEF117" w14:textId="77777777" w:rsidR="00DF1BB5" w:rsidRDefault="00DF1BB5"/>
    <w:p w14:paraId="45CEF118" w14:textId="1ABEC16A" w:rsidR="00DF1BB5" w:rsidRDefault="003C7292">
      <w:pPr>
        <w:pStyle w:val="Heading2"/>
        <w:rPr>
          <w:rFonts w:ascii="Times New Roman" w:eastAsia="Times New Roman" w:hAnsi="Times New Roman" w:cs="Times New Roman"/>
          <w:color w:val="000000"/>
          <w:sz w:val="24"/>
          <w:szCs w:val="24"/>
        </w:rPr>
      </w:pPr>
      <w:bookmarkStart w:id="3" w:name="_Toc225915931"/>
      <w:r>
        <w:rPr>
          <w:rFonts w:ascii="Times New Roman" w:eastAsia="Times New Roman" w:hAnsi="Times New Roman" w:cs="Times New Roman"/>
          <w:color w:val="000000"/>
          <w:sz w:val="24"/>
          <w:szCs w:val="24"/>
        </w:rPr>
        <w:t xml:space="preserve">2.1. </w:t>
      </w:r>
      <w:r w:rsidR="00FD6AD9">
        <w:rPr>
          <w:rFonts w:ascii="Times New Roman" w:eastAsia="Times New Roman" w:hAnsi="Times New Roman" w:cs="Times New Roman"/>
          <w:color w:val="000000"/>
          <w:sz w:val="24"/>
          <w:szCs w:val="24"/>
        </w:rPr>
        <w:t>Context and Case for Reinvention</w:t>
      </w:r>
      <w:bookmarkEnd w:id="3"/>
    </w:p>
    <w:p w14:paraId="05B8E1F0" w14:textId="77777777" w:rsidR="00FD6AD9" w:rsidRDefault="00FD6AD9" w:rsidP="00FD6AD9"/>
    <w:p w14:paraId="45CEF119" w14:textId="61BA3A29" w:rsidR="00DF1BB5" w:rsidRPr="00127A18" w:rsidRDefault="00FD6AD9" w:rsidP="00127A18">
      <w:pPr>
        <w:spacing w:line="480" w:lineRule="auto"/>
        <w:rPr>
          <w:rFonts w:ascii="Times New Roman" w:hAnsi="Times New Roman" w:cs="Times New Roman"/>
          <w:b/>
          <w:bCs/>
          <w:sz w:val="24"/>
          <w:szCs w:val="24"/>
        </w:rPr>
      </w:pPr>
      <w:r w:rsidRPr="00127A18">
        <w:rPr>
          <w:rFonts w:ascii="Times New Roman" w:hAnsi="Times New Roman" w:cs="Times New Roman"/>
          <w:b/>
          <w:bCs/>
          <w:sz w:val="24"/>
          <w:szCs w:val="24"/>
        </w:rPr>
        <w:t>OTCA`s current strategic position and constraint</w:t>
      </w:r>
    </w:p>
    <w:p w14:paraId="5AD8FD7C" w14:textId="77777777" w:rsidR="006E0A05" w:rsidRPr="006E0A05" w:rsidRDefault="006E0A05" w:rsidP="00127A18">
      <w:pPr>
        <w:spacing w:line="480" w:lineRule="auto"/>
        <w:jc w:val="both"/>
        <w:rPr>
          <w:rFonts w:ascii="Times New Roman" w:eastAsia="Times New Roman" w:hAnsi="Times New Roman" w:cs="Times New Roman"/>
          <w:sz w:val="24"/>
          <w:szCs w:val="24"/>
        </w:rPr>
      </w:pPr>
      <w:r w:rsidRPr="006E0A05">
        <w:rPr>
          <w:rFonts w:ascii="Times New Roman" w:eastAsia="Times New Roman" w:hAnsi="Times New Roman" w:cs="Times New Roman"/>
          <w:sz w:val="24"/>
          <w:szCs w:val="24"/>
        </w:rPr>
        <w:t>OTCA is believed to work more as a language teaching institution to facilitate global pathway aspirations (e.g., Germany pathway and Japan pathway). In the dominant model, the revenue is mainly generated by the tuition/course fees and other related advising. Expenses are also very dependent on the number of people (instructors, sales, support). The lack of competitive differentiation is due to the reproducibility of the content and methods of teaching, the low switching cost among the learners.</w:t>
      </w:r>
    </w:p>
    <w:p w14:paraId="6F2DAF92" w14:textId="07006E3A" w:rsidR="00C60ECC" w:rsidRPr="006E0A05" w:rsidRDefault="009B5128" w:rsidP="00127A1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Core Constrain:</w:t>
      </w:r>
      <w:r w:rsidR="006E0A05" w:rsidRPr="006E0A05">
        <w:rPr>
          <w:rFonts w:ascii="Times New Roman" w:eastAsia="Times New Roman" w:hAnsi="Times New Roman" w:cs="Times New Roman"/>
          <w:sz w:val="24"/>
          <w:szCs w:val="24"/>
        </w:rPr>
        <w:t xml:space="preserve"> the model is linear. The growth will need corresponding proportional growth in the availability of instructors, sales activity, or ad spend. In the meantime, alternatives (AI tutors, creator content, peer communities) decrease the readiness to pay for normal instruction.</w:t>
      </w:r>
    </w:p>
    <w:p w14:paraId="45CEF11F" w14:textId="634BC7FA" w:rsidR="00DF1BB5" w:rsidRPr="00127A18" w:rsidRDefault="007F2D78" w:rsidP="00127A18">
      <w:pPr>
        <w:spacing w:line="480" w:lineRule="auto"/>
        <w:rPr>
          <w:rFonts w:ascii="Times New Roman" w:hAnsi="Times New Roman" w:cs="Times New Roman"/>
          <w:b/>
          <w:bCs/>
          <w:sz w:val="24"/>
          <w:szCs w:val="24"/>
        </w:rPr>
      </w:pPr>
      <w:r w:rsidRPr="00127A18">
        <w:rPr>
          <w:rFonts w:ascii="Times New Roman" w:hAnsi="Times New Roman" w:cs="Times New Roman"/>
          <w:b/>
          <w:bCs/>
          <w:sz w:val="24"/>
          <w:szCs w:val="24"/>
        </w:rPr>
        <w:t>Evidence base and why the nine sources</w:t>
      </w:r>
      <w:r w:rsidR="00843323" w:rsidRPr="00127A18">
        <w:rPr>
          <w:rFonts w:ascii="Times New Roman" w:hAnsi="Times New Roman" w:cs="Times New Roman"/>
          <w:b/>
          <w:bCs/>
          <w:sz w:val="24"/>
          <w:szCs w:val="24"/>
        </w:rPr>
        <w:t xml:space="preserve"> are primary</w:t>
      </w:r>
    </w:p>
    <w:p w14:paraId="09B5ADF3" w14:textId="77777777" w:rsidR="007E78BE" w:rsidRPr="007E78BE" w:rsidRDefault="007E78BE" w:rsidP="00127A18">
      <w:pPr>
        <w:spacing w:line="480" w:lineRule="auto"/>
        <w:jc w:val="both"/>
        <w:rPr>
          <w:rFonts w:ascii="Times New Roman" w:eastAsia="Times New Roman" w:hAnsi="Times New Roman" w:cs="Times New Roman"/>
          <w:sz w:val="24"/>
          <w:szCs w:val="24"/>
        </w:rPr>
      </w:pPr>
      <w:r w:rsidRPr="007E78BE">
        <w:rPr>
          <w:rFonts w:ascii="Times New Roman" w:eastAsia="Times New Roman" w:hAnsi="Times New Roman" w:cs="Times New Roman"/>
          <w:sz w:val="24"/>
          <w:szCs w:val="24"/>
        </w:rPr>
        <w:t>The nine provided primary sources are specifically prioritized in this proposal due to the fact that they outline the fundamental management issues that OTCA has encountered:</w:t>
      </w:r>
    </w:p>
    <w:p w14:paraId="19DF0884" w14:textId="23FC0BB2" w:rsidR="007E78BE" w:rsidRPr="0082468B" w:rsidRDefault="007E78BE" w:rsidP="00127A18">
      <w:pPr>
        <w:pStyle w:val="ListParagraph"/>
        <w:numPr>
          <w:ilvl w:val="0"/>
          <w:numId w:val="25"/>
        </w:numPr>
        <w:spacing w:line="480" w:lineRule="auto"/>
        <w:jc w:val="both"/>
        <w:rPr>
          <w:rFonts w:ascii="Times New Roman" w:eastAsia="Times New Roman" w:hAnsi="Times New Roman" w:cs="Times New Roman"/>
          <w:sz w:val="24"/>
          <w:szCs w:val="24"/>
        </w:rPr>
      </w:pPr>
      <w:r w:rsidRPr="0082468B">
        <w:rPr>
          <w:rFonts w:ascii="Times New Roman" w:eastAsia="Times New Roman" w:hAnsi="Times New Roman" w:cs="Times New Roman"/>
          <w:sz w:val="24"/>
          <w:szCs w:val="24"/>
        </w:rPr>
        <w:t>Dual transformation</w:t>
      </w:r>
      <w:r w:rsidR="0082468B">
        <w:rPr>
          <w:rFonts w:ascii="Times New Roman" w:eastAsia="Times New Roman" w:hAnsi="Times New Roman" w:cs="Times New Roman"/>
          <w:sz w:val="24"/>
          <w:szCs w:val="24"/>
        </w:rPr>
        <w:t xml:space="preserve"> for reinvention</w:t>
      </w:r>
      <w:r w:rsidRPr="0082468B">
        <w:rPr>
          <w:rFonts w:ascii="Times New Roman" w:eastAsia="Times New Roman" w:hAnsi="Times New Roman" w:cs="Times New Roman"/>
          <w:sz w:val="24"/>
          <w:szCs w:val="24"/>
        </w:rPr>
        <w:t xml:space="preserve">: operating the business of today and tomorrow at the same time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{"citationID":"sHYy7lxb","properties":{"formattedCitation":"(Anthony, 2017)","plainCitation":"(Anthony, 2017)","noteIndex":0},"citationItems":[{"id":192,"uris":["http://zotero.org/users/local/Xt9Z7MiI/items/QUPTE2CG"],"itemData":{"id":192,"type":"webpage","container-title":"Harvard Business Review","note":"journalAbbreviation: Harvard Business Review","title":"To Reinvent Your Firm, Do Two Things at the Same Time","URL":"https://hbr.org/podcast/2017/04/to-reinvent-your-firm-do-two-things-at-the-same-time","author":[{"family":"Anthony","given":"Scott D."}],"issued":{"date-parts":[["2017",4,13]]}}}],"schema":"https://github.com/citation-style-language/schema/raw/master/csl-citation.json"}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(Anthony, 2017)</w:t>
      </w:r>
      <w:r w:rsidR="00EE38AB">
        <w:rPr>
          <w:rFonts w:ascii="Times New Roman" w:eastAsia="Times New Roman" w:hAnsi="Times New Roman" w:cs="Times New Roman"/>
          <w:sz w:val="24"/>
          <w:szCs w:val="24"/>
        </w:rPr>
        <w:fldChar w:fldCharType="end"/>
      </w:r>
    </w:p>
    <w:p w14:paraId="1C565D23" w14:textId="11812F30" w:rsidR="007E78BE" w:rsidRPr="0082468B" w:rsidRDefault="00B17390" w:rsidP="00127A18">
      <w:pPr>
        <w:pStyle w:val="ListParagraph"/>
        <w:numPr>
          <w:ilvl w:val="0"/>
          <w:numId w:val="2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measurement discipline</w:t>
      </w:r>
      <w:r w:rsidR="007E78BE" w:rsidRPr="0082468B">
        <w:rPr>
          <w:rFonts w:ascii="Times New Roman" w:eastAsia="Times New Roman" w:hAnsi="Times New Roman" w:cs="Times New Roman"/>
          <w:sz w:val="24"/>
          <w:szCs w:val="24"/>
        </w:rPr>
        <w:t xml:space="preserve">: do not choke innovation with too early financial performance measures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{"citationID":"FZg4hsOz","properties":{"formattedCitation":"(Kirsner, 2021)","plainCitation":"(Kirsner, 2021)","noteIndex":0},"citationItems":[{"id":193,"uris":["http://zotero.org/users/local/Xt9Z7MiI/items/MXNLMYAX"],"itemData":{"id":193,"type":"webpage","container-title":"Harvard Business Review","note":"journalAbbreviation: Harvard Business Review","title":"Don’t Let Financial Metrics Prematurely Stifle Innovation","URL":"https://hbr.org/2021/03/dont-let-financial-metrics-prematurely-stifle-innovation","author":[{"family":"Kirsner","given":"Scott"}],"issued":{"date-parts":[["2021",3,31]]}}}],"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(Kirsner, 2021)</w:t>
      </w:r>
      <w:r w:rsidR="00EE38AB">
        <w:rPr>
          <w:rFonts w:ascii="Times New Roman" w:eastAsia="Times New Roman" w:hAnsi="Times New Roman" w:cs="Times New Roman"/>
          <w:sz w:val="24"/>
          <w:szCs w:val="24"/>
        </w:rPr>
        <w:fldChar w:fldCharType="end"/>
      </w:r>
    </w:p>
    <w:p w14:paraId="383FCF7F" w14:textId="37B6DCB8" w:rsidR="007E78BE" w:rsidRPr="0082468B" w:rsidRDefault="00835A0B" w:rsidP="00127A18">
      <w:pPr>
        <w:pStyle w:val="ListParagraph"/>
        <w:numPr>
          <w:ilvl w:val="0"/>
          <w:numId w:val="2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model alignment</w:t>
      </w:r>
      <w:r w:rsidR="007E78BE" w:rsidRPr="0082468B">
        <w:rPr>
          <w:rFonts w:ascii="Times New Roman" w:eastAsia="Times New Roman" w:hAnsi="Times New Roman" w:cs="Times New Roman"/>
          <w:sz w:val="24"/>
          <w:szCs w:val="24"/>
        </w:rPr>
        <w:t>: companies need to align the way work is done with the strategic priorities</w:t>
      </w:r>
      <w:r w:rsidR="00375D9E">
        <w:rPr>
          <w:rFonts w:ascii="Times New Roman" w:eastAsia="Times New Roman" w:hAnsi="Times New Roman" w:cs="Times New Roman"/>
          <w:sz w:val="24"/>
          <w:szCs w:val="24"/>
        </w:rPr>
        <w:t>,</w:t>
      </w:r>
      <w:r w:rsidR="007E78BE" w:rsidRPr="0082468B">
        <w:rPr>
          <w:rFonts w:ascii="Times New Roman" w:eastAsia="Times New Roman" w:hAnsi="Times New Roman" w:cs="Times New Roman"/>
          <w:sz w:val="24"/>
          <w:szCs w:val="24"/>
        </w:rPr>
        <w:t xml:space="preserve"> particularly when work is being distributed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{"citationID":"USiaVyhI","properties":{"formattedCitation":"(Jesuthasan, 2019)","plainCitation":"(Jesuthasan, 2019)","noteIndex":0},"citationItems":[{"id":194,"uris":["http://zotero.org/users/local/Xt9Z7MiI/items/QSAVSKGP"],"itemData":{"id":194,"type":"webpage","container-title":"Harvard Business Review","note":"journalAbbreviation: Harvard Business Review","title":"The 8 Ways Companies Get Work Done, and How to Align Them","URL":"https://hbr.org/2019/08/the-8-ways-companies-get-work-done-and-how-to-align-them","author":[{"family":"Jesuthasan","given":"Ravin"}],"issued":{"date-parts":[["2019",8,6]]}}}],"schema":"https://github.com/citation-style-language/schema/raw/master/csl-citation.json"}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w:t>
      </w:r>
      <w:proofErr w:type="spellStart"/>
      <w:r w:rsidR="00EE38AB" w:rsidRPr="00EE38AB">
        <w:rPr>
          <w:rFonts w:ascii="Times New Roman" w:hAnsi="Times New Roman" w:cs="Times New Roman"/>
          <w:sz w:val="24"/>
        </w:rPr>
        <w:t>Jesuthasan</w:t>
      </w:r>
      <w:proofErr w:type="spellEnd"/>
      <w:r w:rsidR="00EE38AB" w:rsidRPr="00EE38AB">
        <w:rPr>
          <w:rFonts w:ascii="Times New Roman" w:hAnsi="Times New Roman" w:cs="Times New Roman"/>
          <w:sz w:val="24"/>
        </w:rPr>
        <w:t>, 2019)</w:t>
      </w:r>
      <w:r w:rsidR="00EE38AB">
        <w:rPr>
          <w:rFonts w:ascii="Times New Roman" w:eastAsia="Times New Roman" w:hAnsi="Times New Roman" w:cs="Times New Roman"/>
          <w:sz w:val="24"/>
          <w:szCs w:val="24"/>
        </w:rPr>
        <w:fldChar w:fldCharType="end"/>
      </w:r>
    </w:p>
    <w:p w14:paraId="0308156E" w14:textId="2FB322F6" w:rsidR="007E78BE" w:rsidRPr="0082468B" w:rsidRDefault="00375D9E" w:rsidP="00127A18">
      <w:pPr>
        <w:pStyle w:val="ListParagraph"/>
        <w:numPr>
          <w:ilvl w:val="0"/>
          <w:numId w:val="2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w:t>
      </w:r>
      <w:r w:rsidR="007E78BE" w:rsidRPr="0082468B">
        <w:rPr>
          <w:rFonts w:ascii="Times New Roman" w:eastAsia="Times New Roman" w:hAnsi="Times New Roman" w:cs="Times New Roman"/>
          <w:sz w:val="24"/>
          <w:szCs w:val="24"/>
        </w:rPr>
        <w:t xml:space="preserve">uman motivation </w:t>
      </w:r>
      <w:r>
        <w:rPr>
          <w:rFonts w:ascii="Times New Roman" w:eastAsia="Times New Roman" w:hAnsi="Times New Roman" w:cs="Times New Roman"/>
          <w:sz w:val="24"/>
          <w:szCs w:val="24"/>
        </w:rPr>
        <w:t>in</w:t>
      </w:r>
      <w:r w:rsidR="007E78BE" w:rsidRPr="0082468B">
        <w:rPr>
          <w:rFonts w:ascii="Times New Roman" w:eastAsia="Times New Roman" w:hAnsi="Times New Roman" w:cs="Times New Roman"/>
          <w:sz w:val="24"/>
          <w:szCs w:val="24"/>
        </w:rPr>
        <w:t xml:space="preserve"> change: why employees lose motivation and ways the manager can intervene to regain autonomy and meaning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{"citationID":"HTI8rSnF","properties":{"formattedCitation":"(Cable, 2018)","plainCitation":"(Cable, 2018)","noteIndex":0},"citationItems":[{"id":195,"uris":["http://zotero.org/users/local/Xt9Z7MiI/items/YWICBYNI"],"itemData":{"id":195,"type":"webpage","container-title":"Harvard Business Review","note":"journalAbbreviation: Harvard Business Review","title":"Why People Lose Motivation and What Managers Can Do to Help","URL":"https://hbr.org/2018/03/why-people-lose-motivation-and-what-managers-can-do-to-help","author":[{"family":"Cable","given":"Dan"}],"issued":{"date-parts":[["2018",3,12]]}}}],"schema":"https://github.com/citation-style-language/schema/raw/master/csl-citation.json"}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(Cable, 2018)</w:t>
      </w:r>
      <w:r w:rsidR="00EE38AB">
        <w:rPr>
          <w:rFonts w:ascii="Times New Roman" w:eastAsia="Times New Roman" w:hAnsi="Times New Roman" w:cs="Times New Roman"/>
          <w:sz w:val="24"/>
          <w:szCs w:val="24"/>
        </w:rPr>
        <w:fldChar w:fldCharType="end"/>
      </w:r>
    </w:p>
    <w:p w14:paraId="682ACBB7" w14:textId="3E297513" w:rsidR="007E78BE" w:rsidRPr="0082468B" w:rsidRDefault="007E78BE" w:rsidP="00127A18">
      <w:pPr>
        <w:pStyle w:val="ListParagraph"/>
        <w:numPr>
          <w:ilvl w:val="0"/>
          <w:numId w:val="25"/>
        </w:numPr>
        <w:spacing w:line="480" w:lineRule="auto"/>
        <w:jc w:val="both"/>
        <w:rPr>
          <w:rFonts w:ascii="Times New Roman" w:eastAsia="Times New Roman" w:hAnsi="Times New Roman" w:cs="Times New Roman"/>
          <w:sz w:val="24"/>
          <w:szCs w:val="24"/>
        </w:rPr>
      </w:pPr>
      <w:r w:rsidRPr="0082468B">
        <w:rPr>
          <w:rFonts w:ascii="Times New Roman" w:eastAsia="Times New Roman" w:hAnsi="Times New Roman" w:cs="Times New Roman"/>
          <w:sz w:val="24"/>
          <w:szCs w:val="24"/>
        </w:rPr>
        <w:t xml:space="preserve">Opportunity prioritization: pre-developed checklist to prevent disjointed initiatives and </w:t>
      </w:r>
      <w:r w:rsidR="00EE38AB" w:rsidRPr="0082468B">
        <w:rPr>
          <w:rFonts w:ascii="Times New Roman" w:eastAsia="Times New Roman" w:hAnsi="Times New Roman" w:cs="Times New Roman"/>
          <w:sz w:val="24"/>
          <w:szCs w:val="24"/>
        </w:rPr>
        <w:t>channelling</w:t>
      </w:r>
      <w:r w:rsidRPr="0082468B">
        <w:rPr>
          <w:rFonts w:ascii="Times New Roman" w:eastAsia="Times New Roman" w:hAnsi="Times New Roman" w:cs="Times New Roman"/>
          <w:sz w:val="24"/>
          <w:szCs w:val="24"/>
        </w:rPr>
        <w:t xml:space="preserve"> resources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{"citationID":"vgX8HIQP","properties":{"formattedCitation":"(Andrew, 2017)","plainCitation":"(Andrew, 2017)","noteIndex":0},"citationItems":[{"id":196,"uris":["http://zotero.org/users/local/Xt9Z7MiI/items/LHGPBRWG"],"itemData":{"id":196,"type":"webpage","container-title":"Harvard Business Review","note":"journalAbbreviation: Harvard Business Review","title":"Prioritize Your Opportunities with This Checklist","URL":"https://hbr.org/2017/09/prioritize-your-opportunities-with-this-checklist","author":[{"family":"Andrew","given":"Doug"}],"issued":{"date-parts":[["2017",9,22]]}}}],"schema":"https://github.com/citation-style-language/schema/raw/master/csl-citation.json"}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(Andrew, 2017)</w:t>
      </w:r>
      <w:r w:rsidR="00EE38AB">
        <w:rPr>
          <w:rFonts w:ascii="Times New Roman" w:eastAsia="Times New Roman" w:hAnsi="Times New Roman" w:cs="Times New Roman"/>
          <w:sz w:val="24"/>
          <w:szCs w:val="24"/>
        </w:rPr>
        <w:fldChar w:fldCharType="end"/>
      </w:r>
    </w:p>
    <w:p w14:paraId="4CD61282" w14:textId="0CC775D4" w:rsidR="007E78BE" w:rsidRPr="0082468B" w:rsidRDefault="007E78BE" w:rsidP="00127A18">
      <w:pPr>
        <w:pStyle w:val="ListParagraph"/>
        <w:numPr>
          <w:ilvl w:val="0"/>
          <w:numId w:val="25"/>
        </w:numPr>
        <w:spacing w:line="480" w:lineRule="auto"/>
        <w:jc w:val="both"/>
        <w:rPr>
          <w:rFonts w:ascii="Times New Roman" w:eastAsia="Times New Roman" w:hAnsi="Times New Roman" w:cs="Times New Roman"/>
          <w:sz w:val="24"/>
          <w:szCs w:val="24"/>
        </w:rPr>
      </w:pPr>
      <w:r w:rsidRPr="0082468B">
        <w:rPr>
          <w:rFonts w:ascii="Times New Roman" w:eastAsia="Times New Roman" w:hAnsi="Times New Roman" w:cs="Times New Roman"/>
          <w:sz w:val="24"/>
          <w:szCs w:val="24"/>
        </w:rPr>
        <w:t xml:space="preserve">Crisis and post-Covid reality innovation: crisis makes innovation even more vital, rather than less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{"citationID":"ptcyamEb","properties":{"formattedCitation":"(Bar Am et al., 2020; Furstenthal et al., 2021, 2021)","plainCitation":"(Bar Am et al., 2020; Furstenthal et al., 2021, 2021)","noteIndex":0},"citationItems":[{"id":197,"uris":["http://zotero.org/users/local/Xt9Z7MiI/items/R8URLXAW"],"itemData":{"id":197,"type":"webpage","container-title":"McKinsey &amp; Company","note":"journalAbbreviation: McKinsey &amp; Company","title":"Innovation in a Crisis: Why It Is More Critical Than Ever","URL":"https://www.mckinsey.com/capabilities/strategy-and-corporate-finance/our-insights/innovation-in-a-crisis-why-it-is-more-critical-than-ever","author":[{"family":"Bar Am","given":"Jordan"},{"family":"Furstenthal","given":"Laura"},{"family":"Jorge","given":"Felicitas"},{"family":"Roth","given":"Erik"}],"issued":{"date-parts":[["2020",6,17]]}}},{"id":198,"uris":["http://zotero.org/users/local/Xt9Z7MiI/items/8CQNZYIQ"],"itemData":{"id":198,"type":"webpage","container-title":"McKinsey &amp; Company","note":"journalAbbreviation: McKinsey &amp; Company","title":"Innovation: Your Launchpad Out of the COVID-19 Crisis","URL":"https://www.mckinsey.com/capabilities/strategy-and-corporate-finance/our-insights/innovation-your-launchpad-out-of-the-covid-19-crisis","author":[{"family":"Furstenthal","given":"Laura"},{"family":"Hirt","given":"Martin"},{"family":"Roth","given":"Erik"}],"issued":{"date-parts":[["2021",3,18]]}}},{"id":198,"uris":["http://zotero.org/users/local/Xt9Z7MiI/items/8CQNZYIQ"],"itemData":{"id":198,"type":"webpage","container-title":"McKinsey &amp; Company","note":"journalAbbreviation: McKinsey &amp; Company","title":"Innovation: Your Launchpad Out of the COVID-19 Crisis","URL":"https://www.mckinsey.com/capabilities/strategy-and-corporate-finance/our-insights/innovation-your-launchpad-out-of-the-covid-19-crisis","author":[{"family":"Furstenthal","given":"Laura"},{"family":"Hirt","given":"Martin"},{"family":"Roth","given":"Erik"}],"issued":{"date-parts":[["2021",3,18]]}}}],"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 xml:space="preserve">(Bar Am et al., 2020; </w:t>
      </w:r>
      <w:proofErr w:type="spellStart"/>
      <w:r w:rsidR="00EE38AB" w:rsidRPr="00EE38AB">
        <w:rPr>
          <w:rFonts w:ascii="Times New Roman" w:hAnsi="Times New Roman" w:cs="Times New Roman"/>
          <w:sz w:val="24"/>
        </w:rPr>
        <w:t>Furstenthal</w:t>
      </w:r>
      <w:proofErr w:type="spellEnd"/>
      <w:r w:rsidR="00EE38AB" w:rsidRPr="00EE38AB">
        <w:rPr>
          <w:rFonts w:ascii="Times New Roman" w:hAnsi="Times New Roman" w:cs="Times New Roman"/>
          <w:sz w:val="24"/>
        </w:rPr>
        <w:t xml:space="preserve"> et al., 2021, 2021)</w:t>
      </w:r>
      <w:r w:rsidR="00EE38AB">
        <w:rPr>
          <w:rFonts w:ascii="Times New Roman" w:eastAsia="Times New Roman" w:hAnsi="Times New Roman" w:cs="Times New Roman"/>
          <w:sz w:val="24"/>
          <w:szCs w:val="24"/>
        </w:rPr>
        <w:fldChar w:fldCharType="end"/>
      </w:r>
    </w:p>
    <w:p w14:paraId="4B90ECB4" w14:textId="20A4F574" w:rsidR="007E78BE" w:rsidRPr="0082468B" w:rsidRDefault="007E78BE" w:rsidP="00127A18">
      <w:pPr>
        <w:pStyle w:val="ListParagraph"/>
        <w:numPr>
          <w:ilvl w:val="0"/>
          <w:numId w:val="25"/>
        </w:numPr>
        <w:spacing w:line="480" w:lineRule="auto"/>
        <w:jc w:val="both"/>
        <w:rPr>
          <w:rFonts w:ascii="Times New Roman" w:eastAsia="Times New Roman" w:hAnsi="Times New Roman" w:cs="Times New Roman"/>
          <w:sz w:val="24"/>
          <w:szCs w:val="24"/>
        </w:rPr>
      </w:pPr>
      <w:r w:rsidRPr="0082468B">
        <w:rPr>
          <w:rFonts w:ascii="Times New Roman" w:eastAsia="Times New Roman" w:hAnsi="Times New Roman" w:cs="Times New Roman"/>
          <w:sz w:val="24"/>
          <w:szCs w:val="24"/>
        </w:rPr>
        <w:t xml:space="preserve">Innovation as commitment: leaders should make bold aspiration, resources allocation, and establish operating system of innovation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{"citationID":"VrltsysJ","properties":{"formattedCitation":"(Cohen et al., 2019)","plainCitation":"(Cohen et al., 2019)","noteIndex":0},"citationItems":[{"id":199,"uris":["http://zotero.org/users/local/Xt9Z7MiI/items/HRKTWGW3"],"itemData":{"id":199,"type":"webpage","container-title":"McKinsey &amp; Company","note":"journalAbbreviation: McKinsey &amp; Company","title":"The Innovation Commitment","URL":"https://www.mckinsey.com/capabilities/strategy-and-corporate-finance/our-insights/the-innovation-commitment","author":[{"family":"Cohen","given":"Daniel"},{"family":"Quinn","given":"Brian"},{"family":"Roth","given":"Erik"}],"issued":{"date-parts":[["2019",10,24]]}}}],"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(Cohen et al., 2019)</w:t>
      </w:r>
      <w:r w:rsidR="00EE38AB">
        <w:rPr>
          <w:rFonts w:ascii="Times New Roman" w:eastAsia="Times New Roman" w:hAnsi="Times New Roman" w:cs="Times New Roman"/>
          <w:sz w:val="24"/>
          <w:szCs w:val="24"/>
        </w:rPr>
        <w:fldChar w:fldCharType="end"/>
      </w:r>
    </w:p>
    <w:p w14:paraId="11D58950" w14:textId="3523D0FC" w:rsidR="007E78BE" w:rsidRPr="0082468B" w:rsidRDefault="007E78BE" w:rsidP="00127A18">
      <w:pPr>
        <w:pStyle w:val="ListParagraph"/>
        <w:numPr>
          <w:ilvl w:val="0"/>
          <w:numId w:val="25"/>
        </w:numPr>
        <w:spacing w:line="480" w:lineRule="auto"/>
        <w:jc w:val="both"/>
        <w:rPr>
          <w:rFonts w:ascii="Times New Roman" w:eastAsia="Times New Roman" w:hAnsi="Times New Roman" w:cs="Times New Roman"/>
          <w:sz w:val="24"/>
          <w:szCs w:val="24"/>
        </w:rPr>
      </w:pPr>
      <w:r w:rsidRPr="0082468B">
        <w:rPr>
          <w:rFonts w:ascii="Times New Roman" w:eastAsia="Times New Roman" w:hAnsi="Times New Roman" w:cs="Times New Roman"/>
          <w:sz w:val="24"/>
          <w:szCs w:val="24"/>
        </w:rPr>
        <w:t xml:space="preserve">Strategic assets: creativity and innovation: systematic creativity is something that leads to growth and it works well when it is coupled with disciplined management </w:t>
      </w:r>
      <w:r w:rsidR="00EE38AB">
        <w:rPr>
          <w:rFonts w:ascii="Times New Roman" w:eastAsia="Times New Roman" w:hAnsi="Times New Roman" w:cs="Times New Roman"/>
          <w:sz w:val="24"/>
          <w:szCs w:val="24"/>
        </w:rPr>
        <w:fldChar w:fldCharType="begin"/>
      </w:r>
      <w:r w:rsidR="00EE38AB">
        <w:rPr>
          <w:rFonts w:ascii="Times New Roman" w:eastAsia="Times New Roman" w:hAnsi="Times New Roman" w:cs="Times New Roman"/>
          <w:sz w:val="24"/>
          <w:szCs w:val="24"/>
        </w:rPr>
        <w:instrText xml:space="preserve"> ADDIN ZOTERO_ITEM CSL_CITATION {"citationID":"x0u35pSV","properties":{"formattedCitation":"({\\i{}Celebrating Creativity and Innovation}, 2020)","plainCitation":"(Celebrating Creativity and Innovation, 2020)","noteIndex":0},"citationItems":[{"id":200,"uris":["http://zotero.org/users/local/Xt9Z7MiI/items/SNEDGZFX"],"itemData":{"id":200,"type":"webpage","container-title":"McKinsey &amp; Company","note":"journalAbbreviation: McKinsey &amp; Company","title":"Celebrating Creativity and Innovation","URL":"https://www.mckinsey.com/featured-insights/themes/celebrating-creativity-and-innovation","issued":{"date-parts":[["2020"]]}}}],"schema":"https://github.com/citation-style-language/schema/raw/master/csl-citation.json"} </w:instrText>
      </w:r>
      <w:r w:rsidR="00EE38AB">
        <w:rPr>
          <w:rFonts w:ascii="Times New Roman" w:eastAsia="Times New Roman" w:hAnsi="Times New Roman" w:cs="Times New Roman"/>
          <w:sz w:val="24"/>
          <w:szCs w:val="24"/>
        </w:rPr>
        <w:fldChar w:fldCharType="separate"/>
      </w:r>
      <w:r w:rsidR="00EE38AB" w:rsidRPr="00EE38AB">
        <w:rPr>
          <w:rFonts w:ascii="Times New Roman" w:hAnsi="Times New Roman" w:cs="Times New Roman"/>
          <w:sz w:val="24"/>
        </w:rPr>
        <w:t>(</w:t>
      </w:r>
      <w:r w:rsidR="00EE38AB" w:rsidRPr="00EE38AB">
        <w:rPr>
          <w:rFonts w:ascii="Times New Roman" w:hAnsi="Times New Roman" w:cs="Times New Roman"/>
          <w:i/>
          <w:iCs/>
          <w:sz w:val="24"/>
        </w:rPr>
        <w:t>Celebrating Creativity and Innovation</w:t>
      </w:r>
      <w:r w:rsidR="00EE38AB" w:rsidRPr="00EE38AB">
        <w:rPr>
          <w:rFonts w:ascii="Times New Roman" w:hAnsi="Times New Roman" w:cs="Times New Roman"/>
          <w:sz w:val="24"/>
        </w:rPr>
        <w:t>, 2020)</w:t>
      </w:r>
      <w:r w:rsidR="00EE38AB">
        <w:rPr>
          <w:rFonts w:ascii="Times New Roman" w:eastAsia="Times New Roman" w:hAnsi="Times New Roman" w:cs="Times New Roman"/>
          <w:sz w:val="24"/>
          <w:szCs w:val="24"/>
        </w:rPr>
        <w:fldChar w:fldCharType="end"/>
      </w:r>
    </w:p>
    <w:p w14:paraId="15D96919" w14:textId="7B87DF0E" w:rsidR="00C60ECC" w:rsidRDefault="007E78BE" w:rsidP="00127A18">
      <w:pPr>
        <w:spacing w:line="480" w:lineRule="auto"/>
        <w:jc w:val="both"/>
        <w:rPr>
          <w:rFonts w:ascii="Times New Roman" w:eastAsia="Times New Roman" w:hAnsi="Times New Roman" w:cs="Times New Roman"/>
          <w:sz w:val="24"/>
          <w:szCs w:val="24"/>
        </w:rPr>
      </w:pPr>
      <w:r w:rsidRPr="007E78BE">
        <w:rPr>
          <w:rFonts w:ascii="Times New Roman" w:eastAsia="Times New Roman" w:hAnsi="Times New Roman" w:cs="Times New Roman"/>
          <w:sz w:val="24"/>
          <w:szCs w:val="24"/>
        </w:rPr>
        <w:t>Since the nine sources are management oriented and not regulatory, only a few supplemental references are employed in the design of governance and compliance with AI and privacy which are authoritative. These are the European Commission (EU AI legal framework and privacy baseline), National Institute of Standards and Technology (AI risk management), the International Organization of Standardization (AI management systems standard) and the Organisation for Economic Co-operation and Development (AI principles). These provide the required rigor of LO3 (professional integrity) and LO1 (frontier practice and governance).</w:t>
      </w:r>
    </w:p>
    <w:p w14:paraId="59DF78BB" w14:textId="77777777" w:rsidR="00C60ECC" w:rsidRPr="00127A18" w:rsidRDefault="00C60ECC" w:rsidP="00127A18">
      <w:pPr>
        <w:spacing w:line="480" w:lineRule="auto"/>
        <w:rPr>
          <w:rFonts w:ascii="Times New Roman" w:hAnsi="Times New Roman" w:cs="Times New Roman"/>
          <w:b/>
          <w:bCs/>
          <w:sz w:val="24"/>
          <w:szCs w:val="24"/>
        </w:rPr>
      </w:pPr>
      <w:r w:rsidRPr="00127A18">
        <w:rPr>
          <w:rFonts w:ascii="Times New Roman" w:hAnsi="Times New Roman" w:cs="Times New Roman"/>
          <w:b/>
          <w:bCs/>
          <w:sz w:val="24"/>
          <w:szCs w:val="24"/>
        </w:rPr>
        <w:t>Evidence base and why the nine sources are primary</w:t>
      </w:r>
    </w:p>
    <w:p w14:paraId="217D9364" w14:textId="77777777" w:rsidR="00D7112A" w:rsidRDefault="00D7112A" w:rsidP="00127A18">
      <w:pPr>
        <w:autoSpaceDE w:val="0"/>
        <w:autoSpaceDN w:val="0"/>
        <w:adjustRightInd w:val="0"/>
        <w:spacing w:after="0" w:line="480" w:lineRule="auto"/>
        <w:rPr>
          <w:rFonts w:ascii="Times New Roman" w:hAnsi="Times New Roman" w:cs="Times New Roman"/>
          <w:color w:val="000000"/>
          <w:sz w:val="24"/>
          <w:szCs w:val="24"/>
        </w:rPr>
      </w:pPr>
      <w:r w:rsidRPr="00D7112A">
        <w:rPr>
          <w:rFonts w:ascii="Times New Roman" w:hAnsi="Times New Roman" w:cs="Times New Roman"/>
          <w:color w:val="000000"/>
          <w:sz w:val="24"/>
          <w:szCs w:val="24"/>
        </w:rPr>
        <w:t>The roadmap and projection must have basis assumptions. Substitute these during Phase 0 (first 4 weeks).</w:t>
      </w:r>
    </w:p>
    <w:p w14:paraId="3D092110" w14:textId="77777777" w:rsidR="00B32E32" w:rsidRPr="00D7112A" w:rsidRDefault="00B32E32" w:rsidP="00127A18">
      <w:pPr>
        <w:autoSpaceDE w:val="0"/>
        <w:autoSpaceDN w:val="0"/>
        <w:adjustRightInd w:val="0"/>
        <w:spacing w:after="0" w:line="480" w:lineRule="auto"/>
        <w:rPr>
          <w:rFonts w:ascii="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32E32" w:rsidRPr="003B6295" w14:paraId="754857F4" w14:textId="77777777" w:rsidTr="00127A18">
        <w:tc>
          <w:tcPr>
            <w:tcW w:w="3005" w:type="dxa"/>
            <w:tcBorders>
              <w:bottom w:val="single" w:sz="4" w:space="0" w:color="auto"/>
            </w:tcBorders>
          </w:tcPr>
          <w:p w14:paraId="2A08CD17" w14:textId="261F48C4" w:rsidR="00B32E32" w:rsidRPr="003B6295" w:rsidRDefault="00B32E32" w:rsidP="00127A18">
            <w:pPr>
              <w:spacing w:line="480" w:lineRule="auto"/>
              <w:jc w:val="both"/>
              <w:rPr>
                <w:rFonts w:ascii="Times New Roman" w:eastAsia="Times New Roman" w:hAnsi="Times New Roman" w:cs="Times New Roman"/>
                <w:b/>
                <w:bCs/>
                <w:sz w:val="24"/>
                <w:szCs w:val="24"/>
              </w:rPr>
            </w:pPr>
            <w:r w:rsidRPr="003B6295">
              <w:rPr>
                <w:rFonts w:ascii="Times New Roman" w:eastAsia="Times New Roman" w:hAnsi="Times New Roman" w:cs="Times New Roman"/>
                <w:b/>
                <w:bCs/>
                <w:sz w:val="24"/>
                <w:szCs w:val="24"/>
              </w:rPr>
              <w:t>Dimension</w:t>
            </w:r>
          </w:p>
        </w:tc>
        <w:tc>
          <w:tcPr>
            <w:tcW w:w="3005" w:type="dxa"/>
            <w:tcBorders>
              <w:bottom w:val="single" w:sz="4" w:space="0" w:color="auto"/>
            </w:tcBorders>
          </w:tcPr>
          <w:p w14:paraId="2EB0BDC7" w14:textId="4771C9B5" w:rsidR="00B32E32" w:rsidRPr="003B6295" w:rsidRDefault="00B32E32" w:rsidP="00127A18">
            <w:pPr>
              <w:spacing w:line="480" w:lineRule="auto"/>
              <w:jc w:val="both"/>
              <w:rPr>
                <w:rFonts w:ascii="Times New Roman" w:eastAsia="Times New Roman" w:hAnsi="Times New Roman" w:cs="Times New Roman"/>
                <w:b/>
                <w:bCs/>
                <w:sz w:val="24"/>
                <w:szCs w:val="24"/>
              </w:rPr>
            </w:pPr>
            <w:r w:rsidRPr="003B6295">
              <w:rPr>
                <w:rFonts w:ascii="Times New Roman" w:eastAsia="Times New Roman" w:hAnsi="Times New Roman" w:cs="Times New Roman"/>
                <w:b/>
                <w:bCs/>
                <w:sz w:val="24"/>
                <w:szCs w:val="24"/>
              </w:rPr>
              <w:t>Planning Assumption</w:t>
            </w:r>
          </w:p>
        </w:tc>
        <w:tc>
          <w:tcPr>
            <w:tcW w:w="3006" w:type="dxa"/>
            <w:tcBorders>
              <w:bottom w:val="single" w:sz="4" w:space="0" w:color="auto"/>
            </w:tcBorders>
          </w:tcPr>
          <w:p w14:paraId="4D6D4DA3" w14:textId="1CD74FBD" w:rsidR="00B32E32" w:rsidRPr="003B6295" w:rsidRDefault="00B32E32" w:rsidP="00127A18">
            <w:pPr>
              <w:spacing w:line="480" w:lineRule="auto"/>
              <w:jc w:val="both"/>
              <w:rPr>
                <w:rFonts w:ascii="Times New Roman" w:eastAsia="Times New Roman" w:hAnsi="Times New Roman" w:cs="Times New Roman"/>
                <w:b/>
                <w:bCs/>
                <w:sz w:val="24"/>
                <w:szCs w:val="24"/>
              </w:rPr>
            </w:pPr>
            <w:r w:rsidRPr="003B6295">
              <w:rPr>
                <w:rFonts w:ascii="Times New Roman" w:eastAsia="Times New Roman" w:hAnsi="Times New Roman" w:cs="Times New Roman"/>
                <w:b/>
                <w:bCs/>
                <w:sz w:val="24"/>
                <w:szCs w:val="24"/>
              </w:rPr>
              <w:t>Replace during phase 0 by</w:t>
            </w:r>
          </w:p>
        </w:tc>
      </w:tr>
      <w:tr w:rsidR="003B6295" w:rsidRPr="003B6295" w14:paraId="796027CC" w14:textId="77777777" w:rsidTr="00127A18">
        <w:tc>
          <w:tcPr>
            <w:tcW w:w="3005" w:type="dxa"/>
            <w:tcBorders>
              <w:top w:val="single" w:sz="4" w:space="0" w:color="auto"/>
            </w:tcBorders>
          </w:tcPr>
          <w:p w14:paraId="538DC651" w14:textId="30857B6A" w:rsidR="003B6295" w:rsidRPr="003B6295" w:rsidRDefault="003B6295" w:rsidP="00127A18">
            <w:pPr>
              <w:spacing w:line="480" w:lineRule="auto"/>
              <w:jc w:val="both"/>
              <w:rPr>
                <w:rFonts w:ascii="Times New Roman" w:eastAsia="Times New Roman" w:hAnsi="Times New Roman" w:cs="Times New Roman"/>
                <w:sz w:val="24"/>
                <w:szCs w:val="24"/>
              </w:rPr>
            </w:pPr>
            <w:r w:rsidRPr="003B6295">
              <w:rPr>
                <w:rFonts w:ascii="Times New Roman" w:hAnsi="Times New Roman" w:cs="Times New Roman"/>
                <w:sz w:val="24"/>
                <w:szCs w:val="24"/>
              </w:rPr>
              <w:t>Annual revenue (current)</w:t>
            </w:r>
          </w:p>
        </w:tc>
        <w:tc>
          <w:tcPr>
            <w:tcW w:w="3005" w:type="dxa"/>
            <w:tcBorders>
              <w:top w:val="single" w:sz="4" w:space="0" w:color="auto"/>
            </w:tcBorders>
          </w:tcPr>
          <w:p w14:paraId="00FDEF04" w14:textId="0BDC70D2" w:rsidR="003B6295" w:rsidRPr="003B6295" w:rsidRDefault="003B6295" w:rsidP="00127A18">
            <w:pPr>
              <w:spacing w:line="480" w:lineRule="auto"/>
              <w:jc w:val="both"/>
              <w:rPr>
                <w:rFonts w:ascii="Times New Roman" w:eastAsia="Times New Roman" w:hAnsi="Times New Roman" w:cs="Times New Roman"/>
                <w:sz w:val="24"/>
                <w:szCs w:val="24"/>
              </w:rPr>
            </w:pPr>
            <w:r w:rsidRPr="003B6295">
              <w:rPr>
                <w:rFonts w:ascii="Times New Roman" w:hAnsi="Times New Roman" w:cs="Times New Roman"/>
                <w:sz w:val="24"/>
                <w:szCs w:val="24"/>
              </w:rPr>
              <w:t>USD 1.5M</w:t>
            </w:r>
          </w:p>
        </w:tc>
        <w:tc>
          <w:tcPr>
            <w:tcW w:w="3006" w:type="dxa"/>
            <w:tcBorders>
              <w:top w:val="single" w:sz="4" w:space="0" w:color="auto"/>
            </w:tcBorders>
          </w:tcPr>
          <w:p w14:paraId="28C71AE9" w14:textId="22E0DD91" w:rsidR="003B6295" w:rsidRPr="003B6295" w:rsidRDefault="003B6295" w:rsidP="00127A18">
            <w:pPr>
              <w:spacing w:line="480" w:lineRule="auto"/>
              <w:jc w:val="both"/>
              <w:rPr>
                <w:rFonts w:ascii="Times New Roman" w:eastAsia="Times New Roman" w:hAnsi="Times New Roman" w:cs="Times New Roman"/>
                <w:sz w:val="24"/>
                <w:szCs w:val="24"/>
              </w:rPr>
            </w:pPr>
            <w:r w:rsidRPr="003B6295">
              <w:rPr>
                <w:rFonts w:ascii="Times New Roman" w:hAnsi="Times New Roman" w:cs="Times New Roman"/>
                <w:sz w:val="24"/>
                <w:szCs w:val="24"/>
              </w:rPr>
              <w:t>audited P&amp;L</w:t>
            </w:r>
          </w:p>
        </w:tc>
      </w:tr>
      <w:tr w:rsidR="003B6295" w:rsidRPr="003B6295" w14:paraId="69B1A661" w14:textId="77777777" w:rsidTr="00127A18">
        <w:tc>
          <w:tcPr>
            <w:tcW w:w="3005" w:type="dxa"/>
          </w:tcPr>
          <w:p w14:paraId="6BE7C691" w14:textId="5F48B99E"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lastRenderedPageBreak/>
              <w:t>Gross margin (current)</w:t>
            </w:r>
          </w:p>
        </w:tc>
        <w:tc>
          <w:tcPr>
            <w:tcW w:w="3005" w:type="dxa"/>
          </w:tcPr>
          <w:p w14:paraId="35B99F37" w14:textId="0405CF33"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45%</w:t>
            </w:r>
          </w:p>
        </w:tc>
        <w:tc>
          <w:tcPr>
            <w:tcW w:w="3006" w:type="dxa"/>
          </w:tcPr>
          <w:p w14:paraId="2D1DC23F" w14:textId="6DEA811C"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cost breakdown by SKU</w:t>
            </w:r>
          </w:p>
        </w:tc>
      </w:tr>
      <w:tr w:rsidR="003B6295" w:rsidRPr="003B6295" w14:paraId="454A3F73" w14:textId="77777777" w:rsidTr="00127A18">
        <w:tc>
          <w:tcPr>
            <w:tcW w:w="3005" w:type="dxa"/>
          </w:tcPr>
          <w:p w14:paraId="24FAF897" w14:textId="4C710B0C"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Team size</w:t>
            </w:r>
          </w:p>
        </w:tc>
        <w:tc>
          <w:tcPr>
            <w:tcW w:w="3005" w:type="dxa"/>
          </w:tcPr>
          <w:p w14:paraId="4B1F81AF" w14:textId="27C1B742"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30 FTE</w:t>
            </w:r>
          </w:p>
        </w:tc>
        <w:tc>
          <w:tcPr>
            <w:tcW w:w="3006" w:type="dxa"/>
          </w:tcPr>
          <w:p w14:paraId="12BF05B2" w14:textId="4DA02808"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HR roster</w:t>
            </w:r>
          </w:p>
        </w:tc>
      </w:tr>
      <w:tr w:rsidR="003B6295" w:rsidRPr="003B6295" w14:paraId="5D6606C6" w14:textId="77777777" w:rsidTr="00127A18">
        <w:tc>
          <w:tcPr>
            <w:tcW w:w="3005" w:type="dxa"/>
          </w:tcPr>
          <w:p w14:paraId="44E255AC" w14:textId="2E1EC527"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Learners/year</w:t>
            </w:r>
          </w:p>
        </w:tc>
        <w:tc>
          <w:tcPr>
            <w:tcW w:w="3005" w:type="dxa"/>
          </w:tcPr>
          <w:p w14:paraId="39FD7F73" w14:textId="6D7E403B"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2,500</w:t>
            </w:r>
          </w:p>
        </w:tc>
        <w:tc>
          <w:tcPr>
            <w:tcW w:w="3006" w:type="dxa"/>
          </w:tcPr>
          <w:p w14:paraId="4D0F420F" w14:textId="1F731A30"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 xml:space="preserve">CRM </w:t>
            </w:r>
            <w:proofErr w:type="spellStart"/>
            <w:r w:rsidRPr="003B6295">
              <w:rPr>
                <w:rFonts w:ascii="Times New Roman" w:hAnsi="Times New Roman" w:cs="Times New Roman"/>
                <w:sz w:val="24"/>
                <w:szCs w:val="24"/>
              </w:rPr>
              <w:t>enrollment</w:t>
            </w:r>
            <w:proofErr w:type="spellEnd"/>
          </w:p>
        </w:tc>
      </w:tr>
      <w:tr w:rsidR="003B6295" w:rsidRPr="003B6295" w14:paraId="55A27285" w14:textId="77777777" w:rsidTr="00127A18">
        <w:tc>
          <w:tcPr>
            <w:tcW w:w="3005" w:type="dxa"/>
          </w:tcPr>
          <w:p w14:paraId="0E561A99" w14:textId="5410335A"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Average revenue per learner</w:t>
            </w:r>
          </w:p>
        </w:tc>
        <w:tc>
          <w:tcPr>
            <w:tcW w:w="3005" w:type="dxa"/>
          </w:tcPr>
          <w:p w14:paraId="184724F8" w14:textId="0C8EF823"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USD 600</w:t>
            </w:r>
          </w:p>
        </w:tc>
        <w:tc>
          <w:tcPr>
            <w:tcW w:w="3006" w:type="dxa"/>
          </w:tcPr>
          <w:p w14:paraId="7C61F935" w14:textId="63D21487"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SKU mix analysis</w:t>
            </w:r>
          </w:p>
        </w:tc>
      </w:tr>
      <w:tr w:rsidR="003B6295" w:rsidRPr="003B6295" w14:paraId="434359E4" w14:textId="77777777" w:rsidTr="00127A18">
        <w:tc>
          <w:tcPr>
            <w:tcW w:w="3005" w:type="dxa"/>
          </w:tcPr>
          <w:p w14:paraId="2A3C70A0" w14:textId="09DC4537"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Blended CAC</w:t>
            </w:r>
          </w:p>
        </w:tc>
        <w:tc>
          <w:tcPr>
            <w:tcW w:w="3005" w:type="dxa"/>
          </w:tcPr>
          <w:p w14:paraId="6BB97174" w14:textId="62580A19"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USD 120</w:t>
            </w:r>
          </w:p>
        </w:tc>
        <w:tc>
          <w:tcPr>
            <w:tcW w:w="3006" w:type="dxa"/>
          </w:tcPr>
          <w:p w14:paraId="44426C59" w14:textId="668846FC"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marketing and sales cost analysis</w:t>
            </w:r>
          </w:p>
        </w:tc>
      </w:tr>
      <w:tr w:rsidR="003B6295" w:rsidRPr="003B6295" w14:paraId="44279763" w14:textId="77777777" w:rsidTr="00127A18">
        <w:tc>
          <w:tcPr>
            <w:tcW w:w="3005" w:type="dxa"/>
          </w:tcPr>
          <w:p w14:paraId="43E8CFC7" w14:textId="3DE7785F"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12‑month repeat purchase</w:t>
            </w:r>
          </w:p>
        </w:tc>
        <w:tc>
          <w:tcPr>
            <w:tcW w:w="3005" w:type="dxa"/>
          </w:tcPr>
          <w:p w14:paraId="5577E56D" w14:textId="7401B252"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15%</w:t>
            </w:r>
          </w:p>
        </w:tc>
        <w:tc>
          <w:tcPr>
            <w:tcW w:w="3006" w:type="dxa"/>
          </w:tcPr>
          <w:p w14:paraId="73A96228" w14:textId="0022DD84"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cohort retention report</w:t>
            </w:r>
          </w:p>
        </w:tc>
      </w:tr>
      <w:tr w:rsidR="003B6295" w:rsidRPr="003B6295" w14:paraId="50713550" w14:textId="77777777" w:rsidTr="00127A18">
        <w:tc>
          <w:tcPr>
            <w:tcW w:w="3005" w:type="dxa"/>
          </w:tcPr>
          <w:p w14:paraId="5CC087BD" w14:textId="221716C8"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Primary pathway niche</w:t>
            </w:r>
          </w:p>
        </w:tc>
        <w:tc>
          <w:tcPr>
            <w:tcW w:w="3005" w:type="dxa"/>
          </w:tcPr>
          <w:p w14:paraId="61243998" w14:textId="6AD1AC87"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Germany + Japan</w:t>
            </w:r>
          </w:p>
        </w:tc>
        <w:tc>
          <w:tcPr>
            <w:tcW w:w="3006" w:type="dxa"/>
          </w:tcPr>
          <w:p w14:paraId="45C2778D" w14:textId="08D4A7E4"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revenue concentration report</w:t>
            </w:r>
          </w:p>
        </w:tc>
      </w:tr>
      <w:tr w:rsidR="003B6295" w:rsidRPr="003B6295" w14:paraId="4C57FDD9" w14:textId="77777777" w:rsidTr="00127A18">
        <w:tc>
          <w:tcPr>
            <w:tcW w:w="3005" w:type="dxa"/>
          </w:tcPr>
          <w:p w14:paraId="12E46BF9" w14:textId="66B257B4"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Data maturity</w:t>
            </w:r>
          </w:p>
        </w:tc>
        <w:tc>
          <w:tcPr>
            <w:tcW w:w="3005" w:type="dxa"/>
          </w:tcPr>
          <w:p w14:paraId="600ED91E" w14:textId="62DB877B"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low–moderate</w:t>
            </w:r>
          </w:p>
        </w:tc>
        <w:tc>
          <w:tcPr>
            <w:tcW w:w="3006" w:type="dxa"/>
          </w:tcPr>
          <w:p w14:paraId="34AC2D70" w14:textId="1AE95386"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instrumentation assessment</w:t>
            </w:r>
          </w:p>
        </w:tc>
      </w:tr>
      <w:tr w:rsidR="003B6295" w:rsidRPr="003B6295" w14:paraId="48DA6179" w14:textId="77777777" w:rsidTr="00127A18">
        <w:tc>
          <w:tcPr>
            <w:tcW w:w="3005" w:type="dxa"/>
          </w:tcPr>
          <w:p w14:paraId="3D2C6919" w14:textId="7CDA3B91"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AI maturity</w:t>
            </w:r>
          </w:p>
        </w:tc>
        <w:tc>
          <w:tcPr>
            <w:tcW w:w="3005" w:type="dxa"/>
          </w:tcPr>
          <w:p w14:paraId="6BC8B00F" w14:textId="5B2C16FF"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low</w:t>
            </w:r>
          </w:p>
        </w:tc>
        <w:tc>
          <w:tcPr>
            <w:tcW w:w="3006" w:type="dxa"/>
          </w:tcPr>
          <w:p w14:paraId="0D171056" w14:textId="457B0F13" w:rsidR="003B6295" w:rsidRPr="003B6295" w:rsidRDefault="003B6295" w:rsidP="00127A18">
            <w:pPr>
              <w:spacing w:line="480" w:lineRule="auto"/>
              <w:jc w:val="both"/>
              <w:rPr>
                <w:rFonts w:ascii="Times New Roman" w:hAnsi="Times New Roman" w:cs="Times New Roman"/>
                <w:sz w:val="24"/>
                <w:szCs w:val="24"/>
              </w:rPr>
            </w:pPr>
            <w:r w:rsidRPr="003B6295">
              <w:rPr>
                <w:rFonts w:ascii="Times New Roman" w:hAnsi="Times New Roman" w:cs="Times New Roman"/>
                <w:sz w:val="24"/>
                <w:szCs w:val="24"/>
              </w:rPr>
              <w:t>current tool and policy inventory</w:t>
            </w:r>
          </w:p>
        </w:tc>
      </w:tr>
    </w:tbl>
    <w:p w14:paraId="713F570D" w14:textId="77777777" w:rsidR="00D7112A" w:rsidRDefault="00D7112A" w:rsidP="00127A18">
      <w:pPr>
        <w:spacing w:line="480" w:lineRule="auto"/>
        <w:jc w:val="both"/>
        <w:rPr>
          <w:rFonts w:ascii="Times New Roman" w:eastAsia="Times New Roman" w:hAnsi="Times New Roman" w:cs="Times New Roman"/>
          <w:sz w:val="24"/>
          <w:szCs w:val="24"/>
        </w:rPr>
      </w:pPr>
    </w:p>
    <w:p w14:paraId="667A59F8" w14:textId="39828C74" w:rsidR="00863CEC" w:rsidRPr="00127A18" w:rsidRDefault="00863CEC" w:rsidP="00127A18">
      <w:pPr>
        <w:spacing w:line="480" w:lineRule="auto"/>
        <w:rPr>
          <w:rFonts w:ascii="Times New Roman" w:hAnsi="Times New Roman" w:cs="Times New Roman"/>
          <w:b/>
          <w:bCs/>
          <w:sz w:val="24"/>
          <w:szCs w:val="24"/>
        </w:rPr>
      </w:pPr>
      <w:r w:rsidRPr="00127A18">
        <w:rPr>
          <w:rFonts w:ascii="Times New Roman" w:hAnsi="Times New Roman" w:cs="Times New Roman"/>
          <w:b/>
          <w:bCs/>
          <w:sz w:val="24"/>
          <w:szCs w:val="24"/>
        </w:rPr>
        <w:t>What “success” means in this proposal</w:t>
      </w:r>
    </w:p>
    <w:p w14:paraId="23DB05E1" w14:textId="77777777" w:rsidR="005218C6" w:rsidRPr="005218C6" w:rsidRDefault="005218C6" w:rsidP="00127A18">
      <w:pPr>
        <w:autoSpaceDE w:val="0"/>
        <w:autoSpaceDN w:val="0"/>
        <w:adjustRightInd w:val="0"/>
        <w:spacing w:after="0" w:line="480" w:lineRule="auto"/>
        <w:rPr>
          <w:rFonts w:ascii="Times New Roman" w:hAnsi="Times New Roman" w:cs="Times New Roman"/>
          <w:color w:val="000000"/>
          <w:sz w:val="24"/>
          <w:szCs w:val="24"/>
        </w:rPr>
      </w:pPr>
      <w:r w:rsidRPr="005218C6">
        <w:rPr>
          <w:rFonts w:ascii="Times New Roman" w:hAnsi="Times New Roman" w:cs="Times New Roman"/>
          <w:color w:val="000000"/>
          <w:sz w:val="24"/>
          <w:szCs w:val="24"/>
        </w:rPr>
        <w:t>Success is not merely the expansion of revenues: it is the change in business physics:</w:t>
      </w:r>
    </w:p>
    <w:p w14:paraId="247D4D73" w14:textId="5C60EA0A" w:rsidR="005218C6" w:rsidRPr="005218C6" w:rsidRDefault="005218C6" w:rsidP="00127A18">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5218C6">
        <w:rPr>
          <w:rFonts w:ascii="Times New Roman" w:hAnsi="Times New Roman" w:cs="Times New Roman"/>
          <w:color w:val="000000"/>
          <w:sz w:val="24"/>
          <w:szCs w:val="24"/>
        </w:rPr>
        <w:t>The process of customer acquisition is increasingly more inbound and less reliant on paid advertisements.</w:t>
      </w:r>
    </w:p>
    <w:p w14:paraId="7610FDE8" w14:textId="57AECC06" w:rsidR="005218C6" w:rsidRPr="005218C6" w:rsidRDefault="005218C6" w:rsidP="00127A18">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5218C6">
        <w:rPr>
          <w:rFonts w:ascii="Times New Roman" w:hAnsi="Times New Roman" w:cs="Times New Roman"/>
          <w:color w:val="000000"/>
          <w:sz w:val="24"/>
          <w:szCs w:val="24"/>
        </w:rPr>
        <w:t>Membership and community are better at retention.</w:t>
      </w:r>
    </w:p>
    <w:p w14:paraId="04E991EA" w14:textId="427F6B98" w:rsidR="005218C6" w:rsidRPr="005218C6" w:rsidRDefault="005218C6" w:rsidP="00127A18">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5218C6">
        <w:rPr>
          <w:rFonts w:ascii="Times New Roman" w:hAnsi="Times New Roman" w:cs="Times New Roman"/>
          <w:color w:val="000000"/>
          <w:sz w:val="24"/>
          <w:szCs w:val="24"/>
        </w:rPr>
        <w:t>AI augmentation and productization of unit economics.</w:t>
      </w:r>
    </w:p>
    <w:p w14:paraId="0F8F6F64" w14:textId="53B1F09F" w:rsidR="005218C6" w:rsidRPr="005218C6" w:rsidRDefault="005218C6" w:rsidP="00127A18">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5218C6">
        <w:rPr>
          <w:rFonts w:ascii="Times New Roman" w:hAnsi="Times New Roman" w:cs="Times New Roman"/>
          <w:color w:val="000000"/>
          <w:sz w:val="24"/>
          <w:szCs w:val="24"/>
        </w:rPr>
        <w:t>The revenue is diversified into recurrent and outcome-based revenue.</w:t>
      </w:r>
    </w:p>
    <w:p w14:paraId="06CA79FA" w14:textId="77777777" w:rsidR="003C6BA3" w:rsidRDefault="003C6BA3">
      <w:pPr>
        <w:spacing w:line="480" w:lineRule="auto"/>
        <w:jc w:val="both"/>
        <w:rPr>
          <w:rFonts w:ascii="Times New Roman" w:eastAsia="Times New Roman" w:hAnsi="Times New Roman" w:cs="Times New Roman"/>
          <w:sz w:val="24"/>
          <w:szCs w:val="24"/>
        </w:rPr>
      </w:pPr>
    </w:p>
    <w:p w14:paraId="45CEF120" w14:textId="427DF527" w:rsidR="00DF1BB5" w:rsidRDefault="003C7292">
      <w:pPr>
        <w:pStyle w:val="Heading2"/>
        <w:rPr>
          <w:rFonts w:ascii="Times New Roman" w:eastAsia="Times New Roman" w:hAnsi="Times New Roman" w:cs="Times New Roman"/>
          <w:color w:val="000000"/>
          <w:sz w:val="24"/>
          <w:szCs w:val="24"/>
        </w:rPr>
      </w:pPr>
      <w:bookmarkStart w:id="4" w:name="_Toc225915932"/>
      <w:r>
        <w:rPr>
          <w:rFonts w:ascii="Times New Roman" w:eastAsia="Times New Roman" w:hAnsi="Times New Roman" w:cs="Times New Roman"/>
          <w:color w:val="000000"/>
          <w:sz w:val="24"/>
          <w:szCs w:val="24"/>
        </w:rPr>
        <w:t xml:space="preserve">2.2.  </w:t>
      </w:r>
      <w:r w:rsidR="00B54AB2">
        <w:rPr>
          <w:rFonts w:ascii="Times New Roman" w:eastAsia="Times New Roman" w:hAnsi="Times New Roman" w:cs="Times New Roman"/>
          <w:color w:val="000000"/>
          <w:sz w:val="24"/>
          <w:szCs w:val="24"/>
        </w:rPr>
        <w:t>External Environment and Industry Dynamics</w:t>
      </w:r>
      <w:bookmarkEnd w:id="4"/>
    </w:p>
    <w:p w14:paraId="45CEF121" w14:textId="77777777" w:rsidR="00DF1BB5" w:rsidRDefault="00DF1BB5"/>
    <w:p w14:paraId="1DF9770D" w14:textId="2C36CEF1" w:rsidR="00127A18" w:rsidRPr="00B249B5" w:rsidRDefault="00B249B5" w:rsidP="00127A18">
      <w:pPr>
        <w:spacing w:line="480" w:lineRule="auto"/>
        <w:jc w:val="both"/>
        <w:rPr>
          <w:rFonts w:ascii="Times New Roman" w:eastAsia="Times New Roman" w:hAnsi="Times New Roman" w:cs="Times New Roman"/>
          <w:sz w:val="24"/>
          <w:szCs w:val="24"/>
        </w:rPr>
      </w:pPr>
      <w:r w:rsidRPr="00B249B5">
        <w:rPr>
          <w:rFonts w:ascii="Times New Roman" w:eastAsia="Times New Roman" w:hAnsi="Times New Roman" w:cs="Times New Roman"/>
          <w:sz w:val="24"/>
          <w:szCs w:val="24"/>
        </w:rPr>
        <w:t xml:space="preserve">This part meets the requirements of LO1 through revealing higher-order frontier knowledge (late-2020s disruption: AI, </w:t>
      </w:r>
      <w:proofErr w:type="spellStart"/>
      <w:r w:rsidRPr="00B249B5">
        <w:rPr>
          <w:rFonts w:ascii="Times New Roman" w:eastAsia="Times New Roman" w:hAnsi="Times New Roman" w:cs="Times New Roman"/>
          <w:sz w:val="24"/>
          <w:szCs w:val="24"/>
        </w:rPr>
        <w:t>platformization</w:t>
      </w:r>
      <w:proofErr w:type="spellEnd"/>
      <w:r w:rsidRPr="00B249B5">
        <w:rPr>
          <w:rFonts w:ascii="Times New Roman" w:eastAsia="Times New Roman" w:hAnsi="Times New Roman" w:cs="Times New Roman"/>
          <w:sz w:val="24"/>
          <w:szCs w:val="24"/>
        </w:rPr>
        <w:t>, post-Covid operational reality, and governance needs) and LO2 by assessing the environment by applying systematic models.</w:t>
      </w:r>
    </w:p>
    <w:p w14:paraId="22C13E6C" w14:textId="37D0AFC0" w:rsidR="00B249B5" w:rsidRPr="00127A18" w:rsidRDefault="00B249B5" w:rsidP="00127A18">
      <w:pPr>
        <w:pStyle w:val="NoSpacing"/>
        <w:spacing w:line="480" w:lineRule="auto"/>
        <w:rPr>
          <w:b/>
          <w:bCs/>
        </w:rPr>
      </w:pPr>
      <w:r w:rsidRPr="00127A18">
        <w:rPr>
          <w:b/>
          <w:bCs/>
        </w:rPr>
        <w:lastRenderedPageBreak/>
        <w:t xml:space="preserve">PESTLE </w:t>
      </w:r>
      <w:r w:rsidR="00F6054B" w:rsidRPr="00127A18">
        <w:rPr>
          <w:b/>
          <w:bCs/>
        </w:rPr>
        <w:t>A</w:t>
      </w:r>
      <w:r w:rsidRPr="00127A18">
        <w:rPr>
          <w:b/>
          <w:bCs/>
        </w:rPr>
        <w:t>nalysis</w:t>
      </w:r>
    </w:p>
    <w:tbl>
      <w:tblPr>
        <w:tblStyle w:val="Table"/>
        <w:tblW w:w="0" w:type="auto"/>
        <w:tblLook w:val="0020" w:firstRow="1" w:lastRow="0" w:firstColumn="0" w:lastColumn="0" w:noHBand="0" w:noVBand="0"/>
      </w:tblPr>
      <w:tblGrid>
        <w:gridCol w:w="1643"/>
        <w:gridCol w:w="3414"/>
        <w:gridCol w:w="3969"/>
      </w:tblGrid>
      <w:tr w:rsidR="005A37EB" w:rsidRPr="000D2520" w14:paraId="670DC1DF"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1CF7C7DB"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Factor</w:t>
            </w:r>
          </w:p>
        </w:tc>
        <w:tc>
          <w:tcPr>
            <w:tcW w:w="0" w:type="auto"/>
          </w:tcPr>
          <w:p w14:paraId="68BAE96F"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Key forces</w:t>
            </w:r>
          </w:p>
        </w:tc>
        <w:tc>
          <w:tcPr>
            <w:tcW w:w="0" w:type="auto"/>
          </w:tcPr>
          <w:p w14:paraId="659A2F19"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Implication for OTCA</w:t>
            </w:r>
          </w:p>
        </w:tc>
      </w:tr>
      <w:tr w:rsidR="005A37EB" w:rsidRPr="000D2520" w14:paraId="6C401D8F" w14:textId="77777777" w:rsidTr="004C0B94">
        <w:tc>
          <w:tcPr>
            <w:tcW w:w="0" w:type="auto"/>
          </w:tcPr>
          <w:p w14:paraId="15D38884"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Political</w:t>
            </w:r>
          </w:p>
        </w:tc>
        <w:tc>
          <w:tcPr>
            <w:tcW w:w="0" w:type="auto"/>
          </w:tcPr>
          <w:p w14:paraId="6F28F722"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Mobility policy volatility, geopolitical tension, travel friction.</w:t>
            </w:r>
          </w:p>
        </w:tc>
        <w:tc>
          <w:tcPr>
            <w:tcW w:w="0" w:type="auto"/>
          </w:tcPr>
          <w:p w14:paraId="119DC2A0"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Build pathway optionality; diversify partner network; emphasize verified outcomes rather than promises.</w:t>
            </w:r>
          </w:p>
        </w:tc>
      </w:tr>
      <w:tr w:rsidR="005A37EB" w:rsidRPr="000D2520" w14:paraId="08B5BDDA" w14:textId="77777777" w:rsidTr="004C0B94">
        <w:tc>
          <w:tcPr>
            <w:tcW w:w="0" w:type="auto"/>
          </w:tcPr>
          <w:p w14:paraId="72BAE1F2"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Economic</w:t>
            </w:r>
          </w:p>
        </w:tc>
        <w:tc>
          <w:tcPr>
            <w:tcW w:w="0" w:type="auto"/>
          </w:tcPr>
          <w:p w14:paraId="067AE971"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Cost-of-living pressure increases price sensitivity; consumers demand ROI.</w:t>
            </w:r>
          </w:p>
        </w:tc>
        <w:tc>
          <w:tcPr>
            <w:tcW w:w="0" w:type="auto"/>
          </w:tcPr>
          <w:p w14:paraId="345A5683"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Shift from “hours taught” to outcomes, membership value, and employability narratives; diversify revenue to reduce cyclicality.</w:t>
            </w:r>
          </w:p>
        </w:tc>
      </w:tr>
      <w:tr w:rsidR="005A37EB" w:rsidRPr="000D2520" w14:paraId="161D9647" w14:textId="77777777" w:rsidTr="004C0B94">
        <w:tc>
          <w:tcPr>
            <w:tcW w:w="0" w:type="auto"/>
          </w:tcPr>
          <w:p w14:paraId="3F411B01"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Social</w:t>
            </w:r>
          </w:p>
        </w:tc>
        <w:tc>
          <w:tcPr>
            <w:tcW w:w="0" w:type="auto"/>
          </w:tcPr>
          <w:p w14:paraId="3FB5C1CA"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Hybrid learning normalized; trust and community matter more; fear of scams and low-quality providers increases.</w:t>
            </w:r>
          </w:p>
        </w:tc>
        <w:tc>
          <w:tcPr>
            <w:tcW w:w="0" w:type="auto"/>
          </w:tcPr>
          <w:p w14:paraId="3AD846B6"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Invest in credibility assets (outcomes data, community, transparency) and peer support to reduce churn.</w:t>
            </w:r>
          </w:p>
        </w:tc>
      </w:tr>
      <w:tr w:rsidR="005A37EB" w:rsidRPr="000D2520" w14:paraId="237028AE" w14:textId="77777777" w:rsidTr="004C0B94">
        <w:tc>
          <w:tcPr>
            <w:tcW w:w="0" w:type="auto"/>
          </w:tcPr>
          <w:p w14:paraId="081AD353"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Technological</w:t>
            </w:r>
          </w:p>
        </w:tc>
        <w:tc>
          <w:tcPr>
            <w:tcW w:w="0" w:type="auto"/>
          </w:tcPr>
          <w:p w14:paraId="0829CD1B"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AI tutoring, content automation, personalization, platform distribution.</w:t>
            </w:r>
          </w:p>
        </w:tc>
        <w:tc>
          <w:tcPr>
            <w:tcW w:w="0" w:type="auto"/>
          </w:tcPr>
          <w:p w14:paraId="46AE2FE4" w14:textId="6AB6A0B4"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 xml:space="preserve">Use AI as a structural lever; build owned audience and first-party data; redesign operating model around value streams </w:t>
            </w:r>
            <w:r w:rsidR="00E7752C">
              <w:rPr>
                <w:rFonts w:ascii="Times New Roman" w:hAnsi="Times New Roman" w:cs="Times New Roman"/>
              </w:rPr>
              <w:fldChar w:fldCharType="begin"/>
            </w:r>
            <w:r w:rsidR="00E7752C">
              <w:rPr>
                <w:rFonts w:ascii="Times New Roman" w:hAnsi="Times New Roman" w:cs="Times New Roman"/>
              </w:rPr>
              <w:instrText xml:space="preserve"> ADDIN ZOTERO_ITEM CSL_CITATION {"citationID":"42pvYHXK","properties":{"formattedCitation":"(Jesuthasan, 2019)","plainCitation":"(Jesuthasan, 2019)","noteIndex":0},"citationItems":[{"id":194,"uris":["http://zotero.org/users/local/Xt9Z7MiI/items/QSAVSKGP"],"itemData":{"id":194,"type":"webpage","container-title":"Harvard Business Review","note":"journalAbbreviation: Harvard Business Review","title":"The 8 Ways Companies Get Work Done, and How to Align Them","URL":"https://hbr.org/2019/08/the-8-ways-companies-get-work-done-and-how-to-align-them","author":[{"family":"Jesuthasan","given":"Ravin"}],"issued":{"date-parts":[["2019",8,6]]}}}],"schema":"https://github.com/citation-style-language/schema/raw/master/csl-citation.json"} </w:instrText>
            </w:r>
            <w:r w:rsidR="00E7752C">
              <w:rPr>
                <w:rFonts w:ascii="Times New Roman" w:hAnsi="Times New Roman" w:cs="Times New Roman"/>
              </w:rPr>
              <w:fldChar w:fldCharType="separate"/>
            </w:r>
            <w:r w:rsidR="00E7752C" w:rsidRPr="00E7752C">
              <w:rPr>
                <w:rFonts w:ascii="Times New Roman" w:hAnsi="Times New Roman" w:cs="Times New Roman"/>
              </w:rPr>
              <w:t>(</w:t>
            </w:r>
            <w:proofErr w:type="spellStart"/>
            <w:r w:rsidR="00E7752C" w:rsidRPr="00E7752C">
              <w:rPr>
                <w:rFonts w:ascii="Times New Roman" w:hAnsi="Times New Roman" w:cs="Times New Roman"/>
              </w:rPr>
              <w:t>Jesuthasan</w:t>
            </w:r>
            <w:proofErr w:type="spellEnd"/>
            <w:r w:rsidR="00E7752C" w:rsidRPr="00E7752C">
              <w:rPr>
                <w:rFonts w:ascii="Times New Roman" w:hAnsi="Times New Roman" w:cs="Times New Roman"/>
              </w:rPr>
              <w:t>, 2019)</w:t>
            </w:r>
            <w:r w:rsidR="00E7752C">
              <w:rPr>
                <w:rFonts w:ascii="Times New Roman" w:hAnsi="Times New Roman" w:cs="Times New Roman"/>
              </w:rPr>
              <w:fldChar w:fldCharType="end"/>
            </w:r>
          </w:p>
        </w:tc>
      </w:tr>
      <w:tr w:rsidR="005A37EB" w:rsidRPr="000D2520" w14:paraId="5BDC6710" w14:textId="77777777" w:rsidTr="004C0B94">
        <w:tc>
          <w:tcPr>
            <w:tcW w:w="0" w:type="auto"/>
          </w:tcPr>
          <w:p w14:paraId="20D54F70"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Legal</w:t>
            </w:r>
          </w:p>
        </w:tc>
        <w:tc>
          <w:tcPr>
            <w:tcW w:w="0" w:type="auto"/>
          </w:tcPr>
          <w:p w14:paraId="32554651"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Expanding privacy and AI regulation; expectations for transparency and risk management.</w:t>
            </w:r>
          </w:p>
        </w:tc>
        <w:tc>
          <w:tcPr>
            <w:tcW w:w="0" w:type="auto"/>
          </w:tcPr>
          <w:p w14:paraId="0C7767F9"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Implement privacy-by-design and AI governance systems; document model behavior and data flows (NIST, 2023; ISO, 2023; European Commission, n.d.).</w:t>
            </w:r>
          </w:p>
        </w:tc>
      </w:tr>
      <w:tr w:rsidR="005A37EB" w:rsidRPr="000D2520" w14:paraId="5554B313" w14:textId="77777777" w:rsidTr="004C0B94">
        <w:tc>
          <w:tcPr>
            <w:tcW w:w="0" w:type="auto"/>
          </w:tcPr>
          <w:p w14:paraId="316AC614"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Environmental</w:t>
            </w:r>
          </w:p>
        </w:tc>
        <w:tc>
          <w:tcPr>
            <w:tcW w:w="0" w:type="auto"/>
          </w:tcPr>
          <w:p w14:paraId="683DAB01"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t xml:space="preserve">Sustainability expectations; resilience planning after crises; </w:t>
            </w:r>
            <w:r w:rsidRPr="000D2520">
              <w:rPr>
                <w:rFonts w:ascii="Times New Roman" w:hAnsi="Times New Roman" w:cs="Times New Roman"/>
              </w:rPr>
              <w:lastRenderedPageBreak/>
              <w:t>digital reduces physical footprint.</w:t>
            </w:r>
          </w:p>
        </w:tc>
        <w:tc>
          <w:tcPr>
            <w:tcW w:w="0" w:type="auto"/>
          </w:tcPr>
          <w:p w14:paraId="20D638FB" w14:textId="77777777" w:rsidR="005A37EB" w:rsidRPr="000D2520" w:rsidRDefault="005A37EB" w:rsidP="00127A18">
            <w:pPr>
              <w:pStyle w:val="Compact"/>
              <w:spacing w:line="480" w:lineRule="auto"/>
              <w:rPr>
                <w:rFonts w:ascii="Times New Roman" w:hAnsi="Times New Roman" w:cs="Times New Roman"/>
              </w:rPr>
            </w:pPr>
            <w:r w:rsidRPr="000D2520">
              <w:rPr>
                <w:rFonts w:ascii="Times New Roman" w:hAnsi="Times New Roman" w:cs="Times New Roman"/>
              </w:rPr>
              <w:lastRenderedPageBreak/>
              <w:t xml:space="preserve">Prefer digital-first, reduce reliance on physical expansion; incorporate </w:t>
            </w:r>
            <w:r w:rsidRPr="000D2520">
              <w:rPr>
                <w:rFonts w:ascii="Times New Roman" w:hAnsi="Times New Roman" w:cs="Times New Roman"/>
              </w:rPr>
              <w:lastRenderedPageBreak/>
              <w:t>sustainability into brand and operating model.</w:t>
            </w:r>
          </w:p>
        </w:tc>
      </w:tr>
    </w:tbl>
    <w:p w14:paraId="61E180BC" w14:textId="77777777" w:rsidR="00124DFD" w:rsidRDefault="00124DFD" w:rsidP="00127A18">
      <w:pPr>
        <w:spacing w:line="480" w:lineRule="auto"/>
        <w:jc w:val="both"/>
        <w:rPr>
          <w:rFonts w:ascii="Times New Roman" w:eastAsia="Times New Roman" w:hAnsi="Times New Roman" w:cs="Times New Roman"/>
          <w:sz w:val="24"/>
          <w:szCs w:val="24"/>
        </w:rPr>
      </w:pPr>
    </w:p>
    <w:p w14:paraId="75BE6713" w14:textId="77777777" w:rsidR="00FE7811" w:rsidRDefault="00FE7811" w:rsidP="00127A18">
      <w:pPr>
        <w:pStyle w:val="NoSpacing"/>
        <w:spacing w:line="480" w:lineRule="auto"/>
        <w:rPr>
          <w:b/>
          <w:bCs/>
        </w:rPr>
      </w:pPr>
      <w:r w:rsidRPr="00127A18">
        <w:rPr>
          <w:b/>
          <w:bCs/>
        </w:rPr>
        <w:t>Porter’s Five Forces</w:t>
      </w:r>
    </w:p>
    <w:p w14:paraId="1A935566" w14:textId="77777777" w:rsidR="00127A18" w:rsidRPr="00127A18" w:rsidRDefault="00127A18" w:rsidP="00127A18">
      <w:pPr>
        <w:pStyle w:val="NoSpacing"/>
        <w:spacing w:line="480" w:lineRule="auto"/>
        <w:rPr>
          <w:b/>
          <w:bCs/>
        </w:rPr>
      </w:pPr>
    </w:p>
    <w:tbl>
      <w:tblPr>
        <w:tblStyle w:val="Table"/>
        <w:tblW w:w="0" w:type="auto"/>
        <w:tblLook w:val="0020" w:firstRow="1" w:lastRow="0" w:firstColumn="0" w:lastColumn="0" w:noHBand="0" w:noVBand="0"/>
      </w:tblPr>
      <w:tblGrid>
        <w:gridCol w:w="1402"/>
        <w:gridCol w:w="2524"/>
        <w:gridCol w:w="5100"/>
      </w:tblGrid>
      <w:tr w:rsidR="00FA282D" w:rsidRPr="000D2520" w14:paraId="13BC8FE9"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4A5CACDA"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Force</w:t>
            </w:r>
          </w:p>
        </w:tc>
        <w:tc>
          <w:tcPr>
            <w:tcW w:w="0" w:type="auto"/>
          </w:tcPr>
          <w:p w14:paraId="605FFFAF"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Course-led model (today)</w:t>
            </w:r>
          </w:p>
        </w:tc>
        <w:tc>
          <w:tcPr>
            <w:tcW w:w="0" w:type="auto"/>
          </w:tcPr>
          <w:p w14:paraId="5DE0CA45"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Ecosystem model (proposed)</w:t>
            </w:r>
          </w:p>
        </w:tc>
      </w:tr>
      <w:tr w:rsidR="00FA282D" w:rsidRPr="000D2520" w14:paraId="2441EF59" w14:textId="77777777" w:rsidTr="004C0B94">
        <w:tc>
          <w:tcPr>
            <w:tcW w:w="0" w:type="auto"/>
          </w:tcPr>
          <w:p w14:paraId="43E9A520"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Rivalry</w:t>
            </w:r>
          </w:p>
        </w:tc>
        <w:tc>
          <w:tcPr>
            <w:tcW w:w="0" w:type="auto"/>
          </w:tcPr>
          <w:p w14:paraId="7570A167"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High: many similar providers; price competition.</w:t>
            </w:r>
          </w:p>
        </w:tc>
        <w:tc>
          <w:tcPr>
            <w:tcW w:w="0" w:type="auto"/>
          </w:tcPr>
          <w:p w14:paraId="7CECD204"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Moderate: competition shifts to integrated ecosystems; fewer true equivalents.</w:t>
            </w:r>
          </w:p>
        </w:tc>
      </w:tr>
      <w:tr w:rsidR="00FA282D" w:rsidRPr="000D2520" w14:paraId="5307509F" w14:textId="77777777" w:rsidTr="004C0B94">
        <w:tc>
          <w:tcPr>
            <w:tcW w:w="0" w:type="auto"/>
          </w:tcPr>
          <w:p w14:paraId="1087E19B"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New entrants</w:t>
            </w:r>
          </w:p>
        </w:tc>
        <w:tc>
          <w:tcPr>
            <w:tcW w:w="0" w:type="auto"/>
          </w:tcPr>
          <w:p w14:paraId="47E6BA98"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High: creators + AI tools lower barriers.</w:t>
            </w:r>
          </w:p>
        </w:tc>
        <w:tc>
          <w:tcPr>
            <w:tcW w:w="0" w:type="auto"/>
          </w:tcPr>
          <w:p w14:paraId="79913767"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Lower: integration complexity, partner network, data and trust assets create barriers.</w:t>
            </w:r>
          </w:p>
        </w:tc>
      </w:tr>
      <w:tr w:rsidR="00FA282D" w:rsidRPr="000D2520" w14:paraId="74A46676" w14:textId="77777777" w:rsidTr="004C0B94">
        <w:tc>
          <w:tcPr>
            <w:tcW w:w="0" w:type="auto"/>
          </w:tcPr>
          <w:p w14:paraId="5AACB44F"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Substitutes</w:t>
            </w:r>
          </w:p>
        </w:tc>
        <w:tc>
          <w:tcPr>
            <w:tcW w:w="0" w:type="auto"/>
          </w:tcPr>
          <w:p w14:paraId="2E8E1EA8"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High: AI tutors, free content, peer groups.</w:t>
            </w:r>
          </w:p>
        </w:tc>
        <w:tc>
          <w:tcPr>
            <w:tcW w:w="0" w:type="auto"/>
          </w:tcPr>
          <w:p w14:paraId="1D3AD259"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Lower: components can be substituted, but integrated outcomes + community + partners are harder to replace.</w:t>
            </w:r>
          </w:p>
        </w:tc>
      </w:tr>
      <w:tr w:rsidR="00FA282D" w:rsidRPr="000D2520" w14:paraId="224CE877" w14:textId="77777777" w:rsidTr="004C0B94">
        <w:tc>
          <w:tcPr>
            <w:tcW w:w="0" w:type="auto"/>
          </w:tcPr>
          <w:p w14:paraId="61FBBDAB"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Supplier power</w:t>
            </w:r>
          </w:p>
        </w:tc>
        <w:tc>
          <w:tcPr>
            <w:tcW w:w="0" w:type="auto"/>
          </w:tcPr>
          <w:p w14:paraId="11A82C41"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Instructors and platforms have power.</w:t>
            </w:r>
          </w:p>
        </w:tc>
        <w:tc>
          <w:tcPr>
            <w:tcW w:w="0" w:type="auto"/>
          </w:tcPr>
          <w:p w14:paraId="7BB67900"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Instructor dependence decreases via AI augmentation; platform dependence reduced by owned community and first-party data.</w:t>
            </w:r>
          </w:p>
        </w:tc>
      </w:tr>
      <w:tr w:rsidR="00FA282D" w:rsidRPr="000D2520" w14:paraId="54CDB5A0" w14:textId="77777777" w:rsidTr="004C0B94">
        <w:tc>
          <w:tcPr>
            <w:tcW w:w="0" w:type="auto"/>
          </w:tcPr>
          <w:p w14:paraId="7B7EF39F"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Buyer power</w:t>
            </w:r>
          </w:p>
        </w:tc>
        <w:tc>
          <w:tcPr>
            <w:tcW w:w="0" w:type="auto"/>
          </w:tcPr>
          <w:p w14:paraId="50550529"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High: many alternatives and low switching costs.</w:t>
            </w:r>
          </w:p>
        </w:tc>
        <w:tc>
          <w:tcPr>
            <w:tcW w:w="0" w:type="auto"/>
          </w:tcPr>
          <w:p w14:paraId="68B3CD09" w14:textId="77777777" w:rsidR="00FA282D" w:rsidRPr="000D2520" w:rsidRDefault="00FA282D" w:rsidP="00127A18">
            <w:pPr>
              <w:pStyle w:val="Compact"/>
              <w:spacing w:line="480" w:lineRule="auto"/>
              <w:rPr>
                <w:rFonts w:ascii="Times New Roman" w:hAnsi="Times New Roman" w:cs="Times New Roman"/>
              </w:rPr>
            </w:pPr>
            <w:r w:rsidRPr="000D2520">
              <w:rPr>
                <w:rFonts w:ascii="Times New Roman" w:hAnsi="Times New Roman" w:cs="Times New Roman"/>
              </w:rPr>
              <w:t>Reduced at premium tiers through outcomes and membership; still high at entry tiers but mitigated by differentiation and retention.</w:t>
            </w:r>
          </w:p>
        </w:tc>
      </w:tr>
    </w:tbl>
    <w:p w14:paraId="655F3EE7" w14:textId="77777777" w:rsidR="00124DFD" w:rsidRDefault="00124DFD" w:rsidP="00127A18">
      <w:pPr>
        <w:spacing w:line="480" w:lineRule="auto"/>
        <w:jc w:val="both"/>
        <w:rPr>
          <w:rFonts w:ascii="Times New Roman" w:eastAsia="Times New Roman" w:hAnsi="Times New Roman" w:cs="Times New Roman"/>
          <w:sz w:val="24"/>
          <w:szCs w:val="24"/>
        </w:rPr>
      </w:pPr>
    </w:p>
    <w:p w14:paraId="568D6029" w14:textId="77777777" w:rsidR="00C72C7D" w:rsidRDefault="00C72C7D" w:rsidP="00127A18">
      <w:pPr>
        <w:spacing w:line="480" w:lineRule="auto"/>
        <w:jc w:val="both"/>
        <w:rPr>
          <w:rFonts w:ascii="Times New Roman" w:eastAsia="Times New Roman" w:hAnsi="Times New Roman" w:cs="Times New Roman"/>
          <w:sz w:val="24"/>
          <w:szCs w:val="24"/>
        </w:rPr>
      </w:pPr>
    </w:p>
    <w:p w14:paraId="333AA3B1" w14:textId="783815D2" w:rsidR="00127A18" w:rsidRPr="00127A18" w:rsidRDefault="00C72C7D" w:rsidP="00127A18">
      <w:pPr>
        <w:pStyle w:val="NoSpacing"/>
        <w:spacing w:line="480" w:lineRule="auto"/>
        <w:rPr>
          <w:rFonts w:ascii="Times New Roman" w:hAnsi="Times New Roman" w:cs="Times New Roman"/>
          <w:b/>
          <w:bCs/>
          <w:sz w:val="24"/>
          <w:szCs w:val="24"/>
        </w:rPr>
      </w:pPr>
      <w:r w:rsidRPr="00127A18">
        <w:rPr>
          <w:rFonts w:ascii="Times New Roman" w:hAnsi="Times New Roman" w:cs="Times New Roman"/>
          <w:b/>
          <w:bCs/>
          <w:sz w:val="24"/>
          <w:szCs w:val="24"/>
        </w:rPr>
        <w:lastRenderedPageBreak/>
        <w:t>Trend synthesis: why reinvention now is rational</w:t>
      </w:r>
    </w:p>
    <w:p w14:paraId="7D04A996" w14:textId="4DC14F9D" w:rsidR="005424F4" w:rsidRPr="005424F4" w:rsidRDefault="005424F4" w:rsidP="00127A18">
      <w:pPr>
        <w:spacing w:line="480" w:lineRule="auto"/>
        <w:jc w:val="both"/>
        <w:rPr>
          <w:rFonts w:ascii="Times New Roman" w:eastAsia="Times New Roman" w:hAnsi="Times New Roman" w:cs="Times New Roman"/>
          <w:sz w:val="24"/>
          <w:szCs w:val="24"/>
        </w:rPr>
      </w:pPr>
      <w:r w:rsidRPr="005424F4">
        <w:rPr>
          <w:rFonts w:ascii="Times New Roman" w:eastAsia="Times New Roman" w:hAnsi="Times New Roman" w:cs="Times New Roman"/>
          <w:sz w:val="24"/>
          <w:szCs w:val="24"/>
        </w:rPr>
        <w:t xml:space="preserve">The post-Covid era speeded the pace of change and demonstrated a strategic trend: companies that perceive disruption as their opportunity can create future pools of profits, as opposed to just cushioning the previous ones. According to McKinsey, innovation can act like a launchpad during a crisis as leaders redistribute their resources, re-wire operations to work as quick, and staff change efforts with explicit accountability </w:t>
      </w:r>
      <w:r w:rsidR="00E7752C">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{"citationID":"frecqvnd","properties":{"formattedCitation":"(Furstenthal et al., 2021)","plainCitation":"(Furstenthal et al., 2021)","noteIndex":0},"citationItems":[{"id":198,"uris":["http://zotero.org/users/local/Xt9Z7MiI/items/8CQNZYIQ"],"itemData":{"id":198,"type":"webpage","container-title":"McKinsey &amp; Company","note":"journalAbbreviation: McKinsey &amp; Company","title":"Innovation: Your Launchpad Out of the COVID-19 Crisis","URL":"https://www.mckinsey.com/capabilities/strategy-and-corporate-finance/our-insights/innovation-your-launchpad-out-of-the-covid-19-crisis","author":[{"family":"Furstenthal","given":"Laura"},{"family":"Hirt","given":"Martin"},{"family":"Roth","given":"Erik"}],"issued":{"date-parts":[["2021",3,18]]}}}],"schema":"https://github.com/citation-style-language/schema/raw/master/csl-citation.json"} </w:instrText>
      </w:r>
      <w:r w:rsidR="00E7752C">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w:t>
      </w:r>
      <w:proofErr w:type="spellStart"/>
      <w:r w:rsidR="00E7752C" w:rsidRPr="00E7752C">
        <w:rPr>
          <w:rFonts w:ascii="Times New Roman" w:hAnsi="Times New Roman" w:cs="Times New Roman"/>
          <w:sz w:val="24"/>
        </w:rPr>
        <w:t>Furstenthal</w:t>
      </w:r>
      <w:proofErr w:type="spellEnd"/>
      <w:r w:rsidR="00E7752C" w:rsidRPr="00E7752C">
        <w:rPr>
          <w:rFonts w:ascii="Times New Roman" w:hAnsi="Times New Roman" w:cs="Times New Roman"/>
          <w:sz w:val="24"/>
        </w:rPr>
        <w:t xml:space="preserve"> et al., 2021)</w:t>
      </w:r>
      <w:r w:rsidR="00E7752C">
        <w:rPr>
          <w:rFonts w:ascii="Times New Roman" w:eastAsia="Times New Roman" w:hAnsi="Times New Roman" w:cs="Times New Roman"/>
          <w:sz w:val="24"/>
          <w:szCs w:val="24"/>
        </w:rPr>
        <w:fldChar w:fldCharType="end"/>
      </w:r>
      <w:r w:rsidR="00E7752C">
        <w:rPr>
          <w:rFonts w:ascii="Times New Roman" w:eastAsia="Times New Roman" w:hAnsi="Times New Roman" w:cs="Times New Roman"/>
          <w:sz w:val="24"/>
          <w:szCs w:val="24"/>
        </w:rPr>
        <w:t xml:space="preserve">. </w:t>
      </w:r>
      <w:r w:rsidRPr="005424F4">
        <w:rPr>
          <w:rFonts w:ascii="Times New Roman" w:eastAsia="Times New Roman" w:hAnsi="Times New Roman" w:cs="Times New Roman"/>
          <w:sz w:val="24"/>
          <w:szCs w:val="24"/>
        </w:rPr>
        <w:t xml:space="preserve">On the same note, McKinsey highlights that innovation is particularly essential in crisis circumstances--due to the fact that shocks transform customer requirements and competitive environments </w:t>
      </w:r>
      <w:r w:rsidR="00E7752C">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{"citationID":"oJEAdCQq","properties":{"formattedCitation":"(Bar Am et al., 2020)","plainCitation":"(Bar Am et al., 2020)","noteIndex":0},"citationItems":[{"id":197,"uris":["http://zotero.org/users/local/Xt9Z7MiI/items/R8URLXAW"],"itemData":{"id":197,"type":"webpage","container-title":"McKinsey &amp; Company","note":"journalAbbreviation: McKinsey &amp; Company","title":"Innovation in a Crisis: Why It Is More Critical Than Ever","URL":"https://www.mckinsey.com/capabilities/strategy-and-corporate-finance/our-insights/innovation-in-a-crisis-why-it-is-more-critical-than-ever","author":[{"family":"Bar Am","given":"Jordan"},{"family":"Furstenthal","given":"Laura"},{"family":"Jorge","given":"Felicitas"},{"family":"Roth","given":"Erik"}],"issued":{"date-parts":[["2020",6,17]]}}}],"schema":"https://github.com/citation-style-language/schema/raw/master/csl-citation.json"} </w:instrText>
      </w:r>
      <w:r w:rsidR="00E7752C">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(Bar Am et al., 2020)</w:t>
      </w:r>
      <w:r w:rsidR="00E7752C">
        <w:rPr>
          <w:rFonts w:ascii="Times New Roman" w:eastAsia="Times New Roman" w:hAnsi="Times New Roman" w:cs="Times New Roman"/>
          <w:sz w:val="24"/>
          <w:szCs w:val="24"/>
        </w:rPr>
        <w:fldChar w:fldCharType="end"/>
      </w:r>
      <w:r w:rsidR="00E7752C">
        <w:rPr>
          <w:rFonts w:ascii="Times New Roman" w:eastAsia="Times New Roman" w:hAnsi="Times New Roman" w:cs="Times New Roman"/>
          <w:sz w:val="24"/>
          <w:szCs w:val="24"/>
        </w:rPr>
        <w:t xml:space="preserve">. </w:t>
      </w:r>
      <w:r w:rsidRPr="005424F4">
        <w:rPr>
          <w:rFonts w:ascii="Times New Roman" w:eastAsia="Times New Roman" w:hAnsi="Times New Roman" w:cs="Times New Roman"/>
          <w:sz w:val="24"/>
          <w:szCs w:val="24"/>
        </w:rPr>
        <w:t>This is the macro reason why OTCA is pivotal, not that there is a collapse in language learning, but the ground of benefit changes.</w:t>
      </w:r>
    </w:p>
    <w:p w14:paraId="7BAA6F24" w14:textId="77777777" w:rsidR="00232822" w:rsidRDefault="00232822" w:rsidP="00127A18">
      <w:pPr>
        <w:spacing w:line="480" w:lineRule="auto"/>
        <w:jc w:val="both"/>
        <w:rPr>
          <w:rFonts w:ascii="Times New Roman" w:eastAsia="Times New Roman" w:hAnsi="Times New Roman" w:cs="Times New Roman"/>
          <w:sz w:val="24"/>
          <w:szCs w:val="24"/>
        </w:rPr>
      </w:pPr>
    </w:p>
    <w:p w14:paraId="45CEF12E" w14:textId="0BA47A42" w:rsidR="00DF1BB5" w:rsidRPr="00A0529C" w:rsidRDefault="003C7292">
      <w:pPr>
        <w:pStyle w:val="Heading2"/>
        <w:rPr>
          <w:rFonts w:ascii="Times New Roman" w:eastAsia="Times New Roman" w:hAnsi="Times New Roman" w:cs="Times New Roman"/>
          <w:color w:val="000000"/>
          <w:sz w:val="24"/>
          <w:szCs w:val="24"/>
        </w:rPr>
      </w:pPr>
      <w:bookmarkStart w:id="5" w:name="_Toc225915933"/>
      <w:r w:rsidRPr="00A0529C">
        <w:rPr>
          <w:rFonts w:ascii="Times New Roman" w:eastAsia="Times New Roman" w:hAnsi="Times New Roman" w:cs="Times New Roman"/>
          <w:color w:val="000000"/>
          <w:sz w:val="24"/>
          <w:szCs w:val="24"/>
        </w:rPr>
        <w:t xml:space="preserve">2.3. </w:t>
      </w:r>
      <w:r w:rsidR="00BC06F7" w:rsidRPr="00A0529C">
        <w:rPr>
          <w:rFonts w:ascii="Times New Roman" w:eastAsia="Times New Roman" w:hAnsi="Times New Roman" w:cs="Times New Roman"/>
          <w:color w:val="000000"/>
          <w:sz w:val="24"/>
          <w:szCs w:val="24"/>
        </w:rPr>
        <w:t>Strategic Foundation and Problem Definition</w:t>
      </w:r>
      <w:bookmarkEnd w:id="5"/>
    </w:p>
    <w:p w14:paraId="45CEF12F" w14:textId="77777777" w:rsidR="00DF1BB5" w:rsidRDefault="00DF1BB5"/>
    <w:p w14:paraId="67E288DA" w14:textId="78A912B8" w:rsidR="00127A18" w:rsidRPr="0032120E" w:rsidRDefault="0032120E" w:rsidP="00127A18">
      <w:pPr>
        <w:spacing w:line="480" w:lineRule="auto"/>
        <w:jc w:val="both"/>
        <w:rPr>
          <w:rFonts w:asciiTheme="minorHAnsi" w:eastAsiaTheme="minorHAnsi" w:hAnsiTheme="minorHAnsi" w:cstheme="minorBidi"/>
          <w:sz w:val="24"/>
          <w:szCs w:val="24"/>
          <w:lang w:eastAsia="en-US"/>
        </w:rPr>
      </w:pPr>
      <w:r w:rsidRPr="0032120E">
        <w:rPr>
          <w:rFonts w:asciiTheme="minorHAnsi" w:eastAsiaTheme="minorHAnsi" w:hAnsiTheme="minorHAnsi" w:cstheme="minorBidi"/>
          <w:sz w:val="24"/>
          <w:szCs w:val="24"/>
          <w:lang w:eastAsia="en-US"/>
        </w:rPr>
        <w:t>This section fulfils the requirement of the LO2 (strategic tools: SWOT/TOWS, root cause, decision frameworks) and the requirement of the LO3 (authority: via making explicit trade-offs and governance decisions).</w:t>
      </w:r>
    </w:p>
    <w:p w14:paraId="51E0C3E7" w14:textId="315B6C83" w:rsidR="0032120E" w:rsidRPr="00127A18" w:rsidRDefault="00EC3EB0"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SWOT analysis (OTCA, current condition)</w:t>
      </w:r>
    </w:p>
    <w:tbl>
      <w:tblPr>
        <w:tblStyle w:val="Table"/>
        <w:tblW w:w="0" w:type="auto"/>
        <w:tblLook w:val="0020" w:firstRow="1" w:lastRow="0" w:firstColumn="0" w:lastColumn="0" w:noHBand="0" w:noVBand="0"/>
      </w:tblPr>
      <w:tblGrid>
        <w:gridCol w:w="3903"/>
        <w:gridCol w:w="5123"/>
      </w:tblGrid>
      <w:tr w:rsidR="00002AFE" w:rsidRPr="002D642E" w14:paraId="7B90381C"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6BB47D88"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t>Strengths</w:t>
            </w:r>
          </w:p>
        </w:tc>
        <w:tc>
          <w:tcPr>
            <w:tcW w:w="0" w:type="auto"/>
          </w:tcPr>
          <w:p w14:paraId="0640B5EF"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t>Weaknesses</w:t>
            </w:r>
          </w:p>
        </w:tc>
      </w:tr>
      <w:tr w:rsidR="00002AFE" w:rsidRPr="002D642E" w14:paraId="6C285A28" w14:textId="77777777" w:rsidTr="004C0B94">
        <w:tc>
          <w:tcPr>
            <w:tcW w:w="0" w:type="auto"/>
          </w:tcPr>
          <w:p w14:paraId="66C58367"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t>Niche pathway expertise; brand trust with families; operational ability to run cohorts; practical advising know-how.</w:t>
            </w:r>
          </w:p>
        </w:tc>
        <w:tc>
          <w:tcPr>
            <w:tcW w:w="0" w:type="auto"/>
          </w:tcPr>
          <w:p w14:paraId="424F02B9"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t>Linear scalability (people-heavy); limited recurring revenue; dependence on paid acquisition; limited analytics maturity; strategy-execution fragmentation.</w:t>
            </w:r>
          </w:p>
        </w:tc>
      </w:tr>
    </w:tbl>
    <w:p w14:paraId="6317A066" w14:textId="77777777" w:rsidR="00002AFE" w:rsidRPr="002D642E" w:rsidRDefault="00002AFE" w:rsidP="00127A18">
      <w:pPr>
        <w:spacing w:line="480" w:lineRule="auto"/>
        <w:rPr>
          <w:rFonts w:ascii="Times New Roman" w:hAnsi="Times New Roman" w:cs="Times New Roman"/>
        </w:rPr>
      </w:pPr>
    </w:p>
    <w:tbl>
      <w:tblPr>
        <w:tblStyle w:val="Table"/>
        <w:tblW w:w="0" w:type="auto"/>
        <w:tblLook w:val="0020" w:firstRow="1" w:lastRow="0" w:firstColumn="0" w:lastColumn="0" w:noHBand="0" w:noVBand="0"/>
      </w:tblPr>
      <w:tblGrid>
        <w:gridCol w:w="4770"/>
        <w:gridCol w:w="4256"/>
      </w:tblGrid>
      <w:tr w:rsidR="00002AFE" w:rsidRPr="002D642E" w14:paraId="61F4ACF5"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1C714A3D"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lastRenderedPageBreak/>
              <w:t>Opportunities</w:t>
            </w:r>
          </w:p>
        </w:tc>
        <w:tc>
          <w:tcPr>
            <w:tcW w:w="0" w:type="auto"/>
          </w:tcPr>
          <w:p w14:paraId="4139D031"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t>Threats</w:t>
            </w:r>
          </w:p>
        </w:tc>
      </w:tr>
      <w:tr w:rsidR="00002AFE" w:rsidRPr="002D642E" w14:paraId="3322ABD8" w14:textId="77777777" w:rsidTr="004C0B94">
        <w:tc>
          <w:tcPr>
            <w:tcW w:w="0" w:type="auto"/>
          </w:tcPr>
          <w:p w14:paraId="029C25F3"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t>AI augmentation; media-led acquisition; community membership; partnerships and placement outcomes; expansion to adjacent pathways.</w:t>
            </w:r>
          </w:p>
        </w:tc>
        <w:tc>
          <w:tcPr>
            <w:tcW w:w="0" w:type="auto"/>
          </w:tcPr>
          <w:p w14:paraId="3B6880D1" w14:textId="77777777" w:rsidR="00002AFE" w:rsidRPr="002D642E" w:rsidRDefault="00002AFE" w:rsidP="00127A18">
            <w:pPr>
              <w:pStyle w:val="Compact"/>
              <w:spacing w:line="480" w:lineRule="auto"/>
              <w:rPr>
                <w:rFonts w:ascii="Times New Roman" w:hAnsi="Times New Roman" w:cs="Times New Roman"/>
              </w:rPr>
            </w:pPr>
            <w:r w:rsidRPr="002D642E">
              <w:rPr>
                <w:rFonts w:ascii="Times New Roman" w:hAnsi="Times New Roman" w:cs="Times New Roman"/>
              </w:rPr>
              <w:t>AI substitutes; commoditization; distrust in education market; platform volatility; privacy/AI regulatory risk.</w:t>
            </w:r>
          </w:p>
        </w:tc>
      </w:tr>
    </w:tbl>
    <w:p w14:paraId="0024865B" w14:textId="77777777" w:rsidR="00EC3EB0" w:rsidRDefault="00EC3EB0" w:rsidP="00127A18">
      <w:pPr>
        <w:spacing w:line="480" w:lineRule="auto"/>
        <w:jc w:val="both"/>
        <w:rPr>
          <w:rFonts w:ascii="Times New Roman" w:eastAsia="Times New Roman" w:hAnsi="Times New Roman" w:cs="Times New Roman"/>
          <w:sz w:val="24"/>
          <w:szCs w:val="24"/>
        </w:rPr>
      </w:pPr>
    </w:p>
    <w:p w14:paraId="2BA000F8" w14:textId="4F4D9FD6" w:rsidR="00C637B2" w:rsidRPr="00127A18" w:rsidRDefault="00C637B2"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TOWS strategy translation</w:t>
      </w:r>
    </w:p>
    <w:tbl>
      <w:tblPr>
        <w:tblStyle w:val="Table"/>
        <w:tblW w:w="0" w:type="auto"/>
        <w:tblLook w:val="0020" w:firstRow="1" w:lastRow="0" w:firstColumn="0" w:lastColumn="0" w:noHBand="0" w:noVBand="0"/>
      </w:tblPr>
      <w:tblGrid>
        <w:gridCol w:w="1496"/>
        <w:gridCol w:w="3630"/>
        <w:gridCol w:w="3900"/>
      </w:tblGrid>
      <w:tr w:rsidR="00BD3808" w:rsidRPr="002D642E" w14:paraId="252ADFD3"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5201F4E9" w14:textId="77777777" w:rsidR="00BD3808" w:rsidRPr="002D642E" w:rsidRDefault="00BD3808" w:rsidP="00127A18">
            <w:pPr>
              <w:pStyle w:val="Compact"/>
              <w:spacing w:line="480" w:lineRule="auto"/>
              <w:rPr>
                <w:rFonts w:ascii="Times New Roman" w:hAnsi="Times New Roman" w:cs="Times New Roman"/>
              </w:rPr>
            </w:pPr>
          </w:p>
        </w:tc>
        <w:tc>
          <w:tcPr>
            <w:tcW w:w="0" w:type="auto"/>
          </w:tcPr>
          <w:p w14:paraId="301D8170"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rPr>
              <w:t>Opportunities (O)</w:t>
            </w:r>
          </w:p>
        </w:tc>
        <w:tc>
          <w:tcPr>
            <w:tcW w:w="0" w:type="auto"/>
          </w:tcPr>
          <w:p w14:paraId="76FB63A6"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rPr>
              <w:t>Threats (T)</w:t>
            </w:r>
          </w:p>
        </w:tc>
      </w:tr>
      <w:tr w:rsidR="00BD3808" w:rsidRPr="002D642E" w14:paraId="7C9F4FEF" w14:textId="77777777" w:rsidTr="004C0B94">
        <w:tc>
          <w:tcPr>
            <w:tcW w:w="0" w:type="auto"/>
          </w:tcPr>
          <w:p w14:paraId="78D979B1"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rPr>
              <w:t>Strengths (S)</w:t>
            </w:r>
          </w:p>
        </w:tc>
        <w:tc>
          <w:tcPr>
            <w:tcW w:w="0" w:type="auto"/>
          </w:tcPr>
          <w:p w14:paraId="4A1E658C"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b/>
                <w:bCs/>
              </w:rPr>
              <w:t>SO:</w:t>
            </w:r>
            <w:r w:rsidRPr="002D642E">
              <w:rPr>
                <w:rFonts w:ascii="Times New Roman" w:hAnsi="Times New Roman" w:cs="Times New Roman"/>
              </w:rPr>
              <w:t xml:space="preserve"> Convert pathway trust into media leadership; launch membership; build partner outcomes.</w:t>
            </w:r>
          </w:p>
        </w:tc>
        <w:tc>
          <w:tcPr>
            <w:tcW w:w="0" w:type="auto"/>
          </w:tcPr>
          <w:p w14:paraId="0B2A9B95"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b/>
                <w:bCs/>
              </w:rPr>
              <w:t>ST:</w:t>
            </w:r>
            <w:r w:rsidRPr="002D642E">
              <w:rPr>
                <w:rFonts w:ascii="Times New Roman" w:hAnsi="Times New Roman" w:cs="Times New Roman"/>
              </w:rPr>
              <w:t xml:space="preserve"> Use trust + outcomes data to differentiate from low-integrity AI apps and content farms.</w:t>
            </w:r>
          </w:p>
        </w:tc>
      </w:tr>
      <w:tr w:rsidR="00BD3808" w:rsidRPr="002D642E" w14:paraId="437DEA4A" w14:textId="77777777" w:rsidTr="004C0B94">
        <w:tc>
          <w:tcPr>
            <w:tcW w:w="0" w:type="auto"/>
          </w:tcPr>
          <w:p w14:paraId="06CA757F"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rPr>
              <w:t>Weaknesses (W)</w:t>
            </w:r>
          </w:p>
        </w:tc>
        <w:tc>
          <w:tcPr>
            <w:tcW w:w="0" w:type="auto"/>
          </w:tcPr>
          <w:p w14:paraId="200A2B62"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b/>
                <w:bCs/>
              </w:rPr>
              <w:t>WO:</w:t>
            </w:r>
            <w:r w:rsidRPr="002D642E">
              <w:rPr>
                <w:rFonts w:ascii="Times New Roman" w:hAnsi="Times New Roman" w:cs="Times New Roman"/>
              </w:rPr>
              <w:t xml:space="preserve"> Build product/data/AI capabilities; reduce paid acquisition dependence via owned audience.</w:t>
            </w:r>
          </w:p>
        </w:tc>
        <w:tc>
          <w:tcPr>
            <w:tcW w:w="0" w:type="auto"/>
          </w:tcPr>
          <w:p w14:paraId="412F0274" w14:textId="77777777" w:rsidR="00BD3808" w:rsidRPr="002D642E" w:rsidRDefault="00BD3808" w:rsidP="00127A18">
            <w:pPr>
              <w:pStyle w:val="Compact"/>
              <w:spacing w:line="480" w:lineRule="auto"/>
              <w:rPr>
                <w:rFonts w:ascii="Times New Roman" w:hAnsi="Times New Roman" w:cs="Times New Roman"/>
              </w:rPr>
            </w:pPr>
            <w:r w:rsidRPr="002D642E">
              <w:rPr>
                <w:rFonts w:ascii="Times New Roman" w:hAnsi="Times New Roman" w:cs="Times New Roman"/>
                <w:b/>
                <w:bCs/>
              </w:rPr>
              <w:t>WT:</w:t>
            </w:r>
            <w:r w:rsidRPr="002D642E">
              <w:rPr>
                <w:rFonts w:ascii="Times New Roman" w:hAnsi="Times New Roman" w:cs="Times New Roman"/>
              </w:rPr>
              <w:t xml:space="preserve"> Privacy-by-design and AI governance reduce risk; diversification reduces platform and country dependence.</w:t>
            </w:r>
          </w:p>
        </w:tc>
      </w:tr>
    </w:tbl>
    <w:p w14:paraId="6A7948C9" w14:textId="77777777" w:rsidR="00EC3EB0" w:rsidRDefault="00EC3EB0" w:rsidP="00127A18">
      <w:pPr>
        <w:spacing w:line="480" w:lineRule="auto"/>
        <w:jc w:val="both"/>
        <w:rPr>
          <w:rFonts w:ascii="Times New Roman" w:eastAsia="Times New Roman" w:hAnsi="Times New Roman" w:cs="Times New Roman"/>
          <w:sz w:val="24"/>
          <w:szCs w:val="24"/>
        </w:rPr>
      </w:pPr>
    </w:p>
    <w:p w14:paraId="16B1785B" w14:textId="77777777" w:rsidR="00852578" w:rsidRPr="00127A18" w:rsidRDefault="00852578"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Root-cause analysis: why the existing model is being structurally weak</w:t>
      </w:r>
    </w:p>
    <w:p w14:paraId="641A25D1" w14:textId="77777777" w:rsidR="00096054" w:rsidRPr="00096054" w:rsidRDefault="00096054" w:rsidP="00127A18">
      <w:pPr>
        <w:spacing w:line="480" w:lineRule="auto"/>
        <w:jc w:val="both"/>
        <w:rPr>
          <w:rFonts w:ascii="Times New Roman" w:eastAsia="Times New Roman" w:hAnsi="Times New Roman" w:cs="Times New Roman"/>
          <w:sz w:val="24"/>
          <w:szCs w:val="24"/>
        </w:rPr>
      </w:pPr>
      <w:r w:rsidRPr="00096054">
        <w:rPr>
          <w:rFonts w:ascii="Times New Roman" w:eastAsia="Times New Roman" w:hAnsi="Times New Roman" w:cs="Times New Roman"/>
          <w:sz w:val="24"/>
          <w:szCs w:val="24"/>
        </w:rPr>
        <w:t>High CAC, churn, discounting, and so forth are downstream. The underlying causative factors are:</w:t>
      </w:r>
    </w:p>
    <w:p w14:paraId="5A29B26B" w14:textId="06AFAC89" w:rsidR="00096054" w:rsidRPr="00A15515" w:rsidRDefault="00096054" w:rsidP="00127A18">
      <w:pPr>
        <w:pStyle w:val="ListParagraph"/>
        <w:numPr>
          <w:ilvl w:val="0"/>
          <w:numId w:val="27"/>
        </w:numPr>
        <w:spacing w:line="480" w:lineRule="auto"/>
        <w:jc w:val="both"/>
        <w:rPr>
          <w:rFonts w:ascii="Times New Roman" w:eastAsia="Times New Roman" w:hAnsi="Times New Roman" w:cs="Times New Roman"/>
          <w:sz w:val="24"/>
          <w:szCs w:val="24"/>
        </w:rPr>
      </w:pPr>
      <w:r w:rsidRPr="00A15515">
        <w:rPr>
          <w:rFonts w:ascii="Times New Roman" w:eastAsia="Times New Roman" w:hAnsi="Times New Roman" w:cs="Times New Roman"/>
          <w:sz w:val="24"/>
          <w:szCs w:val="24"/>
        </w:rPr>
        <w:t>Value capture is transactional: learners purchase a course, not a lifecycle relationship.</w:t>
      </w:r>
    </w:p>
    <w:p w14:paraId="0CAE9781" w14:textId="14B093AD" w:rsidR="00096054" w:rsidRPr="00A15515" w:rsidRDefault="00096054" w:rsidP="00127A18">
      <w:pPr>
        <w:pStyle w:val="ListParagraph"/>
        <w:numPr>
          <w:ilvl w:val="0"/>
          <w:numId w:val="27"/>
        </w:numPr>
        <w:spacing w:line="480" w:lineRule="auto"/>
        <w:jc w:val="both"/>
        <w:rPr>
          <w:rFonts w:ascii="Times New Roman" w:eastAsia="Times New Roman" w:hAnsi="Times New Roman" w:cs="Times New Roman"/>
          <w:sz w:val="24"/>
          <w:szCs w:val="24"/>
        </w:rPr>
      </w:pPr>
      <w:r w:rsidRPr="00A15515">
        <w:rPr>
          <w:rFonts w:ascii="Times New Roman" w:eastAsia="Times New Roman" w:hAnsi="Times New Roman" w:cs="Times New Roman"/>
          <w:sz w:val="24"/>
          <w:szCs w:val="24"/>
        </w:rPr>
        <w:t xml:space="preserve">Delivery is a </w:t>
      </w:r>
      <w:r w:rsidR="00417131" w:rsidRPr="00A15515">
        <w:rPr>
          <w:rFonts w:ascii="Times New Roman" w:eastAsia="Times New Roman" w:hAnsi="Times New Roman" w:cs="Times New Roman"/>
          <w:sz w:val="24"/>
          <w:szCs w:val="24"/>
        </w:rPr>
        <w:t>labour</w:t>
      </w:r>
      <w:r w:rsidRPr="00A15515">
        <w:rPr>
          <w:rFonts w:ascii="Times New Roman" w:eastAsia="Times New Roman" w:hAnsi="Times New Roman" w:cs="Times New Roman"/>
          <w:sz w:val="24"/>
          <w:szCs w:val="24"/>
        </w:rPr>
        <w:t xml:space="preserve"> intensive: the limits of margins are instructor hour and a </w:t>
      </w:r>
      <w:r w:rsidR="00E7752C" w:rsidRPr="00A15515">
        <w:rPr>
          <w:rFonts w:ascii="Times New Roman" w:eastAsia="Times New Roman" w:hAnsi="Times New Roman" w:cs="Times New Roman"/>
          <w:sz w:val="24"/>
          <w:szCs w:val="24"/>
        </w:rPr>
        <w:t>schedule-based</w:t>
      </w:r>
      <w:r w:rsidRPr="00A15515">
        <w:rPr>
          <w:rFonts w:ascii="Times New Roman" w:eastAsia="Times New Roman" w:hAnsi="Times New Roman" w:cs="Times New Roman"/>
          <w:sz w:val="24"/>
          <w:szCs w:val="24"/>
        </w:rPr>
        <w:t xml:space="preserve"> margin.</w:t>
      </w:r>
    </w:p>
    <w:p w14:paraId="20F6E12B" w14:textId="7ED42495" w:rsidR="00096054" w:rsidRPr="00A15515" w:rsidRDefault="00417131" w:rsidP="00127A18">
      <w:pPr>
        <w:pStyle w:val="ListParagraph"/>
        <w:numPr>
          <w:ilvl w:val="0"/>
          <w:numId w:val="2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Differentiation is weak</w:t>
      </w:r>
      <w:r w:rsidR="00096054" w:rsidRPr="00A15515">
        <w:rPr>
          <w:rFonts w:ascii="Times New Roman" w:eastAsia="Times New Roman" w:hAnsi="Times New Roman" w:cs="Times New Roman"/>
          <w:sz w:val="24"/>
          <w:szCs w:val="24"/>
        </w:rPr>
        <w:t>: content, formats are imitable; substitutes are satisfactory.</w:t>
      </w:r>
    </w:p>
    <w:p w14:paraId="3A28F607" w14:textId="6B48595C" w:rsidR="00096054" w:rsidRPr="00A15515" w:rsidRDefault="00417131" w:rsidP="00127A18">
      <w:pPr>
        <w:pStyle w:val="ListParagraph"/>
        <w:numPr>
          <w:ilvl w:val="0"/>
          <w:numId w:val="2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is delayed by measurement bias</w:t>
      </w:r>
      <w:r w:rsidR="00096054" w:rsidRPr="00A15515">
        <w:rPr>
          <w:rFonts w:ascii="Times New Roman" w:eastAsia="Times New Roman" w:hAnsi="Times New Roman" w:cs="Times New Roman"/>
          <w:sz w:val="24"/>
          <w:szCs w:val="24"/>
        </w:rPr>
        <w:t xml:space="preserve">: early experiments will be evaluated by measures of profitability at mature courses that will end up weeding out new bets too soon </w:t>
      </w:r>
      <w:r w:rsidR="00E7752C">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{"citationID":"I28DILlb","properties":{"formattedCitation":"(Kirsner, 2021)","plainCitation":"(Kirsner, 2021)","noteIndex":0},"citationItems":[{"id":193,"uris":["http://zotero.org/users/local/Xt9Z7MiI/items/MXNLMYAX"],"itemData":{"id":193,"type":"webpage","container-title":"Harvard Business Review","note":"journalAbbreviation: Harvard Business Review","title":"Don’t Let Financial Metrics Prematurely Stifle Innovation","URL":"https://hbr.org/2021/03/dont-let-financial-metrics-prematurely-stifle-innovation","author":[{"family":"Kirsner","given":"Scott"}],"issued":{"date-parts":[["2021",3,31]]}}}],"schema":"https://github.com/citation-style-language/schema/raw/master/csl-citation.json"} </w:instrText>
      </w:r>
      <w:r w:rsidR="00E7752C">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(Kirsner, 2021)</w:t>
      </w:r>
      <w:r w:rsidR="00E7752C">
        <w:rPr>
          <w:rFonts w:ascii="Times New Roman" w:eastAsia="Times New Roman" w:hAnsi="Times New Roman" w:cs="Times New Roman"/>
          <w:sz w:val="24"/>
          <w:szCs w:val="24"/>
        </w:rPr>
        <w:fldChar w:fldCharType="end"/>
      </w:r>
      <w:r w:rsidR="00E7752C">
        <w:rPr>
          <w:rFonts w:ascii="Times New Roman" w:eastAsia="Times New Roman" w:hAnsi="Times New Roman" w:cs="Times New Roman"/>
          <w:sz w:val="24"/>
          <w:szCs w:val="24"/>
        </w:rPr>
        <w:t>.</w:t>
      </w:r>
    </w:p>
    <w:p w14:paraId="0BB42137" w14:textId="6B896E43" w:rsidR="00BD3808" w:rsidRPr="00127A18" w:rsidRDefault="00417131" w:rsidP="00127A18">
      <w:pPr>
        <w:pStyle w:val="ListParagraph"/>
        <w:numPr>
          <w:ilvl w:val="0"/>
          <w:numId w:val="2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096054" w:rsidRPr="00A15515">
        <w:rPr>
          <w:rFonts w:ascii="Times New Roman" w:eastAsia="Times New Roman" w:hAnsi="Times New Roman" w:cs="Times New Roman"/>
          <w:sz w:val="24"/>
          <w:szCs w:val="24"/>
        </w:rPr>
        <w:t>ork model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misaligment</w:t>
      </w:r>
      <w:proofErr w:type="spellEnd"/>
      <w:r w:rsidR="00096054" w:rsidRPr="00A15515">
        <w:rPr>
          <w:rFonts w:ascii="Times New Roman" w:eastAsia="Times New Roman" w:hAnsi="Times New Roman" w:cs="Times New Roman"/>
          <w:sz w:val="24"/>
          <w:szCs w:val="24"/>
        </w:rPr>
        <w:t xml:space="preserve">: silos inhibit media, product, data, and partnerships integration; the displayed issue is the misalignment problem of HBR through the lenses of the ways work gets done </w:t>
      </w:r>
      <w:r w:rsidR="00E7752C">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{"citationID":"0gm9sdjo","properties":{"formattedCitation":"(Jesuthasan, 2019)","plainCitation":"(Jesuthasan, 2019)","noteIndex":0},"citationItems":[{"id":194,"uris":["http://zotero.org/users/local/Xt9Z7MiI/items/QSAVSKGP"],"itemData":{"id":194,"type":"webpage","container-title":"Harvard Business Review","note":"journalAbbreviation: Harvard Business Review","title":"The 8 Ways Companies Get Work Done, and How to Align Them","URL":"https://hbr.org/2019/08/the-8-ways-companies-get-work-done-and-how-to-align-them","author":[{"family":"Jesuthasan","given":"Ravin"}],"issued":{"date-parts":[["2019",8,6]]}}}],"schema":"https://github.com/citation-style-language/schema/raw/master/csl-citation.json"} </w:instrText>
      </w:r>
      <w:r w:rsidR="00E7752C">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w:t>
      </w:r>
      <w:proofErr w:type="spellStart"/>
      <w:r w:rsidR="00E7752C" w:rsidRPr="00E7752C">
        <w:rPr>
          <w:rFonts w:ascii="Times New Roman" w:hAnsi="Times New Roman" w:cs="Times New Roman"/>
          <w:sz w:val="24"/>
        </w:rPr>
        <w:t>Jesuthasan</w:t>
      </w:r>
      <w:proofErr w:type="spellEnd"/>
      <w:r w:rsidR="00E7752C" w:rsidRPr="00E7752C">
        <w:rPr>
          <w:rFonts w:ascii="Times New Roman" w:hAnsi="Times New Roman" w:cs="Times New Roman"/>
          <w:sz w:val="24"/>
        </w:rPr>
        <w:t>, 2019)</w:t>
      </w:r>
      <w:r w:rsidR="00E7752C">
        <w:rPr>
          <w:rFonts w:ascii="Times New Roman" w:eastAsia="Times New Roman" w:hAnsi="Times New Roman" w:cs="Times New Roman"/>
          <w:sz w:val="24"/>
          <w:szCs w:val="24"/>
        </w:rPr>
        <w:fldChar w:fldCharType="end"/>
      </w:r>
      <w:r w:rsidR="00E7752C">
        <w:rPr>
          <w:rFonts w:ascii="Times New Roman" w:eastAsia="Times New Roman" w:hAnsi="Times New Roman" w:cs="Times New Roman"/>
          <w:sz w:val="24"/>
          <w:szCs w:val="24"/>
        </w:rPr>
        <w:t>.</w:t>
      </w:r>
    </w:p>
    <w:p w14:paraId="266E2CEC" w14:textId="1F210C47" w:rsidR="00712A26" w:rsidRPr="00712A26" w:rsidRDefault="00712A26" w:rsidP="00127A18">
      <w:pPr>
        <w:spacing w:line="480" w:lineRule="auto"/>
        <w:jc w:val="both"/>
        <w:rPr>
          <w:rFonts w:ascii="Times New Roman" w:eastAsia="Times New Roman" w:hAnsi="Times New Roman" w:cs="Times New Roman"/>
          <w:sz w:val="24"/>
          <w:szCs w:val="24"/>
        </w:rPr>
      </w:pPr>
      <w:r w:rsidRPr="00712A26">
        <w:rPr>
          <w:rFonts w:ascii="Times New Roman" w:eastAsia="Times New Roman" w:hAnsi="Times New Roman" w:cs="Times New Roman"/>
          <w:sz w:val="24"/>
          <w:szCs w:val="24"/>
        </w:rPr>
        <w:t>Relative for the market, OTCA is performing well regarding speed and flexibility. Its adaptability and quickness have helped it stay competitive in a competitive market. My international exposure has also added to strategic awareness and innovation.</w:t>
      </w:r>
    </w:p>
    <w:p w14:paraId="78DEF651" w14:textId="66684310" w:rsidR="00712A26" w:rsidRPr="00712A26" w:rsidRDefault="00712A26" w:rsidP="00127A18">
      <w:pPr>
        <w:spacing w:line="480" w:lineRule="auto"/>
        <w:jc w:val="both"/>
        <w:rPr>
          <w:rFonts w:ascii="Times New Roman" w:eastAsia="Times New Roman" w:hAnsi="Times New Roman" w:cs="Times New Roman"/>
          <w:sz w:val="24"/>
          <w:szCs w:val="24"/>
        </w:rPr>
      </w:pPr>
      <w:r w:rsidRPr="00712A26">
        <w:rPr>
          <w:rFonts w:ascii="Times New Roman" w:eastAsia="Times New Roman" w:hAnsi="Times New Roman" w:cs="Times New Roman"/>
          <w:sz w:val="24"/>
          <w:szCs w:val="24"/>
        </w:rPr>
        <w:t xml:space="preserve">Nevertheless, there are still performance weaknesses. Decision-making is still concentrated with too many bottlenecks and dependency on individual judgment. </w:t>
      </w:r>
      <w:r>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{"citationID":"gzm4SOeK","properties":{"formattedCitation":"(McKinsey &amp; Company, 2021)","plainCitation":"(McKinsey &amp; Company, 2021)","noteIndex":0},"citationItems":[{"id":130,"uris":["http://zotero.org/users/local/Xt9Z7MiI/items/CEF4CYT4"],"itemData":{"id":130,"type":"webpage","note":"archive: McKinsey Insights","title":"For smarter decisions, empower your employees","URL":"https://www.mckinsey.com/capabilities/people-and-organizational-performance/our-insights/for-smarter-decisions-empower-your-employees","author":[{"literal":"McKinsey &amp; Company"}],"issued":{"date-parts":[["2021"]]}}}],"schema":"https://github.com/citation-style-language/schema/raw/master/csl-citation.json"} </w:instrText>
      </w:r>
      <w:r>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 xml:space="preserve">McKinsey &amp; Company </w:t>
      </w:r>
      <w:r w:rsidR="00E7752C">
        <w:rPr>
          <w:rFonts w:ascii="Times New Roman" w:hAnsi="Times New Roman" w:cs="Times New Roman"/>
          <w:sz w:val="24"/>
        </w:rPr>
        <w:t>(</w:t>
      </w:r>
      <w:r w:rsidR="00E7752C" w:rsidRPr="00E7752C">
        <w:rPr>
          <w:rFonts w:ascii="Times New Roman" w:hAnsi="Times New Roman" w:cs="Times New Roman"/>
          <w:sz w:val="24"/>
        </w:rPr>
        <w:t>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712A26">
        <w:rPr>
          <w:rFonts w:ascii="Times New Roman" w:eastAsia="Times New Roman" w:hAnsi="Times New Roman" w:cs="Times New Roman"/>
          <w:sz w:val="24"/>
          <w:szCs w:val="24"/>
        </w:rPr>
        <w:t>caution that such dependence is limiting organisational resilience. On the contrary, global platforms do have distributed decision power on a wider scale, backed by standardized processes and data systems.</w:t>
      </w:r>
    </w:p>
    <w:p w14:paraId="389312A0" w14:textId="613E7F7A" w:rsidR="00C74871" w:rsidRDefault="00712A26" w:rsidP="00127A18">
      <w:pPr>
        <w:spacing w:line="480" w:lineRule="auto"/>
        <w:jc w:val="both"/>
        <w:rPr>
          <w:rFonts w:ascii="Times New Roman" w:eastAsia="Times New Roman" w:hAnsi="Times New Roman" w:cs="Times New Roman"/>
          <w:sz w:val="24"/>
          <w:szCs w:val="24"/>
        </w:rPr>
      </w:pPr>
      <w:r w:rsidRPr="00712A26">
        <w:rPr>
          <w:rFonts w:ascii="Times New Roman" w:eastAsia="Times New Roman" w:hAnsi="Times New Roman" w:cs="Times New Roman"/>
          <w:sz w:val="24"/>
          <w:szCs w:val="24"/>
        </w:rPr>
        <w:t>This assessment is strengthened by Porter's Five Forces analysis. Intense rivalry and high buyers’ power in the education sector requires speed and precision. While OTCA excels in terms of speed, inconsistencies in the quality of decisions are known to be risky from a long-term competitive perspective.</w:t>
      </w:r>
    </w:p>
    <w:p w14:paraId="7AB14649" w14:textId="3BCBDB76" w:rsidR="00935DCD" w:rsidRPr="00127A18" w:rsidRDefault="00935DCD"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Decision framework used (Module 2 integration).</w:t>
      </w:r>
    </w:p>
    <w:p w14:paraId="48977495" w14:textId="77777777" w:rsidR="000D1341" w:rsidRPr="002D642E" w:rsidRDefault="000D1341" w:rsidP="00127A18">
      <w:pPr>
        <w:autoSpaceDE w:val="0"/>
        <w:autoSpaceDN w:val="0"/>
        <w:adjustRightInd w:val="0"/>
        <w:spacing w:after="0" w:line="480" w:lineRule="auto"/>
        <w:rPr>
          <w:rFonts w:ascii="Times New Roman" w:hAnsi="Times New Roman" w:cs="Times New Roman"/>
          <w:color w:val="000000"/>
          <w:sz w:val="24"/>
          <w:szCs w:val="24"/>
        </w:rPr>
      </w:pPr>
      <w:r w:rsidRPr="002D642E">
        <w:rPr>
          <w:rFonts w:ascii="Times New Roman" w:hAnsi="Times New Roman" w:cs="Times New Roman"/>
          <w:color w:val="000000"/>
          <w:sz w:val="24"/>
          <w:szCs w:val="24"/>
        </w:rPr>
        <w:t>OTCA will employ to operationalize collaborative problem-solving and decision-making:</w:t>
      </w:r>
    </w:p>
    <w:p w14:paraId="75604D78" w14:textId="67628F36" w:rsidR="000D1341" w:rsidRPr="002D642E" w:rsidRDefault="000D1341" w:rsidP="00127A18">
      <w:pPr>
        <w:pStyle w:val="ListParagraph"/>
        <w:numPr>
          <w:ilvl w:val="0"/>
          <w:numId w:val="34"/>
        </w:numPr>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Decision framework A: Opportunity prioritization checklist (Gate 1).</w:t>
      </w:r>
    </w:p>
    <w:p w14:paraId="0A88F087" w14:textId="67B9A90F" w:rsidR="000D1341" w:rsidRPr="002D642E" w:rsidRDefault="000D1341" w:rsidP="00127A18">
      <w:pPr>
        <w:pStyle w:val="ListParagraph"/>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 xml:space="preserve">HBR checklist methodology focuses on opportunities in terms of strategic fit, impact, urgency, and feasibility </w:t>
      </w:r>
      <w:r w:rsidR="00E7752C">
        <w:rPr>
          <w:rFonts w:ascii="Times New Roman" w:hAnsi="Times New Roman" w:cs="Times New Roman"/>
          <w:color w:val="000000"/>
          <w:sz w:val="24"/>
          <w:szCs w:val="24"/>
        </w:rPr>
        <w:fldChar w:fldCharType="begin"/>
      </w:r>
      <w:r w:rsidR="00E7752C">
        <w:rPr>
          <w:rFonts w:ascii="Times New Roman" w:hAnsi="Times New Roman" w:cs="Times New Roman"/>
          <w:color w:val="000000"/>
          <w:sz w:val="24"/>
          <w:szCs w:val="24"/>
        </w:rPr>
        <w:instrText xml:space="preserve"> ADDIN ZOTERO_ITEM CSL_CITATION {"citationID":"78SYtAo6","properties":{"formattedCitation":"(Andrew, 2017)","plainCitation":"(Andrew, 2017)","noteIndex":0},"citationItems":[{"id":196,"uris":["http://zotero.org/users/local/Xt9Z7MiI/items/LHGPBRWG"],"itemData":{"id":196,"type":"webpage","container-title":"Harvard Business Review","note":"journalAbbreviation: Harvard Business Review","title":"Prioritize Your Opportunities with This Checklist","URL":"https://hbr.org/2017/09/prioritize-your-opportunities-with-this-checklist","author":[{"family":"Andrew","given":"Doug"}],"issued":{"date-parts":[["2017",9,22]]}}}],"schema":"https://github.com/citation-style-language/schema/raw/master/csl-citation.json"} </w:instrText>
      </w:r>
      <w:r w:rsidR="00E7752C">
        <w:rPr>
          <w:rFonts w:ascii="Times New Roman" w:hAnsi="Times New Roman" w:cs="Times New Roman"/>
          <w:color w:val="000000"/>
          <w:sz w:val="24"/>
          <w:szCs w:val="24"/>
        </w:rPr>
        <w:fldChar w:fldCharType="separate"/>
      </w:r>
      <w:r w:rsidR="00E7752C" w:rsidRPr="00E7752C">
        <w:rPr>
          <w:rFonts w:ascii="Times New Roman" w:hAnsi="Times New Roman" w:cs="Times New Roman"/>
          <w:sz w:val="24"/>
        </w:rPr>
        <w:t>(Andrew, 2017)</w:t>
      </w:r>
      <w:r w:rsidR="00E7752C">
        <w:rPr>
          <w:rFonts w:ascii="Times New Roman" w:hAnsi="Times New Roman" w:cs="Times New Roman"/>
          <w:color w:val="000000"/>
          <w:sz w:val="24"/>
          <w:szCs w:val="24"/>
        </w:rPr>
        <w:fldChar w:fldCharType="end"/>
      </w:r>
      <w:r w:rsidR="00E7752C">
        <w:rPr>
          <w:rFonts w:ascii="Times New Roman" w:hAnsi="Times New Roman" w:cs="Times New Roman"/>
          <w:color w:val="000000"/>
          <w:sz w:val="24"/>
          <w:szCs w:val="24"/>
        </w:rPr>
        <w:t xml:space="preserve">. </w:t>
      </w:r>
      <w:r w:rsidRPr="002D642E">
        <w:rPr>
          <w:rFonts w:ascii="Times New Roman" w:hAnsi="Times New Roman" w:cs="Times New Roman"/>
          <w:color w:val="000000"/>
          <w:sz w:val="24"/>
          <w:szCs w:val="24"/>
        </w:rPr>
        <w:t xml:space="preserve">Initiatives will be rated on OTCA on the </w:t>
      </w:r>
      <w:r w:rsidRPr="002D642E">
        <w:rPr>
          <w:rFonts w:ascii="Times New Roman" w:hAnsi="Times New Roman" w:cs="Times New Roman"/>
          <w:color w:val="000000"/>
          <w:sz w:val="24"/>
          <w:szCs w:val="24"/>
        </w:rPr>
        <w:lastRenderedPageBreak/>
        <w:t>following criteria: (1) strategic fit to ecosystem, (2) impact on learning outcomes, (3) time to proof, (4) defensibility, (5) regulatory risk and (6) intensity of resources.</w:t>
      </w:r>
    </w:p>
    <w:p w14:paraId="42802F4E" w14:textId="63A1842A" w:rsidR="000D1341" w:rsidRPr="002D642E" w:rsidRDefault="00E82C49" w:rsidP="00127A18">
      <w:pPr>
        <w:pStyle w:val="ListParagraph"/>
        <w:numPr>
          <w:ilvl w:val="0"/>
          <w:numId w:val="34"/>
        </w:numPr>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D</w:t>
      </w:r>
      <w:r w:rsidR="000D1341" w:rsidRPr="002D642E">
        <w:rPr>
          <w:rFonts w:ascii="Times New Roman" w:hAnsi="Times New Roman" w:cs="Times New Roman"/>
          <w:color w:val="000000"/>
          <w:sz w:val="24"/>
          <w:szCs w:val="24"/>
        </w:rPr>
        <w:t>ecision</w:t>
      </w:r>
      <w:r w:rsidRPr="002D642E">
        <w:rPr>
          <w:rFonts w:ascii="Times New Roman" w:hAnsi="Times New Roman" w:cs="Times New Roman"/>
          <w:color w:val="000000"/>
          <w:sz w:val="24"/>
          <w:szCs w:val="24"/>
        </w:rPr>
        <w:t xml:space="preserve"> framework</w:t>
      </w:r>
      <w:r w:rsidR="000D1341" w:rsidRPr="002D642E">
        <w:rPr>
          <w:rFonts w:ascii="Times New Roman" w:hAnsi="Times New Roman" w:cs="Times New Roman"/>
          <w:color w:val="000000"/>
          <w:sz w:val="24"/>
          <w:szCs w:val="24"/>
        </w:rPr>
        <w:t xml:space="preserve"> B: Staged innovation metrics (Gate 2).</w:t>
      </w:r>
    </w:p>
    <w:p w14:paraId="4AA38905" w14:textId="0A1B4DA4" w:rsidR="000D1341" w:rsidRPr="002D642E" w:rsidRDefault="000D1341" w:rsidP="00127A18">
      <w:pPr>
        <w:pStyle w:val="ListParagraph"/>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 xml:space="preserve">To uphold the caution by HBR of early metrics </w:t>
      </w:r>
      <w:r w:rsidR="00E7752C">
        <w:rPr>
          <w:rFonts w:ascii="Times New Roman" w:hAnsi="Times New Roman" w:cs="Times New Roman"/>
          <w:color w:val="000000"/>
          <w:sz w:val="24"/>
          <w:szCs w:val="24"/>
        </w:rPr>
        <w:fldChar w:fldCharType="begin"/>
      </w:r>
      <w:r w:rsidR="00E7752C">
        <w:rPr>
          <w:rFonts w:ascii="Times New Roman" w:hAnsi="Times New Roman" w:cs="Times New Roman"/>
          <w:color w:val="000000"/>
          <w:sz w:val="24"/>
          <w:szCs w:val="24"/>
        </w:rPr>
        <w:instrText xml:space="preserve"> ADDIN ZOTERO_ITEM CSL_CITATION {"citationID":"zXQ1Nivt","properties":{"formattedCitation":"(Kirsner, 2021)","plainCitation":"(Kirsner, 2021)","noteIndex":0},"citationItems":[{"id":193,"uris":["http://zotero.org/users/local/Xt9Z7MiI/items/MXNLMYAX"],"itemData":{"id":193,"type":"webpage","container-title":"Harvard Business Review","note":"journalAbbreviation: Harvard Business Review","title":"Don’t Let Financial Metrics Prematurely Stifle Innovation","URL":"https://hbr.org/2021/03/dont-let-financial-metrics-prematurely-stifle-innovation","author":[{"family":"Kirsner","given":"Scott"}],"issued":{"date-parts":[["2021",3,31]]}}}],"schema":"https://github.com/citation-style-language/schema/raw/master/csl-citation.json"} </w:instrText>
      </w:r>
      <w:r w:rsidR="00E7752C">
        <w:rPr>
          <w:rFonts w:ascii="Times New Roman" w:hAnsi="Times New Roman" w:cs="Times New Roman"/>
          <w:color w:val="000000"/>
          <w:sz w:val="24"/>
          <w:szCs w:val="24"/>
        </w:rPr>
        <w:fldChar w:fldCharType="separate"/>
      </w:r>
      <w:r w:rsidR="00E7752C" w:rsidRPr="00E7752C">
        <w:rPr>
          <w:rFonts w:ascii="Times New Roman" w:hAnsi="Times New Roman" w:cs="Times New Roman"/>
          <w:sz w:val="24"/>
        </w:rPr>
        <w:t>(Kirsner, 2021)</w:t>
      </w:r>
      <w:r w:rsidR="00E7752C">
        <w:rPr>
          <w:rFonts w:ascii="Times New Roman" w:hAnsi="Times New Roman" w:cs="Times New Roman"/>
          <w:color w:val="000000"/>
          <w:sz w:val="24"/>
          <w:szCs w:val="24"/>
        </w:rPr>
        <w:fldChar w:fldCharType="end"/>
      </w:r>
      <w:r w:rsidR="00E7752C">
        <w:rPr>
          <w:rFonts w:ascii="Times New Roman" w:hAnsi="Times New Roman" w:cs="Times New Roman"/>
          <w:color w:val="000000"/>
          <w:sz w:val="24"/>
          <w:szCs w:val="24"/>
        </w:rPr>
        <w:t xml:space="preserve">. </w:t>
      </w:r>
      <w:r w:rsidRPr="002D642E">
        <w:rPr>
          <w:rFonts w:ascii="Times New Roman" w:hAnsi="Times New Roman" w:cs="Times New Roman"/>
          <w:color w:val="000000"/>
          <w:sz w:val="24"/>
          <w:szCs w:val="24"/>
        </w:rPr>
        <w:t>OTCA will measure early-stage initiatives based on learning milestones prior to ROI rigidity. Example: do not require comprehensive unit economics until willingness-to-pay and retention are verified.</w:t>
      </w:r>
    </w:p>
    <w:p w14:paraId="7ECC5BCE" w14:textId="77777777" w:rsidR="000D1341" w:rsidRPr="002D642E" w:rsidRDefault="000D1341" w:rsidP="00127A18">
      <w:pPr>
        <w:pStyle w:val="ListParagraph"/>
        <w:numPr>
          <w:ilvl w:val="0"/>
          <w:numId w:val="34"/>
        </w:numPr>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Portfolio governance (Gate 3).</w:t>
      </w:r>
    </w:p>
    <w:p w14:paraId="00EAE99F" w14:textId="6C026931" w:rsidR="000D1341" w:rsidRPr="002D642E" w:rsidRDefault="000D1341" w:rsidP="00127A18">
      <w:pPr>
        <w:pStyle w:val="ListParagraph"/>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 xml:space="preserve">McKinsey calls on innovation to need commitment, that is, aspiration and resources and a working system </w:t>
      </w:r>
      <w:r w:rsidR="00E7752C">
        <w:rPr>
          <w:rFonts w:ascii="Times New Roman" w:hAnsi="Times New Roman" w:cs="Times New Roman"/>
          <w:color w:val="000000"/>
          <w:sz w:val="24"/>
          <w:szCs w:val="24"/>
        </w:rPr>
        <w:fldChar w:fldCharType="begin"/>
      </w:r>
      <w:r w:rsidR="00E7752C">
        <w:rPr>
          <w:rFonts w:ascii="Times New Roman" w:hAnsi="Times New Roman" w:cs="Times New Roman"/>
          <w:color w:val="000000"/>
          <w:sz w:val="24"/>
          <w:szCs w:val="24"/>
        </w:rPr>
        <w:instrText xml:space="preserve"> ADDIN ZOTERO_ITEM CSL_CITATION {"citationID":"DzQGJwml","properties":{"formattedCitation":"(Cohen et al., 2019)","plainCitation":"(Cohen et al., 2019)","noteIndex":0},"citationItems":[{"id":199,"uris":["http://zotero.org/users/local/Xt9Z7MiI/items/HRKTWGW3"],"itemData":{"id":199,"type":"webpage","container-title":"McKinsey &amp; Company","note":"journalAbbreviation: McKinsey &amp; Company","title":"The Innovation Commitment","URL":"https://www.mckinsey.com/capabilities/strategy-and-corporate-finance/our-insights/the-innovation-commitment","author":[{"family":"Cohen","given":"Daniel"},{"family":"Quinn","given":"Brian"},{"family":"Roth","given":"Erik"}],"issued":{"date-parts":[["2019",10,24]]}}}],"schema":"https://github.com/citation-style-language/schema/raw/master/csl-citation.json"} </w:instrText>
      </w:r>
      <w:r w:rsidR="00E7752C">
        <w:rPr>
          <w:rFonts w:ascii="Times New Roman" w:hAnsi="Times New Roman" w:cs="Times New Roman"/>
          <w:color w:val="000000"/>
          <w:sz w:val="24"/>
          <w:szCs w:val="24"/>
        </w:rPr>
        <w:fldChar w:fldCharType="separate"/>
      </w:r>
      <w:r w:rsidR="00E7752C" w:rsidRPr="00E7752C">
        <w:rPr>
          <w:rFonts w:ascii="Times New Roman" w:hAnsi="Times New Roman" w:cs="Times New Roman"/>
          <w:sz w:val="24"/>
        </w:rPr>
        <w:t>(Cohen et al., 2019)</w:t>
      </w:r>
      <w:r w:rsidR="00E7752C">
        <w:rPr>
          <w:rFonts w:ascii="Times New Roman" w:hAnsi="Times New Roman" w:cs="Times New Roman"/>
          <w:color w:val="000000"/>
          <w:sz w:val="24"/>
          <w:szCs w:val="24"/>
        </w:rPr>
        <w:fldChar w:fldCharType="end"/>
      </w:r>
      <w:r w:rsidR="00E7752C">
        <w:rPr>
          <w:rFonts w:ascii="Times New Roman" w:hAnsi="Times New Roman" w:cs="Times New Roman"/>
          <w:color w:val="000000"/>
          <w:sz w:val="24"/>
          <w:szCs w:val="24"/>
        </w:rPr>
        <w:t xml:space="preserve">. </w:t>
      </w:r>
      <w:r w:rsidRPr="002D642E">
        <w:rPr>
          <w:rFonts w:ascii="Times New Roman" w:hAnsi="Times New Roman" w:cs="Times New Roman"/>
          <w:color w:val="000000"/>
          <w:sz w:val="24"/>
          <w:szCs w:val="24"/>
        </w:rPr>
        <w:t>OTCA will divide initiatives into three horizons (core, adjacent, breakthrough) and clearly resource and review.</w:t>
      </w:r>
    </w:p>
    <w:p w14:paraId="7E79735C" w14:textId="77777777" w:rsidR="002D642E" w:rsidRPr="002D642E" w:rsidRDefault="000D1341" w:rsidP="00127A18">
      <w:pPr>
        <w:pStyle w:val="ListParagraph"/>
        <w:numPr>
          <w:ilvl w:val="0"/>
          <w:numId w:val="34"/>
        </w:numPr>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Decision framework</w:t>
      </w:r>
      <w:r w:rsidR="00EE4593" w:rsidRPr="002D642E">
        <w:rPr>
          <w:rFonts w:ascii="Times New Roman" w:hAnsi="Times New Roman" w:cs="Times New Roman"/>
          <w:color w:val="000000"/>
          <w:sz w:val="24"/>
          <w:szCs w:val="24"/>
        </w:rPr>
        <w:t xml:space="preserve"> D:</w:t>
      </w:r>
      <w:r w:rsidRPr="002D642E">
        <w:rPr>
          <w:rFonts w:ascii="Times New Roman" w:hAnsi="Times New Roman" w:cs="Times New Roman"/>
          <w:color w:val="000000"/>
          <w:sz w:val="24"/>
          <w:szCs w:val="24"/>
        </w:rPr>
        <w:t xml:space="preserve"> Decision rights and cross-functional governance (Gate 4).</w:t>
      </w:r>
    </w:p>
    <w:p w14:paraId="61426D2D" w14:textId="7BE7BC99" w:rsidR="000D1341" w:rsidRPr="002D642E" w:rsidRDefault="000D1341" w:rsidP="00127A18">
      <w:pPr>
        <w:pStyle w:val="ListParagraph"/>
        <w:autoSpaceDE w:val="0"/>
        <w:autoSpaceDN w:val="0"/>
        <w:adjustRightInd w:val="0"/>
        <w:spacing w:after="0" w:line="480" w:lineRule="auto"/>
        <w:ind w:left="360"/>
        <w:rPr>
          <w:rFonts w:ascii="Times New Roman" w:hAnsi="Times New Roman" w:cs="Times New Roman"/>
          <w:color w:val="000000"/>
          <w:sz w:val="24"/>
          <w:szCs w:val="24"/>
        </w:rPr>
      </w:pPr>
      <w:r w:rsidRPr="002D642E">
        <w:rPr>
          <w:rFonts w:ascii="Times New Roman" w:hAnsi="Times New Roman" w:cs="Times New Roman"/>
          <w:color w:val="000000"/>
          <w:sz w:val="24"/>
          <w:szCs w:val="24"/>
        </w:rPr>
        <w:t xml:space="preserve">A team of weekly "reimagination team" (CEO sponsor + product + data + community + partnerships + compliance) makes trade-offs, solves conflicts fast, as McKinsey focuses on accountability and speed </w:t>
      </w:r>
      <w:r w:rsidR="00E7752C">
        <w:rPr>
          <w:rFonts w:ascii="Times New Roman" w:hAnsi="Times New Roman" w:cs="Times New Roman"/>
          <w:color w:val="000000"/>
          <w:sz w:val="24"/>
          <w:szCs w:val="24"/>
        </w:rPr>
        <w:fldChar w:fldCharType="begin"/>
      </w:r>
      <w:r w:rsidR="00E7752C">
        <w:rPr>
          <w:rFonts w:ascii="Times New Roman" w:hAnsi="Times New Roman" w:cs="Times New Roman"/>
          <w:color w:val="000000"/>
          <w:sz w:val="24"/>
          <w:szCs w:val="24"/>
        </w:rPr>
        <w:instrText xml:space="preserve"> ADDIN ZOTERO_ITEM CSL_CITATION {"citationID":"fg67ZirK","properties":{"formattedCitation":"(Furstenthal et al., 2021)","plainCitation":"(Furstenthal et al., 2021)","noteIndex":0},"citationItems":[{"id":198,"uris":["http://zotero.org/users/local/Xt9Z7MiI/items/8CQNZYIQ"],"itemData":{"id":198,"type":"webpage","container-title":"McKinsey &amp; Company","note":"journalAbbreviation: McKinsey &amp; Company","title":"Innovation: Your Launchpad Out of the COVID-19 Crisis","URL":"https://www.mckinsey.com/capabilities/strategy-and-corporate-finance/our-insights/innovation-your-launchpad-out-of-the-covid-19-crisis","author":[{"family":"Furstenthal","given":"Laura"},{"family":"Hirt","given":"Martin"},{"family":"Roth","given":"Erik"}],"issued":{"date-parts":[["2021",3,18]]}}}],"schema":"https://github.com/citation-style-language/schema/raw/master/csl-citation.json"} </w:instrText>
      </w:r>
      <w:r w:rsidR="00E7752C">
        <w:rPr>
          <w:rFonts w:ascii="Times New Roman" w:hAnsi="Times New Roman" w:cs="Times New Roman"/>
          <w:color w:val="000000"/>
          <w:sz w:val="24"/>
          <w:szCs w:val="24"/>
        </w:rPr>
        <w:fldChar w:fldCharType="separate"/>
      </w:r>
      <w:r w:rsidR="00E7752C" w:rsidRPr="00E7752C">
        <w:rPr>
          <w:rFonts w:ascii="Times New Roman" w:hAnsi="Times New Roman" w:cs="Times New Roman"/>
          <w:sz w:val="24"/>
        </w:rPr>
        <w:t>(</w:t>
      </w:r>
      <w:proofErr w:type="spellStart"/>
      <w:r w:rsidR="00E7752C" w:rsidRPr="00E7752C">
        <w:rPr>
          <w:rFonts w:ascii="Times New Roman" w:hAnsi="Times New Roman" w:cs="Times New Roman"/>
          <w:sz w:val="24"/>
        </w:rPr>
        <w:t>Furstenthal</w:t>
      </w:r>
      <w:proofErr w:type="spellEnd"/>
      <w:r w:rsidR="00E7752C" w:rsidRPr="00E7752C">
        <w:rPr>
          <w:rFonts w:ascii="Times New Roman" w:hAnsi="Times New Roman" w:cs="Times New Roman"/>
          <w:sz w:val="24"/>
        </w:rPr>
        <w:t xml:space="preserve"> et al., 2021)</w:t>
      </w:r>
      <w:r w:rsidR="00E7752C">
        <w:rPr>
          <w:rFonts w:ascii="Times New Roman" w:hAnsi="Times New Roman" w:cs="Times New Roman"/>
          <w:color w:val="000000"/>
          <w:sz w:val="24"/>
          <w:szCs w:val="24"/>
        </w:rPr>
        <w:fldChar w:fldCharType="end"/>
      </w:r>
      <w:r w:rsidR="00E7752C">
        <w:rPr>
          <w:rFonts w:ascii="Times New Roman" w:hAnsi="Times New Roman" w:cs="Times New Roman"/>
          <w:color w:val="000000"/>
          <w:sz w:val="24"/>
          <w:szCs w:val="24"/>
        </w:rPr>
        <w:t>.</w:t>
      </w:r>
    </w:p>
    <w:p w14:paraId="4D74FA1C" w14:textId="77777777" w:rsidR="00854C60" w:rsidRDefault="00854C60">
      <w:pPr>
        <w:spacing w:line="480" w:lineRule="auto"/>
        <w:jc w:val="both"/>
        <w:rPr>
          <w:rFonts w:ascii="Times New Roman" w:eastAsia="Times New Roman" w:hAnsi="Times New Roman" w:cs="Times New Roman"/>
          <w:sz w:val="24"/>
          <w:szCs w:val="24"/>
        </w:rPr>
      </w:pPr>
    </w:p>
    <w:p w14:paraId="45CEF141" w14:textId="64D6A8D3" w:rsidR="00DF1BB5" w:rsidRDefault="003C7292">
      <w:pPr>
        <w:pStyle w:val="Heading2"/>
        <w:rPr>
          <w:rFonts w:ascii="Times New Roman" w:eastAsia="Times New Roman" w:hAnsi="Times New Roman" w:cs="Times New Roman"/>
          <w:color w:val="000000"/>
          <w:sz w:val="24"/>
          <w:szCs w:val="24"/>
        </w:rPr>
      </w:pPr>
      <w:bookmarkStart w:id="6" w:name="_Toc225915934"/>
      <w:r>
        <w:rPr>
          <w:rFonts w:ascii="Times New Roman" w:eastAsia="Times New Roman" w:hAnsi="Times New Roman" w:cs="Times New Roman"/>
          <w:color w:val="000000"/>
          <w:sz w:val="24"/>
          <w:szCs w:val="24"/>
        </w:rPr>
        <w:t xml:space="preserve">2.4. </w:t>
      </w:r>
      <w:r w:rsidR="00C74871">
        <w:rPr>
          <w:rFonts w:ascii="Times New Roman" w:eastAsia="Times New Roman" w:hAnsi="Times New Roman" w:cs="Times New Roman"/>
          <w:color w:val="000000"/>
          <w:sz w:val="24"/>
          <w:szCs w:val="24"/>
        </w:rPr>
        <w:t>Disruptive Proposal</w:t>
      </w:r>
      <w:bookmarkEnd w:id="6"/>
    </w:p>
    <w:p w14:paraId="45CEF142" w14:textId="77777777" w:rsidR="00DF1BB5" w:rsidRDefault="00DF1BB5"/>
    <w:p w14:paraId="1C98F943" w14:textId="66CA4DA1" w:rsidR="00127A18" w:rsidRPr="003748CD" w:rsidRDefault="003748CD" w:rsidP="00127A18">
      <w:pPr>
        <w:spacing w:line="480" w:lineRule="auto"/>
        <w:jc w:val="both"/>
        <w:rPr>
          <w:rFonts w:ascii="Times New Roman" w:eastAsia="Times New Roman" w:hAnsi="Times New Roman" w:cs="Times New Roman"/>
          <w:sz w:val="24"/>
          <w:szCs w:val="24"/>
        </w:rPr>
      </w:pPr>
      <w:r w:rsidRPr="003748CD">
        <w:rPr>
          <w:rFonts w:ascii="Times New Roman" w:eastAsia="Times New Roman" w:hAnsi="Times New Roman" w:cs="Times New Roman"/>
          <w:sz w:val="24"/>
          <w:szCs w:val="24"/>
        </w:rPr>
        <w:t>In this section, the requirements of LO4 (introducing a new ecosystem architecture and operating model in the frontier), LO2 (specific design and evaluation), and LO3 (governance and integrity commitments) are met.</w:t>
      </w:r>
    </w:p>
    <w:p w14:paraId="597E61E1" w14:textId="679537D6" w:rsidR="00577D09" w:rsidRPr="00127A18" w:rsidRDefault="00577D09"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Comparison between the old and new models</w:t>
      </w:r>
    </w:p>
    <w:tbl>
      <w:tblPr>
        <w:tblStyle w:val="Table"/>
        <w:tblW w:w="0" w:type="auto"/>
        <w:tblLook w:val="0020" w:firstRow="1" w:lastRow="0" w:firstColumn="0" w:lastColumn="0" w:noHBand="0" w:noVBand="0"/>
      </w:tblPr>
      <w:tblGrid>
        <w:gridCol w:w="2018"/>
        <w:gridCol w:w="2109"/>
        <w:gridCol w:w="4899"/>
      </w:tblGrid>
      <w:tr w:rsidR="0001235D" w:rsidRPr="0001235D" w14:paraId="11F9C8C8"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128F554A"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Dimension</w:t>
            </w:r>
          </w:p>
        </w:tc>
        <w:tc>
          <w:tcPr>
            <w:tcW w:w="0" w:type="auto"/>
          </w:tcPr>
          <w:p w14:paraId="1FC7A6CA"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Current model</w:t>
            </w:r>
          </w:p>
        </w:tc>
        <w:tc>
          <w:tcPr>
            <w:tcW w:w="0" w:type="auto"/>
          </w:tcPr>
          <w:p w14:paraId="495661FB"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Proposed ecosystem model</w:t>
            </w:r>
          </w:p>
        </w:tc>
      </w:tr>
      <w:tr w:rsidR="0001235D" w:rsidRPr="0001235D" w14:paraId="0467BAD0" w14:textId="77777777" w:rsidTr="004C0B94">
        <w:tc>
          <w:tcPr>
            <w:tcW w:w="0" w:type="auto"/>
          </w:tcPr>
          <w:p w14:paraId="36985807"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What OTCA sells</w:t>
            </w:r>
          </w:p>
        </w:tc>
        <w:tc>
          <w:tcPr>
            <w:tcW w:w="0" w:type="auto"/>
          </w:tcPr>
          <w:p w14:paraId="0D75E74D"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Courses / teaching hours</w:t>
            </w:r>
          </w:p>
        </w:tc>
        <w:tc>
          <w:tcPr>
            <w:tcW w:w="0" w:type="auto"/>
          </w:tcPr>
          <w:p w14:paraId="7F3737E1"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Outcomes + membership + pathway readiness</w:t>
            </w:r>
          </w:p>
        </w:tc>
      </w:tr>
      <w:tr w:rsidR="0001235D" w:rsidRPr="0001235D" w14:paraId="1894B233" w14:textId="77777777" w:rsidTr="004C0B94">
        <w:tc>
          <w:tcPr>
            <w:tcW w:w="0" w:type="auto"/>
          </w:tcPr>
          <w:p w14:paraId="1A766BA5"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lastRenderedPageBreak/>
              <w:t>Growth engine</w:t>
            </w:r>
          </w:p>
        </w:tc>
        <w:tc>
          <w:tcPr>
            <w:tcW w:w="0" w:type="auto"/>
          </w:tcPr>
          <w:p w14:paraId="4C0C679E"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Paid ads + sales</w:t>
            </w:r>
          </w:p>
        </w:tc>
        <w:tc>
          <w:tcPr>
            <w:tcW w:w="0" w:type="auto"/>
          </w:tcPr>
          <w:p w14:paraId="12EFE79A"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Media-led inbound + community conversion + partnerships</w:t>
            </w:r>
          </w:p>
        </w:tc>
      </w:tr>
      <w:tr w:rsidR="0001235D" w:rsidRPr="0001235D" w14:paraId="1520E6C4" w14:textId="77777777" w:rsidTr="004C0B94">
        <w:tc>
          <w:tcPr>
            <w:tcW w:w="0" w:type="auto"/>
          </w:tcPr>
          <w:p w14:paraId="1B850B4C"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Differentiation</w:t>
            </w:r>
          </w:p>
        </w:tc>
        <w:tc>
          <w:tcPr>
            <w:tcW w:w="0" w:type="auto"/>
          </w:tcPr>
          <w:p w14:paraId="5A0F21FF"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Curriculum + instructors</w:t>
            </w:r>
          </w:p>
        </w:tc>
        <w:tc>
          <w:tcPr>
            <w:tcW w:w="0" w:type="auto"/>
          </w:tcPr>
          <w:p w14:paraId="1198271B"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Trust + data + community + partner outcomes + governance</w:t>
            </w:r>
          </w:p>
        </w:tc>
      </w:tr>
      <w:tr w:rsidR="0001235D" w:rsidRPr="0001235D" w14:paraId="2C8F68F4" w14:textId="77777777" w:rsidTr="004C0B94">
        <w:tc>
          <w:tcPr>
            <w:tcW w:w="0" w:type="auto"/>
          </w:tcPr>
          <w:p w14:paraId="2A41AA45"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Revenue architecture</w:t>
            </w:r>
          </w:p>
        </w:tc>
        <w:tc>
          <w:tcPr>
            <w:tcW w:w="0" w:type="auto"/>
          </w:tcPr>
          <w:p w14:paraId="342DF455"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Mostly one-off tuition</w:t>
            </w:r>
          </w:p>
        </w:tc>
        <w:tc>
          <w:tcPr>
            <w:tcW w:w="0" w:type="auto"/>
          </w:tcPr>
          <w:p w14:paraId="62031D7F"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Multi-stream: subscription, membership, sponsorship, placement, B2B</w:t>
            </w:r>
          </w:p>
        </w:tc>
      </w:tr>
      <w:tr w:rsidR="0001235D" w:rsidRPr="0001235D" w14:paraId="4EBE83D6" w14:textId="77777777" w:rsidTr="004C0B94">
        <w:tc>
          <w:tcPr>
            <w:tcW w:w="0" w:type="auto"/>
          </w:tcPr>
          <w:p w14:paraId="14BA2DFD"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Scalability</w:t>
            </w:r>
          </w:p>
        </w:tc>
        <w:tc>
          <w:tcPr>
            <w:tcW w:w="0" w:type="auto"/>
          </w:tcPr>
          <w:p w14:paraId="4582F21D"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Linear</w:t>
            </w:r>
          </w:p>
        </w:tc>
        <w:tc>
          <w:tcPr>
            <w:tcW w:w="0" w:type="auto"/>
          </w:tcPr>
          <w:p w14:paraId="4B8F2D02"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Non-linear via AI + content + partners</w:t>
            </w:r>
          </w:p>
        </w:tc>
      </w:tr>
      <w:tr w:rsidR="0001235D" w:rsidRPr="0001235D" w14:paraId="5BA37ED9" w14:textId="77777777" w:rsidTr="004C0B94">
        <w:tc>
          <w:tcPr>
            <w:tcW w:w="0" w:type="auto"/>
          </w:tcPr>
          <w:p w14:paraId="7DD487F9"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Resilience</w:t>
            </w:r>
          </w:p>
        </w:tc>
        <w:tc>
          <w:tcPr>
            <w:tcW w:w="0" w:type="auto"/>
          </w:tcPr>
          <w:p w14:paraId="5D71567D"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Vulnerable to shocks</w:t>
            </w:r>
          </w:p>
        </w:tc>
        <w:tc>
          <w:tcPr>
            <w:tcW w:w="0" w:type="auto"/>
          </w:tcPr>
          <w:p w14:paraId="600FDD23" w14:textId="77777777" w:rsidR="0001235D" w:rsidRPr="0001235D" w:rsidRDefault="0001235D" w:rsidP="00127A18">
            <w:pPr>
              <w:pStyle w:val="Compact"/>
              <w:spacing w:line="480" w:lineRule="auto"/>
              <w:rPr>
                <w:rFonts w:ascii="Times New Roman" w:hAnsi="Times New Roman" w:cs="Times New Roman"/>
              </w:rPr>
            </w:pPr>
            <w:r w:rsidRPr="0001235D">
              <w:rPr>
                <w:rFonts w:ascii="Times New Roman" w:hAnsi="Times New Roman" w:cs="Times New Roman"/>
              </w:rPr>
              <w:t>Diversified streams and optionality</w:t>
            </w:r>
          </w:p>
        </w:tc>
      </w:tr>
    </w:tbl>
    <w:p w14:paraId="2F6C8D86" w14:textId="77777777" w:rsidR="00813CB8" w:rsidRDefault="00813CB8" w:rsidP="00127A18">
      <w:pPr>
        <w:spacing w:line="480" w:lineRule="auto"/>
        <w:jc w:val="both"/>
        <w:rPr>
          <w:rFonts w:ascii="Times New Roman" w:eastAsia="Times New Roman" w:hAnsi="Times New Roman" w:cs="Times New Roman"/>
          <w:sz w:val="24"/>
          <w:szCs w:val="24"/>
        </w:rPr>
      </w:pPr>
    </w:p>
    <w:p w14:paraId="213AD93E" w14:textId="77777777" w:rsidR="00C3457C" w:rsidRPr="00127A18" w:rsidRDefault="00C3457C"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Architecture (Mermaid) Ecosystem architecture</w:t>
      </w:r>
    </w:p>
    <w:p w14:paraId="16ECC43B" w14:textId="7A10FC3E" w:rsidR="00127A18" w:rsidRPr="00607BDB" w:rsidRDefault="00BB118B" w:rsidP="00127A18">
      <w:pPr>
        <w:pStyle w:val="SourceCode"/>
        <w:spacing w:line="480" w:lineRule="auto"/>
      </w:pPr>
      <w:r>
        <w:rPr>
          <w:rStyle w:val="VerbatimChar"/>
        </w:rPr>
        <w:t xml:space="preserve">  A[Media engine: editorial + distribution] --&gt; B[Community: membership + cohorts + events]</w:t>
      </w:r>
      <w:r>
        <w:br/>
      </w:r>
      <w:r>
        <w:rPr>
          <w:rStyle w:val="VerbatimChar"/>
        </w:rPr>
        <w:t xml:space="preserve">  B --&gt; C[Lifecycle data: CRM + segmentation + consent]</w:t>
      </w:r>
      <w:r>
        <w:br/>
      </w:r>
      <w:r>
        <w:rPr>
          <w:rStyle w:val="VerbatimChar"/>
        </w:rPr>
        <w:t xml:space="preserve">  C --&gt; D[AI-augmented learning products: tutor + microlearning +coaching]</w:t>
      </w:r>
      <w:r>
        <w:br/>
      </w:r>
      <w:r>
        <w:rPr>
          <w:rStyle w:val="VerbatimChar"/>
        </w:rPr>
        <w:t xml:space="preserve">  D --&gt; E[Verified outcomes: proficiency + readiness + placement]</w:t>
      </w:r>
      <w:r>
        <w:br/>
      </w:r>
      <w:r>
        <w:rPr>
          <w:rStyle w:val="VerbatimChar"/>
        </w:rPr>
        <w:t xml:space="preserve">  E --&gt; F[Partner layer: employers + institutions + sponsors]</w:t>
      </w:r>
      <w:r>
        <w:br/>
      </w:r>
      <w:r>
        <w:rPr>
          <w:rStyle w:val="VerbatimChar"/>
        </w:rPr>
        <w:t xml:space="preserve">  F --&gt; G[Revenue: subscription + membership + tuition + placement + sponsorship]</w:t>
      </w:r>
      <w:r>
        <w:br/>
      </w:r>
      <w:r>
        <w:rPr>
          <w:rStyle w:val="VerbatimChar"/>
        </w:rPr>
        <w:t xml:space="preserve">  G --&gt; A</w:t>
      </w:r>
      <w:r>
        <w:br/>
      </w:r>
      <w:r>
        <w:rPr>
          <w:rStyle w:val="VerbatimChar"/>
        </w:rPr>
        <w:t xml:space="preserve">  C --&gt; H[Governance: privacy + AI risk + quality assurance]</w:t>
      </w:r>
      <w:r>
        <w:br/>
      </w:r>
      <w:r>
        <w:rPr>
          <w:rStyle w:val="VerbatimChar"/>
        </w:rPr>
        <w:t xml:space="preserve">  H --&gt; D</w:t>
      </w:r>
      <w:r>
        <w:br/>
      </w:r>
      <w:r>
        <w:rPr>
          <w:rStyle w:val="VerbatimChar"/>
        </w:rPr>
        <w:t xml:space="preserve">  H --&gt; A</w:t>
      </w:r>
    </w:p>
    <w:p w14:paraId="78D6F098" w14:textId="673E4510" w:rsidR="00BB118B" w:rsidRPr="00127A18" w:rsidRDefault="00BB118B"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lastRenderedPageBreak/>
        <w:t>Proposed Business Model Canvas</w:t>
      </w:r>
    </w:p>
    <w:tbl>
      <w:tblPr>
        <w:tblStyle w:val="Table"/>
        <w:tblW w:w="0" w:type="auto"/>
        <w:tblLook w:val="0020" w:firstRow="1" w:lastRow="0" w:firstColumn="0" w:lastColumn="0" w:noHBand="0" w:noVBand="0"/>
      </w:tblPr>
      <w:tblGrid>
        <w:gridCol w:w="1885"/>
        <w:gridCol w:w="7141"/>
      </w:tblGrid>
      <w:tr w:rsidR="00607BDB" w:rsidRPr="00607BDB" w14:paraId="22774C5D"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538914CC"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Block</w:t>
            </w:r>
          </w:p>
        </w:tc>
        <w:tc>
          <w:tcPr>
            <w:tcW w:w="0" w:type="auto"/>
          </w:tcPr>
          <w:p w14:paraId="4CEFB172"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OTCA ecosystem design</w:t>
            </w:r>
          </w:p>
        </w:tc>
      </w:tr>
      <w:tr w:rsidR="00607BDB" w:rsidRPr="00607BDB" w14:paraId="243E8C77" w14:textId="77777777" w:rsidTr="004C0B94">
        <w:tc>
          <w:tcPr>
            <w:tcW w:w="0" w:type="auto"/>
          </w:tcPr>
          <w:p w14:paraId="55B95F7B"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Customer segments</w:t>
            </w:r>
          </w:p>
        </w:tc>
        <w:tc>
          <w:tcPr>
            <w:tcW w:w="0" w:type="auto"/>
          </w:tcPr>
          <w:p w14:paraId="4390C767"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Pathway learners; parents/sponsors; employers; institutions; alumni.</w:t>
            </w:r>
          </w:p>
        </w:tc>
      </w:tr>
      <w:tr w:rsidR="00607BDB" w:rsidRPr="00607BDB" w14:paraId="629F1BCD" w14:textId="77777777" w:rsidTr="004C0B94">
        <w:tc>
          <w:tcPr>
            <w:tcW w:w="0" w:type="auto"/>
          </w:tcPr>
          <w:p w14:paraId="0E9F871A"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Value propositions</w:t>
            </w:r>
          </w:p>
        </w:tc>
        <w:tc>
          <w:tcPr>
            <w:tcW w:w="0" w:type="auto"/>
          </w:tcPr>
          <w:p w14:paraId="190EAA11"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Verified pathway outcomes; trusted guidance; AI-assisted personalization; belonging/community; employer access to prepared talent.</w:t>
            </w:r>
          </w:p>
        </w:tc>
      </w:tr>
      <w:tr w:rsidR="00607BDB" w:rsidRPr="00607BDB" w14:paraId="2C4112A1" w14:textId="77777777" w:rsidTr="004C0B94">
        <w:tc>
          <w:tcPr>
            <w:tcW w:w="0" w:type="auto"/>
          </w:tcPr>
          <w:p w14:paraId="0CFA6835"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Channels</w:t>
            </w:r>
          </w:p>
        </w:tc>
        <w:tc>
          <w:tcPr>
            <w:tcW w:w="0" w:type="auto"/>
          </w:tcPr>
          <w:p w14:paraId="7D7C7FD5"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Owned media; community platform; website/app; partner channels; B2B outreach.</w:t>
            </w:r>
          </w:p>
        </w:tc>
      </w:tr>
      <w:tr w:rsidR="00607BDB" w:rsidRPr="00607BDB" w14:paraId="2805415A" w14:textId="77777777" w:rsidTr="004C0B94">
        <w:tc>
          <w:tcPr>
            <w:tcW w:w="0" w:type="auto"/>
          </w:tcPr>
          <w:p w14:paraId="577474E4"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Customer relationships</w:t>
            </w:r>
          </w:p>
        </w:tc>
        <w:tc>
          <w:tcPr>
            <w:tcW w:w="0" w:type="auto"/>
          </w:tcPr>
          <w:p w14:paraId="29B536D5"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Membership lifecycle; automation for entry tier; high-touch coaching for premium tier.</w:t>
            </w:r>
          </w:p>
        </w:tc>
      </w:tr>
      <w:tr w:rsidR="00607BDB" w:rsidRPr="00607BDB" w14:paraId="6836501E" w14:textId="77777777" w:rsidTr="004C0B94">
        <w:tc>
          <w:tcPr>
            <w:tcW w:w="0" w:type="auto"/>
          </w:tcPr>
          <w:p w14:paraId="6CA8E778"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Revenue streams</w:t>
            </w:r>
          </w:p>
        </w:tc>
        <w:tc>
          <w:tcPr>
            <w:tcW w:w="0" w:type="auto"/>
          </w:tcPr>
          <w:p w14:paraId="26C4D544"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Tuition; AI tutor subscription; community membership; placement fees; sponsorship; B2B training; digital products.</w:t>
            </w:r>
          </w:p>
        </w:tc>
      </w:tr>
      <w:tr w:rsidR="00607BDB" w:rsidRPr="00607BDB" w14:paraId="53B8431A" w14:textId="77777777" w:rsidTr="004C0B94">
        <w:tc>
          <w:tcPr>
            <w:tcW w:w="0" w:type="auto"/>
          </w:tcPr>
          <w:p w14:paraId="06AC7481"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Key resources</w:t>
            </w:r>
          </w:p>
        </w:tc>
        <w:tc>
          <w:tcPr>
            <w:tcW w:w="0" w:type="auto"/>
          </w:tcPr>
          <w:p w14:paraId="20FE3808"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Trust brand; content systems; AI platform and data; coaches; partner network; governance capability.</w:t>
            </w:r>
          </w:p>
        </w:tc>
      </w:tr>
      <w:tr w:rsidR="00607BDB" w:rsidRPr="00607BDB" w14:paraId="3C10C04A" w14:textId="77777777" w:rsidTr="004C0B94">
        <w:tc>
          <w:tcPr>
            <w:tcW w:w="0" w:type="auto"/>
          </w:tcPr>
          <w:p w14:paraId="5EF31F20"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Key activities</w:t>
            </w:r>
          </w:p>
        </w:tc>
        <w:tc>
          <w:tcPr>
            <w:tcW w:w="0" w:type="auto"/>
          </w:tcPr>
          <w:p w14:paraId="2FFDF0EF"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Content ops; product dev; learning support; partner management; analytics; AI governance.</w:t>
            </w:r>
          </w:p>
        </w:tc>
      </w:tr>
      <w:tr w:rsidR="00607BDB" w:rsidRPr="00607BDB" w14:paraId="5686098C" w14:textId="77777777" w:rsidTr="004C0B94">
        <w:tc>
          <w:tcPr>
            <w:tcW w:w="0" w:type="auto"/>
          </w:tcPr>
          <w:p w14:paraId="69ADAAF3"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Key partners</w:t>
            </w:r>
          </w:p>
        </w:tc>
        <w:tc>
          <w:tcPr>
            <w:tcW w:w="0" w:type="auto"/>
          </w:tcPr>
          <w:p w14:paraId="468424D6"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Employers; institutions; tech vendors; legal/compliance; alumni.</w:t>
            </w:r>
          </w:p>
        </w:tc>
      </w:tr>
      <w:tr w:rsidR="00607BDB" w:rsidRPr="00607BDB" w14:paraId="10EC4CA2" w14:textId="77777777" w:rsidTr="004C0B94">
        <w:tc>
          <w:tcPr>
            <w:tcW w:w="0" w:type="auto"/>
          </w:tcPr>
          <w:p w14:paraId="6F291799"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Cost structure</w:t>
            </w:r>
          </w:p>
        </w:tc>
        <w:tc>
          <w:tcPr>
            <w:tcW w:w="0" w:type="auto"/>
          </w:tcPr>
          <w:p w14:paraId="167B3D53" w14:textId="77777777" w:rsidR="00607BDB" w:rsidRPr="00607BDB" w:rsidRDefault="00607BDB" w:rsidP="00127A18">
            <w:pPr>
              <w:pStyle w:val="Compact"/>
              <w:spacing w:line="480" w:lineRule="auto"/>
              <w:rPr>
                <w:rFonts w:ascii="Times New Roman" w:hAnsi="Times New Roman" w:cs="Times New Roman"/>
              </w:rPr>
            </w:pPr>
            <w:r w:rsidRPr="00607BDB">
              <w:rPr>
                <w:rFonts w:ascii="Times New Roman" w:hAnsi="Times New Roman" w:cs="Times New Roman"/>
              </w:rPr>
              <w:t>People; cloud/tools; content production; partner development; compliance and governance; support.</w:t>
            </w:r>
          </w:p>
        </w:tc>
      </w:tr>
    </w:tbl>
    <w:p w14:paraId="73BC6508" w14:textId="77777777" w:rsidR="001C4EA6" w:rsidRDefault="001C4EA6" w:rsidP="00127A18">
      <w:pPr>
        <w:spacing w:line="480" w:lineRule="auto"/>
        <w:jc w:val="both"/>
        <w:rPr>
          <w:rFonts w:ascii="Times New Roman" w:eastAsia="Times New Roman" w:hAnsi="Times New Roman" w:cs="Times New Roman"/>
          <w:sz w:val="24"/>
          <w:szCs w:val="24"/>
        </w:rPr>
      </w:pPr>
    </w:p>
    <w:p w14:paraId="232FD6E5" w14:textId="77777777" w:rsidR="00127A18" w:rsidRDefault="00127A18" w:rsidP="00127A18">
      <w:pPr>
        <w:spacing w:line="480" w:lineRule="auto"/>
        <w:jc w:val="both"/>
        <w:rPr>
          <w:rFonts w:ascii="Times New Roman" w:eastAsia="Times New Roman" w:hAnsi="Times New Roman" w:cs="Times New Roman"/>
          <w:sz w:val="24"/>
          <w:szCs w:val="24"/>
        </w:rPr>
      </w:pPr>
    </w:p>
    <w:p w14:paraId="119F28F3" w14:textId="77777777" w:rsidR="00127A18" w:rsidRDefault="00127A18" w:rsidP="00127A18">
      <w:pPr>
        <w:spacing w:line="480" w:lineRule="auto"/>
        <w:jc w:val="both"/>
        <w:rPr>
          <w:rFonts w:ascii="Times New Roman" w:eastAsia="Times New Roman" w:hAnsi="Times New Roman" w:cs="Times New Roman"/>
          <w:sz w:val="24"/>
          <w:szCs w:val="24"/>
        </w:rPr>
      </w:pPr>
    </w:p>
    <w:p w14:paraId="00A4E906" w14:textId="7B4575F7" w:rsidR="001C4EA6" w:rsidRPr="00127A18" w:rsidRDefault="001C4EA6"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lastRenderedPageBreak/>
        <w:t>Revenue streams (detailed) and monetization logic</w:t>
      </w:r>
    </w:p>
    <w:p w14:paraId="0DE50ADC"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Stream 1: Coaching and premium cohorts (core cash engine).</w:t>
      </w:r>
    </w:p>
    <w:p w14:paraId="3A34E940" w14:textId="4F9D98B4"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Keep up high-quality groups of learners who require structure. Use AI to make practice and personalization more effective and can rebrand instructors as coaches of more valuable interventions. Prices are high yet based on performance and membership price.</w:t>
      </w:r>
    </w:p>
    <w:p w14:paraId="1AE5211B"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Stream 2: AI tutor (scale engine).</w:t>
      </w:r>
    </w:p>
    <w:p w14:paraId="6333CF04"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Provide an OTCA-congruent AI tutor, including curriculum mapping and pathway-specific vocabulary and practice. Tiers:</w:t>
      </w:r>
    </w:p>
    <w:p w14:paraId="5599ADDC" w14:textId="24413A3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Basic: self-guided tutoring + limited evaluation.</w:t>
      </w:r>
    </w:p>
    <w:p w14:paraId="03AFAFDC"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Additional features: individual plan + tracking.</w:t>
      </w:r>
    </w:p>
    <w:p w14:paraId="6D04B78B" w14:textId="5BD14323"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Pro: coach feedback loops and simulations (interview, writing, exam preparation)</w:t>
      </w:r>
    </w:p>
    <w:p w14:paraId="69023732"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Stream 3: Membership to the community (retention engine).</w:t>
      </w:r>
    </w:p>
    <w:p w14:paraId="1718052C" w14:textId="30E03112"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 xml:space="preserve">A membership initiative involves activities, peer networks, pathways materials, accountability frameworks as well as alumni mentoring. Community mitigates risk of motivation -HBR observes that when autonomy, meaning, or progress cues are reduced, motivation declines </w:t>
      </w:r>
      <w:r w:rsidR="00E7752C">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{"citationID":"U150V67N","properties":{"formattedCitation":"(Cable, 2018)","plainCitation":"(Cable, 2018)","noteIndex":0},"citationItems":[{"id":195,"uris":["http://zotero.org/users/local/Xt9Z7MiI/items/YWICBYNI"],"itemData":{"id":195,"type":"webpage","container-title":"Harvard Business Review","note":"journalAbbreviation: Harvard Business Review","title":"Why People Lose Motivation and What Managers Can Do to Help","URL":"https://hbr.org/2018/03/why-people-lose-motivation-and-what-managers-can-do-to-help","author":[{"family":"Cable","given":"Dan"}],"issued":{"date-parts":[["2018",3,12]]}}}],"schema":"https://github.com/citation-style-language/schema/raw/master/csl-citation.json"} </w:instrText>
      </w:r>
      <w:r w:rsidR="00E7752C">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(Cable, 2018)</w:t>
      </w:r>
      <w:r w:rsidR="00E7752C">
        <w:rPr>
          <w:rFonts w:ascii="Times New Roman" w:eastAsia="Times New Roman" w:hAnsi="Times New Roman" w:cs="Times New Roman"/>
          <w:sz w:val="24"/>
          <w:szCs w:val="24"/>
        </w:rPr>
        <w:fldChar w:fldCharType="end"/>
      </w:r>
      <w:r w:rsidR="00E7752C">
        <w:rPr>
          <w:rFonts w:ascii="Times New Roman" w:eastAsia="Times New Roman" w:hAnsi="Times New Roman" w:cs="Times New Roman"/>
          <w:sz w:val="24"/>
          <w:szCs w:val="24"/>
        </w:rPr>
        <w:t>.</w:t>
      </w:r>
    </w:p>
    <w:p w14:paraId="0F8B2FCB"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Stream 4: Pathway and placement charges based on the outcomes (outcome engine).</w:t>
      </w:r>
    </w:p>
    <w:p w14:paraId="6B11BB50" w14:textId="6F45C8FC"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Monetize successful placements in an ethical and transparent way where it is legal with well understood terms and control. Partner fees may be based on the principle of so-called success fees, in the presence of proven results, which will lessen the reliance of sales on tuition.</w:t>
      </w:r>
    </w:p>
    <w:p w14:paraId="224BCE39"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Stream 5: Sponsorship and partnerships (attention monetization).</w:t>
      </w:r>
    </w:p>
    <w:p w14:paraId="2F5523DA" w14:textId="0CC9F6F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lastRenderedPageBreak/>
        <w:t xml:space="preserve">Leverage media assets through sponsor (test platforms, legal services, relocation partners) alignment with disclosure (stringent disclosure policy to safeguard trust) (LO3: integrity). A professional media engine as a growth resource of McKinsey is strategic because of the focus on creativity and innovation </w:t>
      </w:r>
      <w:r w:rsidR="00E7752C">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{"citationID":"oPpcqVqo","properties":{"formattedCitation":"(McKinsey &amp; Company, 2021)","plainCitation":"(McKinsey &amp; Company, 2021)","noteIndex":0},"citationItems":[{"id":130,"uris":["http://zotero.org/users/local/Xt9Z7MiI/items/CEF4CYT4"],"itemData":{"id":130,"type":"webpage","note":"archive: McKinsey Insights","title":"For smarter decisions, empower your employees","URL":"https://www.mckinsey.com/capabilities/people-and-organizational-performance/our-insights/for-smarter-decisions-empower-your-employees","author":[{"literal":"McKinsey &amp; Company"}],"issued":{"date-parts":[["2021"]]}}}],"schema":"https://github.com/citation-style-language/schema/raw/master/csl-citation.json"} </w:instrText>
      </w:r>
      <w:r w:rsidR="00E7752C">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(McKinsey &amp; Company, 2021)</w:t>
      </w:r>
      <w:r w:rsidR="00E7752C">
        <w:rPr>
          <w:rFonts w:ascii="Times New Roman" w:eastAsia="Times New Roman" w:hAnsi="Times New Roman" w:cs="Times New Roman"/>
          <w:sz w:val="24"/>
          <w:szCs w:val="24"/>
        </w:rPr>
        <w:fldChar w:fldCharType="end"/>
      </w:r>
      <w:r w:rsidR="00E7752C">
        <w:rPr>
          <w:rFonts w:ascii="Times New Roman" w:eastAsia="Times New Roman" w:hAnsi="Times New Roman" w:cs="Times New Roman"/>
          <w:sz w:val="24"/>
          <w:szCs w:val="24"/>
        </w:rPr>
        <w:t>.</w:t>
      </w:r>
    </w:p>
    <w:p w14:paraId="704D2B66"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Stream 6 (non-mandatory): B2B training and licensing.</w:t>
      </w:r>
    </w:p>
    <w:p w14:paraId="5B86D3A6" w14:textId="77777777" w:rsidR="009B630A" w:rsidRPr="009B630A" w:rsidRDefault="009B630A" w:rsidP="00127A18">
      <w:pPr>
        <w:spacing w:line="480" w:lineRule="auto"/>
        <w:jc w:val="both"/>
        <w:rPr>
          <w:rFonts w:ascii="Times New Roman" w:eastAsia="Times New Roman" w:hAnsi="Times New Roman" w:cs="Times New Roman"/>
          <w:sz w:val="24"/>
          <w:szCs w:val="24"/>
        </w:rPr>
      </w:pPr>
      <w:r w:rsidRPr="009B630A">
        <w:rPr>
          <w:rFonts w:ascii="Times New Roman" w:eastAsia="Times New Roman" w:hAnsi="Times New Roman" w:cs="Times New Roman"/>
          <w:sz w:val="24"/>
          <w:szCs w:val="24"/>
        </w:rPr>
        <w:t>Provide linguistic and job route preparation programs to prospective employers or schools. This may become prominent following demonstrations of results.</w:t>
      </w:r>
    </w:p>
    <w:p w14:paraId="3F77726F" w14:textId="24E4ED30" w:rsidR="001C4EA6" w:rsidRDefault="000617B9" w:rsidP="00127A1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architecture as a structural lever (not a feature)</w:t>
      </w:r>
    </w:p>
    <w:p w14:paraId="7ED68AE0" w14:textId="43DFF6BC"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 xml:space="preserve">Rule: AI needs to make business physics alter its business through the enhanced results and margin without linear increase of </w:t>
      </w:r>
      <w:proofErr w:type="spellStart"/>
      <w:r w:rsidRPr="00113F3F">
        <w:rPr>
          <w:rFonts w:ascii="Times New Roman" w:eastAsia="Times New Roman" w:hAnsi="Times New Roman" w:cs="Times New Roman"/>
          <w:sz w:val="24"/>
          <w:szCs w:val="24"/>
        </w:rPr>
        <w:t>labor</w:t>
      </w:r>
      <w:proofErr w:type="spellEnd"/>
      <w:r w:rsidRPr="00113F3F">
        <w:rPr>
          <w:rFonts w:ascii="Times New Roman" w:eastAsia="Times New Roman" w:hAnsi="Times New Roman" w:cs="Times New Roman"/>
          <w:sz w:val="24"/>
          <w:szCs w:val="24"/>
        </w:rPr>
        <w:t>.</w:t>
      </w:r>
    </w:p>
    <w:p w14:paraId="079AA57F" w14:textId="77777777"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Architecture layers:</w:t>
      </w:r>
    </w:p>
    <w:p w14:paraId="52CB9ED3" w14:textId="77777777"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Content layer: learning content and pathway knowledge base which is OTCA approved.</w:t>
      </w:r>
    </w:p>
    <w:p w14:paraId="6898EC80" w14:textId="77777777"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Retrieval layer: makes responses of AI based on vetted OTCA sources (lowers the risk of hallucinations).</w:t>
      </w:r>
    </w:p>
    <w:p w14:paraId="4DB5E143" w14:textId="77777777"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Layers of model: practice generation, evaluation rubrics, tutoring interactions.</w:t>
      </w:r>
    </w:p>
    <w:p w14:paraId="558F9D5B" w14:textId="77777777"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Evaluation layer: accuracy, safety, bias, and policy compliance testing will be automated.</w:t>
      </w:r>
    </w:p>
    <w:p w14:paraId="019499FC" w14:textId="77777777"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Human-in-the-loop layer: supervision of high stakes outputs by coaches.</w:t>
      </w:r>
    </w:p>
    <w:p w14:paraId="109D5729" w14:textId="7297FC62" w:rsidR="00113F3F" w:rsidRP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Risk management, logging, incident response, privacy controls: governance layer.</w:t>
      </w:r>
    </w:p>
    <w:p w14:paraId="71D6DFE4" w14:textId="5DA69335" w:rsidR="00113F3F" w:rsidRDefault="00113F3F" w:rsidP="00127A18">
      <w:pPr>
        <w:spacing w:line="480" w:lineRule="auto"/>
        <w:jc w:val="both"/>
        <w:rPr>
          <w:rFonts w:ascii="Times New Roman" w:eastAsia="Times New Roman" w:hAnsi="Times New Roman" w:cs="Times New Roman"/>
          <w:sz w:val="24"/>
          <w:szCs w:val="24"/>
        </w:rPr>
      </w:pPr>
      <w:r w:rsidRPr="00113F3F">
        <w:rPr>
          <w:rFonts w:ascii="Times New Roman" w:eastAsia="Times New Roman" w:hAnsi="Times New Roman" w:cs="Times New Roman"/>
          <w:sz w:val="24"/>
          <w:szCs w:val="24"/>
        </w:rPr>
        <w:t>In the case of professional integrity, the governance complies with NIST AI RMF lifecycle risk management and ISO AI management systems (NIST, 2023; ISO, 2023). Regulatory design envisions EU risk-based AI implementations and data privacy anticipations of legal, open-minded handling (European Commission, n.d.).</w:t>
      </w:r>
    </w:p>
    <w:p w14:paraId="0C947138" w14:textId="1430C6EE" w:rsidR="00B502FE" w:rsidRPr="00127A18" w:rsidRDefault="00B502FE"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lastRenderedPageBreak/>
        <w:t>Organizational re-</w:t>
      </w:r>
      <w:proofErr w:type="spellStart"/>
      <w:r w:rsidRPr="00127A18">
        <w:rPr>
          <w:rFonts w:ascii="Times New Roman" w:eastAsia="Times New Roman" w:hAnsi="Times New Roman" w:cs="Times New Roman"/>
          <w:b/>
          <w:bCs/>
          <w:sz w:val="24"/>
          <w:szCs w:val="24"/>
        </w:rPr>
        <w:t>modeling</w:t>
      </w:r>
      <w:proofErr w:type="spellEnd"/>
      <w:r w:rsidRPr="00127A18">
        <w:rPr>
          <w:rFonts w:ascii="Times New Roman" w:eastAsia="Times New Roman" w:hAnsi="Times New Roman" w:cs="Times New Roman"/>
          <w:b/>
          <w:bCs/>
          <w:sz w:val="24"/>
          <w:szCs w:val="24"/>
        </w:rPr>
        <w:t xml:space="preserve"> (operating model)</w:t>
      </w:r>
    </w:p>
    <w:p w14:paraId="7CF81997" w14:textId="599D6D78" w:rsidR="00B502FE" w:rsidRPr="00B502FE" w:rsidRDefault="00B502FE" w:rsidP="00127A18">
      <w:pPr>
        <w:spacing w:line="480" w:lineRule="auto"/>
        <w:jc w:val="both"/>
        <w:rPr>
          <w:rFonts w:ascii="Times New Roman" w:eastAsia="Times New Roman" w:hAnsi="Times New Roman" w:cs="Times New Roman"/>
          <w:sz w:val="24"/>
          <w:szCs w:val="24"/>
        </w:rPr>
      </w:pPr>
      <w:r w:rsidRPr="00B502FE">
        <w:rPr>
          <w:rFonts w:ascii="Times New Roman" w:eastAsia="Times New Roman" w:hAnsi="Times New Roman" w:cs="Times New Roman"/>
          <w:sz w:val="24"/>
          <w:szCs w:val="24"/>
        </w:rPr>
        <w:t>According to HBR, companies have various modes of getting things done; leadership needs to coordinate work models to strategy (</w:t>
      </w:r>
      <w:proofErr w:type="spellStart"/>
      <w:r w:rsidRPr="00B502FE">
        <w:rPr>
          <w:rFonts w:ascii="Times New Roman" w:eastAsia="Times New Roman" w:hAnsi="Times New Roman" w:cs="Times New Roman"/>
          <w:sz w:val="24"/>
          <w:szCs w:val="24"/>
        </w:rPr>
        <w:t>Jesuthasan</w:t>
      </w:r>
      <w:proofErr w:type="spellEnd"/>
      <w:r w:rsidRPr="00B502FE">
        <w:rPr>
          <w:rFonts w:ascii="Times New Roman" w:eastAsia="Times New Roman" w:hAnsi="Times New Roman" w:cs="Times New Roman"/>
          <w:sz w:val="24"/>
          <w:szCs w:val="24"/>
        </w:rPr>
        <w:t>, 2019). The ecosystem of OTCA also needs embedded value streams, thus, reorganize into product/platform aligned units having definite owners:</w:t>
      </w:r>
    </w:p>
    <w:p w14:paraId="54FAB981" w14:textId="077D8597" w:rsidR="00B502FE" w:rsidRPr="00B502FE" w:rsidRDefault="00B502FE" w:rsidP="00127A18">
      <w:pPr>
        <w:spacing w:line="480" w:lineRule="auto"/>
        <w:jc w:val="both"/>
        <w:rPr>
          <w:rFonts w:ascii="Times New Roman" w:eastAsia="Times New Roman" w:hAnsi="Times New Roman" w:cs="Times New Roman"/>
          <w:sz w:val="24"/>
          <w:szCs w:val="24"/>
        </w:rPr>
      </w:pPr>
      <w:r w:rsidRPr="00B502FE">
        <w:rPr>
          <w:rFonts w:ascii="Times New Roman" w:eastAsia="Times New Roman" w:hAnsi="Times New Roman" w:cs="Times New Roman"/>
          <w:sz w:val="24"/>
          <w:szCs w:val="24"/>
        </w:rPr>
        <w:t>Media &amp; Brand Studio</w:t>
      </w:r>
      <w:r>
        <w:rPr>
          <w:rFonts w:ascii="Times New Roman" w:eastAsia="Times New Roman" w:hAnsi="Times New Roman" w:cs="Times New Roman"/>
          <w:sz w:val="24"/>
          <w:szCs w:val="24"/>
        </w:rPr>
        <w:t>:</w:t>
      </w:r>
      <w:r w:rsidRPr="00B502FE">
        <w:rPr>
          <w:rFonts w:ascii="Times New Roman" w:eastAsia="Times New Roman" w:hAnsi="Times New Roman" w:cs="Times New Roman"/>
          <w:sz w:val="24"/>
          <w:szCs w:val="24"/>
        </w:rPr>
        <w:t xml:space="preserve"> editorial system, distribution, creative operations, sponsor governance.</w:t>
      </w:r>
    </w:p>
    <w:p w14:paraId="31AB6940" w14:textId="2345BFCA" w:rsidR="00B502FE" w:rsidRPr="00B502FE" w:rsidRDefault="00B502FE" w:rsidP="00127A18">
      <w:pPr>
        <w:spacing w:line="480" w:lineRule="auto"/>
        <w:jc w:val="both"/>
        <w:rPr>
          <w:rFonts w:ascii="Times New Roman" w:eastAsia="Times New Roman" w:hAnsi="Times New Roman" w:cs="Times New Roman"/>
          <w:sz w:val="24"/>
          <w:szCs w:val="24"/>
        </w:rPr>
      </w:pPr>
      <w:r w:rsidRPr="00B502FE">
        <w:rPr>
          <w:rFonts w:ascii="Times New Roman" w:eastAsia="Times New Roman" w:hAnsi="Times New Roman" w:cs="Times New Roman"/>
          <w:sz w:val="24"/>
          <w:szCs w:val="24"/>
        </w:rPr>
        <w:t>Community</w:t>
      </w:r>
      <w:r>
        <w:rPr>
          <w:rFonts w:ascii="Times New Roman" w:eastAsia="Times New Roman" w:hAnsi="Times New Roman" w:cs="Times New Roman"/>
          <w:sz w:val="24"/>
          <w:szCs w:val="24"/>
        </w:rPr>
        <w:t xml:space="preserve"> &amp; lifecycle growth</w:t>
      </w:r>
      <w:r w:rsidRPr="00B502FE">
        <w:rPr>
          <w:rFonts w:ascii="Times New Roman" w:eastAsia="Times New Roman" w:hAnsi="Times New Roman" w:cs="Times New Roman"/>
          <w:sz w:val="24"/>
          <w:szCs w:val="24"/>
        </w:rPr>
        <w:t>: membership, events, retention, CRM, referral systems Lifecycle Growth: Community</w:t>
      </w:r>
    </w:p>
    <w:p w14:paraId="17F1787F" w14:textId="77777777" w:rsidR="00B502FE" w:rsidRPr="00B502FE" w:rsidRDefault="00B502FE" w:rsidP="00127A18">
      <w:pPr>
        <w:spacing w:line="480" w:lineRule="auto"/>
        <w:jc w:val="both"/>
        <w:rPr>
          <w:rFonts w:ascii="Times New Roman" w:eastAsia="Times New Roman" w:hAnsi="Times New Roman" w:cs="Times New Roman"/>
          <w:sz w:val="24"/>
          <w:szCs w:val="24"/>
        </w:rPr>
      </w:pPr>
      <w:r w:rsidRPr="00B502FE">
        <w:rPr>
          <w:rFonts w:ascii="Times New Roman" w:eastAsia="Times New Roman" w:hAnsi="Times New Roman" w:cs="Times New Roman"/>
          <w:sz w:val="24"/>
          <w:szCs w:val="24"/>
        </w:rPr>
        <w:t>Product &amp; AI: data systems, tutor product, evaluation.</w:t>
      </w:r>
    </w:p>
    <w:p w14:paraId="25A8551D" w14:textId="173D430F" w:rsidR="00B502FE" w:rsidRPr="00B502FE" w:rsidRDefault="00B502FE" w:rsidP="00127A18">
      <w:pPr>
        <w:spacing w:line="480" w:lineRule="auto"/>
        <w:jc w:val="both"/>
        <w:rPr>
          <w:rFonts w:ascii="Times New Roman" w:eastAsia="Times New Roman" w:hAnsi="Times New Roman" w:cs="Times New Roman"/>
          <w:sz w:val="24"/>
          <w:szCs w:val="24"/>
        </w:rPr>
      </w:pPr>
      <w:r w:rsidRPr="00B502FE">
        <w:rPr>
          <w:rFonts w:ascii="Times New Roman" w:eastAsia="Times New Roman" w:hAnsi="Times New Roman" w:cs="Times New Roman"/>
          <w:sz w:val="24"/>
          <w:szCs w:val="24"/>
        </w:rPr>
        <w:t xml:space="preserve">Pathways </w:t>
      </w:r>
      <w:r w:rsidR="006E1F65">
        <w:rPr>
          <w:rFonts w:ascii="Times New Roman" w:eastAsia="Times New Roman" w:hAnsi="Times New Roman" w:cs="Times New Roman"/>
          <w:sz w:val="24"/>
          <w:szCs w:val="24"/>
        </w:rPr>
        <w:t>&amp; Partnerships: employer/ institution relationship, placement pipeline, B2B</w:t>
      </w:r>
    </w:p>
    <w:p w14:paraId="45D5FD1F" w14:textId="49F362F5" w:rsidR="00B502FE" w:rsidRPr="00B502FE" w:rsidRDefault="00B502FE" w:rsidP="00127A18">
      <w:pPr>
        <w:spacing w:line="480" w:lineRule="auto"/>
        <w:jc w:val="both"/>
        <w:rPr>
          <w:rFonts w:ascii="Times New Roman" w:eastAsia="Times New Roman" w:hAnsi="Times New Roman" w:cs="Times New Roman"/>
          <w:sz w:val="24"/>
          <w:szCs w:val="24"/>
        </w:rPr>
      </w:pPr>
      <w:r w:rsidRPr="00B502FE">
        <w:rPr>
          <w:rFonts w:ascii="Times New Roman" w:eastAsia="Times New Roman" w:hAnsi="Times New Roman" w:cs="Times New Roman"/>
          <w:sz w:val="24"/>
          <w:szCs w:val="24"/>
        </w:rPr>
        <w:t xml:space="preserve">Core Delivery (Cohorts and Coaching): </w:t>
      </w:r>
      <w:r w:rsidR="0096474D">
        <w:rPr>
          <w:rFonts w:ascii="Times New Roman" w:eastAsia="Times New Roman" w:hAnsi="Times New Roman" w:cs="Times New Roman"/>
          <w:sz w:val="24"/>
          <w:szCs w:val="24"/>
        </w:rPr>
        <w:t xml:space="preserve">premium </w:t>
      </w:r>
      <w:r w:rsidRPr="00B502FE">
        <w:rPr>
          <w:rFonts w:ascii="Times New Roman" w:eastAsia="Times New Roman" w:hAnsi="Times New Roman" w:cs="Times New Roman"/>
          <w:sz w:val="24"/>
          <w:szCs w:val="24"/>
        </w:rPr>
        <w:t>cohort delivery, training of coaches, result tracking.</w:t>
      </w:r>
    </w:p>
    <w:p w14:paraId="3C4FA67C" w14:textId="1738E2D5" w:rsidR="005A707C" w:rsidRPr="00127A18" w:rsidRDefault="005A707C" w:rsidP="00127A18">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Capability gap and closure plan</w:t>
      </w:r>
    </w:p>
    <w:tbl>
      <w:tblPr>
        <w:tblStyle w:val="Table"/>
        <w:tblW w:w="0" w:type="auto"/>
        <w:tblLook w:val="0020" w:firstRow="1" w:lastRow="0" w:firstColumn="0" w:lastColumn="0" w:noHBand="0" w:noVBand="0"/>
      </w:tblPr>
      <w:tblGrid>
        <w:gridCol w:w="2051"/>
        <w:gridCol w:w="1631"/>
        <w:gridCol w:w="1683"/>
        <w:gridCol w:w="3661"/>
      </w:tblGrid>
      <w:tr w:rsidR="00114289" w:rsidRPr="00114289" w14:paraId="27BA94F4"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73513275"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Capability</w:t>
            </w:r>
          </w:p>
        </w:tc>
        <w:tc>
          <w:tcPr>
            <w:tcW w:w="0" w:type="auto"/>
          </w:tcPr>
          <w:p w14:paraId="0D09A84B"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Current (assumed)</w:t>
            </w:r>
          </w:p>
        </w:tc>
        <w:tc>
          <w:tcPr>
            <w:tcW w:w="0" w:type="auto"/>
          </w:tcPr>
          <w:p w14:paraId="468A0D67"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Target (18 months)</w:t>
            </w:r>
          </w:p>
        </w:tc>
        <w:tc>
          <w:tcPr>
            <w:tcW w:w="0" w:type="auto"/>
          </w:tcPr>
          <w:p w14:paraId="3930FF30"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How to build</w:t>
            </w:r>
          </w:p>
        </w:tc>
      </w:tr>
      <w:tr w:rsidR="00114289" w:rsidRPr="00114289" w14:paraId="21691A5C" w14:textId="77777777" w:rsidTr="004C0B94">
        <w:tc>
          <w:tcPr>
            <w:tcW w:w="0" w:type="auto"/>
          </w:tcPr>
          <w:p w14:paraId="3BF1172D"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Content ops discipline</w:t>
            </w:r>
          </w:p>
        </w:tc>
        <w:tc>
          <w:tcPr>
            <w:tcW w:w="0" w:type="auto"/>
          </w:tcPr>
          <w:p w14:paraId="2B12FE94"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moderate</w:t>
            </w:r>
          </w:p>
        </w:tc>
        <w:tc>
          <w:tcPr>
            <w:tcW w:w="0" w:type="auto"/>
          </w:tcPr>
          <w:p w14:paraId="12BD3674"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high</w:t>
            </w:r>
          </w:p>
        </w:tc>
        <w:tc>
          <w:tcPr>
            <w:tcW w:w="0" w:type="auto"/>
          </w:tcPr>
          <w:p w14:paraId="7FDECCF0"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editor/producer hire, weekly cadence, testing system</w:t>
            </w:r>
          </w:p>
        </w:tc>
      </w:tr>
      <w:tr w:rsidR="00114289" w:rsidRPr="00114289" w14:paraId="54FEA6E1" w14:textId="77777777" w:rsidTr="004C0B94">
        <w:tc>
          <w:tcPr>
            <w:tcW w:w="0" w:type="auto"/>
          </w:tcPr>
          <w:p w14:paraId="582508F9"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Product management</w:t>
            </w:r>
          </w:p>
        </w:tc>
        <w:tc>
          <w:tcPr>
            <w:tcW w:w="0" w:type="auto"/>
          </w:tcPr>
          <w:p w14:paraId="1FD61239"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low</w:t>
            </w:r>
          </w:p>
        </w:tc>
        <w:tc>
          <w:tcPr>
            <w:tcW w:w="0" w:type="auto"/>
          </w:tcPr>
          <w:p w14:paraId="7285DF68"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high</w:t>
            </w:r>
          </w:p>
        </w:tc>
        <w:tc>
          <w:tcPr>
            <w:tcW w:w="0" w:type="auto"/>
          </w:tcPr>
          <w:p w14:paraId="14D89CA8"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product lead, roadmap, sprint rituals</w:t>
            </w:r>
          </w:p>
        </w:tc>
      </w:tr>
      <w:tr w:rsidR="00114289" w:rsidRPr="00114289" w14:paraId="0B2B806D" w14:textId="77777777" w:rsidTr="004C0B94">
        <w:tc>
          <w:tcPr>
            <w:tcW w:w="0" w:type="auto"/>
          </w:tcPr>
          <w:p w14:paraId="4854FB60"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Data analytics</w:t>
            </w:r>
          </w:p>
        </w:tc>
        <w:tc>
          <w:tcPr>
            <w:tcW w:w="0" w:type="auto"/>
          </w:tcPr>
          <w:p w14:paraId="7F3C7274"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low–moderate</w:t>
            </w:r>
          </w:p>
        </w:tc>
        <w:tc>
          <w:tcPr>
            <w:tcW w:w="0" w:type="auto"/>
          </w:tcPr>
          <w:p w14:paraId="4CFFD183"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moderate–high</w:t>
            </w:r>
          </w:p>
        </w:tc>
        <w:tc>
          <w:tcPr>
            <w:tcW w:w="0" w:type="auto"/>
          </w:tcPr>
          <w:p w14:paraId="0D1574B8"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instrumentation, dashboards, cohort tracking</w:t>
            </w:r>
          </w:p>
        </w:tc>
      </w:tr>
      <w:tr w:rsidR="00114289" w:rsidRPr="00114289" w14:paraId="1A34B452" w14:textId="77777777" w:rsidTr="004C0B94">
        <w:tc>
          <w:tcPr>
            <w:tcW w:w="0" w:type="auto"/>
          </w:tcPr>
          <w:p w14:paraId="1EEA9750"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lastRenderedPageBreak/>
              <w:t>AI evaluation and safety</w:t>
            </w:r>
          </w:p>
        </w:tc>
        <w:tc>
          <w:tcPr>
            <w:tcW w:w="0" w:type="auto"/>
          </w:tcPr>
          <w:p w14:paraId="28BB9701"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low</w:t>
            </w:r>
          </w:p>
        </w:tc>
        <w:tc>
          <w:tcPr>
            <w:tcW w:w="0" w:type="auto"/>
          </w:tcPr>
          <w:p w14:paraId="3F9CCB05"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moderate</w:t>
            </w:r>
          </w:p>
        </w:tc>
        <w:tc>
          <w:tcPr>
            <w:tcW w:w="0" w:type="auto"/>
          </w:tcPr>
          <w:p w14:paraId="7D25477E"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evaluation harness, red-teaming, incident response</w:t>
            </w:r>
          </w:p>
        </w:tc>
      </w:tr>
      <w:tr w:rsidR="00114289" w:rsidRPr="00114289" w14:paraId="18DD0499" w14:textId="77777777" w:rsidTr="004C0B94">
        <w:tc>
          <w:tcPr>
            <w:tcW w:w="0" w:type="auto"/>
          </w:tcPr>
          <w:p w14:paraId="72F677E4"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Partnership sales</w:t>
            </w:r>
          </w:p>
        </w:tc>
        <w:tc>
          <w:tcPr>
            <w:tcW w:w="0" w:type="auto"/>
          </w:tcPr>
          <w:p w14:paraId="74625851"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low</w:t>
            </w:r>
          </w:p>
        </w:tc>
        <w:tc>
          <w:tcPr>
            <w:tcW w:w="0" w:type="auto"/>
          </w:tcPr>
          <w:p w14:paraId="7BE30A3E"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moderate</w:t>
            </w:r>
          </w:p>
        </w:tc>
        <w:tc>
          <w:tcPr>
            <w:tcW w:w="0" w:type="auto"/>
          </w:tcPr>
          <w:p w14:paraId="500CDF3D"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partnership lead, offers, pipeline mechanism</w:t>
            </w:r>
          </w:p>
        </w:tc>
      </w:tr>
      <w:tr w:rsidR="00114289" w:rsidRPr="00114289" w14:paraId="5E27B759" w14:textId="77777777" w:rsidTr="004C0B94">
        <w:tc>
          <w:tcPr>
            <w:tcW w:w="0" w:type="auto"/>
          </w:tcPr>
          <w:p w14:paraId="72062876"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Governance &amp; privacy</w:t>
            </w:r>
          </w:p>
        </w:tc>
        <w:tc>
          <w:tcPr>
            <w:tcW w:w="0" w:type="auto"/>
          </w:tcPr>
          <w:p w14:paraId="714B309F"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low</w:t>
            </w:r>
          </w:p>
        </w:tc>
        <w:tc>
          <w:tcPr>
            <w:tcW w:w="0" w:type="auto"/>
          </w:tcPr>
          <w:p w14:paraId="6C954A68"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moderate</w:t>
            </w:r>
          </w:p>
        </w:tc>
        <w:tc>
          <w:tcPr>
            <w:tcW w:w="0" w:type="auto"/>
          </w:tcPr>
          <w:p w14:paraId="3654615B" w14:textId="77777777" w:rsidR="00114289" w:rsidRPr="00114289" w:rsidRDefault="00114289" w:rsidP="00127A18">
            <w:pPr>
              <w:pStyle w:val="Compact"/>
              <w:spacing w:line="480" w:lineRule="auto"/>
              <w:rPr>
                <w:rFonts w:ascii="Times New Roman" w:hAnsi="Times New Roman" w:cs="Times New Roman"/>
              </w:rPr>
            </w:pPr>
            <w:r w:rsidRPr="00114289">
              <w:rPr>
                <w:rFonts w:ascii="Times New Roman" w:hAnsi="Times New Roman" w:cs="Times New Roman"/>
              </w:rPr>
              <w:t>policies, training, vendor review, audits</w:t>
            </w:r>
          </w:p>
        </w:tc>
      </w:tr>
    </w:tbl>
    <w:p w14:paraId="1C20013F" w14:textId="77777777" w:rsidR="005A707C" w:rsidRDefault="005A707C" w:rsidP="005A707C">
      <w:pPr>
        <w:spacing w:line="480" w:lineRule="auto"/>
        <w:jc w:val="both"/>
        <w:rPr>
          <w:rFonts w:ascii="Times New Roman" w:eastAsia="Times New Roman" w:hAnsi="Times New Roman" w:cs="Times New Roman"/>
          <w:sz w:val="24"/>
          <w:szCs w:val="24"/>
        </w:rPr>
      </w:pPr>
    </w:p>
    <w:p w14:paraId="4151B91E" w14:textId="77777777" w:rsidR="00127A18" w:rsidRPr="005A707C" w:rsidRDefault="00127A18" w:rsidP="005A707C">
      <w:pPr>
        <w:spacing w:line="480" w:lineRule="auto"/>
        <w:jc w:val="both"/>
        <w:rPr>
          <w:rFonts w:ascii="Times New Roman" w:eastAsia="Times New Roman" w:hAnsi="Times New Roman" w:cs="Times New Roman"/>
          <w:sz w:val="24"/>
          <w:szCs w:val="24"/>
        </w:rPr>
      </w:pPr>
    </w:p>
    <w:p w14:paraId="5F107011" w14:textId="2D6DA1A1" w:rsidR="00113F3F" w:rsidRDefault="00FB20DA" w:rsidP="00650F9D">
      <w:pPr>
        <w:pStyle w:val="Heading2"/>
        <w:rPr>
          <w:rFonts w:ascii="Times New Roman" w:eastAsia="Times New Roman" w:hAnsi="Times New Roman" w:cs="Times New Roman"/>
          <w:color w:val="000000"/>
          <w:sz w:val="24"/>
          <w:szCs w:val="24"/>
        </w:rPr>
      </w:pPr>
      <w:bookmarkStart w:id="7" w:name="_Toc225915935"/>
      <w:r>
        <w:rPr>
          <w:rFonts w:ascii="Times New Roman" w:eastAsia="Times New Roman" w:hAnsi="Times New Roman" w:cs="Times New Roman"/>
          <w:color w:val="000000"/>
          <w:sz w:val="24"/>
          <w:szCs w:val="24"/>
        </w:rPr>
        <w:t>2.5. Delivery, Governance, and Implementation Roadmap</w:t>
      </w:r>
      <w:bookmarkEnd w:id="7"/>
    </w:p>
    <w:p w14:paraId="2DD6EBB9" w14:textId="77777777" w:rsidR="00650F9D" w:rsidRPr="00650F9D" w:rsidRDefault="00650F9D" w:rsidP="00650F9D"/>
    <w:p w14:paraId="70696FED" w14:textId="77777777" w:rsidR="00650F9D" w:rsidRPr="00650F9D" w:rsidRDefault="00650F9D" w:rsidP="00650F9D">
      <w:pPr>
        <w:spacing w:line="480" w:lineRule="auto"/>
        <w:jc w:val="both"/>
        <w:rPr>
          <w:rFonts w:ascii="Times New Roman" w:eastAsia="Times New Roman" w:hAnsi="Times New Roman" w:cs="Times New Roman"/>
          <w:sz w:val="24"/>
          <w:szCs w:val="24"/>
        </w:rPr>
      </w:pPr>
      <w:r w:rsidRPr="00650F9D">
        <w:rPr>
          <w:rFonts w:ascii="Times New Roman" w:eastAsia="Times New Roman" w:hAnsi="Times New Roman" w:cs="Times New Roman"/>
          <w:sz w:val="24"/>
          <w:szCs w:val="24"/>
        </w:rPr>
        <w:t>It is addressed in this section where it meets LO2 by the integrated planning (risk, change, finance) and LO3 by the governance and ethics. It also promotes LO1 because it tackles late-2020s sustainability and regulatory interests.</w:t>
      </w:r>
    </w:p>
    <w:p w14:paraId="45CEF218" w14:textId="4311567F" w:rsidR="00DF1BB5" w:rsidRPr="00127A18" w:rsidRDefault="00650F9D">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Micro and Macro impact analysis (risk, mitigation, and regulatory)</w:t>
      </w:r>
    </w:p>
    <w:p w14:paraId="0ED34A4C" w14:textId="77777777" w:rsidR="00F329A9" w:rsidRPr="00F329A9" w:rsidRDefault="00F329A9" w:rsidP="00F329A9">
      <w:pPr>
        <w:pStyle w:val="FirstParagraph"/>
        <w:spacing w:line="480" w:lineRule="auto"/>
        <w:rPr>
          <w:rFonts w:ascii="Times New Roman" w:hAnsi="Times New Roman" w:cs="Times New Roman"/>
        </w:rPr>
      </w:pPr>
      <w:r w:rsidRPr="00F329A9">
        <w:rPr>
          <w:rFonts w:ascii="Times New Roman" w:hAnsi="Times New Roman" w:cs="Times New Roman"/>
        </w:rPr>
        <w:t>Micro (internal) impacts: - Role evolution (instructors → coaches; marketers → media operators; ops → product ops)</w:t>
      </w:r>
      <w:r w:rsidRPr="00F329A9">
        <w:rPr>
          <w:rFonts w:ascii="Times New Roman" w:hAnsi="Times New Roman" w:cs="Times New Roman"/>
        </w:rPr>
        <w:br/>
        <w:t>- Potential resistance and motivation decline</w:t>
      </w:r>
      <w:r w:rsidRPr="00F329A9">
        <w:rPr>
          <w:rFonts w:ascii="Times New Roman" w:hAnsi="Times New Roman" w:cs="Times New Roman"/>
        </w:rPr>
        <w:br/>
        <w:t>- Skill gaps and learning curve</w:t>
      </w:r>
      <w:r w:rsidRPr="00F329A9">
        <w:rPr>
          <w:rFonts w:ascii="Times New Roman" w:hAnsi="Times New Roman" w:cs="Times New Roman"/>
        </w:rPr>
        <w:br/>
        <w:t>- New governance overhead (privacy, AI risk)</w:t>
      </w:r>
    </w:p>
    <w:p w14:paraId="5AD6023A" w14:textId="77777777" w:rsidR="00F329A9" w:rsidRPr="00F329A9" w:rsidRDefault="00F329A9" w:rsidP="00F329A9">
      <w:pPr>
        <w:pStyle w:val="BodyText"/>
        <w:spacing w:line="480" w:lineRule="auto"/>
        <w:rPr>
          <w:rFonts w:ascii="Times New Roman" w:hAnsi="Times New Roman" w:cs="Times New Roman"/>
          <w:sz w:val="24"/>
          <w:szCs w:val="24"/>
        </w:rPr>
      </w:pPr>
      <w:r w:rsidRPr="00F329A9">
        <w:rPr>
          <w:rFonts w:ascii="Times New Roman" w:hAnsi="Times New Roman" w:cs="Times New Roman"/>
          <w:sz w:val="24"/>
          <w:szCs w:val="24"/>
        </w:rPr>
        <w:t>Macro (external) impacts: - Competitive repositioning toward platforms and ecosystems</w:t>
      </w:r>
      <w:r w:rsidRPr="00F329A9">
        <w:rPr>
          <w:rFonts w:ascii="Times New Roman" w:hAnsi="Times New Roman" w:cs="Times New Roman"/>
          <w:sz w:val="24"/>
          <w:szCs w:val="24"/>
        </w:rPr>
        <w:br/>
        <w:t>- Partner dependencies and reputational risk</w:t>
      </w:r>
      <w:r w:rsidRPr="00F329A9">
        <w:rPr>
          <w:rFonts w:ascii="Times New Roman" w:hAnsi="Times New Roman" w:cs="Times New Roman"/>
          <w:sz w:val="24"/>
          <w:szCs w:val="24"/>
        </w:rPr>
        <w:br/>
      </w:r>
      <w:r w:rsidRPr="00F329A9">
        <w:rPr>
          <w:rFonts w:ascii="Times New Roman" w:hAnsi="Times New Roman" w:cs="Times New Roman"/>
          <w:sz w:val="24"/>
          <w:szCs w:val="24"/>
        </w:rPr>
        <w:lastRenderedPageBreak/>
        <w:t>- Regulatory exposure (AI, privacy, consumer protection)</w:t>
      </w:r>
      <w:r w:rsidRPr="00F329A9">
        <w:rPr>
          <w:rFonts w:ascii="Times New Roman" w:hAnsi="Times New Roman" w:cs="Times New Roman"/>
          <w:sz w:val="24"/>
          <w:szCs w:val="24"/>
        </w:rPr>
        <w:br/>
        <w:t>- Platform algorithm volatility</w:t>
      </w:r>
    </w:p>
    <w:p w14:paraId="5F2042E2" w14:textId="77777777" w:rsidR="00F329A9" w:rsidRPr="00F329A9" w:rsidRDefault="00F329A9" w:rsidP="00F329A9">
      <w:pPr>
        <w:pStyle w:val="BodyText"/>
        <w:spacing w:line="480" w:lineRule="auto"/>
        <w:rPr>
          <w:rFonts w:ascii="Times New Roman" w:hAnsi="Times New Roman" w:cs="Times New Roman"/>
          <w:sz w:val="24"/>
          <w:szCs w:val="24"/>
        </w:rPr>
      </w:pPr>
      <w:r w:rsidRPr="00F329A9">
        <w:rPr>
          <w:rFonts w:ascii="Times New Roman" w:hAnsi="Times New Roman" w:cs="Times New Roman"/>
          <w:sz w:val="24"/>
          <w:szCs w:val="24"/>
        </w:rPr>
        <w:t>Top risks and mitigations (summary):</w:t>
      </w:r>
    </w:p>
    <w:tbl>
      <w:tblPr>
        <w:tblStyle w:val="Table"/>
        <w:tblW w:w="0" w:type="auto"/>
        <w:tblLook w:val="0020" w:firstRow="1" w:lastRow="0" w:firstColumn="0" w:lastColumn="0" w:noHBand="0" w:noVBand="0"/>
      </w:tblPr>
      <w:tblGrid>
        <w:gridCol w:w="2804"/>
        <w:gridCol w:w="1409"/>
        <w:gridCol w:w="4813"/>
      </w:tblGrid>
      <w:tr w:rsidR="00F329A9" w:rsidRPr="00F329A9" w14:paraId="7C1558B2"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73B2D3CE"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Risk</w:t>
            </w:r>
          </w:p>
        </w:tc>
        <w:tc>
          <w:tcPr>
            <w:tcW w:w="0" w:type="auto"/>
          </w:tcPr>
          <w:p w14:paraId="2E7481C5"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Impact</w:t>
            </w:r>
          </w:p>
        </w:tc>
        <w:tc>
          <w:tcPr>
            <w:tcW w:w="0" w:type="auto"/>
          </w:tcPr>
          <w:p w14:paraId="46A326D3"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Mitigation</w:t>
            </w:r>
          </w:p>
        </w:tc>
      </w:tr>
      <w:tr w:rsidR="00F329A9" w:rsidRPr="00F329A9" w14:paraId="14C26620" w14:textId="77777777" w:rsidTr="004C0B94">
        <w:tc>
          <w:tcPr>
            <w:tcW w:w="0" w:type="auto"/>
          </w:tcPr>
          <w:p w14:paraId="59F8A205"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Core revenue dip during transition</w:t>
            </w:r>
          </w:p>
        </w:tc>
        <w:tc>
          <w:tcPr>
            <w:tcW w:w="0" w:type="auto"/>
          </w:tcPr>
          <w:p w14:paraId="326C6F50"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high</w:t>
            </w:r>
          </w:p>
        </w:tc>
        <w:tc>
          <w:tcPr>
            <w:tcW w:w="0" w:type="auto"/>
          </w:tcPr>
          <w:p w14:paraId="04F70D35"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protect core cohorts; separate “core ops” from “innovation ops”</w:t>
            </w:r>
          </w:p>
        </w:tc>
      </w:tr>
      <w:tr w:rsidR="00F329A9" w:rsidRPr="00F329A9" w14:paraId="49F7563B" w14:textId="77777777" w:rsidTr="004C0B94">
        <w:tc>
          <w:tcPr>
            <w:tcW w:w="0" w:type="auto"/>
          </w:tcPr>
          <w:p w14:paraId="00D49220"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AI tutor quality harms trust</w:t>
            </w:r>
          </w:p>
        </w:tc>
        <w:tc>
          <w:tcPr>
            <w:tcW w:w="0" w:type="auto"/>
          </w:tcPr>
          <w:p w14:paraId="75F68773"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high</w:t>
            </w:r>
          </w:p>
        </w:tc>
        <w:tc>
          <w:tcPr>
            <w:tcW w:w="0" w:type="auto"/>
          </w:tcPr>
          <w:p w14:paraId="0DB73EF8"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retrieval from vetted content; evaluation harness; human-in-loop</w:t>
            </w:r>
          </w:p>
        </w:tc>
      </w:tr>
      <w:tr w:rsidR="00F329A9" w:rsidRPr="00F329A9" w14:paraId="5BC69736" w14:textId="77777777" w:rsidTr="004C0B94">
        <w:tc>
          <w:tcPr>
            <w:tcW w:w="0" w:type="auto"/>
          </w:tcPr>
          <w:p w14:paraId="30B400BB"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Privacy incident</w:t>
            </w:r>
          </w:p>
        </w:tc>
        <w:tc>
          <w:tcPr>
            <w:tcW w:w="0" w:type="auto"/>
          </w:tcPr>
          <w:p w14:paraId="048CE3F9"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very high</w:t>
            </w:r>
          </w:p>
        </w:tc>
        <w:tc>
          <w:tcPr>
            <w:tcW w:w="0" w:type="auto"/>
          </w:tcPr>
          <w:p w14:paraId="2C12795C"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privacy-by-design, access controls, logging, vendor due diligence</w:t>
            </w:r>
          </w:p>
        </w:tc>
      </w:tr>
      <w:tr w:rsidR="00F329A9" w:rsidRPr="00F329A9" w14:paraId="09D0AB1B" w14:textId="77777777" w:rsidTr="004C0B94">
        <w:tc>
          <w:tcPr>
            <w:tcW w:w="0" w:type="auto"/>
          </w:tcPr>
          <w:p w14:paraId="6CA3D5D2"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Team motivation drop</w:t>
            </w:r>
          </w:p>
        </w:tc>
        <w:tc>
          <w:tcPr>
            <w:tcW w:w="0" w:type="auto"/>
          </w:tcPr>
          <w:p w14:paraId="644EC602"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medium–high</w:t>
            </w:r>
          </w:p>
        </w:tc>
        <w:tc>
          <w:tcPr>
            <w:tcW w:w="0" w:type="auto"/>
          </w:tcPr>
          <w:p w14:paraId="3D0F2A25"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role clarity, autonomy, visible wins (Cable, 2018)</w:t>
            </w:r>
          </w:p>
        </w:tc>
      </w:tr>
      <w:tr w:rsidR="00F329A9" w:rsidRPr="00F329A9" w14:paraId="3605C04C" w14:textId="77777777" w:rsidTr="004C0B94">
        <w:tc>
          <w:tcPr>
            <w:tcW w:w="0" w:type="auto"/>
          </w:tcPr>
          <w:p w14:paraId="2540E03C"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Platform dependence</w:t>
            </w:r>
          </w:p>
        </w:tc>
        <w:tc>
          <w:tcPr>
            <w:tcW w:w="0" w:type="auto"/>
          </w:tcPr>
          <w:p w14:paraId="44E724D4"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medium</w:t>
            </w:r>
          </w:p>
        </w:tc>
        <w:tc>
          <w:tcPr>
            <w:tcW w:w="0" w:type="auto"/>
          </w:tcPr>
          <w:p w14:paraId="727CBA58"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diversify channels; build owned community list</w:t>
            </w:r>
          </w:p>
        </w:tc>
      </w:tr>
      <w:tr w:rsidR="00F329A9" w:rsidRPr="00F329A9" w14:paraId="688B20E0" w14:textId="77777777" w:rsidTr="004C0B94">
        <w:tc>
          <w:tcPr>
            <w:tcW w:w="0" w:type="auto"/>
          </w:tcPr>
          <w:p w14:paraId="15AF070B"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Partner ethics risk</w:t>
            </w:r>
          </w:p>
        </w:tc>
        <w:tc>
          <w:tcPr>
            <w:tcW w:w="0" w:type="auto"/>
          </w:tcPr>
          <w:p w14:paraId="76ADE5E4"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high</w:t>
            </w:r>
          </w:p>
        </w:tc>
        <w:tc>
          <w:tcPr>
            <w:tcW w:w="0" w:type="auto"/>
          </w:tcPr>
          <w:p w14:paraId="0859652D" w14:textId="77777777" w:rsidR="00F329A9" w:rsidRPr="00F329A9" w:rsidRDefault="00F329A9" w:rsidP="00F329A9">
            <w:pPr>
              <w:pStyle w:val="Compact"/>
              <w:spacing w:line="480" w:lineRule="auto"/>
              <w:rPr>
                <w:rFonts w:ascii="Times New Roman" w:hAnsi="Times New Roman" w:cs="Times New Roman"/>
              </w:rPr>
            </w:pPr>
            <w:r w:rsidRPr="00F329A9">
              <w:rPr>
                <w:rFonts w:ascii="Times New Roman" w:hAnsi="Times New Roman" w:cs="Times New Roman"/>
              </w:rPr>
              <w:t>due diligence; transparent terms; sponsorship ethics policy</w:t>
            </w:r>
          </w:p>
        </w:tc>
      </w:tr>
    </w:tbl>
    <w:p w14:paraId="7B8B86EA" w14:textId="773783D8" w:rsidR="005C0458" w:rsidRPr="00127A18" w:rsidRDefault="00235201">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t>Change management (Kotter and Lewin adapted)</w:t>
      </w:r>
    </w:p>
    <w:p w14:paraId="48AEA7AB" w14:textId="77777777" w:rsidR="00FC7315" w:rsidRPr="00FC7315" w:rsidRDefault="00FC7315" w:rsidP="00FC7315">
      <w:pPr>
        <w:spacing w:line="480" w:lineRule="auto"/>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Adaptation using Lewin (Unfreeze-Change-Refreeze):</w:t>
      </w:r>
    </w:p>
    <w:p w14:paraId="6F633957" w14:textId="77777777" w:rsidR="00FC7315" w:rsidRPr="00FC7315" w:rsidRDefault="00FC7315" w:rsidP="00127A18">
      <w:pPr>
        <w:pStyle w:val="ListParagraph"/>
        <w:numPr>
          <w:ilvl w:val="0"/>
          <w:numId w:val="34"/>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Unfreeze: share the systemic risk (AI substitutes, commoditization) and the strategic opportunity (ecosystem economics).</w:t>
      </w:r>
    </w:p>
    <w:p w14:paraId="4C9B9FDD" w14:textId="77777777" w:rsidR="00FC7315" w:rsidRPr="00FC7315" w:rsidRDefault="00FC7315" w:rsidP="00127A18">
      <w:pPr>
        <w:pStyle w:val="ListParagraph"/>
        <w:numPr>
          <w:ilvl w:val="0"/>
          <w:numId w:val="34"/>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Change: pilot change, use staged metrics, and portfolio governance with a pull to kill ideas using premature financial metrics (Kirsner, 2021).</w:t>
      </w:r>
    </w:p>
    <w:p w14:paraId="77DA1B4C" w14:textId="220E31D1" w:rsidR="00FC7315" w:rsidRPr="00127A18" w:rsidRDefault="00FC7315" w:rsidP="00127A18">
      <w:pPr>
        <w:pStyle w:val="ListParagraph"/>
        <w:numPr>
          <w:ilvl w:val="0"/>
          <w:numId w:val="34"/>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Refreeze: entrench the new operating model into the job structure, performance systems, governing rituals and leadership practices.</w:t>
      </w:r>
    </w:p>
    <w:p w14:paraId="05561DB0" w14:textId="77777777" w:rsidR="00FC7315" w:rsidRPr="00127A18" w:rsidRDefault="00FC7315" w:rsidP="00FC7315">
      <w:pPr>
        <w:spacing w:line="480" w:lineRule="auto"/>
        <w:jc w:val="both"/>
        <w:rPr>
          <w:rFonts w:ascii="Times New Roman" w:eastAsia="Times New Roman" w:hAnsi="Times New Roman" w:cs="Times New Roman"/>
          <w:b/>
          <w:bCs/>
          <w:sz w:val="24"/>
          <w:szCs w:val="24"/>
        </w:rPr>
      </w:pPr>
      <w:r w:rsidRPr="00127A18">
        <w:rPr>
          <w:rFonts w:ascii="Times New Roman" w:eastAsia="Times New Roman" w:hAnsi="Times New Roman" w:cs="Times New Roman"/>
          <w:b/>
          <w:bCs/>
          <w:sz w:val="24"/>
          <w:szCs w:val="24"/>
        </w:rPr>
        <w:lastRenderedPageBreak/>
        <w:t>Kotter adaption (real practices):</w:t>
      </w:r>
    </w:p>
    <w:p w14:paraId="53BD8BC7" w14:textId="77777777"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Enlist a sense of urgency in facts and story (industry changes).</w:t>
      </w:r>
    </w:p>
    <w:p w14:paraId="29A83CE4" w14:textId="77777777"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Develop guiding coalition (reimagination team).</w:t>
      </w:r>
    </w:p>
    <w:p w14:paraId="3634CA60" w14:textId="77777777"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State vision: Vision results + ecosystem, AI-powered trust.</w:t>
      </w:r>
    </w:p>
    <w:p w14:paraId="22448CA9" w14:textId="77777777"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Recommunicating in various mediums is also encouraged.</w:t>
      </w:r>
    </w:p>
    <w:p w14:paraId="3AD4E352" w14:textId="77777777"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Take out obstacles: authority, equipment, expertise.</w:t>
      </w:r>
    </w:p>
    <w:p w14:paraId="142195E9" w14:textId="77777777"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Create short-term victories: media cadence, membership MVP, AI tutor MVP.</w:t>
      </w:r>
    </w:p>
    <w:p w14:paraId="6780CC4E" w14:textId="77777777"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Sustain acceleration: Resourcing decisions and monthly portfolio reviews.</w:t>
      </w:r>
    </w:p>
    <w:p w14:paraId="2A8E4BF9" w14:textId="5CD0F6BC" w:rsidR="00FC7315" w:rsidRPr="00FC7315" w:rsidRDefault="00FC7315" w:rsidP="00FC7315">
      <w:pPr>
        <w:pStyle w:val="ListParagraph"/>
        <w:numPr>
          <w:ilvl w:val="0"/>
          <w:numId w:val="35"/>
        </w:numPr>
        <w:spacing w:line="480" w:lineRule="auto"/>
        <w:ind w:left="426"/>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Change of anchors: new structure of the organization, new KPI systems, governance.</w:t>
      </w:r>
    </w:p>
    <w:p w14:paraId="300552E5" w14:textId="02A1DED6" w:rsidR="00FC7315" w:rsidRPr="00FC7315" w:rsidRDefault="00FC7315" w:rsidP="00FC7315">
      <w:pPr>
        <w:spacing w:line="480" w:lineRule="auto"/>
        <w:jc w:val="both"/>
        <w:rPr>
          <w:rFonts w:ascii="Times New Roman" w:eastAsia="Times New Roman" w:hAnsi="Times New Roman" w:cs="Times New Roman"/>
          <w:sz w:val="24"/>
          <w:szCs w:val="24"/>
        </w:rPr>
      </w:pPr>
      <w:r w:rsidRPr="00FC7315">
        <w:rPr>
          <w:rFonts w:ascii="Times New Roman" w:eastAsia="Times New Roman" w:hAnsi="Times New Roman" w:cs="Times New Roman"/>
          <w:sz w:val="24"/>
          <w:szCs w:val="24"/>
        </w:rPr>
        <w:t xml:space="preserve">One of the change leverage points is the motivation management: HBR focuses on reviving autonomy, sense, and progress cues in cases of decreased motivation </w:t>
      </w:r>
      <w:r w:rsidR="00E7752C">
        <w:rPr>
          <w:rFonts w:ascii="Times New Roman" w:eastAsia="Times New Roman" w:hAnsi="Times New Roman" w:cs="Times New Roman"/>
          <w:sz w:val="24"/>
          <w:szCs w:val="24"/>
        </w:rPr>
        <w:fldChar w:fldCharType="begin"/>
      </w:r>
      <w:r w:rsidR="00E7752C">
        <w:rPr>
          <w:rFonts w:ascii="Times New Roman" w:eastAsia="Times New Roman" w:hAnsi="Times New Roman" w:cs="Times New Roman"/>
          <w:sz w:val="24"/>
          <w:szCs w:val="24"/>
        </w:rPr>
        <w:instrText xml:space="preserve"> ADDIN ZOTERO_ITEM CSL_CITATION {"citationID":"o5cb7fhl","properties":{"formattedCitation":"(Cable, 2018)","plainCitation":"(Cable, 2018)","noteIndex":0},"citationItems":[{"id":195,"uris":["http://zotero.org/users/local/Xt9Z7MiI/items/YWICBYNI"],"itemData":{"id":195,"type":"webpage","container-title":"Harvard Business Review","note":"journalAbbreviation: Harvard Business Review","title":"Why People Lose Motivation and What Managers Can Do to Help","URL":"https://hbr.org/2018/03/why-people-lose-motivation-and-what-managers-can-do-to-help","author":[{"family":"Cable","given":"Dan"}],"issued":{"date-parts":[["2018",3,12]]}}}],"schema":"https://github.com/citation-style-language/schema/raw/master/csl-citation.json"} </w:instrText>
      </w:r>
      <w:r w:rsidR="00E7752C">
        <w:rPr>
          <w:rFonts w:ascii="Times New Roman" w:eastAsia="Times New Roman" w:hAnsi="Times New Roman" w:cs="Times New Roman"/>
          <w:sz w:val="24"/>
          <w:szCs w:val="24"/>
        </w:rPr>
        <w:fldChar w:fldCharType="separate"/>
      </w:r>
      <w:r w:rsidR="00E7752C" w:rsidRPr="00E7752C">
        <w:rPr>
          <w:rFonts w:ascii="Times New Roman" w:hAnsi="Times New Roman" w:cs="Times New Roman"/>
          <w:sz w:val="24"/>
        </w:rPr>
        <w:t>(Cable, 2018)</w:t>
      </w:r>
      <w:r w:rsidR="00E7752C">
        <w:rPr>
          <w:rFonts w:ascii="Times New Roman" w:eastAsia="Times New Roman" w:hAnsi="Times New Roman" w:cs="Times New Roman"/>
          <w:sz w:val="24"/>
          <w:szCs w:val="24"/>
        </w:rPr>
        <w:fldChar w:fldCharType="end"/>
      </w:r>
      <w:r w:rsidR="00E7752C">
        <w:rPr>
          <w:rFonts w:ascii="Times New Roman" w:eastAsia="Times New Roman" w:hAnsi="Times New Roman" w:cs="Times New Roman"/>
          <w:sz w:val="24"/>
          <w:szCs w:val="24"/>
        </w:rPr>
        <w:t xml:space="preserve">. </w:t>
      </w:r>
      <w:r w:rsidRPr="00FC7315">
        <w:rPr>
          <w:rFonts w:ascii="Times New Roman" w:eastAsia="Times New Roman" w:hAnsi="Times New Roman" w:cs="Times New Roman"/>
          <w:sz w:val="24"/>
          <w:szCs w:val="24"/>
        </w:rPr>
        <w:t>OTCA achieves this through the assignment of explicit ownership and quantifiable progress milestones to the teams.</w:t>
      </w:r>
    </w:p>
    <w:p w14:paraId="75A98688" w14:textId="77777777" w:rsidR="004E11DB" w:rsidRPr="00232821" w:rsidRDefault="004E11DB" w:rsidP="004E11DB">
      <w:pPr>
        <w:spacing w:line="480" w:lineRule="auto"/>
        <w:jc w:val="both"/>
        <w:rPr>
          <w:rFonts w:ascii="Times New Roman" w:eastAsia="Times New Roman" w:hAnsi="Times New Roman" w:cs="Times New Roman"/>
          <w:b/>
          <w:bCs/>
          <w:sz w:val="24"/>
          <w:szCs w:val="24"/>
        </w:rPr>
      </w:pPr>
      <w:r w:rsidRPr="00232821">
        <w:rPr>
          <w:rFonts w:ascii="Times New Roman" w:eastAsia="Times New Roman" w:hAnsi="Times New Roman" w:cs="Times New Roman"/>
          <w:b/>
          <w:bCs/>
          <w:sz w:val="24"/>
          <w:szCs w:val="24"/>
        </w:rPr>
        <w:t>Sustainability and ethics (AI governance, data privacy)</w:t>
      </w:r>
    </w:p>
    <w:p w14:paraId="34289CAA" w14:textId="77777777" w:rsidR="004607AD" w:rsidRPr="004607AD" w:rsidRDefault="004607AD" w:rsidP="004607AD">
      <w:p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Ethical commitments:</w:t>
      </w:r>
    </w:p>
    <w:p w14:paraId="150EFF60" w14:textId="77777777" w:rsidR="004607AD" w:rsidRPr="004607AD" w:rsidRDefault="004607AD" w:rsidP="004607AD">
      <w:pPr>
        <w:pStyle w:val="ListParagraph"/>
        <w:numPr>
          <w:ilvl w:val="0"/>
          <w:numId w:val="36"/>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Transparency: explicitly reveal the use of AI in tutoring and content.</w:t>
      </w:r>
    </w:p>
    <w:p w14:paraId="7B67C2A3" w14:textId="77777777" w:rsidR="004607AD" w:rsidRPr="004607AD" w:rsidRDefault="004607AD" w:rsidP="004607AD">
      <w:pPr>
        <w:pStyle w:val="ListParagraph"/>
        <w:numPr>
          <w:ilvl w:val="0"/>
          <w:numId w:val="36"/>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Safety: institute assessment and incident reaction to unhealthy outputs.</w:t>
      </w:r>
    </w:p>
    <w:p w14:paraId="56A2F354" w14:textId="77777777" w:rsidR="004607AD" w:rsidRPr="004607AD" w:rsidRDefault="004607AD" w:rsidP="004607AD">
      <w:pPr>
        <w:pStyle w:val="ListParagraph"/>
        <w:numPr>
          <w:ilvl w:val="0"/>
          <w:numId w:val="36"/>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Privacy: data collection is consent-based, and access control is minimized and controlled (European Commission, n.d.).</w:t>
      </w:r>
    </w:p>
    <w:p w14:paraId="445DD121" w14:textId="77777777" w:rsidR="004607AD" w:rsidRPr="004607AD" w:rsidRDefault="004607AD" w:rsidP="004607AD">
      <w:pPr>
        <w:pStyle w:val="ListParagraph"/>
        <w:numPr>
          <w:ilvl w:val="0"/>
          <w:numId w:val="36"/>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Fairness: oversee discriminatory results and highway suggestions of AI.</w:t>
      </w:r>
    </w:p>
    <w:p w14:paraId="764AFCB5" w14:textId="5AAEECA7" w:rsidR="004607AD" w:rsidRPr="004607AD" w:rsidRDefault="004607AD" w:rsidP="004607AD">
      <w:pPr>
        <w:pStyle w:val="ListParagraph"/>
        <w:numPr>
          <w:ilvl w:val="0"/>
          <w:numId w:val="36"/>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Integrity: the controls of disclosure and conflict of interest in sponsorship.</w:t>
      </w:r>
    </w:p>
    <w:p w14:paraId="35CDAE21" w14:textId="77777777" w:rsidR="004607AD" w:rsidRPr="004607AD" w:rsidRDefault="004607AD" w:rsidP="004607AD">
      <w:p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Artificial intelligence governance operating system (minimum viable by month 6):</w:t>
      </w:r>
    </w:p>
    <w:p w14:paraId="2E9E03ED" w14:textId="77777777" w:rsidR="004607AD" w:rsidRPr="004607AD" w:rsidRDefault="004607AD" w:rsidP="004607AD">
      <w:pPr>
        <w:pStyle w:val="ListParagraph"/>
        <w:numPr>
          <w:ilvl w:val="0"/>
          <w:numId w:val="37"/>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Policy and acceptable use of AI.</w:t>
      </w:r>
    </w:p>
    <w:p w14:paraId="7F097010" w14:textId="77777777" w:rsidR="004607AD" w:rsidRPr="004607AD" w:rsidRDefault="004607AD" w:rsidP="004607AD">
      <w:pPr>
        <w:pStyle w:val="ListParagraph"/>
        <w:numPr>
          <w:ilvl w:val="0"/>
          <w:numId w:val="37"/>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lastRenderedPageBreak/>
        <w:t>Model risk evaluation and reporting.</w:t>
      </w:r>
    </w:p>
    <w:p w14:paraId="281D1544" w14:textId="77777777" w:rsidR="004607AD" w:rsidRPr="004607AD" w:rsidRDefault="004607AD" w:rsidP="004607AD">
      <w:pPr>
        <w:pStyle w:val="ListParagraph"/>
        <w:numPr>
          <w:ilvl w:val="0"/>
          <w:numId w:val="37"/>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Pre-release assessment and supervision.</w:t>
      </w:r>
    </w:p>
    <w:p w14:paraId="7EC5AA7D" w14:textId="77777777" w:rsidR="004607AD" w:rsidRPr="004607AD" w:rsidRDefault="004607AD" w:rsidP="004607AD">
      <w:pPr>
        <w:pStyle w:val="ListParagraph"/>
        <w:numPr>
          <w:ilvl w:val="0"/>
          <w:numId w:val="37"/>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Human-in-the-loop of high stakes outputs.</w:t>
      </w:r>
    </w:p>
    <w:p w14:paraId="002A86FC" w14:textId="77777777" w:rsidR="004607AD" w:rsidRPr="004607AD" w:rsidRDefault="004607AD" w:rsidP="004607AD">
      <w:pPr>
        <w:pStyle w:val="ListParagraph"/>
        <w:numPr>
          <w:ilvl w:val="0"/>
          <w:numId w:val="37"/>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Playbook on incident response.</w:t>
      </w:r>
    </w:p>
    <w:p w14:paraId="7A89118A" w14:textId="77777777" w:rsidR="004607AD" w:rsidRPr="004607AD" w:rsidRDefault="004607AD" w:rsidP="004607AD">
      <w:pPr>
        <w:pStyle w:val="ListParagraph"/>
        <w:numPr>
          <w:ilvl w:val="0"/>
          <w:numId w:val="37"/>
        </w:num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Vendor records and audit records.</w:t>
      </w:r>
    </w:p>
    <w:p w14:paraId="212D0546" w14:textId="77777777" w:rsidR="004607AD" w:rsidRPr="004607AD" w:rsidRDefault="004607AD" w:rsidP="004607AD">
      <w:pPr>
        <w:spacing w:line="480" w:lineRule="auto"/>
        <w:jc w:val="both"/>
        <w:rPr>
          <w:rFonts w:ascii="Times New Roman" w:eastAsia="Times New Roman" w:hAnsi="Times New Roman" w:cs="Times New Roman"/>
          <w:sz w:val="24"/>
          <w:szCs w:val="24"/>
        </w:rPr>
      </w:pPr>
      <w:r w:rsidRPr="004607AD">
        <w:rPr>
          <w:rFonts w:ascii="Times New Roman" w:eastAsia="Times New Roman" w:hAnsi="Times New Roman" w:cs="Times New Roman"/>
          <w:sz w:val="24"/>
          <w:szCs w:val="24"/>
        </w:rPr>
        <w:t>Plan of implementation (0-18 months).</w:t>
      </w:r>
    </w:p>
    <w:p w14:paraId="3F2F0837" w14:textId="77777777" w:rsidR="007A10D8" w:rsidRPr="007A10D8" w:rsidRDefault="007A10D8" w:rsidP="007A10D8">
      <w:pPr>
        <w:spacing w:line="480" w:lineRule="auto"/>
        <w:jc w:val="both"/>
        <w:rPr>
          <w:rFonts w:ascii="Times New Roman" w:eastAsia="Times New Roman" w:hAnsi="Times New Roman" w:cs="Times New Roman"/>
          <w:sz w:val="24"/>
          <w:szCs w:val="24"/>
        </w:rPr>
      </w:pPr>
      <w:r w:rsidRPr="007A10D8">
        <w:rPr>
          <w:rFonts w:ascii="Times New Roman" w:eastAsia="Times New Roman" w:hAnsi="Times New Roman" w:cs="Times New Roman"/>
          <w:sz w:val="24"/>
          <w:szCs w:val="24"/>
        </w:rPr>
        <w:t>Stages and results:</w:t>
      </w:r>
    </w:p>
    <w:p w14:paraId="0A5AF136" w14:textId="77777777" w:rsidR="007A10D8" w:rsidRPr="007A10D8" w:rsidRDefault="007A10D8" w:rsidP="007A10D8">
      <w:pPr>
        <w:pStyle w:val="ListParagraph"/>
        <w:numPr>
          <w:ilvl w:val="0"/>
          <w:numId w:val="38"/>
        </w:numPr>
        <w:spacing w:line="480" w:lineRule="auto"/>
        <w:jc w:val="both"/>
        <w:rPr>
          <w:rFonts w:ascii="Times New Roman" w:eastAsia="Times New Roman" w:hAnsi="Times New Roman" w:cs="Times New Roman"/>
          <w:sz w:val="24"/>
          <w:szCs w:val="24"/>
        </w:rPr>
      </w:pPr>
      <w:r w:rsidRPr="007A10D8">
        <w:rPr>
          <w:rFonts w:ascii="Times New Roman" w:eastAsia="Times New Roman" w:hAnsi="Times New Roman" w:cs="Times New Roman"/>
          <w:sz w:val="24"/>
          <w:szCs w:val="24"/>
        </w:rPr>
        <w:t>Phase 0 (Weeks 1-4): prove the assumptions; baseline KPIs; describe governance and decision rights.</w:t>
      </w:r>
    </w:p>
    <w:p w14:paraId="5DE4662E" w14:textId="77777777" w:rsidR="007A10D8" w:rsidRPr="007A10D8" w:rsidRDefault="007A10D8" w:rsidP="007A10D8">
      <w:pPr>
        <w:pStyle w:val="ListParagraph"/>
        <w:numPr>
          <w:ilvl w:val="0"/>
          <w:numId w:val="38"/>
        </w:numPr>
        <w:spacing w:line="480" w:lineRule="auto"/>
        <w:jc w:val="both"/>
        <w:rPr>
          <w:rFonts w:ascii="Times New Roman" w:eastAsia="Times New Roman" w:hAnsi="Times New Roman" w:cs="Times New Roman"/>
          <w:sz w:val="24"/>
          <w:szCs w:val="24"/>
        </w:rPr>
      </w:pPr>
      <w:r w:rsidRPr="007A10D8">
        <w:rPr>
          <w:rFonts w:ascii="Times New Roman" w:eastAsia="Times New Roman" w:hAnsi="Times New Roman" w:cs="Times New Roman"/>
          <w:sz w:val="24"/>
          <w:szCs w:val="24"/>
        </w:rPr>
        <w:t>Phase 1 (Months 1-3): lay the foundations Phase 1: phase 1, media cadence, community MVP, AI tutor MVP, governance MVP.</w:t>
      </w:r>
    </w:p>
    <w:p w14:paraId="1E30CA14" w14:textId="77777777" w:rsidR="007A10D8" w:rsidRPr="007A10D8" w:rsidRDefault="007A10D8" w:rsidP="007A10D8">
      <w:pPr>
        <w:pStyle w:val="ListParagraph"/>
        <w:numPr>
          <w:ilvl w:val="0"/>
          <w:numId w:val="38"/>
        </w:numPr>
        <w:spacing w:line="480" w:lineRule="auto"/>
        <w:jc w:val="both"/>
        <w:rPr>
          <w:rFonts w:ascii="Times New Roman" w:eastAsia="Times New Roman" w:hAnsi="Times New Roman" w:cs="Times New Roman"/>
          <w:sz w:val="24"/>
          <w:szCs w:val="24"/>
        </w:rPr>
      </w:pPr>
      <w:r w:rsidRPr="007A10D8">
        <w:rPr>
          <w:rFonts w:ascii="Times New Roman" w:eastAsia="Times New Roman" w:hAnsi="Times New Roman" w:cs="Times New Roman"/>
          <w:sz w:val="24"/>
          <w:szCs w:val="24"/>
        </w:rPr>
        <w:t>Phase 2 (Month 3-9): monetize- introduce levels of subscription and membership, partner pipeline, outcome dashboards.</w:t>
      </w:r>
    </w:p>
    <w:p w14:paraId="38489A31" w14:textId="63226194" w:rsidR="007A10D8" w:rsidRDefault="007A10D8" w:rsidP="007A10D8">
      <w:pPr>
        <w:pStyle w:val="ListParagraph"/>
        <w:numPr>
          <w:ilvl w:val="0"/>
          <w:numId w:val="38"/>
        </w:numPr>
        <w:spacing w:line="480" w:lineRule="auto"/>
        <w:jc w:val="both"/>
        <w:rPr>
          <w:rFonts w:ascii="Times New Roman" w:eastAsia="Times New Roman" w:hAnsi="Times New Roman" w:cs="Times New Roman"/>
          <w:sz w:val="24"/>
          <w:szCs w:val="24"/>
        </w:rPr>
      </w:pPr>
      <w:r w:rsidRPr="007A10D8">
        <w:rPr>
          <w:rFonts w:ascii="Times New Roman" w:eastAsia="Times New Roman" w:hAnsi="Times New Roman" w:cs="Times New Roman"/>
          <w:sz w:val="24"/>
          <w:szCs w:val="24"/>
        </w:rPr>
        <w:t>Phase 3 (Months 9-18): scale: expand to another pathway niche, scale partnerships and sponsorships, improve the quality and cost of AI, make operating model institutional.</w:t>
      </w:r>
    </w:p>
    <w:p w14:paraId="428548D5" w14:textId="77777777" w:rsidR="00207226" w:rsidRPr="00207226" w:rsidRDefault="00207226" w:rsidP="00207226">
      <w:pPr>
        <w:spacing w:line="480" w:lineRule="auto"/>
        <w:jc w:val="both"/>
        <w:rPr>
          <w:rFonts w:ascii="Times New Roman" w:eastAsia="Times New Roman" w:hAnsi="Times New Roman" w:cs="Times New Roman"/>
          <w:sz w:val="24"/>
          <w:szCs w:val="24"/>
        </w:rPr>
      </w:pPr>
    </w:p>
    <w:p w14:paraId="16202BDB" w14:textId="77777777" w:rsidR="00207226" w:rsidRPr="00232821" w:rsidRDefault="00207226" w:rsidP="00207226">
      <w:pPr>
        <w:spacing w:line="480" w:lineRule="auto"/>
        <w:jc w:val="both"/>
        <w:rPr>
          <w:rFonts w:ascii="Times New Roman" w:eastAsia="Times New Roman" w:hAnsi="Times New Roman" w:cs="Times New Roman"/>
          <w:b/>
          <w:bCs/>
          <w:sz w:val="24"/>
          <w:szCs w:val="24"/>
        </w:rPr>
      </w:pPr>
      <w:r w:rsidRPr="00232821">
        <w:rPr>
          <w:rFonts w:ascii="Times New Roman" w:eastAsia="Times New Roman" w:hAnsi="Times New Roman" w:cs="Times New Roman"/>
          <w:b/>
          <w:bCs/>
          <w:sz w:val="24"/>
          <w:szCs w:val="24"/>
        </w:rPr>
        <w:t>KPIs and milestones (that are chosen).</w:t>
      </w:r>
    </w:p>
    <w:tbl>
      <w:tblPr>
        <w:tblStyle w:val="Table"/>
        <w:tblW w:w="0" w:type="auto"/>
        <w:tblLook w:val="0020" w:firstRow="1" w:lastRow="0" w:firstColumn="0" w:lastColumn="0" w:noHBand="0" w:noVBand="0"/>
      </w:tblPr>
      <w:tblGrid>
        <w:gridCol w:w="1363"/>
        <w:gridCol w:w="4123"/>
        <w:gridCol w:w="3540"/>
      </w:tblGrid>
      <w:tr w:rsidR="0010795F" w:rsidRPr="0010795F" w14:paraId="12FDED0C"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2DB2D264"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Domain</w:t>
            </w:r>
          </w:p>
        </w:tc>
        <w:tc>
          <w:tcPr>
            <w:tcW w:w="0" w:type="auto"/>
          </w:tcPr>
          <w:p w14:paraId="403E2350"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KPIs</w:t>
            </w:r>
          </w:p>
        </w:tc>
        <w:tc>
          <w:tcPr>
            <w:tcW w:w="0" w:type="auto"/>
          </w:tcPr>
          <w:p w14:paraId="2ADD9DDD"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Milestones</w:t>
            </w:r>
          </w:p>
        </w:tc>
      </w:tr>
      <w:tr w:rsidR="0010795F" w:rsidRPr="0010795F" w14:paraId="17C5A2EF" w14:textId="77777777" w:rsidTr="004C0B94">
        <w:tc>
          <w:tcPr>
            <w:tcW w:w="0" w:type="auto"/>
          </w:tcPr>
          <w:p w14:paraId="327B9CF5"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Media</w:t>
            </w:r>
          </w:p>
        </w:tc>
        <w:tc>
          <w:tcPr>
            <w:tcW w:w="0" w:type="auto"/>
          </w:tcPr>
          <w:p w14:paraId="4B41344D"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weekly content cadence, watch time, email/community conversion</w:t>
            </w:r>
          </w:p>
        </w:tc>
        <w:tc>
          <w:tcPr>
            <w:tcW w:w="0" w:type="auto"/>
          </w:tcPr>
          <w:p w14:paraId="1F804AE3"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consistent publishing by week 6; measurable inbound by month 3</w:t>
            </w:r>
          </w:p>
        </w:tc>
      </w:tr>
      <w:tr w:rsidR="0010795F" w:rsidRPr="0010795F" w14:paraId="739BE7BA" w14:textId="77777777" w:rsidTr="004C0B94">
        <w:tc>
          <w:tcPr>
            <w:tcW w:w="0" w:type="auto"/>
          </w:tcPr>
          <w:p w14:paraId="140874B5"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Community</w:t>
            </w:r>
          </w:p>
        </w:tc>
        <w:tc>
          <w:tcPr>
            <w:tcW w:w="0" w:type="auto"/>
          </w:tcPr>
          <w:p w14:paraId="2371FAFA"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members, 30/90-day retention, event attendance</w:t>
            </w:r>
          </w:p>
        </w:tc>
        <w:tc>
          <w:tcPr>
            <w:tcW w:w="0" w:type="auto"/>
          </w:tcPr>
          <w:p w14:paraId="66B61DA3"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membership MVP by month 3; tiered membership by month 6</w:t>
            </w:r>
          </w:p>
        </w:tc>
      </w:tr>
      <w:tr w:rsidR="0010795F" w:rsidRPr="0010795F" w14:paraId="17157884" w14:textId="77777777" w:rsidTr="004C0B94">
        <w:tc>
          <w:tcPr>
            <w:tcW w:w="0" w:type="auto"/>
          </w:tcPr>
          <w:p w14:paraId="3F15D1E4"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lastRenderedPageBreak/>
              <w:t>Product/AI</w:t>
            </w:r>
          </w:p>
        </w:tc>
        <w:tc>
          <w:tcPr>
            <w:tcW w:w="0" w:type="auto"/>
          </w:tcPr>
          <w:p w14:paraId="4321F377"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active users, completion rate, safety incidents, response quality</w:t>
            </w:r>
          </w:p>
        </w:tc>
        <w:tc>
          <w:tcPr>
            <w:tcW w:w="0" w:type="auto"/>
          </w:tcPr>
          <w:p w14:paraId="0885FBB1"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tutor MVP by month 3; pricing test by month 6</w:t>
            </w:r>
          </w:p>
        </w:tc>
      </w:tr>
      <w:tr w:rsidR="0010795F" w:rsidRPr="0010795F" w14:paraId="2A4795A7" w14:textId="77777777" w:rsidTr="004C0B94">
        <w:tc>
          <w:tcPr>
            <w:tcW w:w="0" w:type="auto"/>
          </w:tcPr>
          <w:p w14:paraId="2DBD10CF"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Business</w:t>
            </w:r>
          </w:p>
        </w:tc>
        <w:tc>
          <w:tcPr>
            <w:tcW w:w="0" w:type="auto"/>
          </w:tcPr>
          <w:p w14:paraId="493A9929"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blended CAC, lead-to-member conversion, LTV, gross margin</w:t>
            </w:r>
          </w:p>
        </w:tc>
        <w:tc>
          <w:tcPr>
            <w:tcW w:w="0" w:type="auto"/>
          </w:tcPr>
          <w:p w14:paraId="68128A11"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CAC decline trend by month 9; diversified revenue by month 18</w:t>
            </w:r>
          </w:p>
        </w:tc>
      </w:tr>
      <w:tr w:rsidR="0010795F" w:rsidRPr="0010795F" w14:paraId="054D1320" w14:textId="77777777" w:rsidTr="004C0B94">
        <w:tc>
          <w:tcPr>
            <w:tcW w:w="0" w:type="auto"/>
          </w:tcPr>
          <w:p w14:paraId="1744FB97"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Outcomes</w:t>
            </w:r>
          </w:p>
        </w:tc>
        <w:tc>
          <w:tcPr>
            <w:tcW w:w="0" w:type="auto"/>
          </w:tcPr>
          <w:p w14:paraId="4C74941D"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proficiency gains, pathway readiness completion, placement success rate</w:t>
            </w:r>
          </w:p>
        </w:tc>
        <w:tc>
          <w:tcPr>
            <w:tcW w:w="0" w:type="auto"/>
          </w:tcPr>
          <w:p w14:paraId="2F630895" w14:textId="77777777" w:rsidR="0010795F" w:rsidRPr="0010795F" w:rsidRDefault="0010795F" w:rsidP="0010795F">
            <w:pPr>
              <w:pStyle w:val="Compact"/>
              <w:spacing w:line="480" w:lineRule="auto"/>
              <w:rPr>
                <w:rFonts w:ascii="Times New Roman" w:hAnsi="Times New Roman" w:cs="Times New Roman"/>
              </w:rPr>
            </w:pPr>
            <w:r w:rsidRPr="0010795F">
              <w:rPr>
                <w:rFonts w:ascii="Times New Roman" w:hAnsi="Times New Roman" w:cs="Times New Roman"/>
              </w:rPr>
              <w:t>outcomes dashboard by month 9</w:t>
            </w:r>
          </w:p>
        </w:tc>
      </w:tr>
    </w:tbl>
    <w:p w14:paraId="1951FA8A" w14:textId="77777777" w:rsidR="005C0458" w:rsidRDefault="005C0458">
      <w:pPr>
        <w:spacing w:line="480" w:lineRule="auto"/>
        <w:jc w:val="both"/>
        <w:rPr>
          <w:rFonts w:ascii="Times New Roman" w:eastAsia="Times New Roman" w:hAnsi="Times New Roman" w:cs="Times New Roman"/>
          <w:sz w:val="24"/>
          <w:szCs w:val="24"/>
        </w:rPr>
      </w:pPr>
    </w:p>
    <w:p w14:paraId="7904EB28" w14:textId="77777777" w:rsidR="0010795F" w:rsidRPr="00232821" w:rsidRDefault="0010795F" w:rsidP="0010795F">
      <w:pPr>
        <w:spacing w:line="480" w:lineRule="auto"/>
        <w:jc w:val="both"/>
        <w:rPr>
          <w:rFonts w:ascii="Times New Roman" w:eastAsia="Times New Roman" w:hAnsi="Times New Roman" w:cs="Times New Roman"/>
          <w:b/>
          <w:bCs/>
          <w:sz w:val="24"/>
          <w:szCs w:val="24"/>
        </w:rPr>
      </w:pPr>
      <w:r w:rsidRPr="00232821">
        <w:rPr>
          <w:rFonts w:ascii="Times New Roman" w:eastAsia="Times New Roman" w:hAnsi="Times New Roman" w:cs="Times New Roman"/>
          <w:b/>
          <w:bCs/>
          <w:sz w:val="24"/>
          <w:szCs w:val="24"/>
        </w:rPr>
        <w:t>Resource estimations (people and budget envelope).</w:t>
      </w:r>
    </w:p>
    <w:p w14:paraId="326B7BA8" w14:textId="77777777" w:rsidR="00F33339" w:rsidRPr="00F33339" w:rsidRDefault="00F33339" w:rsidP="00F33339">
      <w:p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Minimal incremental roles (may be a hybrid/contract role):</w:t>
      </w:r>
    </w:p>
    <w:p w14:paraId="6073B86B" w14:textId="77777777" w:rsidR="00F33339" w:rsidRPr="00F33339" w:rsidRDefault="00F33339" w:rsidP="00F33339">
      <w:pPr>
        <w:pStyle w:val="ListParagraph"/>
        <w:numPr>
          <w:ilvl w:val="0"/>
          <w:numId w:val="39"/>
        </w:num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Lead / editor in media (1 FTE)</w:t>
      </w:r>
    </w:p>
    <w:p w14:paraId="5276B949" w14:textId="77777777" w:rsidR="00F33339" w:rsidRPr="00F33339" w:rsidRDefault="00F33339" w:rsidP="00F33339">
      <w:pPr>
        <w:pStyle w:val="ListParagraph"/>
        <w:numPr>
          <w:ilvl w:val="0"/>
          <w:numId w:val="39"/>
        </w:num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Product lead (1 FTE)</w:t>
      </w:r>
    </w:p>
    <w:p w14:paraId="2FAF0C3F" w14:textId="77777777" w:rsidR="00F33339" w:rsidRPr="00F33339" w:rsidRDefault="00F33339" w:rsidP="00F33339">
      <w:pPr>
        <w:pStyle w:val="ListParagraph"/>
        <w:numPr>
          <w:ilvl w:val="0"/>
          <w:numId w:val="39"/>
        </w:num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AI engineer / product engineer (1 FTE)</w:t>
      </w:r>
    </w:p>
    <w:p w14:paraId="6975A7D9" w14:textId="77777777" w:rsidR="00F33339" w:rsidRPr="00F33339" w:rsidRDefault="00F33339" w:rsidP="00F33339">
      <w:pPr>
        <w:pStyle w:val="ListParagraph"/>
        <w:numPr>
          <w:ilvl w:val="0"/>
          <w:numId w:val="39"/>
        </w:num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Data analyst (.5-1 FTE)</w:t>
      </w:r>
    </w:p>
    <w:p w14:paraId="61B51D4D" w14:textId="77777777" w:rsidR="00F33339" w:rsidRPr="00F33339" w:rsidRDefault="00F33339" w:rsidP="00F33339">
      <w:pPr>
        <w:pStyle w:val="ListParagraph"/>
        <w:numPr>
          <w:ilvl w:val="0"/>
          <w:numId w:val="39"/>
        </w:num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One community lead (FTE1).</w:t>
      </w:r>
    </w:p>
    <w:p w14:paraId="7C31FB45" w14:textId="77777777" w:rsidR="00F33339" w:rsidRPr="00F33339" w:rsidRDefault="00F33339" w:rsidP="00F33339">
      <w:pPr>
        <w:pStyle w:val="ListParagraph"/>
        <w:numPr>
          <w:ilvl w:val="0"/>
          <w:numId w:val="39"/>
        </w:num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Partnerships are the chief (1 FTE).</w:t>
      </w:r>
    </w:p>
    <w:p w14:paraId="1722E129" w14:textId="44B1C0F5" w:rsidR="00F33339" w:rsidRPr="00F33339" w:rsidRDefault="00F33339" w:rsidP="00F33339">
      <w:pPr>
        <w:pStyle w:val="ListParagraph"/>
        <w:numPr>
          <w:ilvl w:val="0"/>
          <w:numId w:val="39"/>
        </w:num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Privacy / compliance adviser ( 0.5 FTE or retainer)</w:t>
      </w:r>
    </w:p>
    <w:p w14:paraId="3024B2AB" w14:textId="27E98341" w:rsidR="00F33339" w:rsidRPr="00F33339" w:rsidRDefault="00F33339" w:rsidP="00F33339">
      <w:pPr>
        <w:spacing w:line="480" w:lineRule="auto"/>
        <w:jc w:val="both"/>
        <w:rPr>
          <w:rFonts w:asciiTheme="minorHAnsi" w:eastAsiaTheme="minorHAnsi" w:hAnsiTheme="minorHAnsi" w:cstheme="minorBidi"/>
          <w:sz w:val="24"/>
          <w:szCs w:val="24"/>
          <w:lang w:eastAsia="en-US"/>
        </w:rPr>
      </w:pPr>
      <w:r w:rsidRPr="00F33339">
        <w:rPr>
          <w:rFonts w:asciiTheme="minorHAnsi" w:eastAsiaTheme="minorHAnsi" w:hAnsiTheme="minorHAnsi" w:cstheme="minorBidi"/>
          <w:sz w:val="24"/>
          <w:szCs w:val="24"/>
          <w:lang w:eastAsia="en-US"/>
        </w:rPr>
        <w:t xml:space="preserve">Budget envelope (example): during month 6, 8-12% of annual revenue should be allocated to “Transformation B” which is reasonable as innovation should demand real investment and funding </w:t>
      </w:r>
      <w:r w:rsidR="00E7752C">
        <w:rPr>
          <w:rFonts w:asciiTheme="minorHAnsi" w:eastAsiaTheme="minorHAnsi" w:hAnsiTheme="minorHAnsi" w:cstheme="minorBidi"/>
          <w:sz w:val="24"/>
          <w:szCs w:val="24"/>
          <w:lang w:eastAsia="en-US"/>
        </w:rPr>
        <w:fldChar w:fldCharType="begin"/>
      </w:r>
      <w:r w:rsidR="00E7752C">
        <w:rPr>
          <w:rFonts w:asciiTheme="minorHAnsi" w:eastAsiaTheme="minorHAnsi" w:hAnsiTheme="minorHAnsi" w:cstheme="minorBidi"/>
          <w:sz w:val="24"/>
          <w:szCs w:val="24"/>
          <w:lang w:eastAsia="en-US"/>
        </w:rPr>
        <w:instrText xml:space="preserve"> ADDIN ZOTERO_ITEM CSL_CITATION {"citationID":"zkhcbR8v","properties":{"formattedCitation":"(Cohen et al., 2019)","plainCitation":"(Cohen et al., 2019)","noteIndex":0},"citationItems":[{"id":199,"uris":["http://zotero.org/users/local/Xt9Z7MiI/items/HRKTWGW3"],"itemData":{"id":199,"type":"webpage","container-title":"McKinsey &amp; Company","note":"journalAbbreviation: McKinsey &amp; Company","title":"The Innovation Commitment","URL":"https://www.mckinsey.com/capabilities/strategy-and-corporate-finance/our-insights/the-innovation-commitment","author":[{"family":"Cohen","given":"Daniel"},{"family":"Quinn","given":"Brian"},{"family":"Roth","given":"Erik"}],"issued":{"date-parts":[["2019",10,24]]}}}],"schema":"https://github.com/citation-style-language/schema/raw/master/csl-citation.json"} </w:instrText>
      </w:r>
      <w:r w:rsidR="00E7752C">
        <w:rPr>
          <w:rFonts w:asciiTheme="minorHAnsi" w:eastAsiaTheme="minorHAnsi" w:hAnsiTheme="minorHAnsi" w:cstheme="minorBidi"/>
          <w:sz w:val="24"/>
          <w:szCs w:val="24"/>
          <w:lang w:eastAsia="en-US"/>
        </w:rPr>
        <w:fldChar w:fldCharType="separate"/>
      </w:r>
      <w:r w:rsidR="00E7752C" w:rsidRPr="00E7752C">
        <w:rPr>
          <w:rFonts w:ascii="Cambria" w:hAnsi="Cambria"/>
          <w:sz w:val="24"/>
        </w:rPr>
        <w:t>Cohen et al.</w:t>
      </w:r>
      <w:r w:rsidR="00E7752C">
        <w:rPr>
          <w:rFonts w:ascii="Cambria" w:hAnsi="Cambria"/>
          <w:sz w:val="24"/>
        </w:rPr>
        <w:t xml:space="preserve"> (</w:t>
      </w:r>
      <w:r w:rsidR="00E7752C" w:rsidRPr="00E7752C">
        <w:rPr>
          <w:rFonts w:ascii="Cambria" w:hAnsi="Cambria"/>
          <w:sz w:val="24"/>
        </w:rPr>
        <w:t>2019)</w:t>
      </w:r>
      <w:r w:rsidR="00E7752C">
        <w:rPr>
          <w:rFonts w:asciiTheme="minorHAnsi" w:eastAsiaTheme="minorHAnsi" w:hAnsiTheme="minorHAnsi" w:cstheme="minorBidi"/>
          <w:sz w:val="24"/>
          <w:szCs w:val="24"/>
          <w:lang w:eastAsia="en-US"/>
        </w:rPr>
        <w:fldChar w:fldCharType="end"/>
      </w:r>
      <w:r w:rsidR="00E7752C">
        <w:rPr>
          <w:rFonts w:asciiTheme="minorHAnsi" w:eastAsiaTheme="minorHAnsi" w:hAnsiTheme="minorHAnsi" w:cstheme="minorBidi"/>
          <w:sz w:val="24"/>
          <w:szCs w:val="24"/>
          <w:lang w:eastAsia="en-US"/>
        </w:rPr>
        <w:t xml:space="preserve"> </w:t>
      </w:r>
      <w:r w:rsidRPr="00F33339">
        <w:rPr>
          <w:rFonts w:asciiTheme="minorHAnsi" w:eastAsiaTheme="minorHAnsi" w:hAnsiTheme="minorHAnsi" w:cstheme="minorBidi"/>
          <w:sz w:val="24"/>
          <w:szCs w:val="24"/>
          <w:lang w:eastAsia="en-US"/>
        </w:rPr>
        <w:t>and yet preserve the core operations.</w:t>
      </w:r>
    </w:p>
    <w:p w14:paraId="0B96C0BB" w14:textId="77777777" w:rsidR="005C0458" w:rsidRDefault="005C0458">
      <w:pPr>
        <w:spacing w:line="480" w:lineRule="auto"/>
        <w:jc w:val="both"/>
        <w:rPr>
          <w:rFonts w:ascii="Times New Roman" w:eastAsia="Times New Roman" w:hAnsi="Times New Roman" w:cs="Times New Roman"/>
          <w:sz w:val="24"/>
          <w:szCs w:val="24"/>
        </w:rPr>
      </w:pPr>
    </w:p>
    <w:p w14:paraId="6B47E036" w14:textId="77777777" w:rsidR="005C0458" w:rsidRDefault="005C0458">
      <w:pPr>
        <w:spacing w:line="480" w:lineRule="auto"/>
        <w:jc w:val="both"/>
        <w:rPr>
          <w:rFonts w:ascii="Times New Roman" w:eastAsia="Times New Roman" w:hAnsi="Times New Roman" w:cs="Times New Roman"/>
          <w:sz w:val="24"/>
          <w:szCs w:val="24"/>
        </w:rPr>
      </w:pPr>
    </w:p>
    <w:p w14:paraId="78A11D20" w14:textId="77777777" w:rsidR="00D162F0" w:rsidRPr="00D162F0" w:rsidRDefault="00D162F0" w:rsidP="00D162F0">
      <w:pPr>
        <w:spacing w:line="480" w:lineRule="auto"/>
        <w:jc w:val="both"/>
        <w:rPr>
          <w:rFonts w:ascii="Times New Roman" w:eastAsia="Times New Roman" w:hAnsi="Times New Roman" w:cs="Times New Roman"/>
          <w:sz w:val="24"/>
          <w:szCs w:val="24"/>
        </w:rPr>
      </w:pPr>
      <w:r w:rsidRPr="00D162F0">
        <w:rPr>
          <w:rFonts w:ascii="Times New Roman" w:eastAsia="Times New Roman" w:hAnsi="Times New Roman" w:cs="Times New Roman"/>
          <w:sz w:val="24"/>
          <w:szCs w:val="24"/>
        </w:rPr>
        <w:lastRenderedPageBreak/>
        <w:t>Basic financial projection assumptions and projection table of revenue streams.</w:t>
      </w:r>
    </w:p>
    <w:p w14:paraId="61CEC77F" w14:textId="2B7EEE4C" w:rsidR="00ED2037" w:rsidRPr="00ED2037" w:rsidRDefault="00ED2037" w:rsidP="00ED203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ED2037">
        <w:rPr>
          <w:rFonts w:ascii="Times New Roman" w:eastAsia="Times New Roman" w:hAnsi="Times New Roman" w:cs="Times New Roman"/>
          <w:sz w:val="24"/>
          <w:szCs w:val="24"/>
        </w:rPr>
        <w:t>ssumptions (illustrative):</w:t>
      </w:r>
    </w:p>
    <w:p w14:paraId="54C8410E" w14:textId="77777777" w:rsidR="00ED2037" w:rsidRPr="00ED2037" w:rsidRDefault="00ED2037" w:rsidP="00ED2037">
      <w:pPr>
        <w:pStyle w:val="ListParagraph"/>
        <w:numPr>
          <w:ilvl w:val="0"/>
          <w:numId w:val="40"/>
        </w:numPr>
        <w:spacing w:line="480" w:lineRule="auto"/>
        <w:jc w:val="both"/>
        <w:rPr>
          <w:rFonts w:ascii="Times New Roman" w:eastAsia="Times New Roman" w:hAnsi="Times New Roman" w:cs="Times New Roman"/>
          <w:sz w:val="24"/>
          <w:szCs w:val="24"/>
        </w:rPr>
      </w:pPr>
      <w:r w:rsidRPr="00ED2037">
        <w:rPr>
          <w:rFonts w:ascii="Times New Roman" w:eastAsia="Times New Roman" w:hAnsi="Times New Roman" w:cs="Times New Roman"/>
          <w:sz w:val="24"/>
          <w:szCs w:val="24"/>
        </w:rPr>
        <w:t>During Phase 1, tuition revenue reduces by 5% because of shift in focus, and then it takes a flat trend.</w:t>
      </w:r>
    </w:p>
    <w:p w14:paraId="2174A1D6" w14:textId="77777777" w:rsidR="00ED2037" w:rsidRPr="00ED2037" w:rsidRDefault="00ED2037" w:rsidP="00ED2037">
      <w:pPr>
        <w:pStyle w:val="ListParagraph"/>
        <w:numPr>
          <w:ilvl w:val="0"/>
          <w:numId w:val="40"/>
        </w:numPr>
        <w:spacing w:line="480" w:lineRule="auto"/>
        <w:jc w:val="both"/>
        <w:rPr>
          <w:rFonts w:ascii="Times New Roman" w:eastAsia="Times New Roman" w:hAnsi="Times New Roman" w:cs="Times New Roman"/>
          <w:sz w:val="24"/>
          <w:szCs w:val="24"/>
        </w:rPr>
      </w:pPr>
      <w:r w:rsidRPr="00ED2037">
        <w:rPr>
          <w:rFonts w:ascii="Times New Roman" w:eastAsia="Times New Roman" w:hAnsi="Times New Roman" w:cs="Times New Roman"/>
          <w:sz w:val="24"/>
          <w:szCs w:val="24"/>
        </w:rPr>
        <w:t>Subscriptions are transformed into community at conservative prices.</w:t>
      </w:r>
    </w:p>
    <w:p w14:paraId="127149DD" w14:textId="77777777" w:rsidR="00ED2037" w:rsidRPr="00ED2037" w:rsidRDefault="00ED2037" w:rsidP="00ED2037">
      <w:pPr>
        <w:pStyle w:val="ListParagraph"/>
        <w:numPr>
          <w:ilvl w:val="0"/>
          <w:numId w:val="40"/>
        </w:numPr>
        <w:spacing w:line="480" w:lineRule="auto"/>
        <w:jc w:val="both"/>
        <w:rPr>
          <w:rFonts w:ascii="Times New Roman" w:eastAsia="Times New Roman" w:hAnsi="Times New Roman" w:cs="Times New Roman"/>
          <w:sz w:val="24"/>
          <w:szCs w:val="24"/>
        </w:rPr>
      </w:pPr>
      <w:r w:rsidRPr="00ED2037">
        <w:rPr>
          <w:rFonts w:ascii="Times New Roman" w:eastAsia="Times New Roman" w:hAnsi="Times New Roman" w:cs="Times New Roman"/>
          <w:sz w:val="24"/>
          <w:szCs w:val="24"/>
        </w:rPr>
        <w:t>Only on achieving trust and reach levels, sponsorship increases.</w:t>
      </w:r>
    </w:p>
    <w:p w14:paraId="1F2B62D4" w14:textId="77777777" w:rsidR="00ED2037" w:rsidRPr="00ED2037" w:rsidRDefault="00ED2037" w:rsidP="00ED2037">
      <w:pPr>
        <w:pStyle w:val="ListParagraph"/>
        <w:numPr>
          <w:ilvl w:val="0"/>
          <w:numId w:val="40"/>
        </w:numPr>
        <w:spacing w:line="480" w:lineRule="auto"/>
        <w:jc w:val="both"/>
        <w:rPr>
          <w:rFonts w:ascii="Times New Roman" w:eastAsia="Times New Roman" w:hAnsi="Times New Roman" w:cs="Times New Roman"/>
          <w:sz w:val="24"/>
          <w:szCs w:val="24"/>
        </w:rPr>
      </w:pPr>
      <w:r w:rsidRPr="00ED2037">
        <w:rPr>
          <w:rFonts w:ascii="Times New Roman" w:eastAsia="Times New Roman" w:hAnsi="Times New Roman" w:cs="Times New Roman"/>
          <w:sz w:val="24"/>
          <w:szCs w:val="24"/>
        </w:rPr>
        <w:t>The placement fees increase upon the maturation of partner pipelines.</w:t>
      </w:r>
    </w:p>
    <w:tbl>
      <w:tblPr>
        <w:tblStyle w:val="Table"/>
        <w:tblW w:w="0" w:type="auto"/>
        <w:tblLook w:val="0020" w:firstRow="1" w:lastRow="0" w:firstColumn="0" w:lastColumn="0" w:noHBand="0" w:noVBand="0"/>
      </w:tblPr>
      <w:tblGrid>
        <w:gridCol w:w="3076"/>
        <w:gridCol w:w="1390"/>
        <w:gridCol w:w="1484"/>
        <w:gridCol w:w="1538"/>
        <w:gridCol w:w="1538"/>
      </w:tblGrid>
      <w:tr w:rsidR="00AB36D2" w:rsidRPr="00AB36D2" w14:paraId="45AFCE13"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4883F6C6"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Stream</w:t>
            </w:r>
          </w:p>
        </w:tc>
        <w:tc>
          <w:tcPr>
            <w:tcW w:w="0" w:type="auto"/>
          </w:tcPr>
          <w:p w14:paraId="099ED84F"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Current annual</w:t>
            </w:r>
          </w:p>
        </w:tc>
        <w:tc>
          <w:tcPr>
            <w:tcW w:w="0" w:type="auto"/>
          </w:tcPr>
          <w:p w14:paraId="2DDD0207"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Month 6 run-rate</w:t>
            </w:r>
          </w:p>
        </w:tc>
        <w:tc>
          <w:tcPr>
            <w:tcW w:w="0" w:type="auto"/>
          </w:tcPr>
          <w:p w14:paraId="12A38A48"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Month 12 run-rate</w:t>
            </w:r>
          </w:p>
        </w:tc>
        <w:tc>
          <w:tcPr>
            <w:tcW w:w="0" w:type="auto"/>
          </w:tcPr>
          <w:p w14:paraId="26FCA76D"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Month 18 run-rate</w:t>
            </w:r>
          </w:p>
        </w:tc>
      </w:tr>
      <w:tr w:rsidR="00AB36D2" w:rsidRPr="00AB36D2" w14:paraId="3190ED97" w14:textId="77777777" w:rsidTr="004C0B94">
        <w:tc>
          <w:tcPr>
            <w:tcW w:w="0" w:type="auto"/>
          </w:tcPr>
          <w:p w14:paraId="048181B4"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Tuition (premium cohorts/coaching)</w:t>
            </w:r>
          </w:p>
        </w:tc>
        <w:tc>
          <w:tcPr>
            <w:tcW w:w="0" w:type="auto"/>
          </w:tcPr>
          <w:p w14:paraId="77597ED9"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1,500,000</w:t>
            </w:r>
          </w:p>
        </w:tc>
        <w:tc>
          <w:tcPr>
            <w:tcW w:w="0" w:type="auto"/>
          </w:tcPr>
          <w:p w14:paraId="3F644E55"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1,425,000</w:t>
            </w:r>
          </w:p>
        </w:tc>
        <w:tc>
          <w:tcPr>
            <w:tcW w:w="0" w:type="auto"/>
          </w:tcPr>
          <w:p w14:paraId="061DE454"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1,500,000</w:t>
            </w:r>
          </w:p>
        </w:tc>
        <w:tc>
          <w:tcPr>
            <w:tcW w:w="0" w:type="auto"/>
          </w:tcPr>
          <w:p w14:paraId="43CD2F00"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1,575,000</w:t>
            </w:r>
          </w:p>
        </w:tc>
      </w:tr>
      <w:tr w:rsidR="00AB36D2" w:rsidRPr="00AB36D2" w14:paraId="4E7B0E70" w14:textId="77777777" w:rsidTr="004C0B94">
        <w:tc>
          <w:tcPr>
            <w:tcW w:w="0" w:type="auto"/>
          </w:tcPr>
          <w:p w14:paraId="1FF7847D"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AI tutor subscription</w:t>
            </w:r>
          </w:p>
        </w:tc>
        <w:tc>
          <w:tcPr>
            <w:tcW w:w="0" w:type="auto"/>
          </w:tcPr>
          <w:p w14:paraId="75A25F96"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7139F5D3"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60,000</w:t>
            </w:r>
          </w:p>
        </w:tc>
        <w:tc>
          <w:tcPr>
            <w:tcW w:w="0" w:type="auto"/>
          </w:tcPr>
          <w:p w14:paraId="57989510"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180,000</w:t>
            </w:r>
          </w:p>
        </w:tc>
        <w:tc>
          <w:tcPr>
            <w:tcW w:w="0" w:type="auto"/>
          </w:tcPr>
          <w:p w14:paraId="139B78EE"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360,000</w:t>
            </w:r>
          </w:p>
        </w:tc>
      </w:tr>
      <w:tr w:rsidR="00AB36D2" w:rsidRPr="00AB36D2" w14:paraId="7AD97F30" w14:textId="77777777" w:rsidTr="004C0B94">
        <w:tc>
          <w:tcPr>
            <w:tcW w:w="0" w:type="auto"/>
          </w:tcPr>
          <w:p w14:paraId="61E5BF91"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Community membership</w:t>
            </w:r>
          </w:p>
        </w:tc>
        <w:tc>
          <w:tcPr>
            <w:tcW w:w="0" w:type="auto"/>
          </w:tcPr>
          <w:p w14:paraId="45F3188F"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1A01FB98"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36,000</w:t>
            </w:r>
          </w:p>
        </w:tc>
        <w:tc>
          <w:tcPr>
            <w:tcW w:w="0" w:type="auto"/>
          </w:tcPr>
          <w:p w14:paraId="591DC14C"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120,000</w:t>
            </w:r>
          </w:p>
        </w:tc>
        <w:tc>
          <w:tcPr>
            <w:tcW w:w="0" w:type="auto"/>
          </w:tcPr>
          <w:p w14:paraId="658D5A99"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240,000</w:t>
            </w:r>
          </w:p>
        </w:tc>
      </w:tr>
      <w:tr w:rsidR="00AB36D2" w:rsidRPr="00AB36D2" w14:paraId="0EB2470F" w14:textId="77777777" w:rsidTr="004C0B94">
        <w:tc>
          <w:tcPr>
            <w:tcW w:w="0" w:type="auto"/>
          </w:tcPr>
          <w:p w14:paraId="04F14BF4"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Placement/outcome fees</w:t>
            </w:r>
          </w:p>
        </w:tc>
        <w:tc>
          <w:tcPr>
            <w:tcW w:w="0" w:type="auto"/>
          </w:tcPr>
          <w:p w14:paraId="37FB7854"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4543FA31"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30,000</w:t>
            </w:r>
          </w:p>
        </w:tc>
        <w:tc>
          <w:tcPr>
            <w:tcW w:w="0" w:type="auto"/>
          </w:tcPr>
          <w:p w14:paraId="5BE2152C"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150,000</w:t>
            </w:r>
          </w:p>
        </w:tc>
        <w:tc>
          <w:tcPr>
            <w:tcW w:w="0" w:type="auto"/>
          </w:tcPr>
          <w:p w14:paraId="0B531DFE"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300,000</w:t>
            </w:r>
          </w:p>
        </w:tc>
      </w:tr>
      <w:tr w:rsidR="00AB36D2" w:rsidRPr="00AB36D2" w14:paraId="4F2F7B42" w14:textId="77777777" w:rsidTr="004C0B94">
        <w:tc>
          <w:tcPr>
            <w:tcW w:w="0" w:type="auto"/>
          </w:tcPr>
          <w:p w14:paraId="685CBD40"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Sponsorship/partnership</w:t>
            </w:r>
          </w:p>
        </w:tc>
        <w:tc>
          <w:tcPr>
            <w:tcW w:w="0" w:type="auto"/>
          </w:tcPr>
          <w:p w14:paraId="48D51FEF"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3336EBF1"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24,000</w:t>
            </w:r>
          </w:p>
        </w:tc>
        <w:tc>
          <w:tcPr>
            <w:tcW w:w="0" w:type="auto"/>
          </w:tcPr>
          <w:p w14:paraId="5D064767"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96,000</w:t>
            </w:r>
          </w:p>
        </w:tc>
        <w:tc>
          <w:tcPr>
            <w:tcW w:w="0" w:type="auto"/>
          </w:tcPr>
          <w:p w14:paraId="54EE25DD"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180,000</w:t>
            </w:r>
          </w:p>
        </w:tc>
      </w:tr>
      <w:tr w:rsidR="00AB36D2" w:rsidRPr="00AB36D2" w14:paraId="676841F3" w14:textId="77777777" w:rsidTr="004C0B94">
        <w:tc>
          <w:tcPr>
            <w:tcW w:w="0" w:type="auto"/>
          </w:tcPr>
          <w:p w14:paraId="6B9862FF"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B2B (optional)</w:t>
            </w:r>
          </w:p>
        </w:tc>
        <w:tc>
          <w:tcPr>
            <w:tcW w:w="0" w:type="auto"/>
          </w:tcPr>
          <w:p w14:paraId="501AD08A"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2FBF1A5F"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516378FD"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60,000</w:t>
            </w:r>
          </w:p>
        </w:tc>
        <w:tc>
          <w:tcPr>
            <w:tcW w:w="0" w:type="auto"/>
          </w:tcPr>
          <w:p w14:paraId="702570E0"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120,000</w:t>
            </w:r>
          </w:p>
        </w:tc>
      </w:tr>
      <w:tr w:rsidR="00AB36D2" w:rsidRPr="00AB36D2" w14:paraId="51DBDA5C" w14:textId="77777777" w:rsidTr="004C0B94">
        <w:tc>
          <w:tcPr>
            <w:tcW w:w="0" w:type="auto"/>
          </w:tcPr>
          <w:p w14:paraId="25B6FBCB"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rPr>
              <w:t>Digital products (optional)</w:t>
            </w:r>
          </w:p>
        </w:tc>
        <w:tc>
          <w:tcPr>
            <w:tcW w:w="0" w:type="auto"/>
          </w:tcPr>
          <w:p w14:paraId="77E65F87"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5BEBB481"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0</w:t>
            </w:r>
          </w:p>
        </w:tc>
        <w:tc>
          <w:tcPr>
            <w:tcW w:w="0" w:type="auto"/>
          </w:tcPr>
          <w:p w14:paraId="7C789971"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30,000</w:t>
            </w:r>
          </w:p>
        </w:tc>
        <w:tc>
          <w:tcPr>
            <w:tcW w:w="0" w:type="auto"/>
          </w:tcPr>
          <w:p w14:paraId="39A3896D"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rPr>
              <w:t>90,000</w:t>
            </w:r>
          </w:p>
        </w:tc>
      </w:tr>
      <w:tr w:rsidR="00AB36D2" w:rsidRPr="00AB36D2" w14:paraId="523018A3" w14:textId="77777777" w:rsidTr="004C0B94">
        <w:tc>
          <w:tcPr>
            <w:tcW w:w="0" w:type="auto"/>
          </w:tcPr>
          <w:p w14:paraId="7A54EB5D" w14:textId="77777777" w:rsidR="00AB36D2" w:rsidRPr="00AB36D2" w:rsidRDefault="00AB36D2" w:rsidP="00AB36D2">
            <w:pPr>
              <w:pStyle w:val="Compact"/>
              <w:spacing w:line="480" w:lineRule="auto"/>
              <w:rPr>
                <w:rFonts w:ascii="Times New Roman" w:hAnsi="Times New Roman" w:cs="Times New Roman"/>
              </w:rPr>
            </w:pPr>
            <w:r w:rsidRPr="00AB36D2">
              <w:rPr>
                <w:rFonts w:ascii="Times New Roman" w:hAnsi="Times New Roman" w:cs="Times New Roman"/>
                <w:b/>
                <w:bCs/>
              </w:rPr>
              <w:t>Total</w:t>
            </w:r>
          </w:p>
        </w:tc>
        <w:tc>
          <w:tcPr>
            <w:tcW w:w="0" w:type="auto"/>
          </w:tcPr>
          <w:p w14:paraId="26D636DD"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b/>
                <w:bCs/>
              </w:rPr>
              <w:t>1,500,000</w:t>
            </w:r>
          </w:p>
        </w:tc>
        <w:tc>
          <w:tcPr>
            <w:tcW w:w="0" w:type="auto"/>
          </w:tcPr>
          <w:p w14:paraId="03037B4E"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b/>
                <w:bCs/>
              </w:rPr>
              <w:t>1,575,000</w:t>
            </w:r>
          </w:p>
        </w:tc>
        <w:tc>
          <w:tcPr>
            <w:tcW w:w="0" w:type="auto"/>
          </w:tcPr>
          <w:p w14:paraId="379E0999"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b/>
                <w:bCs/>
              </w:rPr>
              <w:t>2,136,000</w:t>
            </w:r>
          </w:p>
        </w:tc>
        <w:tc>
          <w:tcPr>
            <w:tcW w:w="0" w:type="auto"/>
          </w:tcPr>
          <w:p w14:paraId="44E2F725" w14:textId="77777777" w:rsidR="00AB36D2" w:rsidRPr="00AB36D2" w:rsidRDefault="00AB36D2" w:rsidP="00AB36D2">
            <w:pPr>
              <w:pStyle w:val="Compact"/>
              <w:spacing w:line="480" w:lineRule="auto"/>
              <w:jc w:val="right"/>
              <w:rPr>
                <w:rFonts w:ascii="Times New Roman" w:hAnsi="Times New Roman" w:cs="Times New Roman"/>
              </w:rPr>
            </w:pPr>
            <w:r w:rsidRPr="00AB36D2">
              <w:rPr>
                <w:rFonts w:ascii="Times New Roman" w:hAnsi="Times New Roman" w:cs="Times New Roman"/>
                <w:b/>
                <w:bCs/>
              </w:rPr>
              <w:t>2,865,000</w:t>
            </w:r>
          </w:p>
        </w:tc>
      </w:tr>
    </w:tbl>
    <w:p w14:paraId="08BE0624" w14:textId="250E0A12" w:rsidR="005C0458" w:rsidRPr="00AB36D2" w:rsidRDefault="005C0458">
      <w:pPr>
        <w:spacing w:line="480" w:lineRule="auto"/>
        <w:jc w:val="both"/>
        <w:rPr>
          <w:rFonts w:ascii="Times New Roman" w:eastAsia="Times New Roman" w:hAnsi="Times New Roman" w:cs="Times New Roman"/>
          <w:sz w:val="24"/>
          <w:szCs w:val="24"/>
        </w:rPr>
      </w:pPr>
    </w:p>
    <w:p w14:paraId="65EBAEF2" w14:textId="77777777" w:rsidR="005C0458" w:rsidRDefault="005C0458">
      <w:pPr>
        <w:spacing w:line="480" w:lineRule="auto"/>
        <w:jc w:val="both"/>
        <w:rPr>
          <w:rFonts w:ascii="Times New Roman" w:eastAsia="Times New Roman" w:hAnsi="Times New Roman" w:cs="Times New Roman"/>
          <w:sz w:val="24"/>
          <w:szCs w:val="24"/>
        </w:rPr>
      </w:pPr>
    </w:p>
    <w:p w14:paraId="340B5957" w14:textId="77777777" w:rsidR="005C0458" w:rsidRDefault="005C0458">
      <w:pPr>
        <w:spacing w:line="480" w:lineRule="auto"/>
        <w:jc w:val="both"/>
        <w:rPr>
          <w:rFonts w:ascii="Times New Roman" w:eastAsia="Times New Roman" w:hAnsi="Times New Roman" w:cs="Times New Roman"/>
          <w:sz w:val="24"/>
          <w:szCs w:val="24"/>
        </w:rPr>
      </w:pPr>
    </w:p>
    <w:p w14:paraId="403A8DA7" w14:textId="77777777" w:rsidR="00DD131D" w:rsidRDefault="00DD131D">
      <w:pPr>
        <w:spacing w:line="480" w:lineRule="auto"/>
        <w:jc w:val="both"/>
        <w:rPr>
          <w:rFonts w:ascii="Times New Roman" w:eastAsia="Times New Roman" w:hAnsi="Times New Roman" w:cs="Times New Roman"/>
          <w:sz w:val="24"/>
          <w:szCs w:val="24"/>
        </w:rPr>
      </w:pPr>
    </w:p>
    <w:p w14:paraId="25070EBF" w14:textId="13D1FF6F" w:rsidR="00DD131D" w:rsidRDefault="00DD131D" w:rsidP="00DD131D">
      <w:pPr>
        <w:pStyle w:val="Heading2"/>
        <w:rPr>
          <w:rFonts w:ascii="Times New Roman" w:eastAsia="Times New Roman" w:hAnsi="Times New Roman" w:cs="Times New Roman"/>
          <w:color w:val="000000"/>
          <w:sz w:val="24"/>
          <w:szCs w:val="24"/>
        </w:rPr>
      </w:pPr>
      <w:bookmarkStart w:id="8" w:name="_Toc225915936"/>
      <w:r>
        <w:rPr>
          <w:rFonts w:ascii="Times New Roman" w:eastAsia="Times New Roman" w:hAnsi="Times New Roman" w:cs="Times New Roman"/>
          <w:color w:val="000000"/>
          <w:sz w:val="24"/>
          <w:szCs w:val="24"/>
        </w:rPr>
        <w:lastRenderedPageBreak/>
        <w:t xml:space="preserve">2.6. Learning </w:t>
      </w:r>
      <w:r w:rsidR="00A0529C">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utcome</w:t>
      </w:r>
      <w:r w:rsidR="00276FBE">
        <w:rPr>
          <w:rFonts w:ascii="Times New Roman" w:eastAsia="Times New Roman" w:hAnsi="Times New Roman" w:cs="Times New Roman"/>
          <w:color w:val="000000"/>
          <w:sz w:val="24"/>
          <w:szCs w:val="24"/>
        </w:rPr>
        <w:t xml:space="preserve"> </w:t>
      </w:r>
      <w:r w:rsidR="00A0529C">
        <w:rPr>
          <w:rFonts w:ascii="Times New Roman" w:eastAsia="Times New Roman" w:hAnsi="Times New Roman" w:cs="Times New Roman"/>
          <w:color w:val="000000"/>
          <w:sz w:val="24"/>
          <w:szCs w:val="24"/>
        </w:rPr>
        <w:t>E</w:t>
      </w:r>
      <w:r w:rsidR="00276FBE">
        <w:rPr>
          <w:rFonts w:ascii="Times New Roman" w:eastAsia="Times New Roman" w:hAnsi="Times New Roman" w:cs="Times New Roman"/>
          <w:color w:val="000000"/>
          <w:sz w:val="24"/>
          <w:szCs w:val="24"/>
        </w:rPr>
        <w:t xml:space="preserve">vidence </w:t>
      </w:r>
      <w:r w:rsidR="00A0529C">
        <w:rPr>
          <w:rFonts w:ascii="Times New Roman" w:eastAsia="Times New Roman" w:hAnsi="Times New Roman" w:cs="Times New Roman"/>
          <w:color w:val="000000"/>
          <w:sz w:val="24"/>
          <w:szCs w:val="24"/>
        </w:rPr>
        <w:t>M</w:t>
      </w:r>
      <w:r w:rsidR="00276FBE">
        <w:rPr>
          <w:rFonts w:ascii="Times New Roman" w:eastAsia="Times New Roman" w:hAnsi="Times New Roman" w:cs="Times New Roman"/>
          <w:color w:val="000000"/>
          <w:sz w:val="24"/>
          <w:szCs w:val="24"/>
        </w:rPr>
        <w:t>ap</w:t>
      </w:r>
      <w:bookmarkEnd w:id="8"/>
    </w:p>
    <w:p w14:paraId="06CE3379" w14:textId="77777777" w:rsidR="00276FBE" w:rsidRDefault="00276FBE" w:rsidP="00276FBE"/>
    <w:p w14:paraId="203838B3" w14:textId="77777777" w:rsidR="00276FBE" w:rsidRPr="00232821" w:rsidRDefault="00276FBE" w:rsidP="00276FBE">
      <w:pPr>
        <w:rPr>
          <w:rFonts w:ascii="Times New Roman" w:hAnsi="Times New Roman" w:cs="Times New Roman"/>
          <w:b/>
          <w:bCs/>
          <w:sz w:val="24"/>
          <w:szCs w:val="24"/>
        </w:rPr>
      </w:pPr>
      <w:r w:rsidRPr="00232821">
        <w:rPr>
          <w:rFonts w:ascii="Times New Roman" w:hAnsi="Times New Roman" w:cs="Times New Roman"/>
          <w:b/>
          <w:bCs/>
          <w:sz w:val="24"/>
          <w:szCs w:val="24"/>
        </w:rPr>
        <w:t>Mapping table: LO1- LO4 to report sections.</w:t>
      </w:r>
    </w:p>
    <w:p w14:paraId="26E0FE00" w14:textId="77777777" w:rsidR="00276FBE" w:rsidRPr="00276FBE" w:rsidRDefault="00276FBE" w:rsidP="00276FBE"/>
    <w:tbl>
      <w:tblPr>
        <w:tblStyle w:val="Table"/>
        <w:tblW w:w="0" w:type="auto"/>
        <w:tblLook w:val="0020" w:firstRow="1" w:lastRow="0" w:firstColumn="0" w:lastColumn="0" w:noHBand="0" w:noVBand="0"/>
      </w:tblPr>
      <w:tblGrid>
        <w:gridCol w:w="1624"/>
        <w:gridCol w:w="2336"/>
        <w:gridCol w:w="1822"/>
        <w:gridCol w:w="1393"/>
        <w:gridCol w:w="1851"/>
      </w:tblGrid>
      <w:tr w:rsidR="00E24C56" w:rsidRPr="00E24C56" w14:paraId="47F438C8" w14:textId="77777777" w:rsidTr="004C0B94">
        <w:trPr>
          <w:cnfStyle w:val="100000000000" w:firstRow="1" w:lastRow="0" w:firstColumn="0" w:lastColumn="0" w:oddVBand="0" w:evenVBand="0" w:oddHBand="0" w:evenHBand="0" w:firstRowFirstColumn="0" w:firstRowLastColumn="0" w:lastRowFirstColumn="0" w:lastRowLastColumn="0"/>
          <w:tblHeader/>
        </w:trPr>
        <w:tc>
          <w:tcPr>
            <w:tcW w:w="0" w:type="auto"/>
          </w:tcPr>
          <w:p w14:paraId="3BF04E09"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Section</w:t>
            </w:r>
          </w:p>
        </w:tc>
        <w:tc>
          <w:tcPr>
            <w:tcW w:w="0" w:type="auto"/>
          </w:tcPr>
          <w:p w14:paraId="0CEE7CF9"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LO1 frontier knowledge</w:t>
            </w:r>
          </w:p>
        </w:tc>
        <w:tc>
          <w:tcPr>
            <w:tcW w:w="0" w:type="auto"/>
          </w:tcPr>
          <w:p w14:paraId="343D1DCC"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LO2 synthesis &amp; evaluation</w:t>
            </w:r>
          </w:p>
        </w:tc>
        <w:tc>
          <w:tcPr>
            <w:tcW w:w="0" w:type="auto"/>
          </w:tcPr>
          <w:p w14:paraId="27ACDD93"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LO3 authority &amp; integrity</w:t>
            </w:r>
          </w:p>
        </w:tc>
        <w:tc>
          <w:tcPr>
            <w:tcW w:w="0" w:type="auto"/>
          </w:tcPr>
          <w:p w14:paraId="2DBD084D"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LO4 new ideas/processes</w:t>
            </w:r>
          </w:p>
        </w:tc>
      </w:tr>
      <w:tr w:rsidR="00E24C56" w:rsidRPr="00E24C56" w14:paraId="380D189B" w14:textId="77777777" w:rsidTr="004C0B94">
        <w:tc>
          <w:tcPr>
            <w:tcW w:w="0" w:type="auto"/>
          </w:tcPr>
          <w:p w14:paraId="7F331D14"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External Environment &amp; Industry Dynamics</w:t>
            </w:r>
          </w:p>
        </w:tc>
        <w:tc>
          <w:tcPr>
            <w:tcW w:w="0" w:type="auto"/>
          </w:tcPr>
          <w:p w14:paraId="66EF92F5"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 xml:space="preserve">AI disruption; </w:t>
            </w:r>
            <w:proofErr w:type="spellStart"/>
            <w:r w:rsidRPr="00E24C56">
              <w:rPr>
                <w:rFonts w:ascii="Times New Roman" w:hAnsi="Times New Roman" w:cs="Times New Roman"/>
              </w:rPr>
              <w:t>platformization</w:t>
            </w:r>
            <w:proofErr w:type="spellEnd"/>
            <w:r w:rsidRPr="00E24C56">
              <w:rPr>
                <w:rFonts w:ascii="Times New Roman" w:hAnsi="Times New Roman" w:cs="Times New Roman"/>
              </w:rPr>
              <w:t>; post-Covid context</w:t>
            </w:r>
          </w:p>
        </w:tc>
        <w:tc>
          <w:tcPr>
            <w:tcW w:w="0" w:type="auto"/>
          </w:tcPr>
          <w:p w14:paraId="0FE5A33D"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PESTLE + Porter evaluation</w:t>
            </w:r>
          </w:p>
        </w:tc>
        <w:tc>
          <w:tcPr>
            <w:tcW w:w="0" w:type="auto"/>
          </w:tcPr>
          <w:p w14:paraId="77B413A7"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clear strategic stance</w:t>
            </w:r>
          </w:p>
        </w:tc>
        <w:tc>
          <w:tcPr>
            <w:tcW w:w="0" w:type="auto"/>
          </w:tcPr>
          <w:p w14:paraId="5262EC39"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sets category shift</w:t>
            </w:r>
          </w:p>
        </w:tc>
      </w:tr>
      <w:tr w:rsidR="00E24C56" w:rsidRPr="00E24C56" w14:paraId="51B1658B" w14:textId="77777777" w:rsidTr="004C0B94">
        <w:tc>
          <w:tcPr>
            <w:tcW w:w="0" w:type="auto"/>
          </w:tcPr>
          <w:p w14:paraId="6975BA3D"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Strategic Foundation &amp; Problem Definition</w:t>
            </w:r>
          </w:p>
        </w:tc>
        <w:tc>
          <w:tcPr>
            <w:tcW w:w="0" w:type="auto"/>
          </w:tcPr>
          <w:p w14:paraId="64769E62"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frontier threats/opportunities</w:t>
            </w:r>
          </w:p>
        </w:tc>
        <w:tc>
          <w:tcPr>
            <w:tcW w:w="0" w:type="auto"/>
          </w:tcPr>
          <w:p w14:paraId="35A708D8"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SWOT/TOWS + root cause + decision frameworks</w:t>
            </w:r>
          </w:p>
        </w:tc>
        <w:tc>
          <w:tcPr>
            <w:tcW w:w="0" w:type="auto"/>
          </w:tcPr>
          <w:p w14:paraId="640B07E1"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explicit trade-offs</w:t>
            </w:r>
          </w:p>
        </w:tc>
        <w:tc>
          <w:tcPr>
            <w:tcW w:w="0" w:type="auto"/>
          </w:tcPr>
          <w:p w14:paraId="163A3289"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staged innovation measurement</w:t>
            </w:r>
          </w:p>
        </w:tc>
      </w:tr>
      <w:tr w:rsidR="00E24C56" w:rsidRPr="00E24C56" w14:paraId="0279FBF7" w14:textId="77777777" w:rsidTr="004C0B94">
        <w:tc>
          <w:tcPr>
            <w:tcW w:w="0" w:type="auto"/>
          </w:tcPr>
          <w:p w14:paraId="1D91730B"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Disruptive Proposal</w:t>
            </w:r>
          </w:p>
        </w:tc>
        <w:tc>
          <w:tcPr>
            <w:tcW w:w="0" w:type="auto"/>
          </w:tcPr>
          <w:p w14:paraId="6FF735E6"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AI as structural lever; ecosystem economics</w:t>
            </w:r>
          </w:p>
        </w:tc>
        <w:tc>
          <w:tcPr>
            <w:tcW w:w="0" w:type="auto"/>
          </w:tcPr>
          <w:p w14:paraId="79DBAEA3"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BMC + revenue + capability planning</w:t>
            </w:r>
          </w:p>
        </w:tc>
        <w:tc>
          <w:tcPr>
            <w:tcW w:w="0" w:type="auto"/>
          </w:tcPr>
          <w:p w14:paraId="7BC7AD9B"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governance embedded</w:t>
            </w:r>
          </w:p>
        </w:tc>
        <w:tc>
          <w:tcPr>
            <w:tcW w:w="0" w:type="auto"/>
          </w:tcPr>
          <w:p w14:paraId="365C0008"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ecosystem architecture + operating model</w:t>
            </w:r>
          </w:p>
        </w:tc>
      </w:tr>
      <w:tr w:rsidR="00E24C56" w:rsidRPr="00E24C56" w14:paraId="29B0828D" w14:textId="77777777" w:rsidTr="004C0B94">
        <w:tc>
          <w:tcPr>
            <w:tcW w:w="0" w:type="auto"/>
          </w:tcPr>
          <w:p w14:paraId="1CC3EA08"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Delivery &amp; Roadmap</w:t>
            </w:r>
          </w:p>
        </w:tc>
        <w:tc>
          <w:tcPr>
            <w:tcW w:w="0" w:type="auto"/>
          </w:tcPr>
          <w:p w14:paraId="22F5EA56"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compliance and sustainability</w:t>
            </w:r>
          </w:p>
        </w:tc>
        <w:tc>
          <w:tcPr>
            <w:tcW w:w="0" w:type="auto"/>
          </w:tcPr>
          <w:p w14:paraId="4F2B9CEA"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risk + KPI + finance integration</w:t>
            </w:r>
          </w:p>
        </w:tc>
        <w:tc>
          <w:tcPr>
            <w:tcW w:w="0" w:type="auto"/>
          </w:tcPr>
          <w:p w14:paraId="572F9546"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ethics and governance</w:t>
            </w:r>
          </w:p>
        </w:tc>
        <w:tc>
          <w:tcPr>
            <w:tcW w:w="0" w:type="auto"/>
          </w:tcPr>
          <w:p w14:paraId="577E7738" w14:textId="77777777" w:rsidR="00E24C56" w:rsidRPr="00E24C56" w:rsidRDefault="00E24C56" w:rsidP="00E24C56">
            <w:pPr>
              <w:pStyle w:val="Compact"/>
              <w:spacing w:line="480" w:lineRule="auto"/>
              <w:rPr>
                <w:rFonts w:ascii="Times New Roman" w:hAnsi="Times New Roman" w:cs="Times New Roman"/>
              </w:rPr>
            </w:pPr>
            <w:r w:rsidRPr="00E24C56">
              <w:rPr>
                <w:rFonts w:ascii="Times New Roman" w:hAnsi="Times New Roman" w:cs="Times New Roman"/>
              </w:rPr>
              <w:t>implementation system and cadence</w:t>
            </w:r>
          </w:p>
        </w:tc>
      </w:tr>
    </w:tbl>
    <w:p w14:paraId="33260420" w14:textId="77777777" w:rsidR="005C0458" w:rsidRDefault="005C0458">
      <w:pPr>
        <w:spacing w:line="480" w:lineRule="auto"/>
        <w:jc w:val="both"/>
        <w:rPr>
          <w:rFonts w:ascii="Times New Roman" w:eastAsia="Times New Roman" w:hAnsi="Times New Roman" w:cs="Times New Roman"/>
          <w:sz w:val="24"/>
          <w:szCs w:val="24"/>
        </w:rPr>
      </w:pPr>
    </w:p>
    <w:p w14:paraId="11C528CD" w14:textId="77777777" w:rsidR="005C0458" w:rsidRDefault="005C0458">
      <w:pPr>
        <w:spacing w:line="480" w:lineRule="auto"/>
        <w:jc w:val="both"/>
        <w:rPr>
          <w:rFonts w:ascii="Times New Roman" w:eastAsia="Times New Roman" w:hAnsi="Times New Roman" w:cs="Times New Roman"/>
          <w:sz w:val="24"/>
          <w:szCs w:val="24"/>
        </w:rPr>
      </w:pPr>
    </w:p>
    <w:p w14:paraId="282BA17A" w14:textId="77777777" w:rsidR="00246C83" w:rsidRDefault="00246C83">
      <w:pPr>
        <w:spacing w:line="480" w:lineRule="auto"/>
        <w:jc w:val="both"/>
        <w:rPr>
          <w:rFonts w:ascii="Times New Roman" w:eastAsia="Times New Roman" w:hAnsi="Times New Roman" w:cs="Times New Roman"/>
          <w:sz w:val="24"/>
          <w:szCs w:val="24"/>
        </w:rPr>
      </w:pPr>
    </w:p>
    <w:p w14:paraId="738F996F" w14:textId="77777777" w:rsidR="00246C83" w:rsidRDefault="00246C83">
      <w:pPr>
        <w:spacing w:line="480" w:lineRule="auto"/>
        <w:jc w:val="both"/>
        <w:rPr>
          <w:rFonts w:ascii="Times New Roman" w:eastAsia="Times New Roman" w:hAnsi="Times New Roman" w:cs="Times New Roman"/>
          <w:sz w:val="24"/>
          <w:szCs w:val="24"/>
        </w:rPr>
      </w:pPr>
    </w:p>
    <w:p w14:paraId="311E041E" w14:textId="77777777" w:rsidR="00C14AAD" w:rsidRPr="00232821" w:rsidRDefault="00C14AAD" w:rsidP="00C14AAD">
      <w:pPr>
        <w:spacing w:line="480" w:lineRule="auto"/>
        <w:jc w:val="both"/>
        <w:rPr>
          <w:rFonts w:ascii="Times New Roman" w:eastAsia="Times New Roman" w:hAnsi="Times New Roman" w:cs="Times New Roman"/>
          <w:b/>
          <w:bCs/>
          <w:sz w:val="24"/>
          <w:szCs w:val="24"/>
        </w:rPr>
      </w:pPr>
      <w:r w:rsidRPr="00232821">
        <w:rPr>
          <w:rFonts w:ascii="Times New Roman" w:eastAsia="Times New Roman" w:hAnsi="Times New Roman" w:cs="Times New Roman"/>
          <w:b/>
          <w:bCs/>
          <w:sz w:val="24"/>
          <w:szCs w:val="24"/>
        </w:rPr>
        <w:lastRenderedPageBreak/>
        <w:t>LO checklist (what an assessor can point to) of the executive.</w:t>
      </w:r>
    </w:p>
    <w:p w14:paraId="6D6FA0FB" w14:textId="77777777" w:rsidR="00246C83" w:rsidRPr="00246C83" w:rsidRDefault="00246C83" w:rsidP="00246C83">
      <w:pPr>
        <w:pStyle w:val="ListParagraph"/>
        <w:numPr>
          <w:ilvl w:val="0"/>
          <w:numId w:val="41"/>
        </w:numPr>
        <w:spacing w:line="480" w:lineRule="auto"/>
        <w:jc w:val="both"/>
        <w:rPr>
          <w:rFonts w:ascii="Times New Roman" w:eastAsia="Times New Roman" w:hAnsi="Times New Roman" w:cs="Times New Roman"/>
          <w:sz w:val="24"/>
          <w:szCs w:val="24"/>
        </w:rPr>
      </w:pPr>
      <w:r w:rsidRPr="00246C83">
        <w:rPr>
          <w:rFonts w:ascii="Times New Roman" w:eastAsia="Times New Roman" w:hAnsi="Times New Roman" w:cs="Times New Roman"/>
          <w:sz w:val="24"/>
          <w:szCs w:val="24"/>
        </w:rPr>
        <w:t xml:space="preserve">LO1 (frontier knowledge): framing AI and platform disruption; regulatory and governance sources; post-Covid innovation rationale (Bar Am et al., 2020; </w:t>
      </w:r>
      <w:proofErr w:type="spellStart"/>
      <w:r w:rsidRPr="00246C83">
        <w:rPr>
          <w:rFonts w:ascii="Times New Roman" w:eastAsia="Times New Roman" w:hAnsi="Times New Roman" w:cs="Times New Roman"/>
          <w:sz w:val="24"/>
          <w:szCs w:val="24"/>
        </w:rPr>
        <w:t>Furstenthal</w:t>
      </w:r>
      <w:proofErr w:type="spellEnd"/>
      <w:r w:rsidRPr="00246C83">
        <w:rPr>
          <w:rFonts w:ascii="Times New Roman" w:eastAsia="Times New Roman" w:hAnsi="Times New Roman" w:cs="Times New Roman"/>
          <w:sz w:val="24"/>
          <w:szCs w:val="24"/>
        </w:rPr>
        <w:t>, Hirt and Roth, 2021).</w:t>
      </w:r>
    </w:p>
    <w:p w14:paraId="6E7FAE19" w14:textId="577041DF" w:rsidR="00246C83" w:rsidRPr="00246C83" w:rsidRDefault="00246C83" w:rsidP="00246C83">
      <w:pPr>
        <w:pStyle w:val="ListParagraph"/>
        <w:numPr>
          <w:ilvl w:val="0"/>
          <w:numId w:val="41"/>
        </w:numPr>
        <w:spacing w:line="480" w:lineRule="auto"/>
        <w:jc w:val="both"/>
        <w:rPr>
          <w:rFonts w:ascii="Times New Roman" w:eastAsia="Times New Roman" w:hAnsi="Times New Roman" w:cs="Times New Roman"/>
          <w:sz w:val="24"/>
          <w:szCs w:val="24"/>
        </w:rPr>
      </w:pPr>
      <w:r w:rsidRPr="00246C83">
        <w:rPr>
          <w:rFonts w:ascii="Times New Roman" w:eastAsia="Times New Roman" w:hAnsi="Times New Roman" w:cs="Times New Roman"/>
          <w:sz w:val="24"/>
          <w:szCs w:val="24"/>
        </w:rPr>
        <w:t>LO2 (specialized skills): combined PESTLE, Porter, SWOT/TOWS, root cause, staged metrics, portfolio governance, and risk/finance.</w:t>
      </w:r>
    </w:p>
    <w:p w14:paraId="3346EB18" w14:textId="3452371F" w:rsidR="00246C83" w:rsidRPr="00246C83" w:rsidRDefault="00246C83" w:rsidP="00246C83">
      <w:pPr>
        <w:pStyle w:val="ListParagraph"/>
        <w:numPr>
          <w:ilvl w:val="0"/>
          <w:numId w:val="41"/>
        </w:numPr>
        <w:spacing w:line="480" w:lineRule="auto"/>
        <w:jc w:val="both"/>
        <w:rPr>
          <w:rFonts w:ascii="Times New Roman" w:eastAsia="Times New Roman" w:hAnsi="Times New Roman" w:cs="Times New Roman"/>
          <w:sz w:val="24"/>
          <w:szCs w:val="24"/>
        </w:rPr>
      </w:pPr>
      <w:r w:rsidRPr="00246C83">
        <w:rPr>
          <w:rFonts w:ascii="Times New Roman" w:eastAsia="Times New Roman" w:hAnsi="Times New Roman" w:cs="Times New Roman"/>
          <w:sz w:val="24"/>
          <w:szCs w:val="24"/>
        </w:rPr>
        <w:t>LO3 (authority, innovation, integrity): explicit structural diagnosis; position on the discipline of measurement; sponsorship ethics; privacy-by-design and AI governance.</w:t>
      </w:r>
    </w:p>
    <w:p w14:paraId="42B5D4DB" w14:textId="6644F773" w:rsidR="00246C83" w:rsidRPr="00246C83" w:rsidRDefault="00246C83" w:rsidP="00246C83">
      <w:pPr>
        <w:pStyle w:val="ListParagraph"/>
        <w:numPr>
          <w:ilvl w:val="0"/>
          <w:numId w:val="41"/>
        </w:numPr>
        <w:spacing w:line="480" w:lineRule="auto"/>
        <w:jc w:val="both"/>
        <w:rPr>
          <w:rFonts w:ascii="Times New Roman" w:eastAsia="Times New Roman" w:hAnsi="Times New Roman" w:cs="Times New Roman"/>
          <w:sz w:val="24"/>
          <w:szCs w:val="24"/>
        </w:rPr>
      </w:pPr>
      <w:r w:rsidRPr="00246C83">
        <w:rPr>
          <w:rFonts w:ascii="Times New Roman" w:eastAsia="Times New Roman" w:hAnsi="Times New Roman" w:cs="Times New Roman"/>
          <w:sz w:val="24"/>
          <w:szCs w:val="24"/>
        </w:rPr>
        <w:t>LO4 (new ideas and processes): ecosystem architecture; AI tutor + governance operating system; product-and-platform organization redesign; 18-month implementation cadence.</w:t>
      </w:r>
    </w:p>
    <w:p w14:paraId="60804466" w14:textId="77777777" w:rsidR="00E24C56" w:rsidRDefault="00E24C56">
      <w:pPr>
        <w:spacing w:line="480" w:lineRule="auto"/>
        <w:jc w:val="both"/>
        <w:rPr>
          <w:rFonts w:ascii="Times New Roman" w:eastAsia="Times New Roman" w:hAnsi="Times New Roman" w:cs="Times New Roman"/>
          <w:sz w:val="24"/>
          <w:szCs w:val="24"/>
        </w:rPr>
      </w:pPr>
    </w:p>
    <w:p w14:paraId="40F5AFC1" w14:textId="77777777" w:rsidR="00246C83" w:rsidRDefault="00246C83">
      <w:pPr>
        <w:spacing w:line="480" w:lineRule="auto"/>
        <w:jc w:val="both"/>
        <w:rPr>
          <w:rFonts w:ascii="Times New Roman" w:eastAsia="Times New Roman" w:hAnsi="Times New Roman" w:cs="Times New Roman"/>
          <w:sz w:val="24"/>
          <w:szCs w:val="24"/>
        </w:rPr>
      </w:pPr>
    </w:p>
    <w:p w14:paraId="202880A7" w14:textId="77777777" w:rsidR="00246C83" w:rsidRDefault="00246C83">
      <w:pPr>
        <w:spacing w:line="480" w:lineRule="auto"/>
        <w:jc w:val="both"/>
        <w:rPr>
          <w:rFonts w:ascii="Times New Roman" w:eastAsia="Times New Roman" w:hAnsi="Times New Roman" w:cs="Times New Roman"/>
          <w:sz w:val="24"/>
          <w:szCs w:val="24"/>
        </w:rPr>
      </w:pPr>
    </w:p>
    <w:p w14:paraId="73A4D0B9" w14:textId="77777777" w:rsidR="00246C83" w:rsidRDefault="00246C83">
      <w:pPr>
        <w:spacing w:line="480" w:lineRule="auto"/>
        <w:jc w:val="both"/>
        <w:rPr>
          <w:rFonts w:ascii="Times New Roman" w:eastAsia="Times New Roman" w:hAnsi="Times New Roman" w:cs="Times New Roman"/>
          <w:sz w:val="24"/>
          <w:szCs w:val="24"/>
        </w:rPr>
      </w:pPr>
    </w:p>
    <w:p w14:paraId="2A47051D" w14:textId="77777777" w:rsidR="00246C83" w:rsidRDefault="00246C83">
      <w:pPr>
        <w:spacing w:line="480" w:lineRule="auto"/>
        <w:jc w:val="both"/>
        <w:rPr>
          <w:rFonts w:ascii="Times New Roman" w:eastAsia="Times New Roman" w:hAnsi="Times New Roman" w:cs="Times New Roman"/>
          <w:sz w:val="24"/>
          <w:szCs w:val="24"/>
        </w:rPr>
      </w:pPr>
    </w:p>
    <w:p w14:paraId="0106F320" w14:textId="77777777" w:rsidR="00246C83" w:rsidRDefault="00246C83">
      <w:pPr>
        <w:spacing w:line="480" w:lineRule="auto"/>
        <w:jc w:val="both"/>
        <w:rPr>
          <w:rFonts w:ascii="Times New Roman" w:eastAsia="Times New Roman" w:hAnsi="Times New Roman" w:cs="Times New Roman"/>
          <w:sz w:val="24"/>
          <w:szCs w:val="24"/>
        </w:rPr>
      </w:pPr>
    </w:p>
    <w:p w14:paraId="66DD92C4" w14:textId="77777777" w:rsidR="00246C83" w:rsidRDefault="00246C83">
      <w:pPr>
        <w:spacing w:line="480" w:lineRule="auto"/>
        <w:jc w:val="both"/>
        <w:rPr>
          <w:rFonts w:ascii="Times New Roman" w:eastAsia="Times New Roman" w:hAnsi="Times New Roman" w:cs="Times New Roman"/>
          <w:sz w:val="24"/>
          <w:szCs w:val="24"/>
        </w:rPr>
      </w:pPr>
    </w:p>
    <w:p w14:paraId="787FA7A9" w14:textId="77777777" w:rsidR="00246C83" w:rsidRDefault="00246C83">
      <w:pPr>
        <w:spacing w:line="480" w:lineRule="auto"/>
        <w:jc w:val="both"/>
        <w:rPr>
          <w:rFonts w:ascii="Times New Roman" w:eastAsia="Times New Roman" w:hAnsi="Times New Roman" w:cs="Times New Roman"/>
          <w:sz w:val="24"/>
          <w:szCs w:val="24"/>
        </w:rPr>
      </w:pPr>
    </w:p>
    <w:p w14:paraId="6E6FDFDA" w14:textId="77777777" w:rsidR="00246C83" w:rsidRDefault="00246C83">
      <w:pPr>
        <w:spacing w:line="480" w:lineRule="auto"/>
        <w:jc w:val="both"/>
        <w:rPr>
          <w:rFonts w:ascii="Times New Roman" w:eastAsia="Times New Roman" w:hAnsi="Times New Roman" w:cs="Times New Roman"/>
          <w:sz w:val="24"/>
          <w:szCs w:val="24"/>
        </w:rPr>
      </w:pPr>
    </w:p>
    <w:p w14:paraId="45192232" w14:textId="77777777" w:rsidR="00246C83" w:rsidRDefault="00246C83">
      <w:pPr>
        <w:spacing w:line="480" w:lineRule="auto"/>
        <w:jc w:val="both"/>
        <w:rPr>
          <w:rFonts w:ascii="Times New Roman" w:eastAsia="Times New Roman" w:hAnsi="Times New Roman" w:cs="Times New Roman"/>
          <w:sz w:val="24"/>
          <w:szCs w:val="24"/>
        </w:rPr>
      </w:pPr>
    </w:p>
    <w:p w14:paraId="45CEF219" w14:textId="77777777" w:rsidR="00DF1BB5" w:rsidRDefault="003C7292">
      <w:pPr>
        <w:pStyle w:val="Heading1"/>
        <w:jc w:val="center"/>
        <w:rPr>
          <w:rFonts w:ascii="Times New Roman" w:eastAsia="Times New Roman" w:hAnsi="Times New Roman" w:cs="Times New Roman"/>
          <w:color w:val="000000"/>
          <w:sz w:val="24"/>
          <w:szCs w:val="24"/>
        </w:rPr>
      </w:pPr>
      <w:bookmarkStart w:id="9" w:name="_Toc225915937"/>
      <w:r>
        <w:rPr>
          <w:rFonts w:ascii="Times New Roman" w:eastAsia="Times New Roman" w:hAnsi="Times New Roman" w:cs="Times New Roman"/>
          <w:color w:val="000000"/>
          <w:sz w:val="24"/>
          <w:szCs w:val="24"/>
        </w:rPr>
        <w:lastRenderedPageBreak/>
        <w:t xml:space="preserve">CHAPTER 3 </w:t>
      </w:r>
      <w:r>
        <w:rPr>
          <w:rFonts w:ascii="Times New Roman" w:eastAsia="Times New Roman" w:hAnsi="Times New Roman" w:cs="Times New Roman"/>
          <w:color w:val="000000"/>
          <w:sz w:val="24"/>
          <w:szCs w:val="24"/>
        </w:rPr>
        <w:br/>
        <w:t>CONCLUSION</w:t>
      </w:r>
      <w:bookmarkEnd w:id="9"/>
    </w:p>
    <w:p w14:paraId="45CEF21A" w14:textId="77777777" w:rsidR="00DF1BB5" w:rsidRDefault="00DF1BB5"/>
    <w:p w14:paraId="67783EAA" w14:textId="4AE69636" w:rsidR="00F50F12" w:rsidRPr="00F50F12" w:rsidRDefault="00F50F12" w:rsidP="00F50F12">
      <w:pPr>
        <w:spacing w:line="480" w:lineRule="auto"/>
        <w:jc w:val="both"/>
        <w:rPr>
          <w:rFonts w:ascii="Times New Roman" w:eastAsia="Times New Roman" w:hAnsi="Times New Roman" w:cs="Times New Roman"/>
          <w:sz w:val="24"/>
          <w:szCs w:val="24"/>
        </w:rPr>
      </w:pPr>
      <w:r w:rsidRPr="00F50F12">
        <w:rPr>
          <w:rFonts w:ascii="Times New Roman" w:eastAsia="Times New Roman" w:hAnsi="Times New Roman" w:cs="Times New Roman"/>
          <w:sz w:val="24"/>
          <w:szCs w:val="24"/>
        </w:rPr>
        <w:t xml:space="preserve">This report has contended that the very essence of OTCA is not ineffective operations, but rather, structural incompatibility with the future direction of the education sector. Though the organization has been successful in growing in its current model as a language education provider, the economics of the model is growing weak. The artificial intelligence, competition on platforms, and post Covid changes in consumer </w:t>
      </w:r>
      <w:r w:rsidR="00E7752C" w:rsidRPr="00F50F12">
        <w:rPr>
          <w:rFonts w:ascii="Times New Roman" w:eastAsia="Times New Roman" w:hAnsi="Times New Roman" w:cs="Times New Roman"/>
          <w:sz w:val="24"/>
          <w:szCs w:val="24"/>
        </w:rPr>
        <w:t>behaviour</w:t>
      </w:r>
      <w:r w:rsidRPr="00F50F12">
        <w:rPr>
          <w:rFonts w:ascii="Times New Roman" w:eastAsia="Times New Roman" w:hAnsi="Times New Roman" w:cs="Times New Roman"/>
          <w:sz w:val="24"/>
          <w:szCs w:val="24"/>
        </w:rPr>
        <w:t xml:space="preserve"> are combining to erode traditional differentiating forces and compressing margins. Incremental improvement is not adequate in this kind of an environment. It is necessary to re-invent the nature of value creation, delivery and capture.</w:t>
      </w:r>
    </w:p>
    <w:p w14:paraId="72F4562D" w14:textId="03AB68C8" w:rsidR="00F50F12" w:rsidRPr="00F50F12" w:rsidRDefault="00F50F12" w:rsidP="00F50F12">
      <w:pPr>
        <w:spacing w:line="480" w:lineRule="auto"/>
        <w:jc w:val="both"/>
        <w:rPr>
          <w:rFonts w:ascii="Times New Roman" w:eastAsia="Times New Roman" w:hAnsi="Times New Roman" w:cs="Times New Roman"/>
          <w:sz w:val="24"/>
          <w:szCs w:val="24"/>
        </w:rPr>
      </w:pPr>
      <w:r w:rsidRPr="00F50F12">
        <w:rPr>
          <w:rFonts w:ascii="Times New Roman" w:eastAsia="Times New Roman" w:hAnsi="Times New Roman" w:cs="Times New Roman"/>
          <w:sz w:val="24"/>
          <w:szCs w:val="24"/>
        </w:rPr>
        <w:t xml:space="preserve">The suggested change will redefine OTCA as an education media and talent ecosystem powered by AI and not a course-based service provider. This change alters the rationale of the business on several levels. OTCA instead of depending on linear growth as a result of teaching capacity creates a system where media creates attention, community creates retention, AI creates scalability, and partnerships create </w:t>
      </w:r>
      <w:r w:rsidR="00E7752C" w:rsidRPr="00F50F12">
        <w:rPr>
          <w:rFonts w:ascii="Times New Roman" w:eastAsia="Times New Roman" w:hAnsi="Times New Roman" w:cs="Times New Roman"/>
          <w:sz w:val="24"/>
          <w:szCs w:val="24"/>
        </w:rPr>
        <w:t>monetise</w:t>
      </w:r>
      <w:r w:rsidRPr="00F50F12">
        <w:rPr>
          <w:rFonts w:ascii="Times New Roman" w:eastAsia="Times New Roman" w:hAnsi="Times New Roman" w:cs="Times New Roman"/>
          <w:sz w:val="24"/>
          <w:szCs w:val="24"/>
        </w:rPr>
        <w:t>. This model of integration not only enhances customer lifetime value but also develops a new set of defensibilities as a result of network effects, data, and trust. Notably, language education is not eliminated, it is reformulated as a gateway to a more extensive outcome-driven process.</w:t>
      </w:r>
    </w:p>
    <w:p w14:paraId="2B8A64FE" w14:textId="3E75663C" w:rsidR="00F50F12" w:rsidRPr="00F50F12" w:rsidRDefault="00F50F12" w:rsidP="00F50F12">
      <w:pPr>
        <w:spacing w:line="480" w:lineRule="auto"/>
        <w:jc w:val="both"/>
        <w:rPr>
          <w:rFonts w:ascii="Times New Roman" w:eastAsia="Times New Roman" w:hAnsi="Times New Roman" w:cs="Times New Roman"/>
          <w:sz w:val="24"/>
          <w:szCs w:val="24"/>
        </w:rPr>
      </w:pPr>
      <w:r w:rsidRPr="00F50F12">
        <w:rPr>
          <w:rFonts w:ascii="Times New Roman" w:eastAsia="Times New Roman" w:hAnsi="Times New Roman" w:cs="Times New Roman"/>
          <w:sz w:val="24"/>
          <w:szCs w:val="24"/>
        </w:rPr>
        <w:t xml:space="preserve">The proposal also shows that transformation cannot succeed without more than an engaging strategic idea. It involves rigorous implementation, harmonized organizational frameworks, and a direct way of dealing with the risk and uncertainty. The dual transformation process that is adopted will make sure that the current business is still able to create stability as the new ecosystem is built. Staged innovation metrics would manage one of the critical failure modes found in the literature, which would be premature assessment of early-stage projects based on the wrong financial criteria. In addition, AI and data governance systems must be combined to </w:t>
      </w:r>
      <w:r w:rsidRPr="00F50F12">
        <w:rPr>
          <w:rFonts w:ascii="Times New Roman" w:eastAsia="Times New Roman" w:hAnsi="Times New Roman" w:cs="Times New Roman"/>
          <w:sz w:val="24"/>
          <w:szCs w:val="24"/>
        </w:rPr>
        <w:lastRenderedPageBreak/>
        <w:t>make sure that innovation is achieved in a responsible manner and that professional integrity and long-term trust remain.</w:t>
      </w:r>
    </w:p>
    <w:p w14:paraId="015BA0A3" w14:textId="20541BE4" w:rsidR="00F50F12" w:rsidRPr="00F50F12" w:rsidRDefault="00F50F12" w:rsidP="00F50F12">
      <w:pPr>
        <w:spacing w:line="480" w:lineRule="auto"/>
        <w:jc w:val="both"/>
        <w:rPr>
          <w:rFonts w:ascii="Times New Roman" w:eastAsia="Times New Roman" w:hAnsi="Times New Roman" w:cs="Times New Roman"/>
          <w:sz w:val="24"/>
          <w:szCs w:val="24"/>
        </w:rPr>
      </w:pPr>
      <w:r w:rsidRPr="00F50F12">
        <w:rPr>
          <w:rFonts w:ascii="Times New Roman" w:eastAsia="Times New Roman" w:hAnsi="Times New Roman" w:cs="Times New Roman"/>
          <w:sz w:val="24"/>
          <w:szCs w:val="24"/>
        </w:rPr>
        <w:t>The transformation is a challenge at the micro and macro levels. On the inside, it will need new competences, role redefinition and a cultural adaptation. On the outside, it sets OTCA in a more challenging and competitive ecosystem. Nevertheless, these difficulties are not the trivial matters but the natural conditions of the survival in the highly changing business environment. The more dangerous one is the status quo where the organization is becoming increasingly less competitive whilst the industry is changing around it.</w:t>
      </w:r>
    </w:p>
    <w:p w14:paraId="0E58304A" w14:textId="1B8BEB6C" w:rsidR="00F50F12" w:rsidRPr="00F50F12" w:rsidRDefault="00F50F12" w:rsidP="00F50F12">
      <w:pPr>
        <w:spacing w:line="480" w:lineRule="auto"/>
        <w:jc w:val="both"/>
        <w:rPr>
          <w:rFonts w:ascii="Times New Roman" w:eastAsia="Times New Roman" w:hAnsi="Times New Roman" w:cs="Times New Roman"/>
          <w:sz w:val="24"/>
          <w:szCs w:val="24"/>
        </w:rPr>
      </w:pPr>
      <w:r w:rsidRPr="00F50F12">
        <w:rPr>
          <w:rFonts w:ascii="Times New Roman" w:eastAsia="Times New Roman" w:hAnsi="Times New Roman" w:cs="Times New Roman"/>
          <w:sz w:val="24"/>
          <w:szCs w:val="24"/>
        </w:rPr>
        <w:t>Academically, this proposal shows that one is interacting with frontiers of knowledge that are highly advanced, such as AI-led disruption, platform economics, and post-pandemic business transformation. It uses advanced analytical models to identify structural problems and come up with a consistent strategic reaction. It is also a demonstration of authority and innovation, as it takes the already existing notions, like dual transformation, and puts them into a framework of a unified ecosystem applicable to the circumstances of OTCA. Lastly, it creates a prospective business model that is in line with the new dynamics of the industry, hence, meeting the necessary learning objectives.</w:t>
      </w:r>
    </w:p>
    <w:p w14:paraId="68414CE7" w14:textId="77777777" w:rsidR="00F50F12" w:rsidRPr="00F50F12" w:rsidRDefault="00F50F12" w:rsidP="00F50F12">
      <w:pPr>
        <w:spacing w:line="480" w:lineRule="auto"/>
        <w:jc w:val="both"/>
        <w:rPr>
          <w:rFonts w:ascii="Times New Roman" w:eastAsia="Times New Roman" w:hAnsi="Times New Roman" w:cs="Times New Roman"/>
          <w:sz w:val="24"/>
          <w:szCs w:val="24"/>
        </w:rPr>
      </w:pPr>
      <w:r w:rsidRPr="00F50F12">
        <w:rPr>
          <w:rFonts w:ascii="Times New Roman" w:eastAsia="Times New Roman" w:hAnsi="Times New Roman" w:cs="Times New Roman"/>
          <w:sz w:val="24"/>
          <w:szCs w:val="24"/>
        </w:rPr>
        <w:t>To sum up, the reinvention of OTCA is not just a chance to grow but a strategic need to stay afloat and remain relevant. Therefore, adopting an ecosystem-based approach with the help of AI, media, and alliances, OTCA can become a more robust and scalable organization, not a vulnerable service provider. The transformation will also rely on leadership dedication, disciplined implementation and the constant adaptability. Nevertheless, when properly executed, it will make OTCA not only be able to compete in the future of education, but to create it.</w:t>
      </w:r>
    </w:p>
    <w:p w14:paraId="45CEF231" w14:textId="77777777" w:rsidR="00DF1BB5" w:rsidRDefault="00DF1BB5">
      <w:pPr>
        <w:spacing w:line="480" w:lineRule="auto"/>
        <w:jc w:val="both"/>
        <w:rPr>
          <w:rFonts w:ascii="Times New Roman" w:eastAsia="Times New Roman" w:hAnsi="Times New Roman" w:cs="Times New Roman"/>
          <w:sz w:val="24"/>
          <w:szCs w:val="24"/>
        </w:rPr>
      </w:pPr>
    </w:p>
    <w:p w14:paraId="45CEF232" w14:textId="77777777" w:rsidR="00DF1BB5" w:rsidRDefault="003C7292">
      <w:pPr>
        <w:pStyle w:val="Heading1"/>
        <w:jc w:val="center"/>
        <w:rPr>
          <w:rFonts w:ascii="Times New Roman" w:eastAsia="Times New Roman" w:hAnsi="Times New Roman" w:cs="Times New Roman"/>
          <w:color w:val="000000"/>
          <w:sz w:val="24"/>
          <w:szCs w:val="24"/>
        </w:rPr>
      </w:pPr>
      <w:bookmarkStart w:id="10" w:name="_Toc225915938"/>
      <w:r>
        <w:rPr>
          <w:rFonts w:ascii="Times New Roman" w:eastAsia="Times New Roman" w:hAnsi="Times New Roman" w:cs="Times New Roman"/>
          <w:color w:val="000000"/>
          <w:sz w:val="24"/>
          <w:szCs w:val="24"/>
        </w:rPr>
        <w:lastRenderedPageBreak/>
        <w:t>BIBLIOGRAPHY</w:t>
      </w:r>
      <w:bookmarkEnd w:id="10"/>
    </w:p>
    <w:p w14:paraId="3677C5E2" w14:textId="77777777" w:rsidR="00EE38AB" w:rsidRDefault="00EE38AB"/>
    <w:p w14:paraId="15E51631" w14:textId="77777777" w:rsidR="00EE38AB" w:rsidRDefault="00EE38AB"/>
    <w:p w14:paraId="2D57A8FE" w14:textId="77777777" w:rsidR="00E7752C" w:rsidRPr="00E7752C" w:rsidRDefault="008410BF" w:rsidP="00E7752C">
      <w:pPr>
        <w:pStyle w:val="Bibliography"/>
        <w:rPr>
          <w:rFonts w:ascii="Times New Roman" w:hAnsi="Times New Roman" w:cs="Times New Roman"/>
          <w:sz w:val="24"/>
        </w:rPr>
      </w:pPr>
      <w:r w:rsidRPr="00B62DEC">
        <w:rPr>
          <w:rFonts w:eastAsia="Times New Roman"/>
          <w:sz w:val="24"/>
          <w:szCs w:val="24"/>
        </w:rPr>
        <w:fldChar w:fldCharType="begin"/>
      </w:r>
      <w:r w:rsidRPr="00B62DEC">
        <w:rPr>
          <w:rFonts w:eastAsia="Times New Roman"/>
          <w:sz w:val="24"/>
          <w:szCs w:val="24"/>
        </w:rPr>
        <w:instrText xml:space="preserve"> ADDIN ZOTERO_BIBL {"uncited":[],"omitted":[],"custom":[]} CSL_BIBLIOGRAPHY </w:instrText>
      </w:r>
      <w:r w:rsidRPr="00B62DEC">
        <w:rPr>
          <w:rFonts w:eastAsia="Times New Roman"/>
          <w:sz w:val="24"/>
          <w:szCs w:val="24"/>
        </w:rPr>
        <w:fldChar w:fldCharType="separate"/>
      </w:r>
      <w:r w:rsidR="00E7752C" w:rsidRPr="00E7752C">
        <w:rPr>
          <w:rFonts w:ascii="Times New Roman" w:hAnsi="Times New Roman" w:cs="Times New Roman"/>
          <w:sz w:val="24"/>
        </w:rPr>
        <w:t xml:space="preserve">Andrew, D. (2017, September 22). </w:t>
      </w:r>
      <w:r w:rsidR="00E7752C" w:rsidRPr="00E7752C">
        <w:rPr>
          <w:rFonts w:ascii="Times New Roman" w:hAnsi="Times New Roman" w:cs="Times New Roman"/>
          <w:i/>
          <w:iCs/>
          <w:sz w:val="24"/>
        </w:rPr>
        <w:t>Prioritize Your Opportunities with This Checklist</w:t>
      </w:r>
      <w:r w:rsidR="00E7752C" w:rsidRPr="00E7752C">
        <w:rPr>
          <w:rFonts w:ascii="Times New Roman" w:hAnsi="Times New Roman" w:cs="Times New Roman"/>
          <w:sz w:val="24"/>
        </w:rPr>
        <w:t>. Harvard Business Review. https://hbr.org/2017/09/prioritize-your-opportunities-with-this-checklist</w:t>
      </w:r>
    </w:p>
    <w:p w14:paraId="16FADCFC" w14:textId="77777777" w:rsidR="00E7752C" w:rsidRPr="00E7752C" w:rsidRDefault="00E7752C" w:rsidP="00E7752C">
      <w:pPr>
        <w:pStyle w:val="Bibliography"/>
        <w:rPr>
          <w:rFonts w:ascii="Times New Roman" w:hAnsi="Times New Roman" w:cs="Times New Roman"/>
          <w:sz w:val="24"/>
        </w:rPr>
      </w:pPr>
      <w:r w:rsidRPr="00E7752C">
        <w:rPr>
          <w:rFonts w:ascii="Times New Roman" w:hAnsi="Times New Roman" w:cs="Times New Roman"/>
          <w:sz w:val="24"/>
        </w:rPr>
        <w:t xml:space="preserve">Anthony, S. D. (2017, April 13). </w:t>
      </w:r>
      <w:r w:rsidRPr="00E7752C">
        <w:rPr>
          <w:rFonts w:ascii="Times New Roman" w:hAnsi="Times New Roman" w:cs="Times New Roman"/>
          <w:i/>
          <w:iCs/>
          <w:sz w:val="24"/>
        </w:rPr>
        <w:t>To Reinvent Your Firm, Do Two Things at the Same Time</w:t>
      </w:r>
      <w:r w:rsidRPr="00E7752C">
        <w:rPr>
          <w:rFonts w:ascii="Times New Roman" w:hAnsi="Times New Roman" w:cs="Times New Roman"/>
          <w:sz w:val="24"/>
        </w:rPr>
        <w:t>. Harvard Business Review. https://hbr.org/podcast/2017/04/to-reinvent-your-firm-do-two-things-at-the-same-time</w:t>
      </w:r>
    </w:p>
    <w:p w14:paraId="30FC78AE" w14:textId="77777777" w:rsidR="00E7752C" w:rsidRPr="00E7752C" w:rsidRDefault="00E7752C" w:rsidP="00E7752C">
      <w:pPr>
        <w:pStyle w:val="Bibliography"/>
        <w:rPr>
          <w:rFonts w:ascii="Times New Roman" w:hAnsi="Times New Roman" w:cs="Times New Roman"/>
          <w:sz w:val="24"/>
        </w:rPr>
      </w:pPr>
      <w:r w:rsidRPr="00E7752C">
        <w:rPr>
          <w:rFonts w:ascii="Times New Roman" w:hAnsi="Times New Roman" w:cs="Times New Roman"/>
          <w:sz w:val="24"/>
        </w:rPr>
        <w:t xml:space="preserve">Bar Am, J., </w:t>
      </w:r>
      <w:proofErr w:type="spellStart"/>
      <w:r w:rsidRPr="00E7752C">
        <w:rPr>
          <w:rFonts w:ascii="Times New Roman" w:hAnsi="Times New Roman" w:cs="Times New Roman"/>
          <w:sz w:val="24"/>
        </w:rPr>
        <w:t>Furstenthal</w:t>
      </w:r>
      <w:proofErr w:type="spellEnd"/>
      <w:r w:rsidRPr="00E7752C">
        <w:rPr>
          <w:rFonts w:ascii="Times New Roman" w:hAnsi="Times New Roman" w:cs="Times New Roman"/>
          <w:sz w:val="24"/>
        </w:rPr>
        <w:t xml:space="preserve">, L., Jorge, F., &amp; Roth, E. (2020, June 17). </w:t>
      </w:r>
      <w:r w:rsidRPr="00E7752C">
        <w:rPr>
          <w:rFonts w:ascii="Times New Roman" w:hAnsi="Times New Roman" w:cs="Times New Roman"/>
          <w:i/>
          <w:iCs/>
          <w:sz w:val="24"/>
        </w:rPr>
        <w:t>Innovation in a Crisis: Why It Is More Critical Than Ever</w:t>
      </w:r>
      <w:r w:rsidRPr="00E7752C">
        <w:rPr>
          <w:rFonts w:ascii="Times New Roman" w:hAnsi="Times New Roman" w:cs="Times New Roman"/>
          <w:sz w:val="24"/>
        </w:rPr>
        <w:t>. McKinsey &amp; Company. https://www.mckinsey.com/capabilities/strategy-and-corporate-finance/our-insights/innovation-in-a-crisis-why-it-is-more-critical-than-ever</w:t>
      </w:r>
    </w:p>
    <w:p w14:paraId="60AE697A" w14:textId="77777777" w:rsidR="00E7752C" w:rsidRPr="00E7752C" w:rsidRDefault="00E7752C" w:rsidP="00E7752C">
      <w:pPr>
        <w:pStyle w:val="Bibliography"/>
        <w:rPr>
          <w:rFonts w:ascii="Times New Roman" w:hAnsi="Times New Roman" w:cs="Times New Roman"/>
          <w:sz w:val="24"/>
        </w:rPr>
      </w:pPr>
      <w:r w:rsidRPr="00E7752C">
        <w:rPr>
          <w:rFonts w:ascii="Times New Roman" w:hAnsi="Times New Roman" w:cs="Times New Roman"/>
          <w:sz w:val="24"/>
        </w:rPr>
        <w:t xml:space="preserve">Cable, D. (2018, March 12). </w:t>
      </w:r>
      <w:r w:rsidRPr="00E7752C">
        <w:rPr>
          <w:rFonts w:ascii="Times New Roman" w:hAnsi="Times New Roman" w:cs="Times New Roman"/>
          <w:i/>
          <w:iCs/>
          <w:sz w:val="24"/>
        </w:rPr>
        <w:t>Why People Lose Motivation and What Managers Can Do to Help</w:t>
      </w:r>
      <w:r w:rsidRPr="00E7752C">
        <w:rPr>
          <w:rFonts w:ascii="Times New Roman" w:hAnsi="Times New Roman" w:cs="Times New Roman"/>
          <w:sz w:val="24"/>
        </w:rPr>
        <w:t>. Harvard Business Review. https://hbr.org/2018/03/why-people-lose-motivation-and-what-managers-can-do-to-help</w:t>
      </w:r>
    </w:p>
    <w:p w14:paraId="1E1144FD" w14:textId="77777777" w:rsidR="00E7752C" w:rsidRPr="00E7752C" w:rsidRDefault="00E7752C" w:rsidP="00E7752C">
      <w:pPr>
        <w:pStyle w:val="Bibliography"/>
        <w:rPr>
          <w:rFonts w:ascii="Times New Roman" w:hAnsi="Times New Roman" w:cs="Times New Roman"/>
          <w:sz w:val="24"/>
        </w:rPr>
      </w:pPr>
      <w:r w:rsidRPr="00E7752C">
        <w:rPr>
          <w:rFonts w:ascii="Times New Roman" w:hAnsi="Times New Roman" w:cs="Times New Roman"/>
          <w:i/>
          <w:iCs/>
          <w:sz w:val="24"/>
        </w:rPr>
        <w:t>Celebrating Creativity and Innovation</w:t>
      </w:r>
      <w:r w:rsidRPr="00E7752C">
        <w:rPr>
          <w:rFonts w:ascii="Times New Roman" w:hAnsi="Times New Roman" w:cs="Times New Roman"/>
          <w:sz w:val="24"/>
        </w:rPr>
        <w:t>. (2020). McKinsey &amp; Company. https://www.mckinsey.com/featured-insights/themes/celebrating-creativity-and-innovation</w:t>
      </w:r>
    </w:p>
    <w:p w14:paraId="17906552" w14:textId="77777777" w:rsidR="00E7752C" w:rsidRPr="00E7752C" w:rsidRDefault="00E7752C" w:rsidP="00E7752C">
      <w:pPr>
        <w:pStyle w:val="Bibliography"/>
        <w:rPr>
          <w:rFonts w:ascii="Times New Roman" w:hAnsi="Times New Roman" w:cs="Times New Roman"/>
          <w:sz w:val="24"/>
        </w:rPr>
      </w:pPr>
      <w:r w:rsidRPr="00E7752C">
        <w:rPr>
          <w:rFonts w:ascii="Times New Roman" w:hAnsi="Times New Roman" w:cs="Times New Roman"/>
          <w:sz w:val="24"/>
        </w:rPr>
        <w:t xml:space="preserve">Cohen, D., Quinn, B., &amp; Roth, E. (2019, October 24). </w:t>
      </w:r>
      <w:r w:rsidRPr="00E7752C">
        <w:rPr>
          <w:rFonts w:ascii="Times New Roman" w:hAnsi="Times New Roman" w:cs="Times New Roman"/>
          <w:i/>
          <w:iCs/>
          <w:sz w:val="24"/>
        </w:rPr>
        <w:t>The Innovation Commitment</w:t>
      </w:r>
      <w:r w:rsidRPr="00E7752C">
        <w:rPr>
          <w:rFonts w:ascii="Times New Roman" w:hAnsi="Times New Roman" w:cs="Times New Roman"/>
          <w:sz w:val="24"/>
        </w:rPr>
        <w:t>. McKinsey &amp; Company. https://www.mckinsey.com/capabilities/strategy-and-corporate-finance/our-insights/the-innovation-commitment</w:t>
      </w:r>
    </w:p>
    <w:p w14:paraId="198BB23D" w14:textId="77777777" w:rsidR="00E7752C" w:rsidRPr="00E7752C" w:rsidRDefault="00E7752C" w:rsidP="00E7752C">
      <w:pPr>
        <w:pStyle w:val="Bibliography"/>
        <w:rPr>
          <w:rFonts w:ascii="Times New Roman" w:hAnsi="Times New Roman" w:cs="Times New Roman"/>
          <w:sz w:val="24"/>
        </w:rPr>
      </w:pPr>
      <w:proofErr w:type="spellStart"/>
      <w:r w:rsidRPr="00E7752C">
        <w:rPr>
          <w:rFonts w:ascii="Times New Roman" w:hAnsi="Times New Roman" w:cs="Times New Roman"/>
          <w:sz w:val="24"/>
        </w:rPr>
        <w:t>Furstenthal</w:t>
      </w:r>
      <w:proofErr w:type="spellEnd"/>
      <w:r w:rsidRPr="00E7752C">
        <w:rPr>
          <w:rFonts w:ascii="Times New Roman" w:hAnsi="Times New Roman" w:cs="Times New Roman"/>
          <w:sz w:val="24"/>
        </w:rPr>
        <w:t xml:space="preserve">, L., Hirt, M., &amp; Roth, E. (2021, March 18). </w:t>
      </w:r>
      <w:r w:rsidRPr="00E7752C">
        <w:rPr>
          <w:rFonts w:ascii="Times New Roman" w:hAnsi="Times New Roman" w:cs="Times New Roman"/>
          <w:i/>
          <w:iCs/>
          <w:sz w:val="24"/>
        </w:rPr>
        <w:t>Innovation: Your Launchpad Out of the COVID-19 Crisis</w:t>
      </w:r>
      <w:r w:rsidRPr="00E7752C">
        <w:rPr>
          <w:rFonts w:ascii="Times New Roman" w:hAnsi="Times New Roman" w:cs="Times New Roman"/>
          <w:sz w:val="24"/>
        </w:rPr>
        <w:t>. McKinsey &amp; Company. https://www.mckinsey.com/capabilities/strategy-and-corporate-finance/our-insights/innovation-your-launchpad-out-of-the-covid-19-crisis</w:t>
      </w:r>
    </w:p>
    <w:p w14:paraId="1F419186" w14:textId="77777777" w:rsidR="00E7752C" w:rsidRPr="00E7752C" w:rsidRDefault="00E7752C" w:rsidP="00E7752C">
      <w:pPr>
        <w:pStyle w:val="Bibliography"/>
        <w:rPr>
          <w:rFonts w:ascii="Times New Roman" w:hAnsi="Times New Roman" w:cs="Times New Roman"/>
          <w:sz w:val="24"/>
        </w:rPr>
      </w:pPr>
      <w:proofErr w:type="spellStart"/>
      <w:r w:rsidRPr="00E7752C">
        <w:rPr>
          <w:rFonts w:ascii="Times New Roman" w:hAnsi="Times New Roman" w:cs="Times New Roman"/>
          <w:sz w:val="24"/>
        </w:rPr>
        <w:lastRenderedPageBreak/>
        <w:t>Jesuthasan</w:t>
      </w:r>
      <w:proofErr w:type="spellEnd"/>
      <w:r w:rsidRPr="00E7752C">
        <w:rPr>
          <w:rFonts w:ascii="Times New Roman" w:hAnsi="Times New Roman" w:cs="Times New Roman"/>
          <w:sz w:val="24"/>
        </w:rPr>
        <w:t xml:space="preserve">, R. (2019, August 6). </w:t>
      </w:r>
      <w:r w:rsidRPr="00E7752C">
        <w:rPr>
          <w:rFonts w:ascii="Times New Roman" w:hAnsi="Times New Roman" w:cs="Times New Roman"/>
          <w:i/>
          <w:iCs/>
          <w:sz w:val="24"/>
        </w:rPr>
        <w:t>The 8 Ways Companies Get Work Done, and How to Align Them</w:t>
      </w:r>
      <w:r w:rsidRPr="00E7752C">
        <w:rPr>
          <w:rFonts w:ascii="Times New Roman" w:hAnsi="Times New Roman" w:cs="Times New Roman"/>
          <w:sz w:val="24"/>
        </w:rPr>
        <w:t>. Harvard Business Review. https://hbr.org/2019/08/the-8-ways-companies-get-work-done-and-how-to-align-them</w:t>
      </w:r>
    </w:p>
    <w:p w14:paraId="31788079" w14:textId="77777777" w:rsidR="00E7752C" w:rsidRPr="00E7752C" w:rsidRDefault="00E7752C" w:rsidP="00E7752C">
      <w:pPr>
        <w:pStyle w:val="Bibliography"/>
        <w:rPr>
          <w:rFonts w:ascii="Times New Roman" w:hAnsi="Times New Roman" w:cs="Times New Roman"/>
          <w:sz w:val="24"/>
        </w:rPr>
      </w:pPr>
      <w:r w:rsidRPr="00E7752C">
        <w:rPr>
          <w:rFonts w:ascii="Times New Roman" w:hAnsi="Times New Roman" w:cs="Times New Roman"/>
          <w:sz w:val="24"/>
        </w:rPr>
        <w:t xml:space="preserve">Kirsner, S. (2021, March 31). </w:t>
      </w:r>
      <w:r w:rsidRPr="00E7752C">
        <w:rPr>
          <w:rFonts w:ascii="Times New Roman" w:hAnsi="Times New Roman" w:cs="Times New Roman"/>
          <w:i/>
          <w:iCs/>
          <w:sz w:val="24"/>
        </w:rPr>
        <w:t>Don’t Let Financial Metrics Prematurely Stifle Innovation</w:t>
      </w:r>
      <w:r w:rsidRPr="00E7752C">
        <w:rPr>
          <w:rFonts w:ascii="Times New Roman" w:hAnsi="Times New Roman" w:cs="Times New Roman"/>
          <w:sz w:val="24"/>
        </w:rPr>
        <w:t>. Harvard Business Review. https://hbr.org/2021/03/dont-let-financial-metrics-prematurely-stifle-innovation</w:t>
      </w:r>
    </w:p>
    <w:p w14:paraId="76E55DAC" w14:textId="77777777" w:rsidR="00E7752C" w:rsidRPr="00E7752C" w:rsidRDefault="00E7752C" w:rsidP="00E7752C">
      <w:pPr>
        <w:pStyle w:val="Bibliography"/>
        <w:rPr>
          <w:rFonts w:ascii="Times New Roman" w:hAnsi="Times New Roman" w:cs="Times New Roman"/>
          <w:sz w:val="24"/>
        </w:rPr>
      </w:pPr>
      <w:r w:rsidRPr="00E7752C">
        <w:rPr>
          <w:rFonts w:ascii="Times New Roman" w:hAnsi="Times New Roman" w:cs="Times New Roman"/>
          <w:sz w:val="24"/>
        </w:rPr>
        <w:t xml:space="preserve">McKinsey &amp; Company. (2021). </w:t>
      </w:r>
      <w:r w:rsidRPr="00E7752C">
        <w:rPr>
          <w:rFonts w:ascii="Times New Roman" w:hAnsi="Times New Roman" w:cs="Times New Roman"/>
          <w:i/>
          <w:iCs/>
          <w:sz w:val="24"/>
        </w:rPr>
        <w:t>For smarter decisions, empower your employees</w:t>
      </w:r>
      <w:r w:rsidRPr="00E7752C">
        <w:rPr>
          <w:rFonts w:ascii="Times New Roman" w:hAnsi="Times New Roman" w:cs="Times New Roman"/>
          <w:sz w:val="24"/>
        </w:rPr>
        <w:t>. McKinsey Insights. https://www.mckinsey.com/capabilities/people-and-organizational-performance/our-insights/for-smarter-decisions-empower-your-employees</w:t>
      </w:r>
    </w:p>
    <w:p w14:paraId="2EF5444C" w14:textId="5CAE1512" w:rsidR="00D06CF2" w:rsidRDefault="008410BF" w:rsidP="00D06CF2">
      <w:pPr>
        <w:pStyle w:val="Bibliography"/>
        <w:rPr>
          <w:rFonts w:eastAsia="Times New Roman"/>
          <w:sz w:val="24"/>
          <w:szCs w:val="24"/>
        </w:rPr>
      </w:pPr>
      <w:r w:rsidRPr="00B62DEC">
        <w:rPr>
          <w:rFonts w:ascii="Times New Roman" w:eastAsia="Times New Roman" w:hAnsi="Times New Roman" w:cs="Times New Roman"/>
          <w:sz w:val="24"/>
          <w:szCs w:val="24"/>
        </w:rPr>
        <w:fldChar w:fldCharType="end"/>
      </w:r>
    </w:p>
    <w:p w14:paraId="45CEF239" w14:textId="71EFB5A7" w:rsidR="00DF1BB5" w:rsidRDefault="00527A06">
      <w:pPr>
        <w:rPr>
          <w:color w:val="000000"/>
        </w:rPr>
      </w:pPr>
      <w:r>
        <w:rPr>
          <w:rFonts w:ascii="Times New Roman" w:eastAsia="Times New Roman" w:hAnsi="Times New Roman" w:cs="Times New Roman"/>
          <w:sz w:val="24"/>
          <w:szCs w:val="24"/>
        </w:rPr>
        <w:t> </w:t>
      </w:r>
    </w:p>
    <w:p w14:paraId="45CEF23A" w14:textId="77777777" w:rsidR="00DF1BB5" w:rsidRDefault="00DF1BB5">
      <w:pPr>
        <w:rPr>
          <w:color w:val="000000"/>
        </w:rPr>
      </w:pPr>
    </w:p>
    <w:p w14:paraId="45CEF23B" w14:textId="77777777" w:rsidR="00DF1BB5" w:rsidRDefault="00DF1BB5">
      <w:pPr>
        <w:rPr>
          <w:color w:val="000000"/>
        </w:rPr>
      </w:pPr>
    </w:p>
    <w:p w14:paraId="45CEF23C" w14:textId="77777777" w:rsidR="00DF1BB5" w:rsidRDefault="00DF1BB5">
      <w:pPr>
        <w:rPr>
          <w:color w:val="000000"/>
        </w:rPr>
      </w:pPr>
    </w:p>
    <w:p w14:paraId="45CEF23D" w14:textId="77777777" w:rsidR="00DF1BB5" w:rsidRDefault="00DF1BB5">
      <w:pPr>
        <w:rPr>
          <w:color w:val="000000"/>
        </w:rPr>
      </w:pPr>
    </w:p>
    <w:p w14:paraId="45CEF23E" w14:textId="77777777" w:rsidR="00DF1BB5" w:rsidRDefault="00DF1BB5">
      <w:pPr>
        <w:rPr>
          <w:color w:val="000000"/>
        </w:rPr>
      </w:pPr>
    </w:p>
    <w:p w14:paraId="45CEF23F" w14:textId="77777777" w:rsidR="00DF1BB5" w:rsidRDefault="00DF1BB5">
      <w:pPr>
        <w:rPr>
          <w:color w:val="000000"/>
        </w:rPr>
      </w:pPr>
    </w:p>
    <w:p w14:paraId="45CEF27B" w14:textId="77777777" w:rsidR="00DF1BB5" w:rsidRDefault="00DF1BB5"/>
    <w:sectPr w:rsidR="00DF1BB5">
      <w:headerReference w:type="first" r:id="rId1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32DE5" w14:textId="77777777" w:rsidR="00812B5C" w:rsidRDefault="00812B5C">
      <w:pPr>
        <w:spacing w:after="0" w:line="240" w:lineRule="auto"/>
      </w:pPr>
      <w:r>
        <w:separator/>
      </w:r>
    </w:p>
  </w:endnote>
  <w:endnote w:type="continuationSeparator" w:id="0">
    <w:p w14:paraId="78578047" w14:textId="77777777" w:rsidR="00812B5C" w:rsidRDefault="008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A965E8A-C8DA-404F-8206-C02E1D5F886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5DC6501-97BB-41BA-8444-C6669B690531}"/>
    <w:embedBold r:id="rId3" w:fontKey="{C8C0CBE2-FE68-4EF8-9064-3C0D09DEC193}"/>
    <w:embedItalic r:id="rId4" w:fontKey="{0A672089-FE8F-45F6-94BA-1064CDAED5C8}"/>
  </w:font>
  <w:font w:name="Georgia">
    <w:panose1 w:val="02040502050405020303"/>
    <w:charset w:val="00"/>
    <w:family w:val="roman"/>
    <w:pitch w:val="variable"/>
    <w:sig w:usb0="00000287" w:usb1="00000000" w:usb2="00000000" w:usb3="00000000" w:csb0="0000009F" w:csb1="00000000"/>
    <w:embedRegular r:id="rId5" w:fontKey="{F70BC537-72D9-423F-94B7-C4F31AAD3292}"/>
    <w:embedItalic r:id="rId6" w:fontKey="{F9B60AEF-4377-40FA-A18C-7D07C838D3C5}"/>
  </w:font>
  <w:font w:name="Cambria">
    <w:panose1 w:val="02040503050406030204"/>
    <w:charset w:val="00"/>
    <w:family w:val="roman"/>
    <w:pitch w:val="variable"/>
    <w:sig w:usb0="E00006FF" w:usb1="420024FF" w:usb2="02000000" w:usb3="00000000" w:csb0="0000019F" w:csb1="00000000"/>
    <w:embedRegular r:id="rId7" w:fontKey="{088BCB8D-8949-469D-97E9-90ECFF9149F3}"/>
    <w:embedBold r:id="rId8" w:fontKey="{85AD4F9E-EB77-4FC3-81A8-08C012577E81}"/>
  </w:font>
  <w:font w:name="Consolas">
    <w:panose1 w:val="020B0609020204030204"/>
    <w:charset w:val="00"/>
    <w:family w:val="modern"/>
    <w:pitch w:val="fixed"/>
    <w:sig w:usb0="E00006FF" w:usb1="0000FCFF" w:usb2="00000001" w:usb3="00000000" w:csb0="0000019F" w:csb1="00000000"/>
    <w:embedRegular r:id="rId9" w:fontKey="{B33AFF8B-A7C0-4079-A182-0669638478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2814" w14:textId="77777777" w:rsidR="000D2BC6" w:rsidRDefault="000D2B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ABF45" w14:textId="77777777" w:rsidR="000D2BC6" w:rsidRDefault="000D2B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A1A0" w14:textId="77777777" w:rsidR="000D2BC6" w:rsidRDefault="000D2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FC039" w14:textId="77777777" w:rsidR="00812B5C" w:rsidRDefault="00812B5C">
      <w:pPr>
        <w:spacing w:after="0" w:line="240" w:lineRule="auto"/>
      </w:pPr>
      <w:r>
        <w:separator/>
      </w:r>
    </w:p>
  </w:footnote>
  <w:footnote w:type="continuationSeparator" w:id="0">
    <w:p w14:paraId="3960B929" w14:textId="77777777" w:rsidR="00812B5C" w:rsidRDefault="00812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8014" w14:textId="77777777" w:rsidR="000D2BC6" w:rsidRDefault="000D2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F27E" w14:textId="1B741736" w:rsidR="00DF1BB5" w:rsidRDefault="003C729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41756">
      <w:rPr>
        <w:noProof/>
        <w:color w:val="000000"/>
      </w:rPr>
      <w:t>2</w:t>
    </w:r>
    <w:r>
      <w:rPr>
        <w:color w:val="000000"/>
      </w:rPr>
      <w:fldChar w:fldCharType="end"/>
    </w:r>
  </w:p>
  <w:p w14:paraId="45CEF27F" w14:textId="77777777" w:rsidR="00DF1BB5" w:rsidRDefault="00DF1BB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F280" w14:textId="0586B255" w:rsidR="00DF1BB5" w:rsidRDefault="003C7292">
    <w:pPr>
      <w:pBdr>
        <w:top w:val="nil"/>
        <w:left w:val="nil"/>
        <w:bottom w:val="nil"/>
        <w:right w:val="nil"/>
        <w:between w:val="nil"/>
      </w:pBdr>
      <w:tabs>
        <w:tab w:val="center" w:pos="4513"/>
        <w:tab w:val="right" w:pos="9026"/>
      </w:tabs>
      <w:spacing w:after="0" w:line="240" w:lineRule="auto"/>
      <w:jc w:val="right"/>
      <w:rPr>
        <w:color w:val="000000"/>
      </w:rPr>
    </w:pPr>
    <w:r>
      <w:rPr>
        <w:color w:val="FFFFFF"/>
      </w:rPr>
      <w:fldChar w:fldCharType="begin"/>
    </w:r>
    <w:r>
      <w:rPr>
        <w:color w:val="FFFFFF"/>
      </w:rPr>
      <w:instrText>PAGE</w:instrText>
    </w:r>
    <w:r>
      <w:rPr>
        <w:color w:val="FFFFFF"/>
      </w:rPr>
      <w:fldChar w:fldCharType="separate"/>
    </w:r>
    <w:r w:rsidR="00741756">
      <w:rPr>
        <w:noProof/>
        <w:color w:val="FFFFFF"/>
      </w:rPr>
      <w:t>1</w:t>
    </w:r>
    <w:r>
      <w:rPr>
        <w:color w:val="FFFFFF"/>
      </w:rPr>
      <w:fldChar w:fldCharType="end"/>
    </w:r>
  </w:p>
  <w:p w14:paraId="45CEF281" w14:textId="77777777" w:rsidR="00DF1BB5" w:rsidRDefault="00DF1BB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F282" w14:textId="4FAB2C29" w:rsidR="00DF1BB5" w:rsidRDefault="003C729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41756">
      <w:rPr>
        <w:noProof/>
        <w:color w:val="000000"/>
      </w:rPr>
      <w:t>1</w:t>
    </w:r>
    <w:r>
      <w:rPr>
        <w:color w:val="000000"/>
      </w:rPr>
      <w:fldChar w:fldCharType="end"/>
    </w:r>
  </w:p>
  <w:p w14:paraId="45CEF283" w14:textId="77777777" w:rsidR="00DF1BB5" w:rsidRDefault="00DF1BB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79A3"/>
    <w:multiLevelType w:val="hybridMultilevel"/>
    <w:tmpl w:val="5D2A8116"/>
    <w:lvl w:ilvl="0" w:tplc="FFFFFFFF">
      <w:start w:val="1"/>
      <w:numFmt w:val="upperLetter"/>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3637F78"/>
    <w:multiLevelType w:val="multilevel"/>
    <w:tmpl w:val="04D6B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483D0B"/>
    <w:multiLevelType w:val="multilevel"/>
    <w:tmpl w:val="18E69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64759B"/>
    <w:multiLevelType w:val="multilevel"/>
    <w:tmpl w:val="0BEE1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217E8A"/>
    <w:multiLevelType w:val="hybridMultilevel"/>
    <w:tmpl w:val="6CC8D5A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34D74BD"/>
    <w:multiLevelType w:val="multilevel"/>
    <w:tmpl w:val="95406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643D79"/>
    <w:multiLevelType w:val="hybridMultilevel"/>
    <w:tmpl w:val="11F0924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2CE218C0"/>
    <w:multiLevelType w:val="hybridMultilevel"/>
    <w:tmpl w:val="5F442A4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EFA75DF"/>
    <w:multiLevelType w:val="multilevel"/>
    <w:tmpl w:val="BB462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215C7B"/>
    <w:multiLevelType w:val="multilevel"/>
    <w:tmpl w:val="54B4F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8D070D"/>
    <w:multiLevelType w:val="multilevel"/>
    <w:tmpl w:val="5D829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2E367A"/>
    <w:multiLevelType w:val="multilevel"/>
    <w:tmpl w:val="3E186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505E39"/>
    <w:multiLevelType w:val="multilevel"/>
    <w:tmpl w:val="05829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797F1A"/>
    <w:multiLevelType w:val="hybridMultilevel"/>
    <w:tmpl w:val="CFBAAEE6"/>
    <w:lvl w:ilvl="0" w:tplc="38090001">
      <w:start w:val="1"/>
      <w:numFmt w:val="bullet"/>
      <w:lvlText w:val=""/>
      <w:lvlJc w:val="left"/>
      <w:pPr>
        <w:ind w:left="360" w:hanging="360"/>
      </w:pPr>
      <w:rPr>
        <w:rFonts w:ascii="Symbol" w:hAnsi="Symbol" w:hint="default"/>
      </w:rPr>
    </w:lvl>
    <w:lvl w:ilvl="1" w:tplc="38090003">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4" w15:restartNumberingAfterBreak="0">
    <w:nsid w:val="3BDC2C5A"/>
    <w:multiLevelType w:val="multilevel"/>
    <w:tmpl w:val="8B9C5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D024FD"/>
    <w:multiLevelType w:val="hybridMultilevel"/>
    <w:tmpl w:val="613E0E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FB25CCB"/>
    <w:multiLevelType w:val="hybridMultilevel"/>
    <w:tmpl w:val="4B0EB9F2"/>
    <w:lvl w:ilvl="0" w:tplc="38090001">
      <w:start w:val="1"/>
      <w:numFmt w:val="bullet"/>
      <w:lvlText w:val=""/>
      <w:lvlJc w:val="left"/>
      <w:pPr>
        <w:ind w:left="2094" w:hanging="360"/>
      </w:pPr>
      <w:rPr>
        <w:rFonts w:ascii="Symbol" w:hAnsi="Symbol" w:hint="default"/>
      </w:rPr>
    </w:lvl>
    <w:lvl w:ilvl="1" w:tplc="38090003" w:tentative="1">
      <w:start w:val="1"/>
      <w:numFmt w:val="bullet"/>
      <w:lvlText w:val="o"/>
      <w:lvlJc w:val="left"/>
      <w:pPr>
        <w:ind w:left="2814" w:hanging="360"/>
      </w:pPr>
      <w:rPr>
        <w:rFonts w:ascii="Courier New" w:hAnsi="Courier New" w:cs="Courier New" w:hint="default"/>
      </w:rPr>
    </w:lvl>
    <w:lvl w:ilvl="2" w:tplc="38090005" w:tentative="1">
      <w:start w:val="1"/>
      <w:numFmt w:val="bullet"/>
      <w:lvlText w:val=""/>
      <w:lvlJc w:val="left"/>
      <w:pPr>
        <w:ind w:left="3534" w:hanging="360"/>
      </w:pPr>
      <w:rPr>
        <w:rFonts w:ascii="Wingdings" w:hAnsi="Wingdings" w:hint="default"/>
      </w:rPr>
    </w:lvl>
    <w:lvl w:ilvl="3" w:tplc="38090001" w:tentative="1">
      <w:start w:val="1"/>
      <w:numFmt w:val="bullet"/>
      <w:lvlText w:val=""/>
      <w:lvlJc w:val="left"/>
      <w:pPr>
        <w:ind w:left="4254" w:hanging="360"/>
      </w:pPr>
      <w:rPr>
        <w:rFonts w:ascii="Symbol" w:hAnsi="Symbol" w:hint="default"/>
      </w:rPr>
    </w:lvl>
    <w:lvl w:ilvl="4" w:tplc="38090003" w:tentative="1">
      <w:start w:val="1"/>
      <w:numFmt w:val="bullet"/>
      <w:lvlText w:val="o"/>
      <w:lvlJc w:val="left"/>
      <w:pPr>
        <w:ind w:left="4974" w:hanging="360"/>
      </w:pPr>
      <w:rPr>
        <w:rFonts w:ascii="Courier New" w:hAnsi="Courier New" w:cs="Courier New" w:hint="default"/>
      </w:rPr>
    </w:lvl>
    <w:lvl w:ilvl="5" w:tplc="38090005" w:tentative="1">
      <w:start w:val="1"/>
      <w:numFmt w:val="bullet"/>
      <w:lvlText w:val=""/>
      <w:lvlJc w:val="left"/>
      <w:pPr>
        <w:ind w:left="5694" w:hanging="360"/>
      </w:pPr>
      <w:rPr>
        <w:rFonts w:ascii="Wingdings" w:hAnsi="Wingdings" w:hint="default"/>
      </w:rPr>
    </w:lvl>
    <w:lvl w:ilvl="6" w:tplc="38090001" w:tentative="1">
      <w:start w:val="1"/>
      <w:numFmt w:val="bullet"/>
      <w:lvlText w:val=""/>
      <w:lvlJc w:val="left"/>
      <w:pPr>
        <w:ind w:left="6414" w:hanging="360"/>
      </w:pPr>
      <w:rPr>
        <w:rFonts w:ascii="Symbol" w:hAnsi="Symbol" w:hint="default"/>
      </w:rPr>
    </w:lvl>
    <w:lvl w:ilvl="7" w:tplc="38090003" w:tentative="1">
      <w:start w:val="1"/>
      <w:numFmt w:val="bullet"/>
      <w:lvlText w:val="o"/>
      <w:lvlJc w:val="left"/>
      <w:pPr>
        <w:ind w:left="7134" w:hanging="360"/>
      </w:pPr>
      <w:rPr>
        <w:rFonts w:ascii="Courier New" w:hAnsi="Courier New" w:cs="Courier New" w:hint="default"/>
      </w:rPr>
    </w:lvl>
    <w:lvl w:ilvl="8" w:tplc="38090005" w:tentative="1">
      <w:start w:val="1"/>
      <w:numFmt w:val="bullet"/>
      <w:lvlText w:val=""/>
      <w:lvlJc w:val="left"/>
      <w:pPr>
        <w:ind w:left="7854" w:hanging="360"/>
      </w:pPr>
      <w:rPr>
        <w:rFonts w:ascii="Wingdings" w:hAnsi="Wingdings" w:hint="default"/>
      </w:rPr>
    </w:lvl>
  </w:abstractNum>
  <w:abstractNum w:abstractNumId="17" w15:restartNumberingAfterBreak="0">
    <w:nsid w:val="46E03C19"/>
    <w:multiLevelType w:val="hybridMultilevel"/>
    <w:tmpl w:val="73D8967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8" w15:restartNumberingAfterBreak="0">
    <w:nsid w:val="471B244E"/>
    <w:multiLevelType w:val="multilevel"/>
    <w:tmpl w:val="E03E3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38582D"/>
    <w:multiLevelType w:val="multilevel"/>
    <w:tmpl w:val="2152C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5937AC"/>
    <w:multiLevelType w:val="hybridMultilevel"/>
    <w:tmpl w:val="FC0C12A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1" w15:restartNumberingAfterBreak="0">
    <w:nsid w:val="523B5727"/>
    <w:multiLevelType w:val="hybridMultilevel"/>
    <w:tmpl w:val="87CC2F7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2530C48"/>
    <w:multiLevelType w:val="multilevel"/>
    <w:tmpl w:val="A2C87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1870A9"/>
    <w:multiLevelType w:val="hybridMultilevel"/>
    <w:tmpl w:val="B83EB4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4586A0D"/>
    <w:multiLevelType w:val="hybridMultilevel"/>
    <w:tmpl w:val="808A978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5" w15:restartNumberingAfterBreak="0">
    <w:nsid w:val="54743975"/>
    <w:multiLevelType w:val="hybridMultilevel"/>
    <w:tmpl w:val="F6B2CBA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6" w15:restartNumberingAfterBreak="0">
    <w:nsid w:val="5BE934B0"/>
    <w:multiLevelType w:val="multilevel"/>
    <w:tmpl w:val="0972C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FAE50BB"/>
    <w:multiLevelType w:val="hybridMultilevel"/>
    <w:tmpl w:val="A162C7D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8" w15:restartNumberingAfterBreak="0">
    <w:nsid w:val="602A7A3D"/>
    <w:multiLevelType w:val="multilevel"/>
    <w:tmpl w:val="90662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7A745C"/>
    <w:multiLevelType w:val="multilevel"/>
    <w:tmpl w:val="9334B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C87A87"/>
    <w:multiLevelType w:val="multilevel"/>
    <w:tmpl w:val="9A38F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23660F"/>
    <w:multiLevelType w:val="hybridMultilevel"/>
    <w:tmpl w:val="F08E1BC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2" w15:restartNumberingAfterBreak="0">
    <w:nsid w:val="6854262C"/>
    <w:multiLevelType w:val="multilevel"/>
    <w:tmpl w:val="41888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9FF178A"/>
    <w:multiLevelType w:val="hybridMultilevel"/>
    <w:tmpl w:val="D122B682"/>
    <w:lvl w:ilvl="0" w:tplc="38090001">
      <w:start w:val="1"/>
      <w:numFmt w:val="bullet"/>
      <w:lvlText w:val=""/>
      <w:lvlJc w:val="left"/>
      <w:pPr>
        <w:ind w:left="360" w:hanging="360"/>
      </w:pPr>
      <w:rPr>
        <w:rFonts w:ascii="Symbol" w:hAnsi="Symbol" w:hint="default"/>
      </w:rPr>
    </w:lvl>
    <w:lvl w:ilvl="1" w:tplc="38090003">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4" w15:restartNumberingAfterBreak="0">
    <w:nsid w:val="6C401169"/>
    <w:multiLevelType w:val="multilevel"/>
    <w:tmpl w:val="4A449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9D5EE0"/>
    <w:multiLevelType w:val="hybridMultilevel"/>
    <w:tmpl w:val="1A9E86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0FD57D4"/>
    <w:multiLevelType w:val="multilevel"/>
    <w:tmpl w:val="6BE47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273B96"/>
    <w:multiLevelType w:val="hybridMultilevel"/>
    <w:tmpl w:val="A94EB8F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8" w15:restartNumberingAfterBreak="0">
    <w:nsid w:val="745E7A63"/>
    <w:multiLevelType w:val="hybridMultilevel"/>
    <w:tmpl w:val="790408E8"/>
    <w:lvl w:ilvl="0" w:tplc="3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63B055F"/>
    <w:multiLevelType w:val="hybridMultilevel"/>
    <w:tmpl w:val="5D2A8116"/>
    <w:lvl w:ilvl="0" w:tplc="38090015">
      <w:start w:val="1"/>
      <w:numFmt w:val="upperLetter"/>
      <w:lvlText w:val="%1."/>
      <w:lvlJc w:val="left"/>
      <w:pPr>
        <w:ind w:left="360" w:hanging="360"/>
      </w:pPr>
      <w:rPr>
        <w:rFonts w:hint="default"/>
      </w:rPr>
    </w:lvl>
    <w:lvl w:ilvl="1" w:tplc="D13CA328">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7675312A"/>
    <w:multiLevelType w:val="multilevel"/>
    <w:tmpl w:val="C8EA5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9867597">
    <w:abstractNumId w:val="8"/>
  </w:num>
  <w:num w:numId="2" w16cid:durableId="1327053778">
    <w:abstractNumId w:val="3"/>
  </w:num>
  <w:num w:numId="3" w16cid:durableId="1057704">
    <w:abstractNumId w:val="19"/>
  </w:num>
  <w:num w:numId="4" w16cid:durableId="73162231">
    <w:abstractNumId w:val="12"/>
  </w:num>
  <w:num w:numId="5" w16cid:durableId="356586433">
    <w:abstractNumId w:val="14"/>
  </w:num>
  <w:num w:numId="6" w16cid:durableId="724067109">
    <w:abstractNumId w:val="34"/>
  </w:num>
  <w:num w:numId="7" w16cid:durableId="1833763511">
    <w:abstractNumId w:val="29"/>
  </w:num>
  <w:num w:numId="8" w16cid:durableId="823010053">
    <w:abstractNumId w:val="1"/>
  </w:num>
  <w:num w:numId="9" w16cid:durableId="1728603474">
    <w:abstractNumId w:val="32"/>
  </w:num>
  <w:num w:numId="10" w16cid:durableId="178661959">
    <w:abstractNumId w:val="9"/>
  </w:num>
  <w:num w:numId="11" w16cid:durableId="1454713441">
    <w:abstractNumId w:val="30"/>
  </w:num>
  <w:num w:numId="12" w16cid:durableId="9647931">
    <w:abstractNumId w:val="10"/>
  </w:num>
  <w:num w:numId="13" w16cid:durableId="931934205">
    <w:abstractNumId w:val="40"/>
  </w:num>
  <w:num w:numId="14" w16cid:durableId="1150831715">
    <w:abstractNumId w:val="36"/>
  </w:num>
  <w:num w:numId="15" w16cid:durableId="1765344194">
    <w:abstractNumId w:val="11"/>
  </w:num>
  <w:num w:numId="16" w16cid:durableId="1882593079">
    <w:abstractNumId w:val="26"/>
  </w:num>
  <w:num w:numId="17" w16cid:durableId="658314683">
    <w:abstractNumId w:val="18"/>
  </w:num>
  <w:num w:numId="18" w16cid:durableId="1480732461">
    <w:abstractNumId w:val="5"/>
  </w:num>
  <w:num w:numId="19" w16cid:durableId="562374138">
    <w:abstractNumId w:val="22"/>
  </w:num>
  <w:num w:numId="20" w16cid:durableId="1025597390">
    <w:abstractNumId w:val="2"/>
  </w:num>
  <w:num w:numId="21" w16cid:durableId="1793094214">
    <w:abstractNumId w:val="28"/>
  </w:num>
  <w:num w:numId="22" w16cid:durableId="1655985607">
    <w:abstractNumId w:val="35"/>
  </w:num>
  <w:num w:numId="23" w16cid:durableId="1335302564">
    <w:abstractNumId w:val="23"/>
  </w:num>
  <w:num w:numId="24" w16cid:durableId="1813404722">
    <w:abstractNumId w:val="39"/>
  </w:num>
  <w:num w:numId="25" w16cid:durableId="240992385">
    <w:abstractNumId w:val="24"/>
  </w:num>
  <w:num w:numId="26" w16cid:durableId="1238395115">
    <w:abstractNumId w:val="13"/>
  </w:num>
  <w:num w:numId="27" w16cid:durableId="771362622">
    <w:abstractNumId w:val="0"/>
  </w:num>
  <w:num w:numId="28" w16cid:durableId="402263640">
    <w:abstractNumId w:val="37"/>
  </w:num>
  <w:num w:numId="29" w16cid:durableId="1301695298">
    <w:abstractNumId w:val="31"/>
  </w:num>
  <w:num w:numId="30" w16cid:durableId="667944989">
    <w:abstractNumId w:val="33"/>
  </w:num>
  <w:num w:numId="31" w16cid:durableId="1851555476">
    <w:abstractNumId w:val="20"/>
  </w:num>
  <w:num w:numId="32" w16cid:durableId="1375735653">
    <w:abstractNumId w:val="25"/>
  </w:num>
  <w:num w:numId="33" w16cid:durableId="719666845">
    <w:abstractNumId w:val="21"/>
  </w:num>
  <w:num w:numId="34" w16cid:durableId="1988242369">
    <w:abstractNumId w:val="38"/>
  </w:num>
  <w:num w:numId="35" w16cid:durableId="1058285404">
    <w:abstractNumId w:val="16"/>
  </w:num>
  <w:num w:numId="36" w16cid:durableId="163127420">
    <w:abstractNumId w:val="27"/>
  </w:num>
  <w:num w:numId="37" w16cid:durableId="585765963">
    <w:abstractNumId w:val="6"/>
  </w:num>
  <w:num w:numId="38" w16cid:durableId="729962933">
    <w:abstractNumId w:val="17"/>
  </w:num>
  <w:num w:numId="39" w16cid:durableId="62417981">
    <w:abstractNumId w:val="15"/>
  </w:num>
  <w:num w:numId="40" w16cid:durableId="1056706884">
    <w:abstractNumId w:val="4"/>
  </w:num>
  <w:num w:numId="41" w16cid:durableId="9147028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BB5"/>
    <w:rsid w:val="00002AFE"/>
    <w:rsid w:val="0001235D"/>
    <w:rsid w:val="0001582F"/>
    <w:rsid w:val="00021FD6"/>
    <w:rsid w:val="000306C2"/>
    <w:rsid w:val="00032CF1"/>
    <w:rsid w:val="0004245B"/>
    <w:rsid w:val="00043658"/>
    <w:rsid w:val="000617B9"/>
    <w:rsid w:val="00062767"/>
    <w:rsid w:val="000863B0"/>
    <w:rsid w:val="00096054"/>
    <w:rsid w:val="000A7AAC"/>
    <w:rsid w:val="000B15B3"/>
    <w:rsid w:val="000B223E"/>
    <w:rsid w:val="000D1341"/>
    <w:rsid w:val="000D2520"/>
    <w:rsid w:val="000D2BC6"/>
    <w:rsid w:val="000E382D"/>
    <w:rsid w:val="000F67AD"/>
    <w:rsid w:val="0010795F"/>
    <w:rsid w:val="00113F3F"/>
    <w:rsid w:val="00114289"/>
    <w:rsid w:val="001148AB"/>
    <w:rsid w:val="00124DFD"/>
    <w:rsid w:val="00127A18"/>
    <w:rsid w:val="00132CC7"/>
    <w:rsid w:val="00156D53"/>
    <w:rsid w:val="0018347C"/>
    <w:rsid w:val="0019599E"/>
    <w:rsid w:val="001A539F"/>
    <w:rsid w:val="001C38F4"/>
    <w:rsid w:val="001C4A77"/>
    <w:rsid w:val="001C4EA6"/>
    <w:rsid w:val="00203A6D"/>
    <w:rsid w:val="00207226"/>
    <w:rsid w:val="00227594"/>
    <w:rsid w:val="00232821"/>
    <w:rsid w:val="00232822"/>
    <w:rsid w:val="00235201"/>
    <w:rsid w:val="00246C83"/>
    <w:rsid w:val="00276FBE"/>
    <w:rsid w:val="002A5FE2"/>
    <w:rsid w:val="002C75DE"/>
    <w:rsid w:val="002D642E"/>
    <w:rsid w:val="002F4354"/>
    <w:rsid w:val="002F59AD"/>
    <w:rsid w:val="003024A6"/>
    <w:rsid w:val="0032120E"/>
    <w:rsid w:val="00353569"/>
    <w:rsid w:val="00364BCD"/>
    <w:rsid w:val="003748CD"/>
    <w:rsid w:val="00375D9E"/>
    <w:rsid w:val="003B6295"/>
    <w:rsid w:val="003C6BA3"/>
    <w:rsid w:val="003C7292"/>
    <w:rsid w:val="004063CC"/>
    <w:rsid w:val="00417131"/>
    <w:rsid w:val="004607AD"/>
    <w:rsid w:val="00487E77"/>
    <w:rsid w:val="004B0DBC"/>
    <w:rsid w:val="004B46BE"/>
    <w:rsid w:val="004E11DB"/>
    <w:rsid w:val="00512021"/>
    <w:rsid w:val="005218C6"/>
    <w:rsid w:val="00527A06"/>
    <w:rsid w:val="005424F4"/>
    <w:rsid w:val="005432C1"/>
    <w:rsid w:val="00576F10"/>
    <w:rsid w:val="0057764F"/>
    <w:rsid w:val="00577D09"/>
    <w:rsid w:val="005A37EB"/>
    <w:rsid w:val="005A707C"/>
    <w:rsid w:val="005C0458"/>
    <w:rsid w:val="005E2403"/>
    <w:rsid w:val="00601BA9"/>
    <w:rsid w:val="00607BDB"/>
    <w:rsid w:val="00625A43"/>
    <w:rsid w:val="00650F9D"/>
    <w:rsid w:val="006B0399"/>
    <w:rsid w:val="006E0A05"/>
    <w:rsid w:val="006E1606"/>
    <w:rsid w:val="006E1F65"/>
    <w:rsid w:val="006E340D"/>
    <w:rsid w:val="00700E66"/>
    <w:rsid w:val="0070299A"/>
    <w:rsid w:val="00712A26"/>
    <w:rsid w:val="00741756"/>
    <w:rsid w:val="00780D0C"/>
    <w:rsid w:val="007935C2"/>
    <w:rsid w:val="007961F7"/>
    <w:rsid w:val="007A10D8"/>
    <w:rsid w:val="007A48AD"/>
    <w:rsid w:val="007E55AF"/>
    <w:rsid w:val="007E78BE"/>
    <w:rsid w:val="007F2D78"/>
    <w:rsid w:val="00801022"/>
    <w:rsid w:val="00805DA3"/>
    <w:rsid w:val="0081095C"/>
    <w:rsid w:val="00812B5C"/>
    <w:rsid w:val="00813CB8"/>
    <w:rsid w:val="0082468B"/>
    <w:rsid w:val="00835A0B"/>
    <w:rsid w:val="00836625"/>
    <w:rsid w:val="008410BF"/>
    <w:rsid w:val="00843323"/>
    <w:rsid w:val="008507DA"/>
    <w:rsid w:val="00852578"/>
    <w:rsid w:val="00854C60"/>
    <w:rsid w:val="00863CEC"/>
    <w:rsid w:val="00864432"/>
    <w:rsid w:val="00884F85"/>
    <w:rsid w:val="00887501"/>
    <w:rsid w:val="00890BA8"/>
    <w:rsid w:val="00905CBC"/>
    <w:rsid w:val="00920A33"/>
    <w:rsid w:val="00932A9D"/>
    <w:rsid w:val="00935DCD"/>
    <w:rsid w:val="00940E68"/>
    <w:rsid w:val="0096474D"/>
    <w:rsid w:val="00974D1C"/>
    <w:rsid w:val="0099308B"/>
    <w:rsid w:val="009B5128"/>
    <w:rsid w:val="009B630A"/>
    <w:rsid w:val="009E04B0"/>
    <w:rsid w:val="00A0529C"/>
    <w:rsid w:val="00A15515"/>
    <w:rsid w:val="00A24993"/>
    <w:rsid w:val="00A37565"/>
    <w:rsid w:val="00A4296E"/>
    <w:rsid w:val="00A531C6"/>
    <w:rsid w:val="00A60B6B"/>
    <w:rsid w:val="00A95E91"/>
    <w:rsid w:val="00AA1DB8"/>
    <w:rsid w:val="00AB36D2"/>
    <w:rsid w:val="00AB72C3"/>
    <w:rsid w:val="00AC3299"/>
    <w:rsid w:val="00AE391F"/>
    <w:rsid w:val="00B17390"/>
    <w:rsid w:val="00B249B5"/>
    <w:rsid w:val="00B251B9"/>
    <w:rsid w:val="00B32E32"/>
    <w:rsid w:val="00B42680"/>
    <w:rsid w:val="00B502FE"/>
    <w:rsid w:val="00B54AB2"/>
    <w:rsid w:val="00B5698A"/>
    <w:rsid w:val="00B62DEC"/>
    <w:rsid w:val="00BB118B"/>
    <w:rsid w:val="00BC06F7"/>
    <w:rsid w:val="00BD3808"/>
    <w:rsid w:val="00C14AAD"/>
    <w:rsid w:val="00C3457C"/>
    <w:rsid w:val="00C60ECC"/>
    <w:rsid w:val="00C637B2"/>
    <w:rsid w:val="00C72C7D"/>
    <w:rsid w:val="00C74871"/>
    <w:rsid w:val="00CA4344"/>
    <w:rsid w:val="00CA5606"/>
    <w:rsid w:val="00CB7A8D"/>
    <w:rsid w:val="00CC2F59"/>
    <w:rsid w:val="00CC3E09"/>
    <w:rsid w:val="00CD7686"/>
    <w:rsid w:val="00CF2063"/>
    <w:rsid w:val="00D06CF2"/>
    <w:rsid w:val="00D162F0"/>
    <w:rsid w:val="00D50814"/>
    <w:rsid w:val="00D622A0"/>
    <w:rsid w:val="00D70B35"/>
    <w:rsid w:val="00D7112A"/>
    <w:rsid w:val="00D836D1"/>
    <w:rsid w:val="00DD131D"/>
    <w:rsid w:val="00DF1BB5"/>
    <w:rsid w:val="00DF3909"/>
    <w:rsid w:val="00E24C56"/>
    <w:rsid w:val="00E72028"/>
    <w:rsid w:val="00E7752C"/>
    <w:rsid w:val="00E82C49"/>
    <w:rsid w:val="00E93B03"/>
    <w:rsid w:val="00E96637"/>
    <w:rsid w:val="00EC3EB0"/>
    <w:rsid w:val="00ED2037"/>
    <w:rsid w:val="00ED4568"/>
    <w:rsid w:val="00EE38AB"/>
    <w:rsid w:val="00EE4593"/>
    <w:rsid w:val="00F00366"/>
    <w:rsid w:val="00F329A9"/>
    <w:rsid w:val="00F33339"/>
    <w:rsid w:val="00F50F12"/>
    <w:rsid w:val="00F6054B"/>
    <w:rsid w:val="00F9141E"/>
    <w:rsid w:val="00FA282D"/>
    <w:rsid w:val="00FA6D07"/>
    <w:rsid w:val="00FB20DA"/>
    <w:rsid w:val="00FC7315"/>
    <w:rsid w:val="00FD6AD9"/>
    <w:rsid w:val="00FE7811"/>
    <w:rsid w:val="00FF44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EF0DD"/>
  <w15:docId w15:val="{3C7F5913-01F8-4BC5-8AE2-E030A39B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024A6"/>
    <w:pPr>
      <w:ind w:left="720"/>
      <w:contextualSpacing/>
    </w:pPr>
  </w:style>
  <w:style w:type="paragraph" w:styleId="Bibliography">
    <w:name w:val="Bibliography"/>
    <w:basedOn w:val="Normal"/>
    <w:next w:val="Normal"/>
    <w:uiPriority w:val="37"/>
    <w:unhideWhenUsed/>
    <w:rsid w:val="00527A06"/>
    <w:pPr>
      <w:spacing w:after="0" w:line="480" w:lineRule="auto"/>
      <w:ind w:left="720" w:hanging="720"/>
    </w:pPr>
  </w:style>
  <w:style w:type="paragraph" w:styleId="TOCHeading">
    <w:name w:val="TOC Heading"/>
    <w:basedOn w:val="Heading1"/>
    <w:next w:val="Normal"/>
    <w:uiPriority w:val="39"/>
    <w:unhideWhenUsed/>
    <w:qFormat/>
    <w:rsid w:val="000B15B3"/>
    <w:pPr>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0B15B3"/>
    <w:pPr>
      <w:spacing w:after="100"/>
    </w:pPr>
  </w:style>
  <w:style w:type="paragraph" w:styleId="TOC2">
    <w:name w:val="toc 2"/>
    <w:basedOn w:val="Normal"/>
    <w:next w:val="Normal"/>
    <w:autoRedefine/>
    <w:uiPriority w:val="39"/>
    <w:unhideWhenUsed/>
    <w:rsid w:val="000B15B3"/>
    <w:pPr>
      <w:spacing w:after="100"/>
      <w:ind w:left="220"/>
    </w:pPr>
  </w:style>
  <w:style w:type="character" w:styleId="Hyperlink">
    <w:name w:val="Hyperlink"/>
    <w:basedOn w:val="DefaultParagraphFont"/>
    <w:uiPriority w:val="99"/>
    <w:unhideWhenUsed/>
    <w:rsid w:val="000B15B3"/>
    <w:rPr>
      <w:color w:val="0000FF" w:themeColor="hyperlink"/>
      <w:u w:val="single"/>
    </w:rPr>
  </w:style>
  <w:style w:type="character" w:styleId="PlaceholderText">
    <w:name w:val="Placeholder Text"/>
    <w:basedOn w:val="DefaultParagraphFont"/>
    <w:uiPriority w:val="99"/>
    <w:semiHidden/>
    <w:rsid w:val="000F67AD"/>
    <w:rPr>
      <w:color w:val="666666"/>
    </w:rPr>
  </w:style>
  <w:style w:type="paragraph" w:styleId="Header">
    <w:name w:val="header"/>
    <w:basedOn w:val="Normal"/>
    <w:link w:val="HeaderChar"/>
    <w:uiPriority w:val="99"/>
    <w:unhideWhenUsed/>
    <w:rsid w:val="000D2B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BC6"/>
  </w:style>
  <w:style w:type="paragraph" w:styleId="Footer">
    <w:name w:val="footer"/>
    <w:basedOn w:val="Normal"/>
    <w:link w:val="FooterChar"/>
    <w:uiPriority w:val="99"/>
    <w:unhideWhenUsed/>
    <w:rsid w:val="000D2B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BC6"/>
  </w:style>
  <w:style w:type="table" w:styleId="TableGrid">
    <w:name w:val="Table Grid"/>
    <w:basedOn w:val="TableNormal"/>
    <w:uiPriority w:val="39"/>
    <w:rsid w:val="00B32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5A37EB"/>
    <w:pPr>
      <w:spacing w:before="36" w:after="36" w:line="240" w:lineRule="auto"/>
    </w:pPr>
    <w:rPr>
      <w:rFonts w:asciiTheme="minorHAnsi" w:eastAsiaTheme="minorHAnsi" w:hAnsiTheme="minorHAnsi" w:cstheme="minorBidi"/>
      <w:sz w:val="24"/>
      <w:szCs w:val="24"/>
      <w:lang w:val="en" w:eastAsia="en-US"/>
    </w:rPr>
  </w:style>
  <w:style w:type="table" w:customStyle="1" w:styleId="Table">
    <w:name w:val="Table"/>
    <w:semiHidden/>
    <w:unhideWhenUsed/>
    <w:qFormat/>
    <w:rsid w:val="005A37EB"/>
    <w:pPr>
      <w:spacing w:after="200" w:line="240" w:lineRule="auto"/>
    </w:pPr>
    <w:rPr>
      <w:rFonts w:asciiTheme="minorHAnsi" w:eastAsiaTheme="minorHAnsi" w:hAnsiTheme="minorHAnsi" w:cstheme="minorBidi"/>
      <w:sz w:val="24"/>
      <w:szCs w:val="24"/>
      <w:lang w:val="en"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5A37EB"/>
    <w:pPr>
      <w:spacing w:after="120"/>
    </w:pPr>
  </w:style>
  <w:style w:type="character" w:customStyle="1" w:styleId="BodyTextChar">
    <w:name w:val="Body Text Char"/>
    <w:basedOn w:val="DefaultParagraphFont"/>
    <w:link w:val="BodyText"/>
    <w:uiPriority w:val="99"/>
    <w:semiHidden/>
    <w:rsid w:val="005A37EB"/>
  </w:style>
  <w:style w:type="paragraph" w:customStyle="1" w:styleId="FirstParagraph">
    <w:name w:val="First Paragraph"/>
    <w:basedOn w:val="BodyText"/>
    <w:next w:val="BodyText"/>
    <w:qFormat/>
    <w:rsid w:val="0032120E"/>
    <w:pPr>
      <w:spacing w:before="180" w:after="180" w:line="240" w:lineRule="auto"/>
    </w:pPr>
    <w:rPr>
      <w:rFonts w:asciiTheme="minorHAnsi" w:eastAsiaTheme="minorHAnsi" w:hAnsiTheme="minorHAnsi" w:cstheme="minorBidi"/>
      <w:sz w:val="24"/>
      <w:szCs w:val="24"/>
      <w:lang w:val="en" w:eastAsia="en-US"/>
    </w:rPr>
  </w:style>
  <w:style w:type="character" w:customStyle="1" w:styleId="VerbatimChar">
    <w:name w:val="Verbatim Char"/>
    <w:basedOn w:val="DefaultParagraphFont"/>
    <w:link w:val="SourceCode"/>
    <w:rsid w:val="00BB118B"/>
    <w:rPr>
      <w:rFonts w:ascii="Consolas" w:hAnsi="Consolas"/>
    </w:rPr>
  </w:style>
  <w:style w:type="paragraph" w:customStyle="1" w:styleId="SourceCode">
    <w:name w:val="Source Code"/>
    <w:basedOn w:val="Normal"/>
    <w:link w:val="VerbatimChar"/>
    <w:rsid w:val="00BB118B"/>
    <w:pPr>
      <w:wordWrap w:val="0"/>
      <w:spacing w:after="200" w:line="240" w:lineRule="auto"/>
    </w:pPr>
    <w:rPr>
      <w:rFonts w:ascii="Consolas" w:hAnsi="Consolas"/>
    </w:rPr>
  </w:style>
  <w:style w:type="paragraph" w:styleId="TOC3">
    <w:name w:val="toc 3"/>
    <w:basedOn w:val="Normal"/>
    <w:next w:val="Normal"/>
    <w:autoRedefine/>
    <w:uiPriority w:val="39"/>
    <w:unhideWhenUsed/>
    <w:rsid w:val="00127A18"/>
    <w:pPr>
      <w:spacing w:after="100"/>
      <w:ind w:left="440"/>
    </w:pPr>
  </w:style>
  <w:style w:type="paragraph" w:styleId="NoSpacing">
    <w:name w:val="No Spacing"/>
    <w:uiPriority w:val="1"/>
    <w:qFormat/>
    <w:rsid w:val="00127A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B21CE3-E143-4645-AD9C-802D794B046F}">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3218089274"/>
    <we:property name="MENDELEY_CITATIONS" valu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48D8C-0012-4A4B-97ED-8B525447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33</Pages>
  <Words>9444</Words>
  <Characters>53832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Mochamad Iqbal</cp:lastModifiedBy>
  <cp:revision>177</cp:revision>
  <dcterms:created xsi:type="dcterms:W3CDTF">2025-08-13T11:50:00Z</dcterms:created>
  <dcterms:modified xsi:type="dcterms:W3CDTF">2026-03-31T23:22:00Z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e48ed1f6-c759-401d-8973-14d3a1a65ce8</vt:lpwstr>
  </property>
  <property fmtid="{D5CDD505-2E9C-101B-9397-08002B2CF9AE}" pid="3" name="ZOTERO_PREF_1">
    <vt:lpwstr>&lt;data data-version="3" zotero-version="7.0.32"&gt;&lt;session id="VoIbqQv5"/&gt;&lt;style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