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764" w:rsidRPr="0044370F" w:rsidRDefault="006F5A60" w:rsidP="006F5A60">
      <w:pPr>
        <w:jc w:val="center"/>
      </w:pPr>
      <w:r w:rsidRPr="0044370F">
        <w:rPr>
          <w:rFonts w:cs="Times New Roman"/>
          <w:noProof/>
          <w:color w:val="000000"/>
          <w:szCs w:val="24"/>
        </w:rPr>
        <w:drawing>
          <wp:inline distT="0" distB="0" distL="0" distR="0" wp14:anchorId="75C7CF4F" wp14:editId="0D68F500">
            <wp:extent cx="1806521" cy="1967309"/>
            <wp:effectExtent l="0" t="0" r="0" b="0"/>
            <wp:docPr id="219242608" name="image1.png" descr="A blue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219242608" name="image1.png" descr="A blue and white logo&#10;&#10;AI-generated content may be incorrect."/>
                    <pic:cNvPicPr preferRelativeResize="0"/>
                  </pic:nvPicPr>
                  <pic:blipFill>
                    <a:blip r:embed="rId8"/>
                    <a:srcRect/>
                    <a:stretch>
                      <a:fillRect/>
                    </a:stretch>
                  </pic:blipFill>
                  <pic:spPr>
                    <a:xfrm>
                      <a:off x="0" y="0"/>
                      <a:ext cx="1806521" cy="1967309"/>
                    </a:xfrm>
                    <a:prstGeom prst="rect">
                      <a:avLst/>
                    </a:prstGeom>
                    <a:ln/>
                  </pic:spPr>
                </pic:pic>
              </a:graphicData>
            </a:graphic>
          </wp:inline>
        </w:drawing>
      </w:r>
    </w:p>
    <w:p w:rsidR="00393ADD" w:rsidRPr="0044370F" w:rsidRDefault="00393ADD" w:rsidP="00393ADD">
      <w:pPr>
        <w:pBdr>
          <w:top w:val="nil"/>
          <w:left w:val="nil"/>
          <w:bottom w:val="nil"/>
          <w:right w:val="nil"/>
          <w:between w:val="nil"/>
        </w:pBdr>
        <w:spacing w:line="360" w:lineRule="auto"/>
        <w:jc w:val="center"/>
        <w:rPr>
          <w:rFonts w:eastAsia="Times New Roman" w:cstheme="minorHAnsi"/>
          <w:b/>
          <w:bCs/>
          <w:sz w:val="36"/>
          <w:szCs w:val="36"/>
          <w:lang w:eastAsia="en-IL"/>
        </w:rPr>
      </w:pPr>
      <w:r w:rsidRPr="0044370F">
        <w:rPr>
          <w:rFonts w:eastAsia="Times New Roman" w:cstheme="minorHAnsi"/>
          <w:b/>
          <w:bCs/>
          <w:sz w:val="36"/>
          <w:szCs w:val="36"/>
          <w:lang w:eastAsia="en-IL"/>
        </w:rPr>
        <w:t>Tech Empires and the New World Order</w:t>
      </w:r>
    </w:p>
    <w:p w:rsidR="00393ADD" w:rsidRPr="0044370F" w:rsidRDefault="00393ADD" w:rsidP="00393ADD">
      <w:pPr>
        <w:pBdr>
          <w:top w:val="nil"/>
          <w:left w:val="nil"/>
          <w:bottom w:val="nil"/>
          <w:right w:val="nil"/>
          <w:between w:val="nil"/>
        </w:pBdr>
        <w:spacing w:line="360" w:lineRule="auto"/>
        <w:jc w:val="center"/>
        <w:rPr>
          <w:rFonts w:cstheme="minorHAnsi"/>
          <w:color w:val="000000"/>
          <w:szCs w:val="24"/>
        </w:rPr>
      </w:pPr>
      <w:r w:rsidRPr="0044370F">
        <w:rPr>
          <w:rFonts w:eastAsia="Times New Roman" w:cstheme="minorHAnsi"/>
          <w:b/>
          <w:bCs/>
          <w:sz w:val="28"/>
          <w:szCs w:val="28"/>
          <w:lang w:eastAsia="en-IL"/>
        </w:rPr>
        <w:t>A Qualitative Comparative Study of Digital Corporations as Quasi-Sovereign Geopolitical Actors.</w:t>
      </w:r>
    </w:p>
    <w:p w:rsidR="00393ADD" w:rsidRPr="0044370F" w:rsidRDefault="00393ADD"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A Dissertation Presented</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by</w:t>
      </w:r>
    </w:p>
    <w:p w:rsidR="006F5A60" w:rsidRPr="0044370F" w:rsidRDefault="006F5A60" w:rsidP="006F5A60">
      <w:pPr>
        <w:pBdr>
          <w:top w:val="nil"/>
          <w:left w:val="nil"/>
          <w:bottom w:val="nil"/>
          <w:right w:val="nil"/>
          <w:between w:val="nil"/>
        </w:pBdr>
        <w:spacing w:line="360" w:lineRule="auto"/>
        <w:jc w:val="center"/>
        <w:rPr>
          <w:rFonts w:cs="Times New Roman"/>
          <w:b/>
          <w:bCs/>
          <w:color w:val="000000"/>
          <w:sz w:val="24"/>
          <w:szCs w:val="24"/>
        </w:rPr>
      </w:pPr>
      <w:r w:rsidRPr="0044370F">
        <w:rPr>
          <w:rFonts w:cs="Times New Roman"/>
          <w:b/>
          <w:bCs/>
          <w:color w:val="000000"/>
          <w:sz w:val="24"/>
          <w:szCs w:val="24"/>
        </w:rPr>
        <w:t>Bella Barda Bareket</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Submitted to the Swiss School of Business Research</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in partial fulfillment</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of the requirements for the degree of</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393ADD" w:rsidP="00393ADD">
      <w:pPr>
        <w:pBdr>
          <w:top w:val="nil"/>
          <w:left w:val="nil"/>
          <w:bottom w:val="nil"/>
          <w:right w:val="nil"/>
          <w:between w:val="nil"/>
        </w:pBdr>
        <w:spacing w:line="360" w:lineRule="auto"/>
        <w:jc w:val="center"/>
        <w:rPr>
          <w:rFonts w:cstheme="minorHAnsi"/>
          <w:b/>
          <w:bCs/>
          <w:sz w:val="24"/>
          <w:szCs w:val="24"/>
        </w:rPr>
      </w:pPr>
      <w:r w:rsidRPr="0044370F">
        <w:rPr>
          <w:rFonts w:cstheme="minorHAnsi"/>
          <w:b/>
          <w:bCs/>
          <w:sz w:val="24"/>
          <w:szCs w:val="24"/>
          <w:shd w:val="clear" w:color="auto" w:fill="FFFFFF"/>
        </w:rPr>
        <w:t>Doctor of Philosophy</w:t>
      </w:r>
      <w:r w:rsidR="006F5A60" w:rsidRPr="0044370F">
        <w:rPr>
          <w:rFonts w:cstheme="minorHAnsi"/>
          <w:b/>
          <w:bCs/>
          <w:sz w:val="24"/>
          <w:szCs w:val="24"/>
          <w:shd w:val="clear" w:color="auto" w:fill="FFFFFF"/>
        </w:rPr>
        <w:t xml:space="preserve"> in Management </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(PhD</w:t>
      </w:r>
      <w:r w:rsidR="00393ADD" w:rsidRPr="0044370F">
        <w:rPr>
          <w:rFonts w:cs="Times New Roman"/>
          <w:color w:val="000000"/>
          <w:szCs w:val="24"/>
        </w:rPr>
        <w:t xml:space="preserve"> in Management</w:t>
      </w:r>
      <w:r w:rsidRPr="0044370F">
        <w:rPr>
          <w:rFonts w:cs="Times New Roman"/>
          <w:color w:val="000000"/>
          <w:szCs w:val="24"/>
        </w:rPr>
        <w:t>)</w:t>
      </w:r>
    </w:p>
    <w:p w:rsidR="006F5A60" w:rsidRPr="0044370F" w:rsidRDefault="006F5A60" w:rsidP="006F5A60">
      <w:pPr>
        <w:pBdr>
          <w:top w:val="nil"/>
          <w:left w:val="nil"/>
          <w:bottom w:val="nil"/>
          <w:right w:val="nil"/>
          <w:between w:val="nil"/>
        </w:pBdr>
        <w:tabs>
          <w:tab w:val="left" w:pos="7800"/>
        </w:tabs>
        <w:spacing w:line="360" w:lineRule="auto"/>
        <w:rPr>
          <w:rFonts w:cs="Times New Roman"/>
          <w:color w:val="000000"/>
          <w:szCs w:val="24"/>
        </w:rPr>
      </w:pPr>
      <w:r w:rsidRPr="0044370F">
        <w:rPr>
          <w:rFonts w:cs="Times New Roman"/>
          <w:color w:val="000000"/>
          <w:szCs w:val="24"/>
        </w:rPr>
        <w:tab/>
      </w:r>
    </w:p>
    <w:p w:rsidR="006F5A60" w:rsidRPr="0044370F" w:rsidRDefault="006F5A60" w:rsidP="006F5A60">
      <w:pPr>
        <w:pBdr>
          <w:top w:val="nil"/>
          <w:left w:val="nil"/>
          <w:bottom w:val="nil"/>
          <w:right w:val="nil"/>
          <w:between w:val="nil"/>
        </w:pBdr>
        <w:spacing w:line="360" w:lineRule="auto"/>
        <w:jc w:val="center"/>
        <w:rPr>
          <w:rFonts w:cs="Times New Roman"/>
          <w:b/>
          <w:bCs/>
          <w:color w:val="000000"/>
          <w:sz w:val="24"/>
          <w:szCs w:val="24"/>
        </w:rPr>
      </w:pPr>
      <w:r w:rsidRPr="0044370F">
        <w:rPr>
          <w:rFonts w:cs="Times New Roman"/>
          <w:b/>
          <w:bCs/>
          <w:color w:val="000000"/>
          <w:sz w:val="24"/>
          <w:szCs w:val="24"/>
        </w:rPr>
        <w:t>2026</w:t>
      </w:r>
    </w:p>
    <w:p w:rsidR="006F5A60" w:rsidRPr="0044370F" w:rsidRDefault="006F5A60" w:rsidP="0060194B">
      <w:pPr>
        <w:jc w:val="center"/>
        <w:rPr>
          <w:rFonts w:cs="Times New Roman"/>
          <w:color w:val="000000"/>
          <w:szCs w:val="24"/>
        </w:rPr>
      </w:pPr>
      <w:r w:rsidRPr="0044370F">
        <w:br w:type="page"/>
      </w:r>
      <w:r w:rsidRPr="0044370F">
        <w:rPr>
          <w:rFonts w:cs="Times New Roman"/>
          <w:color w:val="000000"/>
          <w:szCs w:val="24"/>
        </w:rPr>
        <w:lastRenderedPageBreak/>
        <w:t>© Copyright by Bella Barda Bareket, 2026</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heme="minorHAnsi"/>
          <w:color w:val="000000"/>
          <w:szCs w:val="24"/>
        </w:rPr>
      </w:pPr>
      <w:r w:rsidRPr="0044370F">
        <w:rPr>
          <w:rFonts w:cstheme="minorHAnsi"/>
          <w:color w:val="000000"/>
          <w:szCs w:val="24"/>
        </w:rPr>
        <w:t>All Rights Reserved</w:t>
      </w:r>
    </w:p>
    <w:p w:rsidR="00393ADD" w:rsidRPr="0044370F" w:rsidRDefault="00393ADD" w:rsidP="006F5A60">
      <w:pPr>
        <w:pBdr>
          <w:top w:val="nil"/>
          <w:left w:val="nil"/>
          <w:bottom w:val="nil"/>
          <w:right w:val="nil"/>
          <w:between w:val="nil"/>
        </w:pBdr>
        <w:spacing w:line="360" w:lineRule="auto"/>
        <w:jc w:val="center"/>
        <w:rPr>
          <w:rFonts w:cstheme="minorHAnsi"/>
          <w:color w:val="000000"/>
          <w:szCs w:val="24"/>
        </w:rPr>
      </w:pPr>
    </w:p>
    <w:p w:rsidR="00393ADD" w:rsidRPr="0044370F" w:rsidRDefault="00393ADD" w:rsidP="00393ADD">
      <w:pPr>
        <w:pBdr>
          <w:top w:val="nil"/>
          <w:left w:val="nil"/>
          <w:bottom w:val="nil"/>
          <w:right w:val="nil"/>
          <w:between w:val="nil"/>
        </w:pBdr>
        <w:spacing w:line="360" w:lineRule="auto"/>
        <w:jc w:val="center"/>
        <w:rPr>
          <w:rFonts w:eastAsia="Times New Roman" w:cstheme="minorHAnsi"/>
          <w:b/>
          <w:bCs/>
          <w:sz w:val="36"/>
          <w:szCs w:val="36"/>
          <w:lang w:eastAsia="en-IL"/>
        </w:rPr>
      </w:pPr>
      <w:r w:rsidRPr="0044370F">
        <w:rPr>
          <w:rFonts w:eastAsia="Times New Roman" w:cstheme="minorHAnsi"/>
          <w:b/>
          <w:bCs/>
          <w:sz w:val="36"/>
          <w:szCs w:val="36"/>
          <w:lang w:eastAsia="en-IL"/>
        </w:rPr>
        <w:t>Tech Empires and the New World Order</w:t>
      </w:r>
    </w:p>
    <w:p w:rsidR="006F5A60" w:rsidRPr="0044370F" w:rsidRDefault="00393ADD" w:rsidP="00393ADD">
      <w:pPr>
        <w:pBdr>
          <w:top w:val="nil"/>
          <w:left w:val="nil"/>
          <w:bottom w:val="nil"/>
          <w:right w:val="nil"/>
          <w:between w:val="nil"/>
        </w:pBdr>
        <w:spacing w:line="360" w:lineRule="auto"/>
        <w:jc w:val="center"/>
        <w:rPr>
          <w:rFonts w:cstheme="minorHAnsi"/>
          <w:color w:val="000000"/>
          <w:szCs w:val="24"/>
        </w:rPr>
      </w:pPr>
      <w:r w:rsidRPr="0044370F">
        <w:rPr>
          <w:rFonts w:eastAsia="Times New Roman" w:cstheme="minorHAnsi"/>
          <w:b/>
          <w:bCs/>
          <w:sz w:val="28"/>
          <w:szCs w:val="28"/>
          <w:lang w:eastAsia="en-IL"/>
        </w:rPr>
        <w:t>A Qualitative Comparative Study of Digital Corporations as Quasi-Sovereign Geopolitical Actors.</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A Dissertation Presented</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r w:rsidRPr="0044370F">
        <w:rPr>
          <w:rFonts w:cs="Times New Roman"/>
          <w:color w:val="000000"/>
          <w:szCs w:val="24"/>
        </w:rPr>
        <w:t>by</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imes New Roman"/>
          <w:b/>
          <w:bCs/>
          <w:color w:val="000000"/>
          <w:szCs w:val="24"/>
        </w:rPr>
      </w:pPr>
      <w:r w:rsidRPr="0044370F">
        <w:rPr>
          <w:rFonts w:cs="Times New Roman"/>
          <w:b/>
          <w:bCs/>
          <w:color w:val="000000"/>
          <w:szCs w:val="24"/>
        </w:rPr>
        <w:t>Bella Barda Bareket</w:t>
      </w: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jc w:val="center"/>
        <w:rPr>
          <w:rFonts w:cs="Times New Roman"/>
          <w:color w:val="000000"/>
          <w:szCs w:val="24"/>
        </w:rPr>
      </w:pPr>
    </w:p>
    <w:p w:rsidR="006F5A60" w:rsidRPr="0044370F" w:rsidRDefault="006F5A60" w:rsidP="006F5A60">
      <w:pPr>
        <w:pBdr>
          <w:top w:val="nil"/>
          <w:left w:val="nil"/>
          <w:bottom w:val="nil"/>
          <w:right w:val="nil"/>
          <w:between w:val="nil"/>
        </w:pBdr>
        <w:spacing w:line="360" w:lineRule="auto"/>
        <w:rPr>
          <w:rFonts w:cs="Times New Roman"/>
          <w:color w:val="000000"/>
          <w:szCs w:val="24"/>
        </w:rPr>
      </w:pPr>
    </w:p>
    <w:p w:rsidR="006F5A60" w:rsidRPr="0044370F" w:rsidRDefault="006F5A60" w:rsidP="006F5A60">
      <w:pPr>
        <w:spacing w:line="360" w:lineRule="auto"/>
        <w:jc w:val="center"/>
        <w:rPr>
          <w:rFonts w:cs="Times New Roman"/>
          <w:szCs w:val="24"/>
        </w:rPr>
      </w:pPr>
      <w:r w:rsidRPr="0044370F">
        <w:rPr>
          <w:rFonts w:cs="Times New Roman"/>
          <w:szCs w:val="24"/>
        </w:rPr>
        <w:t>Approved as to style and content by:</w:t>
      </w:r>
    </w:p>
    <w:p w:rsidR="006F5A60" w:rsidRPr="0044370F" w:rsidRDefault="006F5A60" w:rsidP="006F5A60">
      <w:pPr>
        <w:spacing w:line="360" w:lineRule="auto"/>
        <w:jc w:val="center"/>
        <w:rPr>
          <w:rFonts w:cs="Times New Roman"/>
          <w:szCs w:val="24"/>
        </w:rPr>
      </w:pPr>
    </w:p>
    <w:p w:rsidR="006F5A60" w:rsidRPr="0044370F" w:rsidRDefault="006F5A60" w:rsidP="006F5A60">
      <w:pPr>
        <w:spacing w:line="360" w:lineRule="auto"/>
        <w:jc w:val="center"/>
        <w:rPr>
          <w:rFonts w:cs="Times New Roman"/>
          <w:szCs w:val="24"/>
        </w:rPr>
      </w:pPr>
    </w:p>
    <w:p w:rsidR="006F5A60" w:rsidRPr="0044370F" w:rsidRDefault="006F5A60" w:rsidP="006F5A60">
      <w:pPr>
        <w:tabs>
          <w:tab w:val="left" w:pos="4320"/>
        </w:tabs>
        <w:spacing w:line="360" w:lineRule="auto"/>
        <w:ind w:left="-72"/>
        <w:jc w:val="center"/>
        <w:rPr>
          <w:rFonts w:cs="Times New Roman"/>
          <w:szCs w:val="24"/>
        </w:rPr>
      </w:pPr>
    </w:p>
    <w:p w:rsidR="006F5A60" w:rsidRPr="0044370F" w:rsidRDefault="006F5A60" w:rsidP="006F5A60">
      <w:pPr>
        <w:tabs>
          <w:tab w:val="left" w:pos="5040"/>
        </w:tabs>
        <w:spacing w:line="360" w:lineRule="auto"/>
        <w:jc w:val="center"/>
        <w:rPr>
          <w:rFonts w:cs="Times New Roman"/>
          <w:b/>
          <w:bCs/>
          <w:szCs w:val="24"/>
        </w:rPr>
      </w:pPr>
      <w:r w:rsidRPr="0044370F">
        <w:rPr>
          <w:rFonts w:cs="Times New Roman"/>
          <w:b/>
          <w:bCs/>
          <w:szCs w:val="24"/>
        </w:rPr>
        <w:t>Professor James Punch</w:t>
      </w:r>
    </w:p>
    <w:p w:rsidR="006F5A60" w:rsidRPr="0044370F" w:rsidRDefault="006F5A60" w:rsidP="00816B26">
      <w:pPr>
        <w:pStyle w:val="2"/>
        <w:rPr>
          <w:rFonts w:eastAsia="Times New Roman"/>
          <w:b w:val="0"/>
        </w:rPr>
      </w:pPr>
      <w:bookmarkStart w:id="0" w:name="_Toc222652689"/>
      <w:r w:rsidRPr="0044370F">
        <w:rPr>
          <w:rFonts w:eastAsia="Times New Roman"/>
        </w:rPr>
        <w:lastRenderedPageBreak/>
        <w:t>A</w:t>
      </w:r>
      <w:r w:rsidR="00816B26" w:rsidRPr="0044370F">
        <w:rPr>
          <w:rFonts w:eastAsia="Times New Roman"/>
        </w:rPr>
        <w:t>BSTRACT</w:t>
      </w:r>
      <w:bookmarkEnd w:id="0"/>
    </w:p>
    <w:p w:rsidR="006F5A60" w:rsidRPr="0044370F" w:rsidRDefault="006F5A60" w:rsidP="006F5A60">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dissertation examines a central transformation in contemporary global governance: the emergence of multinational technology corporations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 xml:space="preserve"> within the international system. Moving beyond state-centric and market-centric explanations, the study investigates how certain technology firms increasingly exercise authority traditionally associated with sovereignty, without possessing formal statehood, territorial jurisdiction, or legal sovereignty.</w:t>
      </w:r>
    </w:p>
    <w:p w:rsidR="006F5A60" w:rsidRPr="0044370F" w:rsidRDefault="006F5A60" w:rsidP="006F5A60">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dissertation advances a conceptual framework that </w:t>
      </w:r>
      <w:proofErr w:type="spellStart"/>
      <w:r w:rsidRPr="0044370F">
        <w:rPr>
          <w:rFonts w:ascii="Times New Roman" w:eastAsia="Times New Roman" w:hAnsi="Times New Roman" w:cs="Times New Roman"/>
          <w:sz w:val="24"/>
          <w:szCs w:val="24"/>
        </w:rPr>
        <w:t>reconceptualizes</w:t>
      </w:r>
      <w:proofErr w:type="spellEnd"/>
      <w:r w:rsidRPr="0044370F">
        <w:rPr>
          <w:rFonts w:ascii="Times New Roman" w:eastAsia="Times New Roman" w:hAnsi="Times New Roman" w:cs="Times New Roman"/>
          <w:sz w:val="24"/>
          <w:szCs w:val="24"/>
        </w:rPr>
        <w:t xml:space="preserve"> sovereignty as a distributed, relational, and infrastructural form of authority, enacted through control over socio-technical systems rather than through formal political institutions. It argues that sovereignty in the digital age is not disappearing, but being reconfigured and exercised through infrastructures, standards, and organizational architectures that structure social, economic, and political life across borders.</w:t>
      </w:r>
    </w:p>
    <w:p w:rsidR="006F5A60" w:rsidRPr="0044370F" w:rsidRDefault="006F5A60" w:rsidP="006F5A60">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To capture this transformation, the study develops a </w:t>
      </w:r>
      <w:r w:rsidRPr="0044370F">
        <w:rPr>
          <w:rFonts w:ascii="Times New Roman" w:eastAsia="Times New Roman" w:hAnsi="Times New Roman" w:cs="Times New Roman"/>
          <w:i/>
          <w:iCs/>
          <w:sz w:val="24"/>
          <w:szCs w:val="24"/>
        </w:rPr>
        <w:t>four-dimensional analytical framework</w:t>
      </w:r>
      <w:r w:rsidRPr="0044370F">
        <w:rPr>
          <w:rFonts w:ascii="Times New Roman" w:eastAsia="Times New Roman" w:hAnsi="Times New Roman" w:cs="Times New Roman"/>
          <w:sz w:val="24"/>
          <w:szCs w:val="24"/>
        </w:rPr>
        <w:t xml:space="preserve"> of corporate quasi-sovereignty, consisting of: (1) strategic resource control, (2) structural embeddedness, (3) normative legitimacy, and (4) infrastructural power. Rather than treating corporate power as a singular or uniform phenomenon, the framework conceptualizes quasi-sovereignty as a configurational condition that emerges when these dimensions converge in stable and mutually reinforcing ways.</w:t>
      </w:r>
    </w:p>
    <w:p w:rsidR="006F5A60" w:rsidRPr="0044370F" w:rsidRDefault="006F5A60" w:rsidP="006F5A60">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Empirically, the dissertation employs a qualitative, document-based comparative case study design, examining three multinational technology corporations operating in distinct geopolitical and institutional contexts: Meta Inc. (United States), Huawei Technologies (China), and SAP SE (Europe). These cases were selected to maximize variation across sectoral roles, political environments, and modes of interaction with state authority. The comparative analysis demonstrates that while all three firms exhibit sovereignty-like capacities, they do so through distinct configurations of authority: platform-based governance of digital public discourse (Meta), state-aligned control over critical communication infrastructure (Huawei), and standards-based, institutionalized governance embedded within enterprise and public administration systems (SAP).</w:t>
      </w:r>
    </w:p>
    <w:p w:rsidR="006F5A60" w:rsidRPr="0044370F" w:rsidRDefault="006F5A60" w:rsidP="006F5A60">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The findings show that corporate quasi-sovereignty is neither absolute nor uniform, but context-dependent, contested, and continuously negotiated in relation to state power. The dissertation contributes to international relations, political economy, and technology studies by offering a systematic and </w:t>
      </w:r>
      <w:proofErr w:type="spellStart"/>
      <w:r w:rsidRPr="0044370F">
        <w:rPr>
          <w:rFonts w:ascii="Times New Roman" w:eastAsia="Times New Roman" w:hAnsi="Times New Roman" w:cs="Times New Roman"/>
          <w:sz w:val="24"/>
          <w:szCs w:val="24"/>
        </w:rPr>
        <w:t>operationalizable</w:t>
      </w:r>
      <w:proofErr w:type="spellEnd"/>
      <w:r w:rsidRPr="0044370F">
        <w:rPr>
          <w:rFonts w:ascii="Times New Roman" w:eastAsia="Times New Roman" w:hAnsi="Times New Roman" w:cs="Times New Roman"/>
          <w:sz w:val="24"/>
          <w:szCs w:val="24"/>
        </w:rPr>
        <w:t xml:space="preserve"> framework for analyzing non-state authority, extending theories of sovereignty beyond territorial and legal paradigms while avoiding conceptual overextension.</w:t>
      </w:r>
    </w:p>
    <w:p w:rsidR="006F5A60" w:rsidRPr="0044370F" w:rsidRDefault="006F5A60" w:rsidP="006F5A60">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foregrounding infrastructures, standards, and socio-technical systems as central sites of contemporary authority, this study provides a refined analytical lens for understanding how power, governance, and sovereignty are being reconfigured in the digital age.</w:t>
      </w:r>
    </w:p>
    <w:p w:rsidR="00D624E8" w:rsidRPr="0044370F" w:rsidRDefault="00D624E8">
      <w:r w:rsidRPr="0044370F">
        <w:br w:type="page"/>
      </w:r>
    </w:p>
    <w:p w:rsidR="00D624E8" w:rsidRPr="0044370F" w:rsidRDefault="00D624E8" w:rsidP="006D666E">
      <w:pPr>
        <w:pStyle w:val="2"/>
        <w:rPr>
          <w:rFonts w:eastAsia="Calibri"/>
        </w:rPr>
      </w:pPr>
      <w:bookmarkStart w:id="1" w:name="_Toc203852122"/>
      <w:bookmarkStart w:id="2" w:name="_Toc215662229"/>
      <w:bookmarkStart w:id="3" w:name="_Toc222652690"/>
      <w:r w:rsidRPr="0044370F">
        <w:rPr>
          <w:rFonts w:eastAsia="Calibri"/>
        </w:rPr>
        <w:lastRenderedPageBreak/>
        <w:t>TABLE OF CONTENT</w:t>
      </w:r>
      <w:bookmarkEnd w:id="1"/>
      <w:bookmarkEnd w:id="2"/>
      <w:bookmarkEnd w:id="3"/>
    </w:p>
    <w:p w:rsidR="00816B26" w:rsidRPr="0044370F" w:rsidRDefault="00816B26"/>
    <w:sdt>
      <w:sdtPr>
        <w:rPr>
          <w:rFonts w:asciiTheme="minorHAnsi" w:eastAsiaTheme="minorHAnsi" w:hAnsiTheme="minorHAnsi" w:cstheme="minorBidi"/>
          <w:b w:val="0"/>
          <w:sz w:val="22"/>
          <w:szCs w:val="22"/>
          <w:cs w:val="0"/>
          <w:lang w:val="he-IL"/>
        </w:rPr>
        <w:id w:val="1723480276"/>
        <w:docPartObj>
          <w:docPartGallery w:val="Table of Contents"/>
          <w:docPartUnique/>
        </w:docPartObj>
      </w:sdtPr>
      <w:sdtEndPr>
        <w:rPr>
          <w:bCs/>
          <w:rtl w:val="0"/>
        </w:rPr>
      </w:sdtEndPr>
      <w:sdtContent>
        <w:p w:rsidR="00816B26" w:rsidRPr="0044370F" w:rsidRDefault="00816B26" w:rsidP="00816B26">
          <w:pPr>
            <w:pStyle w:val="aa"/>
            <w:rPr>
              <w:cs w:val="0"/>
            </w:rPr>
          </w:pPr>
        </w:p>
        <w:p w:rsidR="00045A40" w:rsidRDefault="00816B26">
          <w:pPr>
            <w:pStyle w:val="TOC2"/>
            <w:tabs>
              <w:tab w:val="right" w:leader="dot" w:pos="9350"/>
            </w:tabs>
            <w:rPr>
              <w:rFonts w:eastAsiaTheme="minorEastAsia"/>
              <w:noProof/>
            </w:rPr>
          </w:pPr>
          <w:r w:rsidRPr="0044370F">
            <w:fldChar w:fldCharType="begin"/>
          </w:r>
          <w:r w:rsidRPr="0044370F">
            <w:instrText xml:space="preserve"> TOC \o "1-3" \h \z \u </w:instrText>
          </w:r>
          <w:r w:rsidRPr="0044370F">
            <w:fldChar w:fldCharType="separate"/>
          </w:r>
          <w:hyperlink w:anchor="_Toc222652689" w:history="1">
            <w:r w:rsidR="00045A40" w:rsidRPr="00181C7D">
              <w:rPr>
                <w:rStyle w:val="Hyperlink"/>
                <w:rFonts w:eastAsia="Times New Roman"/>
                <w:noProof/>
              </w:rPr>
              <w:t>ABSTRACT</w:t>
            </w:r>
            <w:r w:rsidR="00045A40">
              <w:rPr>
                <w:noProof/>
                <w:webHidden/>
              </w:rPr>
              <w:tab/>
            </w:r>
            <w:r w:rsidR="00045A40">
              <w:rPr>
                <w:noProof/>
                <w:webHidden/>
              </w:rPr>
              <w:fldChar w:fldCharType="begin"/>
            </w:r>
            <w:r w:rsidR="00045A40">
              <w:rPr>
                <w:noProof/>
                <w:webHidden/>
              </w:rPr>
              <w:instrText xml:space="preserve"> PAGEREF _Toc222652689 \h </w:instrText>
            </w:r>
            <w:r w:rsidR="00045A40">
              <w:rPr>
                <w:noProof/>
                <w:webHidden/>
              </w:rPr>
            </w:r>
            <w:r w:rsidR="00045A40">
              <w:rPr>
                <w:noProof/>
                <w:webHidden/>
              </w:rPr>
              <w:fldChar w:fldCharType="separate"/>
            </w:r>
            <w:r w:rsidR="00DD2B4E">
              <w:rPr>
                <w:noProof/>
                <w:webHidden/>
              </w:rPr>
              <w:t>3</w:t>
            </w:r>
            <w:r w:rsidR="00045A40">
              <w:rPr>
                <w:noProof/>
                <w:webHidden/>
              </w:rPr>
              <w:fldChar w:fldCharType="end"/>
            </w:r>
          </w:hyperlink>
        </w:p>
        <w:p w:rsidR="00045A40" w:rsidRDefault="00045A40">
          <w:pPr>
            <w:pStyle w:val="TOC2"/>
            <w:tabs>
              <w:tab w:val="right" w:leader="dot" w:pos="9350"/>
            </w:tabs>
            <w:rPr>
              <w:rFonts w:eastAsiaTheme="minorEastAsia"/>
              <w:noProof/>
            </w:rPr>
          </w:pPr>
          <w:hyperlink w:anchor="_Toc222652690" w:history="1">
            <w:r w:rsidRPr="00181C7D">
              <w:rPr>
                <w:rStyle w:val="Hyperlink"/>
                <w:rFonts w:eastAsia="Calibri"/>
                <w:noProof/>
              </w:rPr>
              <w:t>TABLE OF CONTENT</w:t>
            </w:r>
            <w:r>
              <w:rPr>
                <w:noProof/>
                <w:webHidden/>
              </w:rPr>
              <w:tab/>
            </w:r>
            <w:r>
              <w:rPr>
                <w:noProof/>
                <w:webHidden/>
              </w:rPr>
              <w:fldChar w:fldCharType="begin"/>
            </w:r>
            <w:r>
              <w:rPr>
                <w:noProof/>
                <w:webHidden/>
              </w:rPr>
              <w:instrText xml:space="preserve"> PAGEREF _Toc222652690 \h </w:instrText>
            </w:r>
            <w:r>
              <w:rPr>
                <w:noProof/>
                <w:webHidden/>
              </w:rPr>
            </w:r>
            <w:r>
              <w:rPr>
                <w:noProof/>
                <w:webHidden/>
              </w:rPr>
              <w:fldChar w:fldCharType="separate"/>
            </w:r>
            <w:r w:rsidR="00DD2B4E">
              <w:rPr>
                <w:noProof/>
                <w:webHidden/>
              </w:rPr>
              <w:t>5</w:t>
            </w:r>
            <w:r>
              <w:rPr>
                <w:noProof/>
                <w:webHidden/>
              </w:rPr>
              <w:fldChar w:fldCharType="end"/>
            </w:r>
          </w:hyperlink>
        </w:p>
        <w:p w:rsidR="00045A40" w:rsidRDefault="00045A40">
          <w:pPr>
            <w:pStyle w:val="TOC2"/>
            <w:tabs>
              <w:tab w:val="right" w:leader="dot" w:pos="9350"/>
            </w:tabs>
            <w:rPr>
              <w:rFonts w:eastAsiaTheme="minorEastAsia"/>
              <w:noProof/>
            </w:rPr>
          </w:pPr>
          <w:hyperlink w:anchor="_Toc222652691" w:history="1">
            <w:r w:rsidRPr="00181C7D">
              <w:rPr>
                <w:rStyle w:val="Hyperlink"/>
                <w:noProof/>
              </w:rPr>
              <w:t>LIST OF TABLES</w:t>
            </w:r>
            <w:r>
              <w:rPr>
                <w:noProof/>
                <w:webHidden/>
              </w:rPr>
              <w:tab/>
            </w:r>
            <w:r>
              <w:rPr>
                <w:noProof/>
                <w:webHidden/>
              </w:rPr>
              <w:fldChar w:fldCharType="begin"/>
            </w:r>
            <w:r>
              <w:rPr>
                <w:noProof/>
                <w:webHidden/>
              </w:rPr>
              <w:instrText xml:space="preserve"> PAGEREF _Toc222652691 \h </w:instrText>
            </w:r>
            <w:r>
              <w:rPr>
                <w:noProof/>
                <w:webHidden/>
              </w:rPr>
            </w:r>
            <w:r>
              <w:rPr>
                <w:noProof/>
                <w:webHidden/>
              </w:rPr>
              <w:fldChar w:fldCharType="separate"/>
            </w:r>
            <w:r w:rsidR="00DD2B4E">
              <w:rPr>
                <w:noProof/>
                <w:webHidden/>
              </w:rPr>
              <w:t>12</w:t>
            </w:r>
            <w:r>
              <w:rPr>
                <w:noProof/>
                <w:webHidden/>
              </w:rPr>
              <w:fldChar w:fldCharType="end"/>
            </w:r>
          </w:hyperlink>
        </w:p>
        <w:p w:rsidR="00045A40" w:rsidRDefault="00045A40">
          <w:pPr>
            <w:pStyle w:val="TOC2"/>
            <w:tabs>
              <w:tab w:val="right" w:leader="dot" w:pos="9350"/>
            </w:tabs>
            <w:rPr>
              <w:rFonts w:eastAsiaTheme="minorEastAsia"/>
              <w:noProof/>
            </w:rPr>
          </w:pPr>
          <w:hyperlink w:anchor="_Toc222652692" w:history="1">
            <w:r w:rsidRPr="00181C7D">
              <w:rPr>
                <w:rStyle w:val="Hyperlink"/>
                <w:noProof/>
              </w:rPr>
              <w:t>LIST OF FIGURES</w:t>
            </w:r>
            <w:r>
              <w:rPr>
                <w:noProof/>
                <w:webHidden/>
              </w:rPr>
              <w:tab/>
            </w:r>
            <w:r>
              <w:rPr>
                <w:noProof/>
                <w:webHidden/>
              </w:rPr>
              <w:fldChar w:fldCharType="begin"/>
            </w:r>
            <w:r>
              <w:rPr>
                <w:noProof/>
                <w:webHidden/>
              </w:rPr>
              <w:instrText xml:space="preserve"> PAGEREF _Toc222652692 \h </w:instrText>
            </w:r>
            <w:r>
              <w:rPr>
                <w:noProof/>
                <w:webHidden/>
              </w:rPr>
            </w:r>
            <w:r>
              <w:rPr>
                <w:noProof/>
                <w:webHidden/>
              </w:rPr>
              <w:fldChar w:fldCharType="separate"/>
            </w:r>
            <w:r w:rsidR="00DD2B4E">
              <w:rPr>
                <w:noProof/>
                <w:webHidden/>
              </w:rPr>
              <w:t>13</w:t>
            </w:r>
            <w:r>
              <w:rPr>
                <w:noProof/>
                <w:webHidden/>
              </w:rPr>
              <w:fldChar w:fldCharType="end"/>
            </w:r>
          </w:hyperlink>
        </w:p>
        <w:p w:rsidR="00045A40" w:rsidRDefault="00045A40">
          <w:pPr>
            <w:pStyle w:val="TOC2"/>
            <w:tabs>
              <w:tab w:val="right" w:leader="dot" w:pos="9350"/>
            </w:tabs>
            <w:rPr>
              <w:rFonts w:eastAsiaTheme="minorEastAsia"/>
              <w:noProof/>
            </w:rPr>
          </w:pPr>
          <w:hyperlink w:anchor="_Toc222652693" w:history="1">
            <w:r w:rsidRPr="00181C7D">
              <w:rPr>
                <w:rStyle w:val="Hyperlink"/>
                <w:rFonts w:eastAsia="Times New Roman"/>
                <w:noProof/>
              </w:rPr>
              <w:t>Dedication</w:t>
            </w:r>
            <w:r>
              <w:rPr>
                <w:noProof/>
                <w:webHidden/>
              </w:rPr>
              <w:tab/>
            </w:r>
            <w:r>
              <w:rPr>
                <w:noProof/>
                <w:webHidden/>
              </w:rPr>
              <w:fldChar w:fldCharType="begin"/>
            </w:r>
            <w:r>
              <w:rPr>
                <w:noProof/>
                <w:webHidden/>
              </w:rPr>
              <w:instrText xml:space="preserve"> PAGEREF _Toc222652693 \h </w:instrText>
            </w:r>
            <w:r>
              <w:rPr>
                <w:noProof/>
                <w:webHidden/>
              </w:rPr>
            </w:r>
            <w:r>
              <w:rPr>
                <w:noProof/>
                <w:webHidden/>
              </w:rPr>
              <w:fldChar w:fldCharType="separate"/>
            </w:r>
            <w:r w:rsidR="00DD2B4E">
              <w:rPr>
                <w:noProof/>
                <w:webHidden/>
              </w:rPr>
              <w:t>14</w:t>
            </w:r>
            <w:r>
              <w:rPr>
                <w:noProof/>
                <w:webHidden/>
              </w:rPr>
              <w:fldChar w:fldCharType="end"/>
            </w:r>
          </w:hyperlink>
        </w:p>
        <w:p w:rsidR="00045A40" w:rsidRDefault="00045A40">
          <w:pPr>
            <w:pStyle w:val="TOC2"/>
            <w:tabs>
              <w:tab w:val="right" w:leader="dot" w:pos="9350"/>
            </w:tabs>
            <w:rPr>
              <w:rFonts w:eastAsiaTheme="minorEastAsia"/>
              <w:noProof/>
            </w:rPr>
          </w:pPr>
          <w:hyperlink w:anchor="_Toc222652694" w:history="1">
            <w:r w:rsidRPr="00181C7D">
              <w:rPr>
                <w:rStyle w:val="Hyperlink"/>
                <w:rFonts w:eastAsia="Times New Roman"/>
                <w:noProof/>
              </w:rPr>
              <w:t>Personal Note and Acknowledgements</w:t>
            </w:r>
            <w:r>
              <w:rPr>
                <w:noProof/>
                <w:webHidden/>
              </w:rPr>
              <w:tab/>
            </w:r>
            <w:r>
              <w:rPr>
                <w:noProof/>
                <w:webHidden/>
              </w:rPr>
              <w:fldChar w:fldCharType="begin"/>
            </w:r>
            <w:r>
              <w:rPr>
                <w:noProof/>
                <w:webHidden/>
              </w:rPr>
              <w:instrText xml:space="preserve"> PAGEREF _Toc222652694 \h </w:instrText>
            </w:r>
            <w:r>
              <w:rPr>
                <w:noProof/>
                <w:webHidden/>
              </w:rPr>
            </w:r>
            <w:r>
              <w:rPr>
                <w:noProof/>
                <w:webHidden/>
              </w:rPr>
              <w:fldChar w:fldCharType="separate"/>
            </w:r>
            <w:r w:rsidR="00DD2B4E">
              <w:rPr>
                <w:noProof/>
                <w:webHidden/>
              </w:rPr>
              <w:t>15</w:t>
            </w:r>
            <w:r>
              <w:rPr>
                <w:noProof/>
                <w:webHidden/>
              </w:rPr>
              <w:fldChar w:fldCharType="end"/>
            </w:r>
          </w:hyperlink>
        </w:p>
        <w:p w:rsidR="00045A40" w:rsidRDefault="00045A40">
          <w:pPr>
            <w:pStyle w:val="TOC2"/>
            <w:tabs>
              <w:tab w:val="right" w:leader="dot" w:pos="9350"/>
            </w:tabs>
            <w:rPr>
              <w:rFonts w:eastAsiaTheme="minorEastAsia"/>
              <w:noProof/>
            </w:rPr>
          </w:pPr>
          <w:hyperlink w:anchor="_Toc222652695" w:history="1">
            <w:r w:rsidRPr="00181C7D">
              <w:rPr>
                <w:rStyle w:val="Hyperlink"/>
                <w:rFonts w:eastAsia="Times New Roman"/>
                <w:noProof/>
              </w:rPr>
              <w:t>List of Abbreviations and Acronyms</w:t>
            </w:r>
            <w:r>
              <w:rPr>
                <w:noProof/>
                <w:webHidden/>
              </w:rPr>
              <w:tab/>
            </w:r>
            <w:r>
              <w:rPr>
                <w:noProof/>
                <w:webHidden/>
              </w:rPr>
              <w:fldChar w:fldCharType="begin"/>
            </w:r>
            <w:r>
              <w:rPr>
                <w:noProof/>
                <w:webHidden/>
              </w:rPr>
              <w:instrText xml:space="preserve"> PAGEREF _Toc222652695 \h </w:instrText>
            </w:r>
            <w:r>
              <w:rPr>
                <w:noProof/>
                <w:webHidden/>
              </w:rPr>
            </w:r>
            <w:r>
              <w:rPr>
                <w:noProof/>
                <w:webHidden/>
              </w:rPr>
              <w:fldChar w:fldCharType="separate"/>
            </w:r>
            <w:r w:rsidR="00DD2B4E">
              <w:rPr>
                <w:noProof/>
                <w:webHidden/>
              </w:rPr>
              <w:t>17</w:t>
            </w:r>
            <w:r>
              <w:rPr>
                <w:noProof/>
                <w:webHidden/>
              </w:rPr>
              <w:fldChar w:fldCharType="end"/>
            </w:r>
          </w:hyperlink>
        </w:p>
        <w:p w:rsidR="00045A40" w:rsidRDefault="00045A40">
          <w:pPr>
            <w:pStyle w:val="TOC2"/>
            <w:tabs>
              <w:tab w:val="right" w:leader="dot" w:pos="9350"/>
            </w:tabs>
            <w:rPr>
              <w:rFonts w:eastAsiaTheme="minorEastAsia"/>
              <w:noProof/>
            </w:rPr>
          </w:pPr>
          <w:hyperlink w:anchor="_Toc222652696" w:history="1">
            <w:r w:rsidRPr="00181C7D">
              <w:rPr>
                <w:rStyle w:val="Hyperlink"/>
                <w:noProof/>
              </w:rPr>
              <w:t>Glossary: Key Terms and Concepts</w:t>
            </w:r>
            <w:r>
              <w:rPr>
                <w:noProof/>
                <w:webHidden/>
              </w:rPr>
              <w:tab/>
            </w:r>
            <w:r>
              <w:rPr>
                <w:noProof/>
                <w:webHidden/>
              </w:rPr>
              <w:fldChar w:fldCharType="begin"/>
            </w:r>
            <w:r>
              <w:rPr>
                <w:noProof/>
                <w:webHidden/>
              </w:rPr>
              <w:instrText xml:space="preserve"> PAGEREF _Toc222652696 \h </w:instrText>
            </w:r>
            <w:r>
              <w:rPr>
                <w:noProof/>
                <w:webHidden/>
              </w:rPr>
            </w:r>
            <w:r>
              <w:rPr>
                <w:noProof/>
                <w:webHidden/>
              </w:rPr>
              <w:fldChar w:fldCharType="separate"/>
            </w:r>
            <w:r w:rsidR="00DD2B4E">
              <w:rPr>
                <w:noProof/>
                <w:webHidden/>
              </w:rPr>
              <w:t>19</w:t>
            </w:r>
            <w:r>
              <w:rPr>
                <w:noProof/>
                <w:webHidden/>
              </w:rPr>
              <w:fldChar w:fldCharType="end"/>
            </w:r>
          </w:hyperlink>
        </w:p>
        <w:p w:rsidR="00045A40" w:rsidRDefault="00045A40">
          <w:pPr>
            <w:pStyle w:val="TOC1"/>
            <w:tabs>
              <w:tab w:val="right" w:leader="dot" w:pos="9350"/>
            </w:tabs>
            <w:rPr>
              <w:rFonts w:eastAsiaTheme="minorEastAsia"/>
              <w:noProof/>
            </w:rPr>
          </w:pPr>
          <w:hyperlink w:anchor="_Toc222652697" w:history="1">
            <w:r w:rsidRPr="00181C7D">
              <w:rPr>
                <w:rStyle w:val="Hyperlink"/>
                <w:rFonts w:eastAsia="Times New Roman"/>
                <w:noProof/>
                <w:lang w:eastAsia="en-IL"/>
              </w:rPr>
              <w:t>Chapter 1</w:t>
            </w:r>
            <w:r>
              <w:rPr>
                <w:noProof/>
                <w:webHidden/>
              </w:rPr>
              <w:tab/>
            </w:r>
            <w:r>
              <w:rPr>
                <w:noProof/>
                <w:webHidden/>
              </w:rPr>
              <w:fldChar w:fldCharType="begin"/>
            </w:r>
            <w:r>
              <w:rPr>
                <w:noProof/>
                <w:webHidden/>
              </w:rPr>
              <w:instrText xml:space="preserve"> PAGEREF _Toc222652697 \h </w:instrText>
            </w:r>
            <w:r>
              <w:rPr>
                <w:noProof/>
                <w:webHidden/>
              </w:rPr>
            </w:r>
            <w:r>
              <w:rPr>
                <w:noProof/>
                <w:webHidden/>
              </w:rPr>
              <w:fldChar w:fldCharType="separate"/>
            </w:r>
            <w:r w:rsidR="00DD2B4E">
              <w:rPr>
                <w:noProof/>
                <w:webHidden/>
              </w:rPr>
              <w:t>25</w:t>
            </w:r>
            <w:r>
              <w:rPr>
                <w:noProof/>
                <w:webHidden/>
              </w:rPr>
              <w:fldChar w:fldCharType="end"/>
            </w:r>
          </w:hyperlink>
        </w:p>
        <w:p w:rsidR="00045A40" w:rsidRDefault="00045A40">
          <w:pPr>
            <w:pStyle w:val="TOC1"/>
            <w:tabs>
              <w:tab w:val="right" w:leader="dot" w:pos="9350"/>
            </w:tabs>
            <w:rPr>
              <w:rFonts w:eastAsiaTheme="minorEastAsia"/>
              <w:noProof/>
            </w:rPr>
          </w:pPr>
          <w:hyperlink w:anchor="_Toc222652698" w:history="1">
            <w:r w:rsidRPr="00181C7D">
              <w:rPr>
                <w:rStyle w:val="Hyperlink"/>
                <w:rFonts w:eastAsia="Times New Roman"/>
                <w:noProof/>
                <w:lang w:eastAsia="en-IL"/>
              </w:rPr>
              <w:t>Introduction</w:t>
            </w:r>
            <w:r>
              <w:rPr>
                <w:noProof/>
                <w:webHidden/>
              </w:rPr>
              <w:tab/>
            </w:r>
            <w:r>
              <w:rPr>
                <w:noProof/>
                <w:webHidden/>
              </w:rPr>
              <w:fldChar w:fldCharType="begin"/>
            </w:r>
            <w:r>
              <w:rPr>
                <w:noProof/>
                <w:webHidden/>
              </w:rPr>
              <w:instrText xml:space="preserve"> PAGEREF _Toc222652698 \h </w:instrText>
            </w:r>
            <w:r>
              <w:rPr>
                <w:noProof/>
                <w:webHidden/>
              </w:rPr>
            </w:r>
            <w:r>
              <w:rPr>
                <w:noProof/>
                <w:webHidden/>
              </w:rPr>
              <w:fldChar w:fldCharType="separate"/>
            </w:r>
            <w:r w:rsidR="00DD2B4E">
              <w:rPr>
                <w:noProof/>
                <w:webHidden/>
              </w:rPr>
              <w:t>25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699" w:history="1">
            <w:r w:rsidRPr="00181C7D">
              <w:rPr>
                <w:rStyle w:val="Hyperlink"/>
                <w:rFonts w:eastAsia="Times New Roman"/>
                <w:noProof/>
                <w:lang w:eastAsia="en-IL"/>
              </w:rPr>
              <w:t>1.1</w:t>
            </w:r>
            <w:r>
              <w:rPr>
                <w:rFonts w:eastAsiaTheme="minorEastAsia"/>
                <w:noProof/>
              </w:rPr>
              <w:tab/>
            </w:r>
            <w:r w:rsidRPr="00181C7D">
              <w:rPr>
                <w:rStyle w:val="Hyperlink"/>
                <w:rFonts w:eastAsia="Times New Roman"/>
                <w:noProof/>
                <w:lang w:eastAsia="en-IL"/>
              </w:rPr>
              <w:t>Evolution of Socio-Political Authority: From Ancient Cities to Nation-States</w:t>
            </w:r>
            <w:r>
              <w:rPr>
                <w:noProof/>
                <w:webHidden/>
              </w:rPr>
              <w:tab/>
            </w:r>
            <w:r>
              <w:rPr>
                <w:noProof/>
                <w:webHidden/>
              </w:rPr>
              <w:fldChar w:fldCharType="begin"/>
            </w:r>
            <w:r>
              <w:rPr>
                <w:noProof/>
                <w:webHidden/>
              </w:rPr>
              <w:instrText xml:space="preserve"> PAGEREF _Toc222652699 \h </w:instrText>
            </w:r>
            <w:r>
              <w:rPr>
                <w:noProof/>
                <w:webHidden/>
              </w:rPr>
            </w:r>
            <w:r>
              <w:rPr>
                <w:noProof/>
                <w:webHidden/>
              </w:rPr>
              <w:fldChar w:fldCharType="separate"/>
            </w:r>
            <w:r w:rsidR="00DD2B4E">
              <w:rPr>
                <w:noProof/>
                <w:webHidden/>
              </w:rPr>
              <w:t>25</w:t>
            </w:r>
            <w:r>
              <w:rPr>
                <w:noProof/>
                <w:webHidden/>
              </w:rPr>
              <w:fldChar w:fldCharType="end"/>
            </w:r>
          </w:hyperlink>
        </w:p>
        <w:p w:rsidR="00045A40" w:rsidRDefault="00045A40">
          <w:pPr>
            <w:pStyle w:val="TOC3"/>
            <w:tabs>
              <w:tab w:val="right" w:leader="dot" w:pos="9350"/>
            </w:tabs>
            <w:rPr>
              <w:rFonts w:eastAsiaTheme="minorEastAsia"/>
              <w:noProof/>
            </w:rPr>
          </w:pPr>
          <w:hyperlink w:anchor="_Toc222652700" w:history="1">
            <w:r w:rsidRPr="00181C7D">
              <w:rPr>
                <w:rStyle w:val="Hyperlink"/>
                <w:noProof/>
              </w:rPr>
              <w:t>Figure 1: Evolution of socio-political authority</w:t>
            </w:r>
            <w:r>
              <w:rPr>
                <w:noProof/>
                <w:webHidden/>
              </w:rPr>
              <w:tab/>
            </w:r>
            <w:r>
              <w:rPr>
                <w:noProof/>
                <w:webHidden/>
              </w:rPr>
              <w:fldChar w:fldCharType="begin"/>
            </w:r>
            <w:r>
              <w:rPr>
                <w:noProof/>
                <w:webHidden/>
              </w:rPr>
              <w:instrText xml:space="preserve"> PAGEREF _Toc222652700 \h </w:instrText>
            </w:r>
            <w:r>
              <w:rPr>
                <w:noProof/>
                <w:webHidden/>
              </w:rPr>
            </w:r>
            <w:r>
              <w:rPr>
                <w:noProof/>
                <w:webHidden/>
              </w:rPr>
              <w:fldChar w:fldCharType="separate"/>
            </w:r>
            <w:r w:rsidR="00DD2B4E">
              <w:rPr>
                <w:noProof/>
                <w:webHidden/>
              </w:rPr>
              <w:t>29</w:t>
            </w:r>
            <w:r>
              <w:rPr>
                <w:noProof/>
                <w:webHidden/>
              </w:rPr>
              <w:fldChar w:fldCharType="end"/>
            </w:r>
          </w:hyperlink>
        </w:p>
        <w:p w:rsidR="00045A40" w:rsidRDefault="00045A40" w:rsidP="00045A40">
          <w:pPr>
            <w:pStyle w:val="TOC2"/>
            <w:tabs>
              <w:tab w:val="left" w:pos="880"/>
              <w:tab w:val="right" w:leader="dot" w:pos="9350"/>
            </w:tabs>
            <w:rPr>
              <w:rFonts w:eastAsiaTheme="minorEastAsia"/>
              <w:noProof/>
            </w:rPr>
          </w:pPr>
          <w:hyperlink w:anchor="_Toc222652701" w:history="1">
            <w:r w:rsidRPr="00181C7D">
              <w:rPr>
                <w:rStyle w:val="Hyperlink"/>
                <w:rFonts w:eastAsia="Times New Roman"/>
                <w:noProof/>
              </w:rPr>
              <w:t>1.2</w:t>
            </w:r>
            <w:r>
              <w:rPr>
                <w:rFonts w:eastAsiaTheme="minorEastAsia"/>
                <w:noProof/>
              </w:rPr>
              <w:tab/>
            </w:r>
            <w:r w:rsidRPr="00181C7D">
              <w:rPr>
                <w:rStyle w:val="Hyperlink"/>
                <w:rFonts w:eastAsia="Times New Roman"/>
                <w:noProof/>
              </w:rPr>
              <w:t>Bridging the Historical Trajectory to the Contemporary Problem</w:t>
            </w:r>
            <w:r>
              <w:rPr>
                <w:noProof/>
                <w:webHidden/>
              </w:rPr>
              <w:tab/>
            </w:r>
            <w:r>
              <w:rPr>
                <w:noProof/>
                <w:webHidden/>
              </w:rPr>
              <w:fldChar w:fldCharType="begin"/>
            </w:r>
            <w:r>
              <w:rPr>
                <w:noProof/>
                <w:webHidden/>
              </w:rPr>
              <w:instrText xml:space="preserve"> PAGEREF _Toc222652701 \h </w:instrText>
            </w:r>
            <w:r>
              <w:rPr>
                <w:noProof/>
                <w:webHidden/>
              </w:rPr>
            </w:r>
            <w:r>
              <w:rPr>
                <w:noProof/>
                <w:webHidden/>
              </w:rPr>
              <w:fldChar w:fldCharType="separate"/>
            </w:r>
            <w:r w:rsidR="00DD2B4E">
              <w:rPr>
                <w:noProof/>
                <w:webHidden/>
              </w:rPr>
              <w:t>30</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03" w:history="1">
            <w:r w:rsidRPr="00181C7D">
              <w:rPr>
                <w:rStyle w:val="Hyperlink"/>
                <w:rFonts w:eastAsia="Times New Roman"/>
                <w:noProof/>
                <w:lang w:eastAsia="en-IL"/>
              </w:rPr>
              <w:t>1.3</w:t>
            </w:r>
            <w:r>
              <w:rPr>
                <w:rFonts w:eastAsiaTheme="minorEastAsia"/>
                <w:noProof/>
              </w:rPr>
              <w:tab/>
            </w:r>
            <w:r w:rsidRPr="00181C7D">
              <w:rPr>
                <w:rStyle w:val="Hyperlink"/>
                <w:rFonts w:eastAsia="Times New Roman"/>
                <w:noProof/>
                <w:lang w:eastAsia="en-IL"/>
              </w:rPr>
              <w:t>Central Research Question</w:t>
            </w:r>
            <w:r>
              <w:rPr>
                <w:noProof/>
                <w:webHidden/>
              </w:rPr>
              <w:tab/>
            </w:r>
            <w:r>
              <w:rPr>
                <w:noProof/>
                <w:webHidden/>
              </w:rPr>
              <w:fldChar w:fldCharType="begin"/>
            </w:r>
            <w:r>
              <w:rPr>
                <w:noProof/>
                <w:webHidden/>
              </w:rPr>
              <w:instrText xml:space="preserve"> PAGEREF _Toc222652703 \h </w:instrText>
            </w:r>
            <w:r>
              <w:rPr>
                <w:noProof/>
                <w:webHidden/>
              </w:rPr>
            </w:r>
            <w:r>
              <w:rPr>
                <w:noProof/>
                <w:webHidden/>
              </w:rPr>
              <w:fldChar w:fldCharType="separate"/>
            </w:r>
            <w:r w:rsidR="00DD2B4E">
              <w:rPr>
                <w:noProof/>
                <w:webHidden/>
              </w:rPr>
              <w:t>32</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04" w:history="1">
            <w:r w:rsidRPr="00181C7D">
              <w:rPr>
                <w:rStyle w:val="Hyperlink"/>
                <w:rFonts w:eastAsia="Times New Roman"/>
                <w:noProof/>
              </w:rPr>
              <w:t>1.4</w:t>
            </w:r>
            <w:r>
              <w:rPr>
                <w:rFonts w:eastAsiaTheme="minorEastAsia"/>
                <w:noProof/>
              </w:rPr>
              <w:tab/>
            </w:r>
            <w:r w:rsidRPr="00181C7D">
              <w:rPr>
                <w:rStyle w:val="Hyperlink"/>
                <w:rFonts w:eastAsia="Times New Roman"/>
                <w:noProof/>
              </w:rPr>
              <w:t>Clarifying the Limits of the Quasi-Sovereignty Analogy</w:t>
            </w:r>
            <w:r>
              <w:rPr>
                <w:noProof/>
                <w:webHidden/>
              </w:rPr>
              <w:tab/>
            </w:r>
            <w:r>
              <w:rPr>
                <w:noProof/>
                <w:webHidden/>
              </w:rPr>
              <w:fldChar w:fldCharType="begin"/>
            </w:r>
            <w:r>
              <w:rPr>
                <w:noProof/>
                <w:webHidden/>
              </w:rPr>
              <w:instrText xml:space="preserve"> PAGEREF _Toc222652704 \h </w:instrText>
            </w:r>
            <w:r>
              <w:rPr>
                <w:noProof/>
                <w:webHidden/>
              </w:rPr>
            </w:r>
            <w:r>
              <w:rPr>
                <w:noProof/>
                <w:webHidden/>
              </w:rPr>
              <w:fldChar w:fldCharType="separate"/>
            </w:r>
            <w:r w:rsidR="00DD2B4E">
              <w:rPr>
                <w:noProof/>
                <w:webHidden/>
              </w:rPr>
              <w:t>33</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05" w:history="1">
            <w:r w:rsidRPr="00181C7D">
              <w:rPr>
                <w:rStyle w:val="Hyperlink"/>
                <w:noProof/>
              </w:rPr>
              <w:t>1.4.1</w:t>
            </w:r>
            <w:r>
              <w:rPr>
                <w:rFonts w:eastAsiaTheme="minorEastAsia"/>
                <w:noProof/>
              </w:rPr>
              <w:tab/>
            </w:r>
            <w:r w:rsidRPr="00181C7D">
              <w:rPr>
                <w:rStyle w:val="Hyperlink"/>
                <w:noProof/>
              </w:rPr>
              <w:t>Conceptual Foundation and Theoretical Framework</w:t>
            </w:r>
            <w:r>
              <w:rPr>
                <w:noProof/>
                <w:webHidden/>
              </w:rPr>
              <w:tab/>
            </w:r>
            <w:r>
              <w:rPr>
                <w:noProof/>
                <w:webHidden/>
              </w:rPr>
              <w:fldChar w:fldCharType="begin"/>
            </w:r>
            <w:r>
              <w:rPr>
                <w:noProof/>
                <w:webHidden/>
              </w:rPr>
              <w:instrText xml:space="preserve"> PAGEREF _Toc222652705 \h </w:instrText>
            </w:r>
            <w:r>
              <w:rPr>
                <w:noProof/>
                <w:webHidden/>
              </w:rPr>
            </w:r>
            <w:r>
              <w:rPr>
                <w:noProof/>
                <w:webHidden/>
              </w:rPr>
              <w:fldChar w:fldCharType="separate"/>
            </w:r>
            <w:r w:rsidR="00DD2B4E">
              <w:rPr>
                <w:noProof/>
                <w:webHidden/>
              </w:rPr>
              <w:t>34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06" w:history="1">
            <w:r w:rsidRPr="00181C7D">
              <w:rPr>
                <w:rStyle w:val="Hyperlink"/>
                <w:noProof/>
              </w:rPr>
              <w:t>1.4.2</w:t>
            </w:r>
            <w:r>
              <w:rPr>
                <w:rFonts w:eastAsiaTheme="minorEastAsia"/>
                <w:noProof/>
              </w:rPr>
              <w:tab/>
            </w:r>
            <w:r w:rsidRPr="00181C7D">
              <w:rPr>
                <w:rStyle w:val="Hyperlink"/>
                <w:noProof/>
              </w:rPr>
              <w:t xml:space="preserve"> Stephen D. Krasner: Sovereignty as a Contested and Fragmented Practice</w:t>
            </w:r>
            <w:r>
              <w:rPr>
                <w:noProof/>
                <w:webHidden/>
              </w:rPr>
              <w:tab/>
            </w:r>
            <w:r>
              <w:rPr>
                <w:noProof/>
                <w:webHidden/>
              </w:rPr>
              <w:fldChar w:fldCharType="begin"/>
            </w:r>
            <w:r>
              <w:rPr>
                <w:noProof/>
                <w:webHidden/>
              </w:rPr>
              <w:instrText xml:space="preserve"> PAGEREF _Toc222652706 \h </w:instrText>
            </w:r>
            <w:r>
              <w:rPr>
                <w:noProof/>
                <w:webHidden/>
              </w:rPr>
            </w:r>
            <w:r>
              <w:rPr>
                <w:noProof/>
                <w:webHidden/>
              </w:rPr>
              <w:fldChar w:fldCharType="separate"/>
            </w:r>
            <w:r w:rsidR="00DD2B4E">
              <w:rPr>
                <w:noProof/>
                <w:webHidden/>
              </w:rPr>
              <w:t>35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07" w:history="1">
            <w:r w:rsidRPr="00181C7D">
              <w:rPr>
                <w:rStyle w:val="Hyperlink"/>
                <w:noProof/>
              </w:rPr>
              <w:t>1.4.3</w:t>
            </w:r>
            <w:r>
              <w:rPr>
                <w:rFonts w:eastAsiaTheme="minorEastAsia"/>
                <w:noProof/>
              </w:rPr>
              <w:tab/>
            </w:r>
            <w:r w:rsidRPr="00181C7D">
              <w:rPr>
                <w:rStyle w:val="Hyperlink"/>
                <w:noProof/>
              </w:rPr>
              <w:t>Michel Foucault: Power Beyond Sovereignty and the Governance of Conduct</w:t>
            </w:r>
            <w:r>
              <w:rPr>
                <w:noProof/>
                <w:webHidden/>
              </w:rPr>
              <w:tab/>
            </w:r>
            <w:r>
              <w:rPr>
                <w:noProof/>
                <w:webHidden/>
              </w:rPr>
              <w:fldChar w:fldCharType="begin"/>
            </w:r>
            <w:r>
              <w:rPr>
                <w:noProof/>
                <w:webHidden/>
              </w:rPr>
              <w:instrText xml:space="preserve"> PAGEREF _Toc222652707 \h </w:instrText>
            </w:r>
            <w:r>
              <w:rPr>
                <w:noProof/>
                <w:webHidden/>
              </w:rPr>
            </w:r>
            <w:r>
              <w:rPr>
                <w:noProof/>
                <w:webHidden/>
              </w:rPr>
              <w:fldChar w:fldCharType="separate"/>
            </w:r>
            <w:r w:rsidR="00DD2B4E">
              <w:rPr>
                <w:noProof/>
                <w:webHidden/>
              </w:rPr>
              <w:t>36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08" w:history="1">
            <w:r w:rsidRPr="00181C7D">
              <w:rPr>
                <w:rStyle w:val="Hyperlink"/>
                <w:noProof/>
              </w:rPr>
              <w:t>1.4.4</w:t>
            </w:r>
            <w:r>
              <w:rPr>
                <w:rFonts w:eastAsiaTheme="minorEastAsia"/>
                <w:noProof/>
              </w:rPr>
              <w:tab/>
            </w:r>
            <w:r w:rsidRPr="00181C7D">
              <w:rPr>
                <w:rStyle w:val="Hyperlink"/>
                <w:noProof/>
              </w:rPr>
              <w:t xml:space="preserve"> Bruno Latour and Actor-Network Theory: Socio-Technical Assemblages of Authority</w:t>
            </w:r>
            <w:r>
              <w:rPr>
                <w:noProof/>
                <w:webHidden/>
              </w:rPr>
              <w:tab/>
            </w:r>
            <w:r>
              <w:rPr>
                <w:noProof/>
                <w:webHidden/>
              </w:rPr>
              <w:fldChar w:fldCharType="begin"/>
            </w:r>
            <w:r>
              <w:rPr>
                <w:noProof/>
                <w:webHidden/>
              </w:rPr>
              <w:instrText xml:space="preserve"> PAGEREF _Toc222652708 \h </w:instrText>
            </w:r>
            <w:r>
              <w:rPr>
                <w:noProof/>
                <w:webHidden/>
              </w:rPr>
            </w:r>
            <w:r>
              <w:rPr>
                <w:noProof/>
                <w:webHidden/>
              </w:rPr>
              <w:fldChar w:fldCharType="separate"/>
            </w:r>
            <w:r w:rsidR="00DD2B4E">
              <w:rPr>
                <w:noProof/>
                <w:webHidden/>
              </w:rPr>
              <w:t>37</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09" w:history="1">
            <w:r w:rsidRPr="00181C7D">
              <w:rPr>
                <w:rStyle w:val="Hyperlink"/>
                <w:noProof/>
                <w:lang w:eastAsia="en-IL"/>
              </w:rPr>
              <w:t>1.4.5</w:t>
            </w:r>
            <w:r>
              <w:rPr>
                <w:rFonts w:eastAsiaTheme="minorEastAsia"/>
                <w:noProof/>
              </w:rPr>
              <w:tab/>
            </w:r>
            <w:r w:rsidRPr="00181C7D">
              <w:rPr>
                <w:rStyle w:val="Hyperlink"/>
                <w:noProof/>
                <w:lang w:eastAsia="en-IL"/>
              </w:rPr>
              <w:t>Other Relevant Theoretical Perspectives</w:t>
            </w:r>
            <w:r>
              <w:rPr>
                <w:noProof/>
                <w:webHidden/>
              </w:rPr>
              <w:tab/>
            </w:r>
            <w:r>
              <w:rPr>
                <w:noProof/>
                <w:webHidden/>
              </w:rPr>
              <w:fldChar w:fldCharType="begin"/>
            </w:r>
            <w:r>
              <w:rPr>
                <w:noProof/>
                <w:webHidden/>
              </w:rPr>
              <w:instrText xml:space="preserve"> PAGEREF _Toc222652709 \h </w:instrText>
            </w:r>
            <w:r>
              <w:rPr>
                <w:noProof/>
                <w:webHidden/>
              </w:rPr>
            </w:r>
            <w:r>
              <w:rPr>
                <w:noProof/>
                <w:webHidden/>
              </w:rPr>
              <w:fldChar w:fldCharType="separate"/>
            </w:r>
            <w:r w:rsidR="00DD2B4E">
              <w:rPr>
                <w:noProof/>
                <w:webHidden/>
              </w:rPr>
              <w:t>39</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10" w:history="1">
            <w:r w:rsidRPr="00181C7D">
              <w:rPr>
                <w:rStyle w:val="Hyperlink"/>
                <w:rFonts w:eastAsia="Times New Roman"/>
                <w:noProof/>
                <w:lang w:eastAsia="en-IL"/>
              </w:rPr>
              <w:t>1.5</w:t>
            </w:r>
            <w:r>
              <w:rPr>
                <w:rFonts w:eastAsiaTheme="minorEastAsia"/>
                <w:noProof/>
              </w:rPr>
              <w:tab/>
            </w:r>
            <w:r w:rsidRPr="00181C7D">
              <w:rPr>
                <w:rStyle w:val="Hyperlink"/>
                <w:rFonts w:eastAsia="Times New Roman"/>
                <w:noProof/>
                <w:lang w:eastAsia="en-IL"/>
              </w:rPr>
              <w:t>Rationale for the Study</w:t>
            </w:r>
            <w:r>
              <w:rPr>
                <w:noProof/>
                <w:webHidden/>
              </w:rPr>
              <w:tab/>
            </w:r>
            <w:r>
              <w:rPr>
                <w:noProof/>
                <w:webHidden/>
              </w:rPr>
              <w:fldChar w:fldCharType="begin"/>
            </w:r>
            <w:r>
              <w:rPr>
                <w:noProof/>
                <w:webHidden/>
              </w:rPr>
              <w:instrText xml:space="preserve"> PAGEREF _Toc222652710 \h </w:instrText>
            </w:r>
            <w:r>
              <w:rPr>
                <w:noProof/>
                <w:webHidden/>
              </w:rPr>
            </w:r>
            <w:r>
              <w:rPr>
                <w:noProof/>
                <w:webHidden/>
              </w:rPr>
              <w:fldChar w:fldCharType="separate"/>
            </w:r>
            <w:r w:rsidR="00DD2B4E">
              <w:rPr>
                <w:noProof/>
                <w:webHidden/>
              </w:rPr>
              <w:t>41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11" w:history="1">
            <w:r w:rsidRPr="00181C7D">
              <w:rPr>
                <w:rStyle w:val="Hyperlink"/>
                <w:rFonts w:eastAsia="Times New Roman"/>
                <w:noProof/>
                <w:lang w:eastAsia="en-IL"/>
              </w:rPr>
              <w:t>1.6</w:t>
            </w:r>
            <w:r>
              <w:rPr>
                <w:rFonts w:eastAsiaTheme="minorEastAsia"/>
                <w:noProof/>
              </w:rPr>
              <w:tab/>
            </w:r>
            <w:r w:rsidRPr="00181C7D">
              <w:rPr>
                <w:rStyle w:val="Hyperlink"/>
                <w:rFonts w:eastAsia="Times New Roman"/>
                <w:noProof/>
                <w:lang w:eastAsia="en-IL"/>
              </w:rPr>
              <w:t>Significance of the Research (Academic &amp; Practical)</w:t>
            </w:r>
            <w:r>
              <w:rPr>
                <w:noProof/>
                <w:webHidden/>
              </w:rPr>
              <w:tab/>
            </w:r>
            <w:r>
              <w:rPr>
                <w:noProof/>
                <w:webHidden/>
              </w:rPr>
              <w:fldChar w:fldCharType="begin"/>
            </w:r>
            <w:r>
              <w:rPr>
                <w:noProof/>
                <w:webHidden/>
              </w:rPr>
              <w:instrText xml:space="preserve"> PAGEREF _Toc222652711 \h </w:instrText>
            </w:r>
            <w:r>
              <w:rPr>
                <w:noProof/>
                <w:webHidden/>
              </w:rPr>
            </w:r>
            <w:r>
              <w:rPr>
                <w:noProof/>
                <w:webHidden/>
              </w:rPr>
              <w:fldChar w:fldCharType="separate"/>
            </w:r>
            <w:r w:rsidR="00DD2B4E">
              <w:rPr>
                <w:noProof/>
                <w:webHidden/>
              </w:rPr>
              <w:t>43</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12" w:history="1">
            <w:r w:rsidRPr="00181C7D">
              <w:rPr>
                <w:rStyle w:val="Hyperlink"/>
                <w:rFonts w:eastAsia="Times New Roman"/>
                <w:noProof/>
                <w:lang w:eastAsia="en-IL"/>
              </w:rPr>
              <w:t>1.7</w:t>
            </w:r>
            <w:r>
              <w:rPr>
                <w:rFonts w:eastAsiaTheme="minorEastAsia"/>
                <w:noProof/>
              </w:rPr>
              <w:tab/>
            </w:r>
            <w:r w:rsidRPr="00181C7D">
              <w:rPr>
                <w:rStyle w:val="Hyperlink"/>
                <w:rFonts w:eastAsia="Times New Roman"/>
                <w:noProof/>
                <w:lang w:eastAsia="en-IL"/>
              </w:rPr>
              <w:t>Structure of the Dissertation</w:t>
            </w:r>
            <w:r>
              <w:rPr>
                <w:noProof/>
                <w:webHidden/>
              </w:rPr>
              <w:tab/>
            </w:r>
            <w:r>
              <w:rPr>
                <w:noProof/>
                <w:webHidden/>
              </w:rPr>
              <w:fldChar w:fldCharType="begin"/>
            </w:r>
            <w:r>
              <w:rPr>
                <w:noProof/>
                <w:webHidden/>
              </w:rPr>
              <w:instrText xml:space="preserve"> PAGEREF _Toc222652712 \h </w:instrText>
            </w:r>
            <w:r>
              <w:rPr>
                <w:noProof/>
                <w:webHidden/>
              </w:rPr>
            </w:r>
            <w:r>
              <w:rPr>
                <w:noProof/>
                <w:webHidden/>
              </w:rPr>
              <w:fldChar w:fldCharType="separate"/>
            </w:r>
            <w:r w:rsidR="00DD2B4E">
              <w:rPr>
                <w:noProof/>
                <w:webHidden/>
              </w:rPr>
              <w:t>45</w:t>
            </w:r>
            <w:r>
              <w:rPr>
                <w:noProof/>
                <w:webHidden/>
              </w:rPr>
              <w:fldChar w:fldCharType="end"/>
            </w:r>
          </w:hyperlink>
        </w:p>
        <w:p w:rsidR="00045A40" w:rsidRDefault="00045A40">
          <w:pPr>
            <w:pStyle w:val="TOC1"/>
            <w:tabs>
              <w:tab w:val="right" w:leader="dot" w:pos="9350"/>
            </w:tabs>
            <w:rPr>
              <w:rFonts w:eastAsiaTheme="minorEastAsia"/>
              <w:noProof/>
            </w:rPr>
          </w:pPr>
          <w:hyperlink w:anchor="_Toc222652713" w:history="1">
            <w:r w:rsidRPr="00181C7D">
              <w:rPr>
                <w:rStyle w:val="Hyperlink"/>
                <w:rFonts w:eastAsia="Times New Roman"/>
                <w:noProof/>
              </w:rPr>
              <w:t>Chapter 2</w:t>
            </w:r>
            <w:r>
              <w:rPr>
                <w:noProof/>
                <w:webHidden/>
              </w:rPr>
              <w:tab/>
            </w:r>
            <w:r>
              <w:rPr>
                <w:noProof/>
                <w:webHidden/>
              </w:rPr>
              <w:fldChar w:fldCharType="begin"/>
            </w:r>
            <w:r>
              <w:rPr>
                <w:noProof/>
                <w:webHidden/>
              </w:rPr>
              <w:instrText xml:space="preserve"> PAGEREF _Toc222652713 \h </w:instrText>
            </w:r>
            <w:r>
              <w:rPr>
                <w:noProof/>
                <w:webHidden/>
              </w:rPr>
            </w:r>
            <w:r>
              <w:rPr>
                <w:noProof/>
                <w:webHidden/>
              </w:rPr>
              <w:fldChar w:fldCharType="separate"/>
            </w:r>
            <w:r w:rsidR="00DD2B4E">
              <w:rPr>
                <w:noProof/>
                <w:webHidden/>
              </w:rPr>
              <w:t>48</w:t>
            </w:r>
            <w:r>
              <w:rPr>
                <w:noProof/>
                <w:webHidden/>
              </w:rPr>
              <w:fldChar w:fldCharType="end"/>
            </w:r>
          </w:hyperlink>
        </w:p>
        <w:p w:rsidR="00045A40" w:rsidRDefault="00045A40">
          <w:pPr>
            <w:pStyle w:val="TOC1"/>
            <w:tabs>
              <w:tab w:val="right" w:leader="dot" w:pos="9350"/>
            </w:tabs>
            <w:rPr>
              <w:rFonts w:eastAsiaTheme="minorEastAsia"/>
              <w:noProof/>
            </w:rPr>
          </w:pPr>
          <w:hyperlink w:anchor="_Toc222652714" w:history="1">
            <w:r w:rsidRPr="00181C7D">
              <w:rPr>
                <w:rStyle w:val="Hyperlink"/>
                <w:rFonts w:eastAsia="Times New Roman"/>
                <w:noProof/>
              </w:rPr>
              <w:t>Interdisciplinary Literature Review and Theoretical Foundations</w:t>
            </w:r>
            <w:r>
              <w:rPr>
                <w:noProof/>
                <w:webHidden/>
              </w:rPr>
              <w:tab/>
            </w:r>
            <w:r>
              <w:rPr>
                <w:noProof/>
                <w:webHidden/>
              </w:rPr>
              <w:fldChar w:fldCharType="begin"/>
            </w:r>
            <w:r>
              <w:rPr>
                <w:noProof/>
                <w:webHidden/>
              </w:rPr>
              <w:instrText xml:space="preserve"> PAGEREF _Toc222652714 \h </w:instrText>
            </w:r>
            <w:r>
              <w:rPr>
                <w:noProof/>
                <w:webHidden/>
              </w:rPr>
            </w:r>
            <w:r>
              <w:rPr>
                <w:noProof/>
                <w:webHidden/>
              </w:rPr>
              <w:fldChar w:fldCharType="separate"/>
            </w:r>
            <w:r w:rsidR="00DD2B4E">
              <w:rPr>
                <w:noProof/>
                <w:webHidden/>
              </w:rPr>
              <w:t>48</w:t>
            </w:r>
            <w:r>
              <w:rPr>
                <w:noProof/>
                <w:webHidden/>
              </w:rPr>
              <w:fldChar w:fldCharType="end"/>
            </w:r>
          </w:hyperlink>
        </w:p>
        <w:p w:rsidR="00045A40" w:rsidRDefault="00045A40">
          <w:pPr>
            <w:pStyle w:val="TOC2"/>
            <w:tabs>
              <w:tab w:val="right" w:leader="dot" w:pos="9350"/>
            </w:tabs>
            <w:rPr>
              <w:rFonts w:eastAsiaTheme="minorEastAsia"/>
              <w:noProof/>
            </w:rPr>
          </w:pPr>
          <w:hyperlink w:anchor="_Toc222652715" w:history="1">
            <w:r w:rsidRPr="00181C7D">
              <w:rPr>
                <w:rStyle w:val="Hyperlink"/>
                <w:rFonts w:eastAsia="Times New Roman"/>
                <w:noProof/>
              </w:rPr>
              <w:t>2.1 Introduction to the Literature Review</w:t>
            </w:r>
            <w:r>
              <w:rPr>
                <w:noProof/>
                <w:webHidden/>
              </w:rPr>
              <w:tab/>
            </w:r>
            <w:r>
              <w:rPr>
                <w:noProof/>
                <w:webHidden/>
              </w:rPr>
              <w:fldChar w:fldCharType="begin"/>
            </w:r>
            <w:r>
              <w:rPr>
                <w:noProof/>
                <w:webHidden/>
              </w:rPr>
              <w:instrText xml:space="preserve"> PAGEREF _Toc222652715 \h </w:instrText>
            </w:r>
            <w:r>
              <w:rPr>
                <w:noProof/>
                <w:webHidden/>
              </w:rPr>
            </w:r>
            <w:r>
              <w:rPr>
                <w:noProof/>
                <w:webHidden/>
              </w:rPr>
              <w:fldChar w:fldCharType="separate"/>
            </w:r>
            <w:r w:rsidR="00DD2B4E">
              <w:rPr>
                <w:noProof/>
                <w:webHidden/>
              </w:rPr>
              <w:t>48</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16" w:history="1">
            <w:r w:rsidRPr="00181C7D">
              <w:rPr>
                <w:rStyle w:val="Hyperlink"/>
                <w:rFonts w:eastAsia="Times New Roman"/>
                <w:noProof/>
              </w:rPr>
              <w:t>2.2</w:t>
            </w:r>
            <w:r>
              <w:rPr>
                <w:rFonts w:eastAsiaTheme="minorEastAsia"/>
                <w:noProof/>
              </w:rPr>
              <w:tab/>
            </w:r>
            <w:r w:rsidRPr="00181C7D">
              <w:rPr>
                <w:rStyle w:val="Hyperlink"/>
                <w:rFonts w:eastAsia="Times New Roman"/>
                <w:noProof/>
              </w:rPr>
              <w:t>Scope and boundaries</w:t>
            </w:r>
            <w:r>
              <w:rPr>
                <w:noProof/>
                <w:webHidden/>
              </w:rPr>
              <w:tab/>
            </w:r>
            <w:r>
              <w:rPr>
                <w:noProof/>
                <w:webHidden/>
              </w:rPr>
              <w:fldChar w:fldCharType="begin"/>
            </w:r>
            <w:r>
              <w:rPr>
                <w:noProof/>
                <w:webHidden/>
              </w:rPr>
              <w:instrText xml:space="preserve"> PAGEREF _Toc222652716 \h </w:instrText>
            </w:r>
            <w:r>
              <w:rPr>
                <w:noProof/>
                <w:webHidden/>
              </w:rPr>
            </w:r>
            <w:r>
              <w:rPr>
                <w:noProof/>
                <w:webHidden/>
              </w:rPr>
              <w:fldChar w:fldCharType="separate"/>
            </w:r>
            <w:r w:rsidR="00DD2B4E">
              <w:rPr>
                <w:noProof/>
                <w:webHidden/>
              </w:rPr>
              <w:t>49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17" w:history="1">
            <w:r w:rsidRPr="00181C7D">
              <w:rPr>
                <w:rStyle w:val="Hyperlink"/>
                <w:noProof/>
              </w:rPr>
              <w:t>2.2.1</w:t>
            </w:r>
            <w:r>
              <w:rPr>
                <w:rFonts w:eastAsiaTheme="minorEastAsia"/>
                <w:noProof/>
              </w:rPr>
              <w:tab/>
            </w:r>
            <w:r w:rsidRPr="00181C7D">
              <w:rPr>
                <w:rStyle w:val="Hyperlink"/>
                <w:noProof/>
              </w:rPr>
              <w:t>Business Administration</w:t>
            </w:r>
            <w:r>
              <w:rPr>
                <w:noProof/>
                <w:webHidden/>
              </w:rPr>
              <w:tab/>
            </w:r>
            <w:r>
              <w:rPr>
                <w:noProof/>
                <w:webHidden/>
              </w:rPr>
              <w:fldChar w:fldCharType="begin"/>
            </w:r>
            <w:r>
              <w:rPr>
                <w:noProof/>
                <w:webHidden/>
              </w:rPr>
              <w:instrText xml:space="preserve"> PAGEREF _Toc222652717 \h </w:instrText>
            </w:r>
            <w:r>
              <w:rPr>
                <w:noProof/>
                <w:webHidden/>
              </w:rPr>
            </w:r>
            <w:r>
              <w:rPr>
                <w:noProof/>
                <w:webHidden/>
              </w:rPr>
              <w:fldChar w:fldCharType="separate"/>
            </w:r>
            <w:r w:rsidR="00DD2B4E">
              <w:rPr>
                <w:noProof/>
                <w:webHidden/>
              </w:rPr>
              <w:t>50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18" w:history="1">
            <w:r w:rsidRPr="00181C7D">
              <w:rPr>
                <w:rStyle w:val="Hyperlink"/>
                <w:noProof/>
              </w:rPr>
              <w:t>2.2.2</w:t>
            </w:r>
            <w:r>
              <w:rPr>
                <w:rFonts w:eastAsiaTheme="minorEastAsia"/>
                <w:noProof/>
              </w:rPr>
              <w:tab/>
            </w:r>
            <w:r w:rsidRPr="00181C7D">
              <w:rPr>
                <w:rStyle w:val="Hyperlink"/>
                <w:noProof/>
              </w:rPr>
              <w:t>International Political Economy</w:t>
            </w:r>
            <w:r>
              <w:rPr>
                <w:noProof/>
                <w:webHidden/>
              </w:rPr>
              <w:tab/>
            </w:r>
            <w:r>
              <w:rPr>
                <w:noProof/>
                <w:webHidden/>
              </w:rPr>
              <w:fldChar w:fldCharType="begin"/>
            </w:r>
            <w:r>
              <w:rPr>
                <w:noProof/>
                <w:webHidden/>
              </w:rPr>
              <w:instrText xml:space="preserve"> PAGEREF _Toc222652718 \h </w:instrText>
            </w:r>
            <w:r>
              <w:rPr>
                <w:noProof/>
                <w:webHidden/>
              </w:rPr>
            </w:r>
            <w:r>
              <w:rPr>
                <w:noProof/>
                <w:webHidden/>
              </w:rPr>
              <w:fldChar w:fldCharType="separate"/>
            </w:r>
            <w:r w:rsidR="00DD2B4E">
              <w:rPr>
                <w:noProof/>
                <w:webHidden/>
              </w:rPr>
              <w:t>51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19" w:history="1">
            <w:r w:rsidRPr="00181C7D">
              <w:rPr>
                <w:rStyle w:val="Hyperlink"/>
                <w:noProof/>
              </w:rPr>
              <w:t>2.2.3</w:t>
            </w:r>
            <w:r>
              <w:rPr>
                <w:rFonts w:eastAsiaTheme="minorEastAsia"/>
                <w:noProof/>
              </w:rPr>
              <w:tab/>
            </w:r>
            <w:r w:rsidRPr="00181C7D">
              <w:rPr>
                <w:rStyle w:val="Hyperlink"/>
                <w:noProof/>
              </w:rPr>
              <w:t>International Relations</w:t>
            </w:r>
            <w:r>
              <w:rPr>
                <w:noProof/>
                <w:webHidden/>
              </w:rPr>
              <w:tab/>
            </w:r>
            <w:r>
              <w:rPr>
                <w:noProof/>
                <w:webHidden/>
              </w:rPr>
              <w:fldChar w:fldCharType="begin"/>
            </w:r>
            <w:r>
              <w:rPr>
                <w:noProof/>
                <w:webHidden/>
              </w:rPr>
              <w:instrText xml:space="preserve"> PAGEREF _Toc222652719 \h </w:instrText>
            </w:r>
            <w:r>
              <w:rPr>
                <w:noProof/>
                <w:webHidden/>
              </w:rPr>
            </w:r>
            <w:r>
              <w:rPr>
                <w:noProof/>
                <w:webHidden/>
              </w:rPr>
              <w:fldChar w:fldCharType="separate"/>
            </w:r>
            <w:r w:rsidR="00DD2B4E">
              <w:rPr>
                <w:noProof/>
                <w:webHidden/>
              </w:rPr>
              <w:t>52</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20" w:history="1">
            <w:r w:rsidRPr="00181C7D">
              <w:rPr>
                <w:rStyle w:val="Hyperlink"/>
                <w:noProof/>
              </w:rPr>
              <w:t>2.2.4</w:t>
            </w:r>
            <w:r>
              <w:rPr>
                <w:rFonts w:eastAsiaTheme="minorEastAsia"/>
                <w:noProof/>
              </w:rPr>
              <w:tab/>
            </w:r>
            <w:r w:rsidRPr="00181C7D">
              <w:rPr>
                <w:rStyle w:val="Hyperlink"/>
                <w:noProof/>
              </w:rPr>
              <w:t>Technology Studies</w:t>
            </w:r>
            <w:r>
              <w:rPr>
                <w:noProof/>
                <w:webHidden/>
              </w:rPr>
              <w:tab/>
            </w:r>
            <w:r>
              <w:rPr>
                <w:noProof/>
                <w:webHidden/>
              </w:rPr>
              <w:fldChar w:fldCharType="begin"/>
            </w:r>
            <w:r>
              <w:rPr>
                <w:noProof/>
                <w:webHidden/>
              </w:rPr>
              <w:instrText xml:space="preserve"> PAGEREF _Toc222652720 \h </w:instrText>
            </w:r>
            <w:r>
              <w:rPr>
                <w:noProof/>
                <w:webHidden/>
              </w:rPr>
            </w:r>
            <w:r>
              <w:rPr>
                <w:noProof/>
                <w:webHidden/>
              </w:rPr>
              <w:fldChar w:fldCharType="separate"/>
            </w:r>
            <w:r w:rsidR="00DD2B4E">
              <w:rPr>
                <w:noProof/>
                <w:webHidden/>
              </w:rPr>
              <w:t>53</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21" w:history="1">
            <w:r w:rsidRPr="00181C7D">
              <w:rPr>
                <w:rStyle w:val="Hyperlink"/>
                <w:rFonts w:eastAsiaTheme="majorEastAsia"/>
                <w:noProof/>
              </w:rPr>
              <w:t xml:space="preserve">2.2.5 </w:t>
            </w:r>
            <w:r>
              <w:rPr>
                <w:rFonts w:eastAsiaTheme="minorEastAsia"/>
                <w:noProof/>
              </w:rPr>
              <w:tab/>
            </w:r>
            <w:r w:rsidRPr="00181C7D">
              <w:rPr>
                <w:rStyle w:val="Hyperlink"/>
                <w:rFonts w:eastAsiaTheme="majorEastAsia"/>
                <w:noProof/>
              </w:rPr>
              <w:t>Scope Delimitations and Analytical Exclusions</w:t>
            </w:r>
            <w:r>
              <w:rPr>
                <w:noProof/>
                <w:webHidden/>
              </w:rPr>
              <w:tab/>
            </w:r>
            <w:r>
              <w:rPr>
                <w:noProof/>
                <w:webHidden/>
              </w:rPr>
              <w:fldChar w:fldCharType="begin"/>
            </w:r>
            <w:r>
              <w:rPr>
                <w:noProof/>
                <w:webHidden/>
              </w:rPr>
              <w:instrText xml:space="preserve"> PAGEREF _Toc222652721 \h </w:instrText>
            </w:r>
            <w:r>
              <w:rPr>
                <w:noProof/>
                <w:webHidden/>
              </w:rPr>
            </w:r>
            <w:r>
              <w:rPr>
                <w:noProof/>
                <w:webHidden/>
              </w:rPr>
              <w:fldChar w:fldCharType="separate"/>
            </w:r>
            <w:r w:rsidR="00DD2B4E">
              <w:rPr>
                <w:noProof/>
                <w:webHidden/>
              </w:rPr>
              <w:t>53</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22" w:history="1">
            <w:r w:rsidRPr="00181C7D">
              <w:rPr>
                <w:rStyle w:val="Hyperlink"/>
                <w:rFonts w:eastAsia="Times New Roman"/>
                <w:noProof/>
              </w:rPr>
              <w:t>2.3</w:t>
            </w:r>
            <w:r>
              <w:rPr>
                <w:rFonts w:eastAsiaTheme="minorEastAsia"/>
                <w:noProof/>
              </w:rPr>
              <w:tab/>
            </w:r>
            <w:r w:rsidRPr="00181C7D">
              <w:rPr>
                <w:rStyle w:val="Hyperlink"/>
                <w:rFonts w:eastAsia="Times New Roman"/>
                <w:noProof/>
              </w:rPr>
              <w:t>Structure of the chapter</w:t>
            </w:r>
            <w:r>
              <w:rPr>
                <w:noProof/>
                <w:webHidden/>
              </w:rPr>
              <w:tab/>
            </w:r>
            <w:r>
              <w:rPr>
                <w:noProof/>
                <w:webHidden/>
              </w:rPr>
              <w:fldChar w:fldCharType="begin"/>
            </w:r>
            <w:r>
              <w:rPr>
                <w:noProof/>
                <w:webHidden/>
              </w:rPr>
              <w:instrText xml:space="preserve"> PAGEREF _Toc222652722 \h </w:instrText>
            </w:r>
            <w:r>
              <w:rPr>
                <w:noProof/>
                <w:webHidden/>
              </w:rPr>
            </w:r>
            <w:r>
              <w:rPr>
                <w:noProof/>
                <w:webHidden/>
              </w:rPr>
              <w:fldChar w:fldCharType="separate"/>
            </w:r>
            <w:r w:rsidR="00DD2B4E">
              <w:rPr>
                <w:noProof/>
                <w:webHidden/>
              </w:rPr>
              <w:t>54</w:t>
            </w:r>
            <w:r>
              <w:rPr>
                <w:noProof/>
                <w:webHidden/>
              </w:rPr>
              <w:fldChar w:fldCharType="end"/>
            </w:r>
          </w:hyperlink>
        </w:p>
        <w:p w:rsidR="00045A40" w:rsidRDefault="00045A40">
          <w:pPr>
            <w:pStyle w:val="TOC2"/>
            <w:tabs>
              <w:tab w:val="right" w:leader="dot" w:pos="9350"/>
            </w:tabs>
            <w:rPr>
              <w:rFonts w:eastAsiaTheme="minorEastAsia"/>
              <w:noProof/>
            </w:rPr>
          </w:pPr>
          <w:hyperlink w:anchor="_Toc222652723" w:history="1">
            <w:r w:rsidRPr="00181C7D">
              <w:rPr>
                <w:rStyle w:val="Hyperlink"/>
                <w:rFonts w:eastAsia="Times New Roman"/>
                <w:noProof/>
              </w:rPr>
              <w:t>2.4 From Corporation to Geopolitical Actor</w:t>
            </w:r>
            <w:r>
              <w:rPr>
                <w:noProof/>
                <w:webHidden/>
              </w:rPr>
              <w:tab/>
            </w:r>
            <w:r>
              <w:rPr>
                <w:noProof/>
                <w:webHidden/>
              </w:rPr>
              <w:fldChar w:fldCharType="begin"/>
            </w:r>
            <w:r>
              <w:rPr>
                <w:noProof/>
                <w:webHidden/>
              </w:rPr>
              <w:instrText xml:space="preserve"> PAGEREF _Toc222652723 \h </w:instrText>
            </w:r>
            <w:r>
              <w:rPr>
                <w:noProof/>
                <w:webHidden/>
              </w:rPr>
            </w:r>
            <w:r>
              <w:rPr>
                <w:noProof/>
                <w:webHidden/>
              </w:rPr>
              <w:fldChar w:fldCharType="separate"/>
            </w:r>
            <w:r w:rsidR="00DD2B4E">
              <w:rPr>
                <w:noProof/>
                <w:webHidden/>
              </w:rPr>
              <w:t>55</w:t>
            </w:r>
            <w:r>
              <w:rPr>
                <w:noProof/>
                <w:webHidden/>
              </w:rPr>
              <w:fldChar w:fldCharType="end"/>
            </w:r>
          </w:hyperlink>
        </w:p>
        <w:p w:rsidR="00045A40" w:rsidRDefault="00045A40">
          <w:pPr>
            <w:pStyle w:val="TOC2"/>
            <w:tabs>
              <w:tab w:val="right" w:leader="dot" w:pos="9350"/>
            </w:tabs>
            <w:rPr>
              <w:rFonts w:eastAsiaTheme="minorEastAsia"/>
              <w:noProof/>
            </w:rPr>
          </w:pPr>
          <w:hyperlink w:anchor="_Toc222652724" w:history="1">
            <w:r w:rsidRPr="00181C7D">
              <w:rPr>
                <w:rStyle w:val="Hyperlink"/>
                <w:rFonts w:eastAsia="Times New Roman"/>
                <w:noProof/>
              </w:rPr>
              <w:t>2.5 Corporate Power in a Digitized World</w:t>
            </w:r>
            <w:r>
              <w:rPr>
                <w:noProof/>
                <w:webHidden/>
              </w:rPr>
              <w:tab/>
            </w:r>
            <w:r>
              <w:rPr>
                <w:noProof/>
                <w:webHidden/>
              </w:rPr>
              <w:fldChar w:fldCharType="begin"/>
            </w:r>
            <w:r>
              <w:rPr>
                <w:noProof/>
                <w:webHidden/>
              </w:rPr>
              <w:instrText xml:space="preserve"> PAGEREF _Toc222652724 \h </w:instrText>
            </w:r>
            <w:r>
              <w:rPr>
                <w:noProof/>
                <w:webHidden/>
              </w:rPr>
            </w:r>
            <w:r>
              <w:rPr>
                <w:noProof/>
                <w:webHidden/>
              </w:rPr>
              <w:fldChar w:fldCharType="separate"/>
            </w:r>
            <w:r w:rsidR="00DD2B4E">
              <w:rPr>
                <w:noProof/>
                <w:webHidden/>
              </w:rPr>
              <w:t>57</w:t>
            </w:r>
            <w:r>
              <w:rPr>
                <w:noProof/>
                <w:webHidden/>
              </w:rPr>
              <w:fldChar w:fldCharType="end"/>
            </w:r>
          </w:hyperlink>
        </w:p>
        <w:p w:rsidR="00045A40" w:rsidRDefault="00045A40">
          <w:pPr>
            <w:pStyle w:val="TOC2"/>
            <w:tabs>
              <w:tab w:val="right" w:leader="dot" w:pos="9350"/>
            </w:tabs>
            <w:rPr>
              <w:rFonts w:eastAsiaTheme="minorEastAsia"/>
              <w:noProof/>
            </w:rPr>
          </w:pPr>
          <w:hyperlink w:anchor="_Toc222652725" w:history="1">
            <w:r w:rsidRPr="00181C7D">
              <w:rPr>
                <w:rStyle w:val="Hyperlink"/>
                <w:rFonts w:eastAsia="Times New Roman"/>
                <w:noProof/>
              </w:rPr>
              <w:t>2.6 International Relations and Case-Based Gaps</w:t>
            </w:r>
            <w:r>
              <w:rPr>
                <w:noProof/>
                <w:webHidden/>
              </w:rPr>
              <w:tab/>
            </w:r>
            <w:r>
              <w:rPr>
                <w:noProof/>
                <w:webHidden/>
              </w:rPr>
              <w:fldChar w:fldCharType="begin"/>
            </w:r>
            <w:r>
              <w:rPr>
                <w:noProof/>
                <w:webHidden/>
              </w:rPr>
              <w:instrText xml:space="preserve"> PAGEREF _Toc222652725 \h </w:instrText>
            </w:r>
            <w:r>
              <w:rPr>
                <w:noProof/>
                <w:webHidden/>
              </w:rPr>
            </w:r>
            <w:r>
              <w:rPr>
                <w:noProof/>
                <w:webHidden/>
              </w:rPr>
              <w:fldChar w:fldCharType="separate"/>
            </w:r>
            <w:r w:rsidR="00DD2B4E">
              <w:rPr>
                <w:noProof/>
                <w:webHidden/>
              </w:rPr>
              <w:t>59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26" w:history="1">
            <w:r w:rsidRPr="00181C7D">
              <w:rPr>
                <w:rStyle w:val="Hyperlink"/>
                <w:noProof/>
              </w:rPr>
              <w:t>2.6.1</w:t>
            </w:r>
            <w:r>
              <w:rPr>
                <w:rFonts w:eastAsiaTheme="minorEastAsia"/>
                <w:noProof/>
              </w:rPr>
              <w:tab/>
            </w:r>
            <w:r w:rsidRPr="00181C7D">
              <w:rPr>
                <w:rStyle w:val="Hyperlink"/>
                <w:noProof/>
              </w:rPr>
              <w:t>IR Perspectives on Sovereignty, Legitimacy, and Tech Empires</w:t>
            </w:r>
            <w:r>
              <w:rPr>
                <w:noProof/>
                <w:webHidden/>
              </w:rPr>
              <w:tab/>
            </w:r>
            <w:r>
              <w:rPr>
                <w:noProof/>
                <w:webHidden/>
              </w:rPr>
              <w:fldChar w:fldCharType="begin"/>
            </w:r>
            <w:r>
              <w:rPr>
                <w:noProof/>
                <w:webHidden/>
              </w:rPr>
              <w:instrText xml:space="preserve"> PAGEREF _Toc222652726 \h </w:instrText>
            </w:r>
            <w:r>
              <w:rPr>
                <w:noProof/>
                <w:webHidden/>
              </w:rPr>
            </w:r>
            <w:r>
              <w:rPr>
                <w:noProof/>
                <w:webHidden/>
              </w:rPr>
              <w:fldChar w:fldCharType="separate"/>
            </w:r>
            <w:r w:rsidR="00DD2B4E">
              <w:rPr>
                <w:noProof/>
                <w:webHidden/>
              </w:rPr>
              <w:t>59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27" w:history="1">
            <w:r w:rsidRPr="00181C7D">
              <w:rPr>
                <w:rStyle w:val="Hyperlink"/>
                <w:noProof/>
              </w:rPr>
              <w:t>2.6.2</w:t>
            </w:r>
            <w:r>
              <w:rPr>
                <w:rFonts w:eastAsiaTheme="minorEastAsia"/>
                <w:noProof/>
              </w:rPr>
              <w:tab/>
            </w:r>
            <w:r w:rsidRPr="00181C7D">
              <w:rPr>
                <w:rStyle w:val="Hyperlink"/>
                <w:noProof/>
              </w:rPr>
              <w:t>Limits of Structural Power Approaches and the Absence of an Integrated Model</w:t>
            </w:r>
            <w:r>
              <w:rPr>
                <w:noProof/>
                <w:webHidden/>
              </w:rPr>
              <w:tab/>
            </w:r>
            <w:r>
              <w:rPr>
                <w:noProof/>
                <w:webHidden/>
              </w:rPr>
              <w:fldChar w:fldCharType="begin"/>
            </w:r>
            <w:r>
              <w:rPr>
                <w:noProof/>
                <w:webHidden/>
              </w:rPr>
              <w:instrText xml:space="preserve"> PAGEREF _Toc222652727 \h </w:instrText>
            </w:r>
            <w:r>
              <w:rPr>
                <w:noProof/>
                <w:webHidden/>
              </w:rPr>
            </w:r>
            <w:r>
              <w:rPr>
                <w:noProof/>
                <w:webHidden/>
              </w:rPr>
              <w:fldChar w:fldCharType="separate"/>
            </w:r>
            <w:r w:rsidR="00DD2B4E">
              <w:rPr>
                <w:noProof/>
                <w:webHidden/>
              </w:rPr>
              <w:t>60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28" w:history="1">
            <w:r w:rsidRPr="00181C7D">
              <w:rPr>
                <w:rStyle w:val="Hyperlink"/>
                <w:noProof/>
              </w:rPr>
              <w:t>2.6.3</w:t>
            </w:r>
            <w:r>
              <w:rPr>
                <w:rFonts w:eastAsiaTheme="minorEastAsia"/>
                <w:noProof/>
              </w:rPr>
              <w:tab/>
            </w:r>
            <w:r w:rsidRPr="00181C7D">
              <w:rPr>
                <w:rStyle w:val="Hyperlink"/>
                <w:noProof/>
              </w:rPr>
              <w:t>Leadership Vacuum and the Emergence of a Multi-Actor Global Order</w:t>
            </w:r>
            <w:r>
              <w:rPr>
                <w:noProof/>
                <w:webHidden/>
              </w:rPr>
              <w:tab/>
            </w:r>
            <w:r>
              <w:rPr>
                <w:noProof/>
                <w:webHidden/>
              </w:rPr>
              <w:fldChar w:fldCharType="begin"/>
            </w:r>
            <w:r>
              <w:rPr>
                <w:noProof/>
                <w:webHidden/>
              </w:rPr>
              <w:instrText xml:space="preserve"> PAGEREF _Toc222652728 \h </w:instrText>
            </w:r>
            <w:r>
              <w:rPr>
                <w:noProof/>
                <w:webHidden/>
              </w:rPr>
            </w:r>
            <w:r>
              <w:rPr>
                <w:noProof/>
                <w:webHidden/>
              </w:rPr>
              <w:fldChar w:fldCharType="separate"/>
            </w:r>
            <w:r w:rsidR="00DD2B4E">
              <w:rPr>
                <w:noProof/>
                <w:webHidden/>
              </w:rPr>
              <w:t>61</w:t>
            </w:r>
            <w:r>
              <w:rPr>
                <w:noProof/>
                <w:webHidden/>
              </w:rPr>
              <w:fldChar w:fldCharType="end"/>
            </w:r>
          </w:hyperlink>
        </w:p>
        <w:p w:rsidR="00045A40" w:rsidRDefault="00045A40">
          <w:pPr>
            <w:pStyle w:val="TOC2"/>
            <w:tabs>
              <w:tab w:val="right" w:leader="dot" w:pos="9350"/>
            </w:tabs>
            <w:rPr>
              <w:rFonts w:eastAsiaTheme="minorEastAsia"/>
              <w:noProof/>
            </w:rPr>
          </w:pPr>
          <w:hyperlink w:anchor="_Toc222652729" w:history="1">
            <w:r w:rsidRPr="00181C7D">
              <w:rPr>
                <w:rStyle w:val="Hyperlink"/>
                <w:rFonts w:eastAsia="Times New Roman"/>
                <w:noProof/>
              </w:rPr>
              <w:t>2.7 Technology Studies Perspective on Corporate quasi-sovereignty</w:t>
            </w:r>
            <w:r>
              <w:rPr>
                <w:noProof/>
                <w:webHidden/>
              </w:rPr>
              <w:tab/>
            </w:r>
            <w:r>
              <w:rPr>
                <w:noProof/>
                <w:webHidden/>
              </w:rPr>
              <w:fldChar w:fldCharType="begin"/>
            </w:r>
            <w:r>
              <w:rPr>
                <w:noProof/>
                <w:webHidden/>
              </w:rPr>
              <w:instrText xml:space="preserve"> PAGEREF _Toc222652729 \h </w:instrText>
            </w:r>
            <w:r>
              <w:rPr>
                <w:noProof/>
                <w:webHidden/>
              </w:rPr>
            </w:r>
            <w:r>
              <w:rPr>
                <w:noProof/>
                <w:webHidden/>
              </w:rPr>
              <w:fldChar w:fldCharType="separate"/>
            </w:r>
            <w:r w:rsidR="00DD2B4E">
              <w:rPr>
                <w:noProof/>
                <w:webHidden/>
              </w:rPr>
              <w:t>62</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30" w:history="1">
            <w:r w:rsidRPr="00181C7D">
              <w:rPr>
                <w:rStyle w:val="Hyperlink"/>
                <w:rFonts w:eastAsia="Times New Roman"/>
                <w:noProof/>
              </w:rPr>
              <w:t xml:space="preserve">2.8 </w:t>
            </w:r>
            <w:r>
              <w:rPr>
                <w:rFonts w:eastAsiaTheme="minorEastAsia"/>
                <w:noProof/>
              </w:rPr>
              <w:tab/>
            </w:r>
            <w:r w:rsidRPr="00181C7D">
              <w:rPr>
                <w:rStyle w:val="Hyperlink"/>
                <w:rFonts w:eastAsia="Times New Roman"/>
                <w:noProof/>
              </w:rPr>
              <w:t>Summary and Link to Theoretical Framework</w:t>
            </w:r>
            <w:r>
              <w:rPr>
                <w:noProof/>
                <w:webHidden/>
              </w:rPr>
              <w:tab/>
            </w:r>
            <w:r>
              <w:rPr>
                <w:noProof/>
                <w:webHidden/>
              </w:rPr>
              <w:fldChar w:fldCharType="begin"/>
            </w:r>
            <w:r>
              <w:rPr>
                <w:noProof/>
                <w:webHidden/>
              </w:rPr>
              <w:instrText xml:space="preserve"> PAGEREF _Toc222652730 \h </w:instrText>
            </w:r>
            <w:r>
              <w:rPr>
                <w:noProof/>
                <w:webHidden/>
              </w:rPr>
            </w:r>
            <w:r>
              <w:rPr>
                <w:noProof/>
                <w:webHidden/>
              </w:rPr>
              <w:fldChar w:fldCharType="separate"/>
            </w:r>
            <w:r w:rsidR="00DD2B4E">
              <w:rPr>
                <w:noProof/>
                <w:webHidden/>
              </w:rPr>
              <w:t>65</w:t>
            </w:r>
            <w:r>
              <w:rPr>
                <w:noProof/>
                <w:webHidden/>
              </w:rPr>
              <w:fldChar w:fldCharType="end"/>
            </w:r>
          </w:hyperlink>
        </w:p>
        <w:p w:rsidR="00045A40" w:rsidRDefault="00045A40">
          <w:pPr>
            <w:pStyle w:val="TOC1"/>
            <w:tabs>
              <w:tab w:val="right" w:leader="dot" w:pos="9350"/>
            </w:tabs>
            <w:rPr>
              <w:rFonts w:eastAsiaTheme="minorEastAsia"/>
              <w:noProof/>
            </w:rPr>
          </w:pPr>
          <w:hyperlink w:anchor="_Toc222652731" w:history="1">
            <w:r w:rsidRPr="00181C7D">
              <w:rPr>
                <w:rStyle w:val="Hyperlink"/>
                <w:noProof/>
              </w:rPr>
              <w:t>Chapter 3</w:t>
            </w:r>
            <w:r>
              <w:rPr>
                <w:noProof/>
                <w:webHidden/>
              </w:rPr>
              <w:tab/>
            </w:r>
            <w:r>
              <w:rPr>
                <w:noProof/>
                <w:webHidden/>
              </w:rPr>
              <w:fldChar w:fldCharType="begin"/>
            </w:r>
            <w:r>
              <w:rPr>
                <w:noProof/>
                <w:webHidden/>
              </w:rPr>
              <w:instrText xml:space="preserve"> PAGEREF _Toc222652731 \h </w:instrText>
            </w:r>
            <w:r>
              <w:rPr>
                <w:noProof/>
                <w:webHidden/>
              </w:rPr>
            </w:r>
            <w:r>
              <w:rPr>
                <w:noProof/>
                <w:webHidden/>
              </w:rPr>
              <w:fldChar w:fldCharType="separate"/>
            </w:r>
            <w:r w:rsidR="00DD2B4E">
              <w:rPr>
                <w:noProof/>
                <w:webHidden/>
              </w:rPr>
              <w:t>68</w:t>
            </w:r>
            <w:r>
              <w:rPr>
                <w:noProof/>
                <w:webHidden/>
              </w:rPr>
              <w:fldChar w:fldCharType="end"/>
            </w:r>
          </w:hyperlink>
        </w:p>
        <w:p w:rsidR="00045A40" w:rsidRDefault="00045A40">
          <w:pPr>
            <w:pStyle w:val="TOC1"/>
            <w:tabs>
              <w:tab w:val="right" w:leader="dot" w:pos="9350"/>
            </w:tabs>
            <w:rPr>
              <w:rFonts w:eastAsiaTheme="minorEastAsia"/>
              <w:noProof/>
            </w:rPr>
          </w:pPr>
          <w:hyperlink w:anchor="_Toc222652732" w:history="1">
            <w:r w:rsidRPr="00181C7D">
              <w:rPr>
                <w:rStyle w:val="Hyperlink"/>
                <w:noProof/>
              </w:rPr>
              <w:t>Theoretical Framework</w:t>
            </w:r>
            <w:r>
              <w:rPr>
                <w:noProof/>
                <w:webHidden/>
              </w:rPr>
              <w:tab/>
            </w:r>
            <w:r>
              <w:rPr>
                <w:noProof/>
                <w:webHidden/>
              </w:rPr>
              <w:fldChar w:fldCharType="begin"/>
            </w:r>
            <w:r>
              <w:rPr>
                <w:noProof/>
                <w:webHidden/>
              </w:rPr>
              <w:instrText xml:space="preserve"> PAGEREF _Toc222652732 \h </w:instrText>
            </w:r>
            <w:r>
              <w:rPr>
                <w:noProof/>
                <w:webHidden/>
              </w:rPr>
            </w:r>
            <w:r>
              <w:rPr>
                <w:noProof/>
                <w:webHidden/>
              </w:rPr>
              <w:fldChar w:fldCharType="separate"/>
            </w:r>
            <w:r w:rsidR="00DD2B4E">
              <w:rPr>
                <w:noProof/>
                <w:webHidden/>
              </w:rPr>
              <w:t>68</w:t>
            </w:r>
            <w:r>
              <w:rPr>
                <w:noProof/>
                <w:webHidden/>
              </w:rPr>
              <w:fldChar w:fldCharType="end"/>
            </w:r>
          </w:hyperlink>
        </w:p>
        <w:p w:rsidR="00045A40" w:rsidRDefault="00045A40">
          <w:pPr>
            <w:pStyle w:val="TOC2"/>
            <w:tabs>
              <w:tab w:val="right" w:leader="dot" w:pos="9350"/>
            </w:tabs>
            <w:rPr>
              <w:rFonts w:eastAsiaTheme="minorEastAsia"/>
              <w:noProof/>
            </w:rPr>
          </w:pPr>
          <w:hyperlink w:anchor="_Toc222652733" w:history="1">
            <w:r w:rsidRPr="00181C7D">
              <w:rPr>
                <w:rStyle w:val="Hyperlink"/>
                <w:noProof/>
              </w:rPr>
              <w:t>3.1 Introduction to the Analytical Model</w:t>
            </w:r>
            <w:r>
              <w:rPr>
                <w:noProof/>
                <w:webHidden/>
              </w:rPr>
              <w:tab/>
            </w:r>
            <w:r>
              <w:rPr>
                <w:noProof/>
                <w:webHidden/>
              </w:rPr>
              <w:fldChar w:fldCharType="begin"/>
            </w:r>
            <w:r>
              <w:rPr>
                <w:noProof/>
                <w:webHidden/>
              </w:rPr>
              <w:instrText xml:space="preserve"> PAGEREF _Toc222652733 \h </w:instrText>
            </w:r>
            <w:r>
              <w:rPr>
                <w:noProof/>
                <w:webHidden/>
              </w:rPr>
            </w:r>
            <w:r>
              <w:rPr>
                <w:noProof/>
                <w:webHidden/>
              </w:rPr>
              <w:fldChar w:fldCharType="separate"/>
            </w:r>
            <w:r w:rsidR="00DD2B4E">
              <w:rPr>
                <w:noProof/>
                <w:webHidden/>
              </w:rPr>
              <w:t>68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34" w:history="1">
            <w:r w:rsidRPr="00181C7D">
              <w:rPr>
                <w:rStyle w:val="Hyperlink"/>
                <w:noProof/>
              </w:rPr>
              <w:t>3.1.1</w:t>
            </w:r>
            <w:r>
              <w:rPr>
                <w:rFonts w:eastAsiaTheme="minorEastAsia"/>
                <w:noProof/>
              </w:rPr>
              <w:tab/>
            </w:r>
            <w:r w:rsidRPr="00181C7D">
              <w:rPr>
                <w:rStyle w:val="Hyperlink"/>
                <w:noProof/>
              </w:rPr>
              <w:t>The Limits of Single-Disciplinary Models</w:t>
            </w:r>
            <w:r>
              <w:rPr>
                <w:noProof/>
                <w:webHidden/>
              </w:rPr>
              <w:tab/>
            </w:r>
            <w:r>
              <w:rPr>
                <w:noProof/>
                <w:webHidden/>
              </w:rPr>
              <w:fldChar w:fldCharType="begin"/>
            </w:r>
            <w:r>
              <w:rPr>
                <w:noProof/>
                <w:webHidden/>
              </w:rPr>
              <w:instrText xml:space="preserve"> PAGEREF _Toc222652734 \h </w:instrText>
            </w:r>
            <w:r>
              <w:rPr>
                <w:noProof/>
                <w:webHidden/>
              </w:rPr>
            </w:r>
            <w:r>
              <w:rPr>
                <w:noProof/>
                <w:webHidden/>
              </w:rPr>
              <w:fldChar w:fldCharType="separate"/>
            </w:r>
            <w:r w:rsidR="00DD2B4E">
              <w:rPr>
                <w:noProof/>
                <w:webHidden/>
              </w:rPr>
              <w:t>69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35" w:history="1">
            <w:r w:rsidRPr="00181C7D">
              <w:rPr>
                <w:rStyle w:val="Hyperlink"/>
                <w:noProof/>
              </w:rPr>
              <w:t>3.1.2</w:t>
            </w:r>
            <w:r>
              <w:rPr>
                <w:rFonts w:eastAsiaTheme="minorEastAsia"/>
                <w:noProof/>
              </w:rPr>
              <w:tab/>
            </w:r>
            <w:r w:rsidRPr="00181C7D">
              <w:rPr>
                <w:rStyle w:val="Hyperlink"/>
                <w:noProof/>
              </w:rPr>
              <w:t>The Case for Theoretical Integration</w:t>
            </w:r>
            <w:r>
              <w:rPr>
                <w:noProof/>
                <w:webHidden/>
              </w:rPr>
              <w:tab/>
            </w:r>
            <w:r>
              <w:rPr>
                <w:noProof/>
                <w:webHidden/>
              </w:rPr>
              <w:fldChar w:fldCharType="begin"/>
            </w:r>
            <w:r>
              <w:rPr>
                <w:noProof/>
                <w:webHidden/>
              </w:rPr>
              <w:instrText xml:space="preserve"> PAGEREF _Toc222652735 \h </w:instrText>
            </w:r>
            <w:r>
              <w:rPr>
                <w:noProof/>
                <w:webHidden/>
              </w:rPr>
            </w:r>
            <w:r>
              <w:rPr>
                <w:noProof/>
                <w:webHidden/>
              </w:rPr>
              <w:fldChar w:fldCharType="separate"/>
            </w:r>
            <w:r w:rsidR="00DD2B4E">
              <w:rPr>
                <w:noProof/>
                <w:webHidden/>
              </w:rPr>
              <w:t>69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36" w:history="1">
            <w:r w:rsidRPr="00181C7D">
              <w:rPr>
                <w:rStyle w:val="Hyperlink"/>
                <w:noProof/>
              </w:rPr>
              <w:t>3.1.3</w:t>
            </w:r>
            <w:r>
              <w:rPr>
                <w:rFonts w:eastAsiaTheme="minorEastAsia"/>
                <w:noProof/>
              </w:rPr>
              <w:tab/>
            </w:r>
            <w:r w:rsidRPr="00181C7D">
              <w:rPr>
                <w:rStyle w:val="Hyperlink"/>
                <w:noProof/>
              </w:rPr>
              <w:t>Framing the Analytical Objective</w:t>
            </w:r>
            <w:r>
              <w:rPr>
                <w:noProof/>
                <w:webHidden/>
              </w:rPr>
              <w:tab/>
            </w:r>
            <w:r>
              <w:rPr>
                <w:noProof/>
                <w:webHidden/>
              </w:rPr>
              <w:fldChar w:fldCharType="begin"/>
            </w:r>
            <w:r>
              <w:rPr>
                <w:noProof/>
                <w:webHidden/>
              </w:rPr>
              <w:instrText xml:space="preserve"> PAGEREF _Toc222652736 \h </w:instrText>
            </w:r>
            <w:r>
              <w:rPr>
                <w:noProof/>
                <w:webHidden/>
              </w:rPr>
            </w:r>
            <w:r>
              <w:rPr>
                <w:noProof/>
                <w:webHidden/>
              </w:rPr>
              <w:fldChar w:fldCharType="separate"/>
            </w:r>
            <w:r w:rsidR="00DD2B4E">
              <w:rPr>
                <w:noProof/>
                <w:webHidden/>
              </w:rPr>
              <w:t>70</w:t>
            </w:r>
            <w:r>
              <w:rPr>
                <w:noProof/>
                <w:webHidden/>
              </w:rPr>
              <w:fldChar w:fldCharType="end"/>
            </w:r>
          </w:hyperlink>
        </w:p>
        <w:p w:rsidR="00045A40" w:rsidRDefault="00045A40">
          <w:pPr>
            <w:pStyle w:val="TOC2"/>
            <w:tabs>
              <w:tab w:val="right" w:leader="dot" w:pos="9350"/>
            </w:tabs>
            <w:rPr>
              <w:rFonts w:eastAsiaTheme="minorEastAsia"/>
              <w:noProof/>
            </w:rPr>
          </w:pPr>
          <w:hyperlink w:anchor="_Toc222652737" w:history="1">
            <w:r w:rsidRPr="00181C7D">
              <w:rPr>
                <w:rStyle w:val="Hyperlink"/>
                <w:bCs/>
                <w:noProof/>
              </w:rPr>
              <w:t>3.2 Political Economy and Critical Theory Foundations</w:t>
            </w:r>
            <w:r>
              <w:rPr>
                <w:noProof/>
                <w:webHidden/>
              </w:rPr>
              <w:tab/>
            </w:r>
            <w:r>
              <w:rPr>
                <w:noProof/>
                <w:webHidden/>
              </w:rPr>
              <w:fldChar w:fldCharType="begin"/>
            </w:r>
            <w:r>
              <w:rPr>
                <w:noProof/>
                <w:webHidden/>
              </w:rPr>
              <w:instrText xml:space="preserve"> PAGEREF _Toc222652737 \h </w:instrText>
            </w:r>
            <w:r>
              <w:rPr>
                <w:noProof/>
                <w:webHidden/>
              </w:rPr>
            </w:r>
            <w:r>
              <w:rPr>
                <w:noProof/>
                <w:webHidden/>
              </w:rPr>
              <w:fldChar w:fldCharType="separate"/>
            </w:r>
            <w:r w:rsidR="00DD2B4E">
              <w:rPr>
                <w:noProof/>
                <w:webHidden/>
              </w:rPr>
              <w:t>71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38" w:history="1">
            <w:r w:rsidRPr="00181C7D">
              <w:rPr>
                <w:rStyle w:val="Hyperlink"/>
                <w:noProof/>
              </w:rPr>
              <w:t>3.2.1</w:t>
            </w:r>
            <w:r>
              <w:rPr>
                <w:rFonts w:eastAsiaTheme="minorEastAsia"/>
                <w:noProof/>
              </w:rPr>
              <w:tab/>
            </w:r>
            <w:r w:rsidRPr="00181C7D">
              <w:rPr>
                <w:rStyle w:val="Hyperlink"/>
                <w:noProof/>
              </w:rPr>
              <w:t>Structural Power and Neoliberal Reconfiguration</w:t>
            </w:r>
            <w:r>
              <w:rPr>
                <w:noProof/>
                <w:webHidden/>
              </w:rPr>
              <w:tab/>
            </w:r>
            <w:r>
              <w:rPr>
                <w:noProof/>
                <w:webHidden/>
              </w:rPr>
              <w:fldChar w:fldCharType="begin"/>
            </w:r>
            <w:r>
              <w:rPr>
                <w:noProof/>
                <w:webHidden/>
              </w:rPr>
              <w:instrText xml:space="preserve"> PAGEREF _Toc222652738 \h </w:instrText>
            </w:r>
            <w:r>
              <w:rPr>
                <w:noProof/>
                <w:webHidden/>
              </w:rPr>
            </w:r>
            <w:r>
              <w:rPr>
                <w:noProof/>
                <w:webHidden/>
              </w:rPr>
              <w:fldChar w:fldCharType="separate"/>
            </w:r>
            <w:r w:rsidR="00DD2B4E">
              <w:rPr>
                <w:noProof/>
                <w:webHidden/>
              </w:rPr>
              <w:t>71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39" w:history="1">
            <w:r w:rsidRPr="00181C7D">
              <w:rPr>
                <w:rStyle w:val="Hyperlink"/>
                <w:noProof/>
              </w:rPr>
              <w:t>3.2.2</w:t>
            </w:r>
            <w:r>
              <w:rPr>
                <w:rFonts w:eastAsiaTheme="minorEastAsia"/>
                <w:noProof/>
              </w:rPr>
              <w:tab/>
            </w:r>
            <w:r w:rsidRPr="00181C7D">
              <w:rPr>
                <w:rStyle w:val="Hyperlink"/>
                <w:noProof/>
              </w:rPr>
              <w:t>Hegemony and Consent in the Digital Economy</w:t>
            </w:r>
            <w:r>
              <w:rPr>
                <w:noProof/>
                <w:webHidden/>
              </w:rPr>
              <w:tab/>
            </w:r>
            <w:r>
              <w:rPr>
                <w:noProof/>
                <w:webHidden/>
              </w:rPr>
              <w:fldChar w:fldCharType="begin"/>
            </w:r>
            <w:r>
              <w:rPr>
                <w:noProof/>
                <w:webHidden/>
              </w:rPr>
              <w:instrText xml:space="preserve"> PAGEREF _Toc222652739 \h </w:instrText>
            </w:r>
            <w:r>
              <w:rPr>
                <w:noProof/>
                <w:webHidden/>
              </w:rPr>
            </w:r>
            <w:r>
              <w:rPr>
                <w:noProof/>
                <w:webHidden/>
              </w:rPr>
              <w:fldChar w:fldCharType="separate"/>
            </w:r>
            <w:r w:rsidR="00DD2B4E">
              <w:rPr>
                <w:noProof/>
                <w:webHidden/>
              </w:rPr>
              <w:t>72</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40" w:history="1">
            <w:r w:rsidRPr="00181C7D">
              <w:rPr>
                <w:rStyle w:val="Hyperlink"/>
                <w:noProof/>
              </w:rPr>
              <w:t>3.2.3</w:t>
            </w:r>
            <w:r>
              <w:rPr>
                <w:rFonts w:eastAsiaTheme="minorEastAsia"/>
                <w:noProof/>
              </w:rPr>
              <w:tab/>
            </w:r>
            <w:r w:rsidRPr="00181C7D">
              <w:rPr>
                <w:rStyle w:val="Hyperlink"/>
                <w:noProof/>
              </w:rPr>
              <w:t>World-Systems Theory and Global Stratification</w:t>
            </w:r>
            <w:r>
              <w:rPr>
                <w:noProof/>
                <w:webHidden/>
              </w:rPr>
              <w:tab/>
            </w:r>
            <w:r>
              <w:rPr>
                <w:noProof/>
                <w:webHidden/>
              </w:rPr>
              <w:fldChar w:fldCharType="begin"/>
            </w:r>
            <w:r>
              <w:rPr>
                <w:noProof/>
                <w:webHidden/>
              </w:rPr>
              <w:instrText xml:space="preserve"> PAGEREF _Toc222652740 \h </w:instrText>
            </w:r>
            <w:r>
              <w:rPr>
                <w:noProof/>
                <w:webHidden/>
              </w:rPr>
            </w:r>
            <w:r>
              <w:rPr>
                <w:noProof/>
                <w:webHidden/>
              </w:rPr>
              <w:fldChar w:fldCharType="separate"/>
            </w:r>
            <w:r w:rsidR="00DD2B4E">
              <w:rPr>
                <w:noProof/>
                <w:webHidden/>
              </w:rPr>
              <w:t>72</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41" w:history="1">
            <w:r w:rsidRPr="00181C7D">
              <w:rPr>
                <w:rStyle w:val="Hyperlink"/>
                <w:noProof/>
              </w:rPr>
              <w:t>3.2.4</w:t>
            </w:r>
            <w:r>
              <w:rPr>
                <w:rFonts w:eastAsiaTheme="minorEastAsia"/>
                <w:noProof/>
              </w:rPr>
              <w:tab/>
            </w:r>
            <w:r w:rsidRPr="00181C7D">
              <w:rPr>
                <w:rStyle w:val="Hyperlink"/>
                <w:noProof/>
              </w:rPr>
              <w:t>Synthesis</w:t>
            </w:r>
            <w:r>
              <w:rPr>
                <w:noProof/>
                <w:webHidden/>
              </w:rPr>
              <w:tab/>
            </w:r>
            <w:r>
              <w:rPr>
                <w:noProof/>
                <w:webHidden/>
              </w:rPr>
              <w:fldChar w:fldCharType="begin"/>
            </w:r>
            <w:r>
              <w:rPr>
                <w:noProof/>
                <w:webHidden/>
              </w:rPr>
              <w:instrText xml:space="preserve"> PAGEREF _Toc222652741 \h </w:instrText>
            </w:r>
            <w:r>
              <w:rPr>
                <w:noProof/>
                <w:webHidden/>
              </w:rPr>
            </w:r>
            <w:r>
              <w:rPr>
                <w:noProof/>
                <w:webHidden/>
              </w:rPr>
              <w:fldChar w:fldCharType="separate"/>
            </w:r>
            <w:r w:rsidR="00DD2B4E">
              <w:rPr>
                <w:noProof/>
                <w:webHidden/>
              </w:rPr>
              <w:t>73</w:t>
            </w:r>
            <w:r>
              <w:rPr>
                <w:noProof/>
                <w:webHidden/>
              </w:rPr>
              <w:fldChar w:fldCharType="end"/>
            </w:r>
          </w:hyperlink>
        </w:p>
        <w:p w:rsidR="00045A40" w:rsidRDefault="00045A40">
          <w:pPr>
            <w:pStyle w:val="TOC2"/>
            <w:tabs>
              <w:tab w:val="right" w:leader="dot" w:pos="9350"/>
            </w:tabs>
            <w:rPr>
              <w:rFonts w:eastAsiaTheme="minorEastAsia"/>
              <w:noProof/>
            </w:rPr>
          </w:pPr>
          <w:hyperlink w:anchor="_Toc222652742" w:history="1">
            <w:r w:rsidRPr="00181C7D">
              <w:rPr>
                <w:rStyle w:val="Hyperlink"/>
                <w:bCs/>
                <w:noProof/>
              </w:rPr>
              <w:t>3.3 Business and Management Theories of Strategic Power</w:t>
            </w:r>
            <w:r>
              <w:rPr>
                <w:noProof/>
                <w:webHidden/>
              </w:rPr>
              <w:tab/>
            </w:r>
            <w:r>
              <w:rPr>
                <w:noProof/>
                <w:webHidden/>
              </w:rPr>
              <w:fldChar w:fldCharType="begin"/>
            </w:r>
            <w:r>
              <w:rPr>
                <w:noProof/>
                <w:webHidden/>
              </w:rPr>
              <w:instrText xml:space="preserve"> PAGEREF _Toc222652742 \h </w:instrText>
            </w:r>
            <w:r>
              <w:rPr>
                <w:noProof/>
                <w:webHidden/>
              </w:rPr>
            </w:r>
            <w:r>
              <w:rPr>
                <w:noProof/>
                <w:webHidden/>
              </w:rPr>
              <w:fldChar w:fldCharType="separate"/>
            </w:r>
            <w:r w:rsidR="00DD2B4E">
              <w:rPr>
                <w:noProof/>
                <w:webHidden/>
              </w:rPr>
              <w:t>73</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43" w:history="1">
            <w:r w:rsidRPr="00181C7D">
              <w:rPr>
                <w:rStyle w:val="Hyperlink"/>
                <w:noProof/>
              </w:rPr>
              <w:t>3.3.1</w:t>
            </w:r>
            <w:r>
              <w:rPr>
                <w:rFonts w:eastAsiaTheme="minorEastAsia"/>
                <w:noProof/>
              </w:rPr>
              <w:tab/>
            </w:r>
            <w:r w:rsidRPr="00181C7D">
              <w:rPr>
                <w:rStyle w:val="Hyperlink"/>
                <w:noProof/>
              </w:rPr>
              <w:t>Resource-Based View: Strategic Resources and Capabilities</w:t>
            </w:r>
            <w:r>
              <w:rPr>
                <w:noProof/>
                <w:webHidden/>
              </w:rPr>
              <w:tab/>
            </w:r>
            <w:r>
              <w:rPr>
                <w:noProof/>
                <w:webHidden/>
              </w:rPr>
              <w:fldChar w:fldCharType="begin"/>
            </w:r>
            <w:r>
              <w:rPr>
                <w:noProof/>
                <w:webHidden/>
              </w:rPr>
              <w:instrText xml:space="preserve"> PAGEREF _Toc222652743 \h </w:instrText>
            </w:r>
            <w:r>
              <w:rPr>
                <w:noProof/>
                <w:webHidden/>
              </w:rPr>
            </w:r>
            <w:r>
              <w:rPr>
                <w:noProof/>
                <w:webHidden/>
              </w:rPr>
              <w:fldChar w:fldCharType="separate"/>
            </w:r>
            <w:r w:rsidR="00DD2B4E">
              <w:rPr>
                <w:noProof/>
                <w:webHidden/>
              </w:rPr>
              <w:t>74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44" w:history="1">
            <w:r w:rsidRPr="00181C7D">
              <w:rPr>
                <w:rStyle w:val="Hyperlink"/>
                <w:noProof/>
              </w:rPr>
              <w:t>3.3.2</w:t>
            </w:r>
            <w:r>
              <w:rPr>
                <w:rFonts w:eastAsiaTheme="minorEastAsia"/>
                <w:noProof/>
              </w:rPr>
              <w:tab/>
            </w:r>
            <w:r w:rsidRPr="00181C7D">
              <w:rPr>
                <w:rStyle w:val="Hyperlink"/>
                <w:noProof/>
              </w:rPr>
              <w:t>Stakeholder Theory: Legitimacy and Relationship Management</w:t>
            </w:r>
            <w:r>
              <w:rPr>
                <w:noProof/>
                <w:webHidden/>
              </w:rPr>
              <w:tab/>
            </w:r>
            <w:r>
              <w:rPr>
                <w:noProof/>
                <w:webHidden/>
              </w:rPr>
              <w:fldChar w:fldCharType="begin"/>
            </w:r>
            <w:r>
              <w:rPr>
                <w:noProof/>
                <w:webHidden/>
              </w:rPr>
              <w:instrText xml:space="preserve"> PAGEREF _Toc222652744 \h </w:instrText>
            </w:r>
            <w:r>
              <w:rPr>
                <w:noProof/>
                <w:webHidden/>
              </w:rPr>
            </w:r>
            <w:r>
              <w:rPr>
                <w:noProof/>
                <w:webHidden/>
              </w:rPr>
              <w:fldChar w:fldCharType="separate"/>
            </w:r>
            <w:r w:rsidR="00DD2B4E">
              <w:rPr>
                <w:noProof/>
                <w:webHidden/>
              </w:rPr>
              <w:t>74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45" w:history="1">
            <w:r w:rsidRPr="00181C7D">
              <w:rPr>
                <w:rStyle w:val="Hyperlink"/>
                <w:noProof/>
              </w:rPr>
              <w:t>3.3.3</w:t>
            </w:r>
            <w:r>
              <w:rPr>
                <w:rFonts w:eastAsiaTheme="minorEastAsia"/>
                <w:noProof/>
              </w:rPr>
              <w:tab/>
            </w:r>
            <w:r w:rsidRPr="00181C7D">
              <w:rPr>
                <w:rStyle w:val="Hyperlink"/>
                <w:noProof/>
              </w:rPr>
              <w:t>Institutional Entrepreneurship: Shaping the Rules of the Game</w:t>
            </w:r>
            <w:r>
              <w:rPr>
                <w:noProof/>
                <w:webHidden/>
              </w:rPr>
              <w:tab/>
            </w:r>
            <w:r>
              <w:rPr>
                <w:noProof/>
                <w:webHidden/>
              </w:rPr>
              <w:fldChar w:fldCharType="begin"/>
            </w:r>
            <w:r>
              <w:rPr>
                <w:noProof/>
                <w:webHidden/>
              </w:rPr>
              <w:instrText xml:space="preserve"> PAGEREF _Toc222652745 \h </w:instrText>
            </w:r>
            <w:r>
              <w:rPr>
                <w:noProof/>
                <w:webHidden/>
              </w:rPr>
            </w:r>
            <w:r>
              <w:rPr>
                <w:noProof/>
                <w:webHidden/>
              </w:rPr>
              <w:fldChar w:fldCharType="separate"/>
            </w:r>
            <w:r w:rsidR="00DD2B4E">
              <w:rPr>
                <w:noProof/>
                <w:webHidden/>
              </w:rPr>
              <w:t>75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46" w:history="1">
            <w:r w:rsidRPr="00181C7D">
              <w:rPr>
                <w:rStyle w:val="Hyperlink"/>
                <w:noProof/>
              </w:rPr>
              <w:t>3.3.4</w:t>
            </w:r>
            <w:r>
              <w:rPr>
                <w:rFonts w:eastAsiaTheme="minorEastAsia"/>
                <w:noProof/>
              </w:rPr>
              <w:tab/>
            </w:r>
            <w:r w:rsidRPr="00181C7D">
              <w:rPr>
                <w:rStyle w:val="Hyperlink"/>
                <w:noProof/>
              </w:rPr>
              <w:t>Synthesis: Strategic Power Across Three Dimensions</w:t>
            </w:r>
            <w:r>
              <w:rPr>
                <w:noProof/>
                <w:webHidden/>
              </w:rPr>
              <w:tab/>
            </w:r>
            <w:r>
              <w:rPr>
                <w:noProof/>
                <w:webHidden/>
              </w:rPr>
              <w:fldChar w:fldCharType="begin"/>
            </w:r>
            <w:r>
              <w:rPr>
                <w:noProof/>
                <w:webHidden/>
              </w:rPr>
              <w:instrText xml:space="preserve"> PAGEREF _Toc222652746 \h </w:instrText>
            </w:r>
            <w:r>
              <w:rPr>
                <w:noProof/>
                <w:webHidden/>
              </w:rPr>
            </w:r>
            <w:r>
              <w:rPr>
                <w:noProof/>
                <w:webHidden/>
              </w:rPr>
              <w:fldChar w:fldCharType="separate"/>
            </w:r>
            <w:r w:rsidR="00DD2B4E">
              <w:rPr>
                <w:noProof/>
                <w:webHidden/>
              </w:rPr>
              <w:t>76</w:t>
            </w:r>
            <w:r>
              <w:rPr>
                <w:noProof/>
                <w:webHidden/>
              </w:rPr>
              <w:fldChar w:fldCharType="end"/>
            </w:r>
          </w:hyperlink>
        </w:p>
        <w:p w:rsidR="00045A40" w:rsidRDefault="00045A40">
          <w:pPr>
            <w:pStyle w:val="TOC2"/>
            <w:tabs>
              <w:tab w:val="right" w:leader="dot" w:pos="9350"/>
            </w:tabs>
            <w:rPr>
              <w:rFonts w:eastAsiaTheme="minorEastAsia"/>
              <w:noProof/>
            </w:rPr>
          </w:pPr>
          <w:hyperlink w:anchor="_Toc222652747" w:history="1">
            <w:r w:rsidRPr="00181C7D">
              <w:rPr>
                <w:rStyle w:val="Hyperlink"/>
                <w:noProof/>
              </w:rPr>
              <w:t>3.4 Toward a Hybrid Framework</w:t>
            </w:r>
            <w:r>
              <w:rPr>
                <w:noProof/>
                <w:webHidden/>
              </w:rPr>
              <w:tab/>
            </w:r>
            <w:r>
              <w:rPr>
                <w:noProof/>
                <w:webHidden/>
              </w:rPr>
              <w:fldChar w:fldCharType="begin"/>
            </w:r>
            <w:r>
              <w:rPr>
                <w:noProof/>
                <w:webHidden/>
              </w:rPr>
              <w:instrText xml:space="preserve"> PAGEREF _Toc222652747 \h </w:instrText>
            </w:r>
            <w:r>
              <w:rPr>
                <w:noProof/>
                <w:webHidden/>
              </w:rPr>
            </w:r>
            <w:r>
              <w:rPr>
                <w:noProof/>
                <w:webHidden/>
              </w:rPr>
              <w:fldChar w:fldCharType="separate"/>
            </w:r>
            <w:r w:rsidR="00DD2B4E">
              <w:rPr>
                <w:noProof/>
                <w:webHidden/>
              </w:rPr>
              <w:t>76</w:t>
            </w:r>
            <w:r>
              <w:rPr>
                <w:noProof/>
                <w:webHidden/>
              </w:rPr>
              <w:fldChar w:fldCharType="end"/>
            </w:r>
          </w:hyperlink>
        </w:p>
        <w:p w:rsidR="00045A40" w:rsidRDefault="00045A40">
          <w:pPr>
            <w:pStyle w:val="TOC3"/>
            <w:tabs>
              <w:tab w:val="right" w:leader="dot" w:pos="9350"/>
            </w:tabs>
            <w:rPr>
              <w:rFonts w:eastAsiaTheme="minorEastAsia"/>
              <w:noProof/>
            </w:rPr>
          </w:pPr>
          <w:hyperlink w:anchor="_Toc222652748" w:history="1">
            <w:r w:rsidRPr="00181C7D">
              <w:rPr>
                <w:rStyle w:val="Hyperlink"/>
                <w:noProof/>
              </w:rPr>
              <w:t>Table 1: Distinguishing Sovereignty, Authority, and Governance</w:t>
            </w:r>
            <w:r>
              <w:rPr>
                <w:noProof/>
                <w:webHidden/>
              </w:rPr>
              <w:tab/>
            </w:r>
            <w:r>
              <w:rPr>
                <w:noProof/>
                <w:webHidden/>
              </w:rPr>
              <w:fldChar w:fldCharType="begin"/>
            </w:r>
            <w:r>
              <w:rPr>
                <w:noProof/>
                <w:webHidden/>
              </w:rPr>
              <w:instrText xml:space="preserve"> PAGEREF _Toc222652748 \h </w:instrText>
            </w:r>
            <w:r>
              <w:rPr>
                <w:noProof/>
                <w:webHidden/>
              </w:rPr>
            </w:r>
            <w:r>
              <w:rPr>
                <w:noProof/>
                <w:webHidden/>
              </w:rPr>
              <w:fldChar w:fldCharType="separate"/>
            </w:r>
            <w:r w:rsidR="00DD2B4E">
              <w:rPr>
                <w:noProof/>
                <w:webHidden/>
              </w:rPr>
              <w:t>77</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49" w:history="1">
            <w:r w:rsidRPr="00181C7D">
              <w:rPr>
                <w:rStyle w:val="Hyperlink"/>
                <w:noProof/>
              </w:rPr>
              <w:t>3.4.1</w:t>
            </w:r>
            <w:r>
              <w:rPr>
                <w:rFonts w:eastAsiaTheme="minorEastAsia"/>
                <w:noProof/>
              </w:rPr>
              <w:tab/>
            </w:r>
            <w:r w:rsidRPr="00181C7D">
              <w:rPr>
                <w:rStyle w:val="Hyperlink"/>
                <w:noProof/>
              </w:rPr>
              <w:t xml:space="preserve"> Strategic Resource Control</w:t>
            </w:r>
            <w:r>
              <w:rPr>
                <w:noProof/>
                <w:webHidden/>
              </w:rPr>
              <w:tab/>
            </w:r>
            <w:r>
              <w:rPr>
                <w:noProof/>
                <w:webHidden/>
              </w:rPr>
              <w:fldChar w:fldCharType="begin"/>
            </w:r>
            <w:r>
              <w:rPr>
                <w:noProof/>
                <w:webHidden/>
              </w:rPr>
              <w:instrText xml:space="preserve"> PAGEREF _Toc222652749 \h </w:instrText>
            </w:r>
            <w:r>
              <w:rPr>
                <w:noProof/>
                <w:webHidden/>
              </w:rPr>
            </w:r>
            <w:r>
              <w:rPr>
                <w:noProof/>
                <w:webHidden/>
              </w:rPr>
              <w:fldChar w:fldCharType="separate"/>
            </w:r>
            <w:r w:rsidR="00DD2B4E">
              <w:rPr>
                <w:noProof/>
                <w:webHidden/>
              </w:rPr>
              <w:t>78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50" w:history="1">
            <w:r w:rsidRPr="00181C7D">
              <w:rPr>
                <w:rStyle w:val="Hyperlink"/>
                <w:noProof/>
              </w:rPr>
              <w:t>3.4.2</w:t>
            </w:r>
            <w:r>
              <w:rPr>
                <w:rFonts w:eastAsiaTheme="minorEastAsia"/>
                <w:noProof/>
              </w:rPr>
              <w:tab/>
            </w:r>
            <w:r w:rsidRPr="00181C7D">
              <w:rPr>
                <w:rStyle w:val="Hyperlink"/>
                <w:noProof/>
              </w:rPr>
              <w:t xml:space="preserve"> Structural Embeddedness</w:t>
            </w:r>
            <w:r>
              <w:rPr>
                <w:noProof/>
                <w:webHidden/>
              </w:rPr>
              <w:tab/>
            </w:r>
            <w:r>
              <w:rPr>
                <w:noProof/>
                <w:webHidden/>
              </w:rPr>
              <w:fldChar w:fldCharType="begin"/>
            </w:r>
            <w:r>
              <w:rPr>
                <w:noProof/>
                <w:webHidden/>
              </w:rPr>
              <w:instrText xml:space="preserve"> PAGEREF _Toc222652750 \h </w:instrText>
            </w:r>
            <w:r>
              <w:rPr>
                <w:noProof/>
                <w:webHidden/>
              </w:rPr>
            </w:r>
            <w:r>
              <w:rPr>
                <w:noProof/>
                <w:webHidden/>
              </w:rPr>
              <w:fldChar w:fldCharType="separate"/>
            </w:r>
            <w:r w:rsidR="00DD2B4E">
              <w:rPr>
                <w:noProof/>
                <w:webHidden/>
              </w:rPr>
              <w:t>79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51" w:history="1">
            <w:r w:rsidRPr="00181C7D">
              <w:rPr>
                <w:rStyle w:val="Hyperlink"/>
                <w:noProof/>
              </w:rPr>
              <w:t>3.4.3</w:t>
            </w:r>
            <w:r>
              <w:rPr>
                <w:rFonts w:eastAsiaTheme="minorEastAsia"/>
                <w:noProof/>
              </w:rPr>
              <w:tab/>
            </w:r>
            <w:r w:rsidRPr="00181C7D">
              <w:rPr>
                <w:rStyle w:val="Hyperlink"/>
                <w:noProof/>
              </w:rPr>
              <w:t>Normative Legitimacy</w:t>
            </w:r>
            <w:r>
              <w:rPr>
                <w:noProof/>
                <w:webHidden/>
              </w:rPr>
              <w:tab/>
            </w:r>
            <w:r>
              <w:rPr>
                <w:noProof/>
                <w:webHidden/>
              </w:rPr>
              <w:fldChar w:fldCharType="begin"/>
            </w:r>
            <w:r>
              <w:rPr>
                <w:noProof/>
                <w:webHidden/>
              </w:rPr>
              <w:instrText xml:space="preserve"> PAGEREF _Toc222652751 \h </w:instrText>
            </w:r>
            <w:r>
              <w:rPr>
                <w:noProof/>
                <w:webHidden/>
              </w:rPr>
            </w:r>
            <w:r>
              <w:rPr>
                <w:noProof/>
                <w:webHidden/>
              </w:rPr>
              <w:fldChar w:fldCharType="separate"/>
            </w:r>
            <w:r w:rsidR="00DD2B4E">
              <w:rPr>
                <w:noProof/>
                <w:webHidden/>
              </w:rPr>
              <w:t>80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52" w:history="1">
            <w:r w:rsidRPr="00181C7D">
              <w:rPr>
                <w:rStyle w:val="Hyperlink"/>
                <w:noProof/>
              </w:rPr>
              <w:t>3.4.4</w:t>
            </w:r>
            <w:r>
              <w:rPr>
                <w:rFonts w:eastAsiaTheme="minorEastAsia"/>
                <w:noProof/>
              </w:rPr>
              <w:tab/>
            </w:r>
            <w:r w:rsidRPr="00181C7D">
              <w:rPr>
                <w:rStyle w:val="Hyperlink"/>
                <w:noProof/>
              </w:rPr>
              <w:t xml:space="preserve"> Infrastructural Power</w:t>
            </w:r>
            <w:r>
              <w:rPr>
                <w:noProof/>
                <w:webHidden/>
              </w:rPr>
              <w:tab/>
            </w:r>
            <w:r>
              <w:rPr>
                <w:noProof/>
                <w:webHidden/>
              </w:rPr>
              <w:fldChar w:fldCharType="begin"/>
            </w:r>
            <w:r>
              <w:rPr>
                <w:noProof/>
                <w:webHidden/>
              </w:rPr>
              <w:instrText xml:space="preserve"> PAGEREF _Toc222652752 \h </w:instrText>
            </w:r>
            <w:r>
              <w:rPr>
                <w:noProof/>
                <w:webHidden/>
              </w:rPr>
            </w:r>
            <w:r>
              <w:rPr>
                <w:noProof/>
                <w:webHidden/>
              </w:rPr>
              <w:fldChar w:fldCharType="separate"/>
            </w:r>
            <w:r w:rsidR="00DD2B4E">
              <w:rPr>
                <w:noProof/>
                <w:webHidden/>
              </w:rPr>
              <w:t>81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53" w:history="1">
            <w:r w:rsidRPr="00181C7D">
              <w:rPr>
                <w:rStyle w:val="Hyperlink"/>
                <w:noProof/>
              </w:rPr>
              <w:t xml:space="preserve">3.4.5 </w:t>
            </w:r>
            <w:r>
              <w:rPr>
                <w:rFonts w:eastAsiaTheme="minorEastAsia"/>
                <w:noProof/>
              </w:rPr>
              <w:tab/>
            </w:r>
            <w:r w:rsidRPr="00181C7D">
              <w:rPr>
                <w:rStyle w:val="Hyperlink"/>
                <w:noProof/>
              </w:rPr>
              <w:t>Boundary Conditions: Thresholds, Disqualifiers, and Empirical Indicators</w:t>
            </w:r>
            <w:r>
              <w:rPr>
                <w:noProof/>
                <w:webHidden/>
              </w:rPr>
              <w:tab/>
            </w:r>
            <w:r>
              <w:rPr>
                <w:noProof/>
                <w:webHidden/>
              </w:rPr>
              <w:fldChar w:fldCharType="begin"/>
            </w:r>
            <w:r>
              <w:rPr>
                <w:noProof/>
                <w:webHidden/>
              </w:rPr>
              <w:instrText xml:space="preserve"> PAGEREF _Toc222652753 \h </w:instrText>
            </w:r>
            <w:r>
              <w:rPr>
                <w:noProof/>
                <w:webHidden/>
              </w:rPr>
            </w:r>
            <w:r>
              <w:rPr>
                <w:noProof/>
                <w:webHidden/>
              </w:rPr>
              <w:fldChar w:fldCharType="separate"/>
            </w:r>
            <w:r w:rsidR="00DD2B4E">
              <w:rPr>
                <w:noProof/>
                <w:webHidden/>
              </w:rPr>
              <w:t>82</w:t>
            </w:r>
            <w:r>
              <w:rPr>
                <w:noProof/>
                <w:webHidden/>
              </w:rPr>
              <w:fldChar w:fldCharType="end"/>
            </w:r>
          </w:hyperlink>
        </w:p>
        <w:p w:rsidR="00045A40" w:rsidRDefault="00045A40">
          <w:pPr>
            <w:pStyle w:val="TOC3"/>
            <w:tabs>
              <w:tab w:val="right" w:leader="dot" w:pos="9350"/>
            </w:tabs>
            <w:rPr>
              <w:rFonts w:eastAsiaTheme="minorEastAsia"/>
              <w:noProof/>
            </w:rPr>
          </w:pPr>
          <w:hyperlink w:anchor="_Toc222652754" w:history="1">
            <w:r w:rsidRPr="00181C7D">
              <w:rPr>
                <w:rStyle w:val="Hyperlink"/>
                <w:noProof/>
              </w:rPr>
              <w:t>Table</w:t>
            </w:r>
            <w:r w:rsidRPr="00181C7D">
              <w:rPr>
                <w:rStyle w:val="Hyperlink"/>
                <w:noProof/>
                <w:rtl/>
              </w:rPr>
              <w:t xml:space="preserve"> </w:t>
            </w:r>
            <w:r w:rsidRPr="00181C7D">
              <w:rPr>
                <w:rStyle w:val="Hyperlink"/>
                <w:noProof/>
              </w:rPr>
              <w:t>2:  Asymmetric Disciplinary Contributions to the Four Dimensions of Corporate Quasi-Sovereignty</w:t>
            </w:r>
            <w:r>
              <w:rPr>
                <w:noProof/>
                <w:webHidden/>
              </w:rPr>
              <w:tab/>
            </w:r>
            <w:r>
              <w:rPr>
                <w:noProof/>
                <w:webHidden/>
              </w:rPr>
              <w:fldChar w:fldCharType="begin"/>
            </w:r>
            <w:r>
              <w:rPr>
                <w:noProof/>
                <w:webHidden/>
              </w:rPr>
              <w:instrText xml:space="preserve"> PAGEREF _Toc222652754 \h </w:instrText>
            </w:r>
            <w:r>
              <w:rPr>
                <w:noProof/>
                <w:webHidden/>
              </w:rPr>
            </w:r>
            <w:r>
              <w:rPr>
                <w:noProof/>
                <w:webHidden/>
              </w:rPr>
              <w:fldChar w:fldCharType="separate"/>
            </w:r>
            <w:r w:rsidR="00DD2B4E">
              <w:rPr>
                <w:noProof/>
                <w:webHidden/>
              </w:rPr>
              <w:t>84</w:t>
            </w:r>
            <w:r>
              <w:rPr>
                <w:noProof/>
                <w:webHidden/>
              </w:rPr>
              <w:fldChar w:fldCharType="end"/>
            </w:r>
          </w:hyperlink>
        </w:p>
        <w:p w:rsidR="00045A40" w:rsidRDefault="00045A40">
          <w:pPr>
            <w:pStyle w:val="TOC3"/>
            <w:tabs>
              <w:tab w:val="right" w:leader="dot" w:pos="9350"/>
            </w:tabs>
            <w:rPr>
              <w:rFonts w:eastAsiaTheme="minorEastAsia"/>
              <w:noProof/>
            </w:rPr>
          </w:pPr>
          <w:hyperlink w:anchor="_Toc222652755" w:history="1">
            <w:r w:rsidRPr="00181C7D">
              <w:rPr>
                <w:rStyle w:val="Hyperlink"/>
                <w:noProof/>
              </w:rPr>
              <w:t xml:space="preserve">Table </w:t>
            </w:r>
            <w:r w:rsidRPr="00181C7D">
              <w:rPr>
                <w:rStyle w:val="Hyperlink"/>
                <w:noProof/>
                <w:rtl/>
              </w:rPr>
              <w:t>3</w:t>
            </w:r>
            <w:r w:rsidRPr="00181C7D">
              <w:rPr>
                <w:rStyle w:val="Hyperlink"/>
                <w:noProof/>
              </w:rPr>
              <w:t>: Theoretical Foundations of the Four-Dimensional Corporate Quasi-Sovereignty Framework</w:t>
            </w:r>
            <w:r>
              <w:rPr>
                <w:noProof/>
                <w:webHidden/>
              </w:rPr>
              <w:tab/>
            </w:r>
            <w:r>
              <w:rPr>
                <w:noProof/>
                <w:webHidden/>
              </w:rPr>
              <w:fldChar w:fldCharType="begin"/>
            </w:r>
            <w:r>
              <w:rPr>
                <w:noProof/>
                <w:webHidden/>
              </w:rPr>
              <w:instrText xml:space="preserve"> PAGEREF _Toc222652755 \h </w:instrText>
            </w:r>
            <w:r>
              <w:rPr>
                <w:noProof/>
                <w:webHidden/>
              </w:rPr>
            </w:r>
            <w:r>
              <w:rPr>
                <w:noProof/>
                <w:webHidden/>
              </w:rPr>
              <w:fldChar w:fldCharType="separate"/>
            </w:r>
            <w:r w:rsidR="00DD2B4E">
              <w:rPr>
                <w:noProof/>
                <w:webHidden/>
              </w:rPr>
              <w:t>85</w:t>
            </w:r>
            <w:r>
              <w:rPr>
                <w:noProof/>
                <w:webHidden/>
              </w:rPr>
              <w:fldChar w:fldCharType="end"/>
            </w:r>
          </w:hyperlink>
        </w:p>
        <w:p w:rsidR="00045A40" w:rsidRDefault="00045A40">
          <w:pPr>
            <w:pStyle w:val="TOC3"/>
            <w:tabs>
              <w:tab w:val="right" w:leader="dot" w:pos="9350"/>
            </w:tabs>
            <w:rPr>
              <w:rFonts w:eastAsiaTheme="minorEastAsia"/>
              <w:noProof/>
            </w:rPr>
          </w:pPr>
          <w:hyperlink w:anchor="_Toc222652756" w:history="1">
            <w:r w:rsidRPr="00181C7D">
              <w:rPr>
                <w:rStyle w:val="Hyperlink"/>
                <w:noProof/>
              </w:rPr>
              <w:t>3.4.6 Comparative Note: Why Technology Corporations?</w:t>
            </w:r>
            <w:r>
              <w:rPr>
                <w:noProof/>
                <w:webHidden/>
              </w:rPr>
              <w:tab/>
            </w:r>
            <w:r>
              <w:rPr>
                <w:noProof/>
                <w:webHidden/>
              </w:rPr>
              <w:fldChar w:fldCharType="begin"/>
            </w:r>
            <w:r>
              <w:rPr>
                <w:noProof/>
                <w:webHidden/>
              </w:rPr>
              <w:instrText xml:space="preserve"> PAGEREF _Toc222652756 \h </w:instrText>
            </w:r>
            <w:r>
              <w:rPr>
                <w:noProof/>
                <w:webHidden/>
              </w:rPr>
            </w:r>
            <w:r>
              <w:rPr>
                <w:noProof/>
                <w:webHidden/>
              </w:rPr>
              <w:fldChar w:fldCharType="separate"/>
            </w:r>
            <w:r w:rsidR="00DD2B4E">
              <w:rPr>
                <w:noProof/>
                <w:webHidden/>
              </w:rPr>
              <w:t>85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57" w:history="1">
            <w:r w:rsidRPr="00181C7D">
              <w:rPr>
                <w:rStyle w:val="Hyperlink"/>
                <w:noProof/>
              </w:rPr>
              <w:t>3.5</w:t>
            </w:r>
            <w:r>
              <w:rPr>
                <w:rFonts w:eastAsiaTheme="minorEastAsia"/>
                <w:noProof/>
              </w:rPr>
              <w:tab/>
            </w:r>
            <w:r w:rsidRPr="00181C7D">
              <w:rPr>
                <w:rStyle w:val="Hyperlink"/>
                <w:noProof/>
              </w:rPr>
              <w:t>Integrated Functionality of the Model</w:t>
            </w:r>
            <w:r>
              <w:rPr>
                <w:noProof/>
                <w:webHidden/>
              </w:rPr>
              <w:tab/>
            </w:r>
            <w:r>
              <w:rPr>
                <w:noProof/>
                <w:webHidden/>
              </w:rPr>
              <w:fldChar w:fldCharType="begin"/>
            </w:r>
            <w:r>
              <w:rPr>
                <w:noProof/>
                <w:webHidden/>
              </w:rPr>
              <w:instrText xml:space="preserve"> PAGEREF _Toc222652757 \h </w:instrText>
            </w:r>
            <w:r>
              <w:rPr>
                <w:noProof/>
                <w:webHidden/>
              </w:rPr>
            </w:r>
            <w:r>
              <w:rPr>
                <w:noProof/>
                <w:webHidden/>
              </w:rPr>
              <w:fldChar w:fldCharType="separate"/>
            </w:r>
            <w:r w:rsidR="00DD2B4E">
              <w:rPr>
                <w:noProof/>
                <w:webHidden/>
              </w:rPr>
              <w:t>88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58" w:history="1">
            <w:r w:rsidRPr="00181C7D">
              <w:rPr>
                <w:rStyle w:val="Hyperlink"/>
                <w:noProof/>
              </w:rPr>
              <w:t>3.5.1</w:t>
            </w:r>
            <w:r>
              <w:rPr>
                <w:rFonts w:eastAsiaTheme="minorEastAsia"/>
                <w:noProof/>
              </w:rPr>
              <w:tab/>
            </w:r>
            <w:r w:rsidRPr="00181C7D">
              <w:rPr>
                <w:rStyle w:val="Hyperlink"/>
                <w:noProof/>
              </w:rPr>
              <w:t>Actor-Network Theory as Methodological Extension</w:t>
            </w:r>
            <w:r>
              <w:rPr>
                <w:noProof/>
                <w:webHidden/>
              </w:rPr>
              <w:tab/>
            </w:r>
            <w:r>
              <w:rPr>
                <w:noProof/>
                <w:webHidden/>
              </w:rPr>
              <w:fldChar w:fldCharType="begin"/>
            </w:r>
            <w:r>
              <w:rPr>
                <w:noProof/>
                <w:webHidden/>
              </w:rPr>
              <w:instrText xml:space="preserve"> PAGEREF _Toc222652758 \h </w:instrText>
            </w:r>
            <w:r>
              <w:rPr>
                <w:noProof/>
                <w:webHidden/>
              </w:rPr>
            </w:r>
            <w:r>
              <w:rPr>
                <w:noProof/>
                <w:webHidden/>
              </w:rPr>
              <w:fldChar w:fldCharType="separate"/>
            </w:r>
            <w:r w:rsidR="00DD2B4E">
              <w:rPr>
                <w:noProof/>
                <w:webHidden/>
              </w:rPr>
              <w:t>89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59" w:history="1">
            <w:r w:rsidRPr="00181C7D">
              <w:rPr>
                <w:rStyle w:val="Hyperlink"/>
                <w:noProof/>
              </w:rPr>
              <w:t>3.5.2</w:t>
            </w:r>
            <w:r>
              <w:rPr>
                <w:rFonts w:eastAsiaTheme="minorEastAsia"/>
                <w:noProof/>
              </w:rPr>
              <w:tab/>
            </w:r>
            <w:r w:rsidRPr="00181C7D">
              <w:rPr>
                <w:rStyle w:val="Hyperlink"/>
                <w:noProof/>
              </w:rPr>
              <w:t>The hybrid analytical model</w:t>
            </w:r>
            <w:r>
              <w:rPr>
                <w:noProof/>
                <w:webHidden/>
              </w:rPr>
              <w:tab/>
            </w:r>
            <w:r>
              <w:rPr>
                <w:noProof/>
                <w:webHidden/>
              </w:rPr>
              <w:fldChar w:fldCharType="begin"/>
            </w:r>
            <w:r>
              <w:rPr>
                <w:noProof/>
                <w:webHidden/>
              </w:rPr>
              <w:instrText xml:space="preserve"> PAGEREF _Toc222652759 \h </w:instrText>
            </w:r>
            <w:r>
              <w:rPr>
                <w:noProof/>
                <w:webHidden/>
              </w:rPr>
            </w:r>
            <w:r>
              <w:rPr>
                <w:noProof/>
                <w:webHidden/>
              </w:rPr>
              <w:fldChar w:fldCharType="separate"/>
            </w:r>
            <w:r w:rsidR="00DD2B4E">
              <w:rPr>
                <w:noProof/>
                <w:webHidden/>
              </w:rPr>
              <w:t>90</w:t>
            </w:r>
            <w:r>
              <w:rPr>
                <w:noProof/>
                <w:webHidden/>
              </w:rPr>
              <w:fldChar w:fldCharType="end"/>
            </w:r>
          </w:hyperlink>
        </w:p>
        <w:p w:rsidR="00045A40" w:rsidRDefault="00045A40">
          <w:pPr>
            <w:pStyle w:val="TOC3"/>
            <w:tabs>
              <w:tab w:val="right" w:leader="dot" w:pos="9350"/>
            </w:tabs>
            <w:rPr>
              <w:rFonts w:eastAsiaTheme="minorEastAsia"/>
              <w:noProof/>
            </w:rPr>
          </w:pPr>
          <w:hyperlink w:anchor="_Toc222652760" w:history="1">
            <w:r w:rsidRPr="00181C7D">
              <w:rPr>
                <w:rStyle w:val="Hyperlink"/>
                <w:noProof/>
              </w:rPr>
              <w:t>Table 4: Asymmetric Disciplinary Contributions to the Four Dimensions of Corporate Quasi-Sovereignty</w:t>
            </w:r>
            <w:r>
              <w:rPr>
                <w:noProof/>
                <w:webHidden/>
              </w:rPr>
              <w:tab/>
            </w:r>
            <w:r>
              <w:rPr>
                <w:noProof/>
                <w:webHidden/>
              </w:rPr>
              <w:fldChar w:fldCharType="begin"/>
            </w:r>
            <w:r>
              <w:rPr>
                <w:noProof/>
                <w:webHidden/>
              </w:rPr>
              <w:instrText xml:space="preserve"> PAGEREF _Toc222652760 \h </w:instrText>
            </w:r>
            <w:r>
              <w:rPr>
                <w:noProof/>
                <w:webHidden/>
              </w:rPr>
            </w:r>
            <w:r>
              <w:rPr>
                <w:noProof/>
                <w:webHidden/>
              </w:rPr>
              <w:fldChar w:fldCharType="separate"/>
            </w:r>
            <w:r w:rsidR="00DD2B4E">
              <w:rPr>
                <w:noProof/>
                <w:webHidden/>
              </w:rPr>
              <w:t>93</w:t>
            </w:r>
            <w:r>
              <w:rPr>
                <w:noProof/>
                <w:webHidden/>
              </w:rPr>
              <w:fldChar w:fldCharType="end"/>
            </w:r>
          </w:hyperlink>
        </w:p>
        <w:p w:rsidR="00045A40" w:rsidRDefault="00045A40">
          <w:pPr>
            <w:pStyle w:val="TOC3"/>
            <w:tabs>
              <w:tab w:val="right" w:leader="dot" w:pos="9350"/>
            </w:tabs>
            <w:rPr>
              <w:rFonts w:eastAsiaTheme="minorEastAsia"/>
              <w:noProof/>
            </w:rPr>
          </w:pPr>
          <w:hyperlink w:anchor="_Toc222652761" w:history="1">
            <w:r w:rsidRPr="00181C7D">
              <w:rPr>
                <w:rStyle w:val="Hyperlink"/>
                <w:noProof/>
              </w:rPr>
              <w:t>Figure 2: Four-Dimensional Model Integrating Concepts</w:t>
            </w:r>
            <w:r>
              <w:rPr>
                <w:noProof/>
                <w:webHidden/>
              </w:rPr>
              <w:tab/>
            </w:r>
            <w:r>
              <w:rPr>
                <w:noProof/>
                <w:webHidden/>
              </w:rPr>
              <w:fldChar w:fldCharType="begin"/>
            </w:r>
            <w:r>
              <w:rPr>
                <w:noProof/>
                <w:webHidden/>
              </w:rPr>
              <w:instrText xml:space="preserve"> PAGEREF _Toc222652761 \h </w:instrText>
            </w:r>
            <w:r>
              <w:rPr>
                <w:noProof/>
                <w:webHidden/>
              </w:rPr>
            </w:r>
            <w:r>
              <w:rPr>
                <w:noProof/>
                <w:webHidden/>
              </w:rPr>
              <w:fldChar w:fldCharType="separate"/>
            </w:r>
            <w:r w:rsidR="00DD2B4E">
              <w:rPr>
                <w:noProof/>
                <w:webHidden/>
              </w:rPr>
              <w:t>94</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62" w:history="1">
            <w:r w:rsidRPr="00181C7D">
              <w:rPr>
                <w:rStyle w:val="Hyperlink"/>
                <w:rFonts w:eastAsia="Times New Roman"/>
                <w:noProof/>
                <w:lang w:eastAsia="en-IL"/>
              </w:rPr>
              <w:t>3.6</w:t>
            </w:r>
            <w:r>
              <w:rPr>
                <w:rFonts w:eastAsiaTheme="minorEastAsia"/>
                <w:noProof/>
              </w:rPr>
              <w:tab/>
            </w:r>
            <w:r w:rsidRPr="00181C7D">
              <w:rPr>
                <w:rStyle w:val="Hyperlink"/>
                <w:rFonts w:eastAsia="Times New Roman"/>
                <w:noProof/>
                <w:lang w:eastAsia="en-IL"/>
              </w:rPr>
              <w:t xml:space="preserve"> Operationalizing the Framework</w:t>
            </w:r>
            <w:r>
              <w:rPr>
                <w:noProof/>
                <w:webHidden/>
              </w:rPr>
              <w:tab/>
            </w:r>
            <w:r>
              <w:rPr>
                <w:noProof/>
                <w:webHidden/>
              </w:rPr>
              <w:fldChar w:fldCharType="begin"/>
            </w:r>
            <w:r>
              <w:rPr>
                <w:noProof/>
                <w:webHidden/>
              </w:rPr>
              <w:instrText xml:space="preserve"> PAGEREF _Toc222652762 \h </w:instrText>
            </w:r>
            <w:r>
              <w:rPr>
                <w:noProof/>
                <w:webHidden/>
              </w:rPr>
            </w:r>
            <w:r>
              <w:rPr>
                <w:noProof/>
                <w:webHidden/>
              </w:rPr>
              <w:fldChar w:fldCharType="separate"/>
            </w:r>
            <w:r w:rsidR="00DD2B4E">
              <w:rPr>
                <w:noProof/>
                <w:webHidden/>
              </w:rPr>
              <w:t>95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63" w:history="1">
            <w:r w:rsidRPr="00181C7D">
              <w:rPr>
                <w:rStyle w:val="Hyperlink"/>
                <w:noProof/>
                <w:lang w:eastAsia="en-IL"/>
              </w:rPr>
              <w:t>3.6.1</w:t>
            </w:r>
            <w:r>
              <w:rPr>
                <w:rFonts w:eastAsiaTheme="minorEastAsia"/>
                <w:noProof/>
              </w:rPr>
              <w:tab/>
            </w:r>
            <w:r w:rsidRPr="00181C7D">
              <w:rPr>
                <w:rStyle w:val="Hyperlink"/>
                <w:noProof/>
                <w:lang w:eastAsia="en-IL"/>
              </w:rPr>
              <w:t>From Theoretical Dimensions to Analytical Indicators</w:t>
            </w:r>
            <w:r>
              <w:rPr>
                <w:noProof/>
                <w:webHidden/>
              </w:rPr>
              <w:tab/>
            </w:r>
            <w:r>
              <w:rPr>
                <w:noProof/>
                <w:webHidden/>
              </w:rPr>
              <w:fldChar w:fldCharType="begin"/>
            </w:r>
            <w:r>
              <w:rPr>
                <w:noProof/>
                <w:webHidden/>
              </w:rPr>
              <w:instrText xml:space="preserve"> PAGEREF _Toc222652763 \h </w:instrText>
            </w:r>
            <w:r>
              <w:rPr>
                <w:noProof/>
                <w:webHidden/>
              </w:rPr>
            </w:r>
            <w:r>
              <w:rPr>
                <w:noProof/>
                <w:webHidden/>
              </w:rPr>
              <w:fldChar w:fldCharType="separate"/>
            </w:r>
            <w:r w:rsidR="00DD2B4E">
              <w:rPr>
                <w:noProof/>
                <w:webHidden/>
              </w:rPr>
              <w:t>96</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64" w:history="1">
            <w:r w:rsidRPr="00181C7D">
              <w:rPr>
                <w:rStyle w:val="Hyperlink"/>
                <w:rFonts w:eastAsia="Times New Roman"/>
                <w:noProof/>
                <w:lang w:eastAsia="en-IL"/>
              </w:rPr>
              <w:t>3.7</w:t>
            </w:r>
            <w:r>
              <w:rPr>
                <w:rFonts w:eastAsiaTheme="minorEastAsia"/>
                <w:noProof/>
              </w:rPr>
              <w:tab/>
            </w:r>
            <w:r w:rsidRPr="00181C7D">
              <w:rPr>
                <w:rStyle w:val="Hyperlink"/>
                <w:rFonts w:eastAsia="Times New Roman"/>
                <w:noProof/>
                <w:lang w:eastAsia="en-IL"/>
              </w:rPr>
              <w:t>Logic of Case Selection: Meta, Huawei, SAP</w:t>
            </w:r>
            <w:r>
              <w:rPr>
                <w:noProof/>
                <w:webHidden/>
              </w:rPr>
              <w:tab/>
            </w:r>
            <w:r>
              <w:rPr>
                <w:noProof/>
                <w:webHidden/>
              </w:rPr>
              <w:fldChar w:fldCharType="begin"/>
            </w:r>
            <w:r>
              <w:rPr>
                <w:noProof/>
                <w:webHidden/>
              </w:rPr>
              <w:instrText xml:space="preserve"> PAGEREF _Toc222652764 \h </w:instrText>
            </w:r>
            <w:r>
              <w:rPr>
                <w:noProof/>
                <w:webHidden/>
              </w:rPr>
            </w:r>
            <w:r>
              <w:rPr>
                <w:noProof/>
                <w:webHidden/>
              </w:rPr>
              <w:fldChar w:fldCharType="separate"/>
            </w:r>
            <w:r w:rsidR="00DD2B4E">
              <w:rPr>
                <w:noProof/>
                <w:webHidden/>
              </w:rPr>
              <w:t>97</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65" w:history="1">
            <w:r w:rsidRPr="00181C7D">
              <w:rPr>
                <w:rStyle w:val="Hyperlink"/>
                <w:rFonts w:eastAsia="Times New Roman"/>
                <w:noProof/>
                <w:lang w:eastAsia="en-IL"/>
              </w:rPr>
              <w:t>3.8</w:t>
            </w:r>
            <w:r>
              <w:rPr>
                <w:rFonts w:eastAsiaTheme="minorEastAsia"/>
                <w:noProof/>
              </w:rPr>
              <w:tab/>
            </w:r>
            <w:r w:rsidRPr="00181C7D">
              <w:rPr>
                <w:rStyle w:val="Hyperlink"/>
                <w:rFonts w:eastAsia="Times New Roman"/>
                <w:noProof/>
                <w:lang w:eastAsia="en-IL"/>
              </w:rPr>
              <w:t>Conclusion</w:t>
            </w:r>
            <w:r>
              <w:rPr>
                <w:noProof/>
                <w:webHidden/>
              </w:rPr>
              <w:tab/>
            </w:r>
            <w:r>
              <w:rPr>
                <w:noProof/>
                <w:webHidden/>
              </w:rPr>
              <w:fldChar w:fldCharType="begin"/>
            </w:r>
            <w:r>
              <w:rPr>
                <w:noProof/>
                <w:webHidden/>
              </w:rPr>
              <w:instrText xml:space="preserve"> PAGEREF _Toc222652765 \h </w:instrText>
            </w:r>
            <w:r>
              <w:rPr>
                <w:noProof/>
                <w:webHidden/>
              </w:rPr>
            </w:r>
            <w:r>
              <w:rPr>
                <w:noProof/>
                <w:webHidden/>
              </w:rPr>
              <w:fldChar w:fldCharType="separate"/>
            </w:r>
            <w:r w:rsidR="00DD2B4E">
              <w:rPr>
                <w:noProof/>
                <w:webHidden/>
              </w:rPr>
              <w:t>98</w:t>
            </w:r>
            <w:r>
              <w:rPr>
                <w:noProof/>
                <w:webHidden/>
              </w:rPr>
              <w:fldChar w:fldCharType="end"/>
            </w:r>
          </w:hyperlink>
        </w:p>
        <w:p w:rsidR="00045A40" w:rsidRDefault="00045A40">
          <w:pPr>
            <w:pStyle w:val="TOC1"/>
            <w:tabs>
              <w:tab w:val="right" w:leader="dot" w:pos="9350"/>
            </w:tabs>
            <w:rPr>
              <w:rFonts w:eastAsiaTheme="minorEastAsia"/>
              <w:noProof/>
            </w:rPr>
          </w:pPr>
          <w:hyperlink w:anchor="_Toc222652766" w:history="1">
            <w:r w:rsidRPr="00181C7D">
              <w:rPr>
                <w:rStyle w:val="Hyperlink"/>
                <w:noProof/>
              </w:rPr>
              <w:t>Chapter 4</w:t>
            </w:r>
            <w:r>
              <w:rPr>
                <w:noProof/>
                <w:webHidden/>
              </w:rPr>
              <w:tab/>
            </w:r>
            <w:r>
              <w:rPr>
                <w:noProof/>
                <w:webHidden/>
              </w:rPr>
              <w:fldChar w:fldCharType="begin"/>
            </w:r>
            <w:r>
              <w:rPr>
                <w:noProof/>
                <w:webHidden/>
              </w:rPr>
              <w:instrText xml:space="preserve"> PAGEREF _Toc222652766 \h </w:instrText>
            </w:r>
            <w:r>
              <w:rPr>
                <w:noProof/>
                <w:webHidden/>
              </w:rPr>
            </w:r>
            <w:r>
              <w:rPr>
                <w:noProof/>
                <w:webHidden/>
              </w:rPr>
              <w:fldChar w:fldCharType="separate"/>
            </w:r>
            <w:r w:rsidR="00DD2B4E">
              <w:rPr>
                <w:noProof/>
                <w:webHidden/>
              </w:rPr>
              <w:t>99</w:t>
            </w:r>
            <w:r>
              <w:rPr>
                <w:noProof/>
                <w:webHidden/>
              </w:rPr>
              <w:fldChar w:fldCharType="end"/>
            </w:r>
          </w:hyperlink>
        </w:p>
        <w:p w:rsidR="00045A40" w:rsidRDefault="00045A40">
          <w:pPr>
            <w:pStyle w:val="TOC1"/>
            <w:tabs>
              <w:tab w:val="right" w:leader="dot" w:pos="9350"/>
            </w:tabs>
            <w:rPr>
              <w:rFonts w:eastAsiaTheme="minorEastAsia"/>
              <w:noProof/>
            </w:rPr>
          </w:pPr>
          <w:hyperlink w:anchor="_Toc222652767" w:history="1">
            <w:r w:rsidRPr="00181C7D">
              <w:rPr>
                <w:rStyle w:val="Hyperlink"/>
                <w:rFonts w:eastAsia="Times New Roman" w:cs="Times New Roman"/>
                <w:bCs/>
                <w:noProof/>
                <w:lang w:eastAsia="en-IL"/>
              </w:rPr>
              <w:t>Empirical Case Studies and Analysis</w:t>
            </w:r>
            <w:r>
              <w:rPr>
                <w:noProof/>
                <w:webHidden/>
              </w:rPr>
              <w:tab/>
            </w:r>
            <w:r>
              <w:rPr>
                <w:noProof/>
                <w:webHidden/>
              </w:rPr>
              <w:fldChar w:fldCharType="begin"/>
            </w:r>
            <w:r>
              <w:rPr>
                <w:noProof/>
                <w:webHidden/>
              </w:rPr>
              <w:instrText xml:space="preserve"> PAGEREF _Toc222652767 \h </w:instrText>
            </w:r>
            <w:r>
              <w:rPr>
                <w:noProof/>
                <w:webHidden/>
              </w:rPr>
            </w:r>
            <w:r>
              <w:rPr>
                <w:noProof/>
                <w:webHidden/>
              </w:rPr>
              <w:fldChar w:fldCharType="separate"/>
            </w:r>
            <w:r w:rsidR="00DD2B4E">
              <w:rPr>
                <w:noProof/>
                <w:webHidden/>
              </w:rPr>
              <w:t>99</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68" w:history="1">
            <w:r w:rsidRPr="00181C7D">
              <w:rPr>
                <w:rStyle w:val="Hyperlink"/>
                <w:noProof/>
              </w:rPr>
              <w:t xml:space="preserve">4.1 </w:t>
            </w:r>
            <w:r>
              <w:rPr>
                <w:rFonts w:eastAsiaTheme="minorEastAsia"/>
                <w:noProof/>
              </w:rPr>
              <w:tab/>
            </w:r>
            <w:r w:rsidRPr="00181C7D">
              <w:rPr>
                <w:rStyle w:val="Hyperlink"/>
                <w:noProof/>
              </w:rPr>
              <w:t>Research Design: Qualitative, Document-Based, Comparative</w:t>
            </w:r>
            <w:r>
              <w:rPr>
                <w:noProof/>
                <w:webHidden/>
              </w:rPr>
              <w:tab/>
            </w:r>
            <w:r>
              <w:rPr>
                <w:noProof/>
                <w:webHidden/>
              </w:rPr>
              <w:fldChar w:fldCharType="begin"/>
            </w:r>
            <w:r>
              <w:rPr>
                <w:noProof/>
                <w:webHidden/>
              </w:rPr>
              <w:instrText xml:space="preserve"> PAGEREF _Toc222652768 \h </w:instrText>
            </w:r>
            <w:r>
              <w:rPr>
                <w:noProof/>
                <w:webHidden/>
              </w:rPr>
            </w:r>
            <w:r>
              <w:rPr>
                <w:noProof/>
                <w:webHidden/>
              </w:rPr>
              <w:fldChar w:fldCharType="separate"/>
            </w:r>
            <w:r w:rsidR="00DD2B4E">
              <w:rPr>
                <w:noProof/>
                <w:webHidden/>
              </w:rPr>
              <w:t>99</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69" w:history="1">
            <w:r w:rsidRPr="00181C7D">
              <w:rPr>
                <w:rStyle w:val="Hyperlink"/>
                <w:rFonts w:eastAsia="Times New Roman"/>
                <w:noProof/>
                <w:lang w:eastAsia="en-IL"/>
              </w:rPr>
              <w:t>4.2</w:t>
            </w:r>
            <w:r>
              <w:rPr>
                <w:rFonts w:eastAsiaTheme="minorEastAsia"/>
                <w:noProof/>
              </w:rPr>
              <w:tab/>
            </w:r>
            <w:r w:rsidRPr="00181C7D">
              <w:rPr>
                <w:rStyle w:val="Hyperlink"/>
                <w:rFonts w:eastAsia="Times New Roman"/>
                <w:noProof/>
                <w:lang w:eastAsia="en-IL"/>
              </w:rPr>
              <w:t>Data Collection and Document Selection</w:t>
            </w:r>
            <w:r>
              <w:rPr>
                <w:noProof/>
                <w:webHidden/>
              </w:rPr>
              <w:tab/>
            </w:r>
            <w:r>
              <w:rPr>
                <w:noProof/>
                <w:webHidden/>
              </w:rPr>
              <w:fldChar w:fldCharType="begin"/>
            </w:r>
            <w:r>
              <w:rPr>
                <w:noProof/>
                <w:webHidden/>
              </w:rPr>
              <w:instrText xml:space="preserve"> PAGEREF _Toc222652769 \h </w:instrText>
            </w:r>
            <w:r>
              <w:rPr>
                <w:noProof/>
                <w:webHidden/>
              </w:rPr>
            </w:r>
            <w:r>
              <w:rPr>
                <w:noProof/>
                <w:webHidden/>
              </w:rPr>
              <w:fldChar w:fldCharType="separate"/>
            </w:r>
            <w:r w:rsidR="00DD2B4E">
              <w:rPr>
                <w:noProof/>
                <w:webHidden/>
              </w:rPr>
              <w:t>101</w:t>
            </w:r>
            <w:r>
              <w:rPr>
                <w:noProof/>
                <w:webHidden/>
              </w:rPr>
              <w:fldChar w:fldCharType="end"/>
            </w:r>
          </w:hyperlink>
        </w:p>
        <w:p w:rsidR="00045A40" w:rsidRDefault="00045A40">
          <w:pPr>
            <w:pStyle w:val="TOC3"/>
            <w:tabs>
              <w:tab w:val="right" w:leader="dot" w:pos="9350"/>
            </w:tabs>
            <w:rPr>
              <w:rFonts w:eastAsiaTheme="minorEastAsia"/>
              <w:noProof/>
            </w:rPr>
          </w:pPr>
          <w:hyperlink w:anchor="_Toc222652770" w:history="1">
            <w:r w:rsidRPr="00181C7D">
              <w:rPr>
                <w:rStyle w:val="Hyperlink"/>
                <w:noProof/>
              </w:rPr>
              <w:t xml:space="preserve">Table </w:t>
            </w:r>
            <w:r w:rsidRPr="00181C7D">
              <w:rPr>
                <w:rStyle w:val="Hyperlink"/>
                <w:noProof/>
                <w:rtl/>
              </w:rPr>
              <w:t>5</w:t>
            </w:r>
            <w:r w:rsidRPr="00181C7D">
              <w:rPr>
                <w:rStyle w:val="Hyperlink"/>
                <w:noProof/>
              </w:rPr>
              <w:t>: Illustrative Structure of the Analytical Codebook</w:t>
            </w:r>
            <w:r>
              <w:rPr>
                <w:noProof/>
                <w:webHidden/>
              </w:rPr>
              <w:tab/>
            </w:r>
            <w:r>
              <w:rPr>
                <w:noProof/>
                <w:webHidden/>
              </w:rPr>
              <w:fldChar w:fldCharType="begin"/>
            </w:r>
            <w:r>
              <w:rPr>
                <w:noProof/>
                <w:webHidden/>
              </w:rPr>
              <w:instrText xml:space="preserve"> PAGEREF _Toc222652770 \h </w:instrText>
            </w:r>
            <w:r>
              <w:rPr>
                <w:noProof/>
                <w:webHidden/>
              </w:rPr>
            </w:r>
            <w:r>
              <w:rPr>
                <w:noProof/>
                <w:webHidden/>
              </w:rPr>
              <w:fldChar w:fldCharType="separate"/>
            </w:r>
            <w:r w:rsidR="00DD2B4E">
              <w:rPr>
                <w:noProof/>
                <w:webHidden/>
              </w:rPr>
              <w:t>103</w:t>
            </w:r>
            <w:r>
              <w:rPr>
                <w:noProof/>
                <w:webHidden/>
              </w:rPr>
              <w:fldChar w:fldCharType="end"/>
            </w:r>
          </w:hyperlink>
        </w:p>
        <w:p w:rsidR="00045A40" w:rsidRDefault="00045A40">
          <w:pPr>
            <w:pStyle w:val="TOC3"/>
            <w:tabs>
              <w:tab w:val="right" w:leader="dot" w:pos="9350"/>
            </w:tabs>
            <w:rPr>
              <w:rFonts w:eastAsiaTheme="minorEastAsia"/>
              <w:noProof/>
            </w:rPr>
          </w:pPr>
          <w:hyperlink w:anchor="_Toc222652771" w:history="1">
            <w:r w:rsidRPr="00181C7D">
              <w:rPr>
                <w:rStyle w:val="Hyperlink"/>
                <w:rFonts w:eastAsiaTheme="majorEastAsia"/>
                <w:noProof/>
              </w:rPr>
              <w:t xml:space="preserve">Table </w:t>
            </w:r>
            <w:r w:rsidRPr="00181C7D">
              <w:rPr>
                <w:rStyle w:val="Hyperlink"/>
                <w:rFonts w:eastAsiaTheme="majorEastAsia"/>
                <w:noProof/>
                <w:rtl/>
              </w:rPr>
              <w:t>6</w:t>
            </w:r>
            <w:r w:rsidRPr="00181C7D">
              <w:rPr>
                <w:rStyle w:val="Hyperlink"/>
                <w:rFonts w:eastAsiaTheme="majorEastAsia"/>
                <w:noProof/>
              </w:rPr>
              <w:t>: Documentary Source Coverage Across Cases</w:t>
            </w:r>
            <w:r>
              <w:rPr>
                <w:noProof/>
                <w:webHidden/>
              </w:rPr>
              <w:tab/>
            </w:r>
            <w:r>
              <w:rPr>
                <w:noProof/>
                <w:webHidden/>
              </w:rPr>
              <w:fldChar w:fldCharType="begin"/>
            </w:r>
            <w:r>
              <w:rPr>
                <w:noProof/>
                <w:webHidden/>
              </w:rPr>
              <w:instrText xml:space="preserve"> PAGEREF _Toc222652771 \h </w:instrText>
            </w:r>
            <w:r>
              <w:rPr>
                <w:noProof/>
                <w:webHidden/>
              </w:rPr>
            </w:r>
            <w:r>
              <w:rPr>
                <w:noProof/>
                <w:webHidden/>
              </w:rPr>
              <w:fldChar w:fldCharType="separate"/>
            </w:r>
            <w:r w:rsidR="00DD2B4E">
              <w:rPr>
                <w:noProof/>
                <w:webHidden/>
              </w:rPr>
              <w:t>103</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72" w:history="1">
            <w:r w:rsidRPr="00181C7D">
              <w:rPr>
                <w:rStyle w:val="Hyperlink"/>
                <w:noProof/>
                <w:lang w:eastAsia="en-IL"/>
              </w:rPr>
              <w:t>4.2.1</w:t>
            </w:r>
            <w:r>
              <w:rPr>
                <w:rFonts w:eastAsiaTheme="minorEastAsia"/>
                <w:noProof/>
              </w:rPr>
              <w:tab/>
            </w:r>
            <w:r w:rsidRPr="00181C7D">
              <w:rPr>
                <w:rStyle w:val="Hyperlink"/>
                <w:noProof/>
                <w:lang w:eastAsia="en-IL"/>
              </w:rPr>
              <w:t>Addressing Access Limitations</w:t>
            </w:r>
            <w:r>
              <w:rPr>
                <w:noProof/>
                <w:webHidden/>
              </w:rPr>
              <w:tab/>
            </w:r>
            <w:r>
              <w:rPr>
                <w:noProof/>
                <w:webHidden/>
              </w:rPr>
              <w:fldChar w:fldCharType="begin"/>
            </w:r>
            <w:r>
              <w:rPr>
                <w:noProof/>
                <w:webHidden/>
              </w:rPr>
              <w:instrText xml:space="preserve"> PAGEREF _Toc222652772 \h </w:instrText>
            </w:r>
            <w:r>
              <w:rPr>
                <w:noProof/>
                <w:webHidden/>
              </w:rPr>
            </w:r>
            <w:r>
              <w:rPr>
                <w:noProof/>
                <w:webHidden/>
              </w:rPr>
              <w:fldChar w:fldCharType="separate"/>
            </w:r>
            <w:r w:rsidR="00DD2B4E">
              <w:rPr>
                <w:noProof/>
                <w:webHidden/>
              </w:rPr>
              <w:t>104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73" w:history="1">
            <w:r w:rsidRPr="00181C7D">
              <w:rPr>
                <w:rStyle w:val="Hyperlink"/>
                <w:noProof/>
              </w:rPr>
              <w:t>4.2.2</w:t>
            </w:r>
            <w:r>
              <w:rPr>
                <w:rFonts w:eastAsiaTheme="minorEastAsia"/>
                <w:noProof/>
              </w:rPr>
              <w:tab/>
            </w:r>
            <w:r w:rsidRPr="00181C7D">
              <w:rPr>
                <w:rStyle w:val="Hyperlink"/>
                <w:noProof/>
              </w:rPr>
              <w:t>Reflexivity and Positionality</w:t>
            </w:r>
            <w:r>
              <w:rPr>
                <w:noProof/>
                <w:webHidden/>
              </w:rPr>
              <w:tab/>
            </w:r>
            <w:r>
              <w:rPr>
                <w:noProof/>
                <w:webHidden/>
              </w:rPr>
              <w:fldChar w:fldCharType="begin"/>
            </w:r>
            <w:r>
              <w:rPr>
                <w:noProof/>
                <w:webHidden/>
              </w:rPr>
              <w:instrText xml:space="preserve"> PAGEREF _Toc222652773 \h </w:instrText>
            </w:r>
            <w:r>
              <w:rPr>
                <w:noProof/>
                <w:webHidden/>
              </w:rPr>
            </w:r>
            <w:r>
              <w:rPr>
                <w:noProof/>
                <w:webHidden/>
              </w:rPr>
              <w:fldChar w:fldCharType="separate"/>
            </w:r>
            <w:r w:rsidR="00DD2B4E">
              <w:rPr>
                <w:noProof/>
                <w:webHidden/>
              </w:rPr>
              <w:t>105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74" w:history="1">
            <w:r w:rsidRPr="00181C7D">
              <w:rPr>
                <w:rStyle w:val="Hyperlink"/>
                <w:noProof/>
              </w:rPr>
              <w:t>4.</w:t>
            </w:r>
            <w:r w:rsidRPr="00181C7D">
              <w:rPr>
                <w:rStyle w:val="Hyperlink"/>
                <w:bCs/>
                <w:noProof/>
                <w:rtl/>
              </w:rPr>
              <w:t>3</w:t>
            </w:r>
            <w:r>
              <w:rPr>
                <w:rFonts w:eastAsiaTheme="minorEastAsia"/>
                <w:noProof/>
              </w:rPr>
              <w:tab/>
            </w:r>
            <w:r w:rsidRPr="00181C7D">
              <w:rPr>
                <w:rStyle w:val="Hyperlink"/>
                <w:noProof/>
              </w:rPr>
              <w:t xml:space="preserve"> Case Study 1: Meta Inc.</w:t>
            </w:r>
            <w:r>
              <w:rPr>
                <w:noProof/>
                <w:webHidden/>
              </w:rPr>
              <w:tab/>
            </w:r>
            <w:r>
              <w:rPr>
                <w:noProof/>
                <w:webHidden/>
              </w:rPr>
              <w:fldChar w:fldCharType="begin"/>
            </w:r>
            <w:r>
              <w:rPr>
                <w:noProof/>
                <w:webHidden/>
              </w:rPr>
              <w:instrText xml:space="preserve"> PAGEREF _Toc222652774 \h </w:instrText>
            </w:r>
            <w:r>
              <w:rPr>
                <w:noProof/>
                <w:webHidden/>
              </w:rPr>
            </w:r>
            <w:r>
              <w:rPr>
                <w:noProof/>
                <w:webHidden/>
              </w:rPr>
              <w:fldChar w:fldCharType="separate"/>
            </w:r>
            <w:r w:rsidR="00DD2B4E">
              <w:rPr>
                <w:noProof/>
                <w:webHidden/>
              </w:rPr>
              <w:t>106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75" w:history="1">
            <w:r w:rsidRPr="00181C7D">
              <w:rPr>
                <w:rStyle w:val="Hyperlink"/>
                <w:noProof/>
              </w:rPr>
              <w:t>4.3.1</w:t>
            </w:r>
            <w:r>
              <w:rPr>
                <w:rFonts w:eastAsiaTheme="minorEastAsia"/>
                <w:noProof/>
              </w:rPr>
              <w:tab/>
            </w:r>
            <w:r w:rsidRPr="00181C7D">
              <w:rPr>
                <w:rStyle w:val="Hyperlink"/>
                <w:noProof/>
              </w:rPr>
              <w:t>Introduction</w:t>
            </w:r>
            <w:r>
              <w:rPr>
                <w:noProof/>
                <w:webHidden/>
              </w:rPr>
              <w:tab/>
            </w:r>
            <w:r>
              <w:rPr>
                <w:noProof/>
                <w:webHidden/>
              </w:rPr>
              <w:fldChar w:fldCharType="begin"/>
            </w:r>
            <w:r>
              <w:rPr>
                <w:noProof/>
                <w:webHidden/>
              </w:rPr>
              <w:instrText xml:space="preserve"> PAGEREF _Toc222652775 \h </w:instrText>
            </w:r>
            <w:r>
              <w:rPr>
                <w:noProof/>
                <w:webHidden/>
              </w:rPr>
            </w:r>
            <w:r>
              <w:rPr>
                <w:noProof/>
                <w:webHidden/>
              </w:rPr>
              <w:fldChar w:fldCharType="separate"/>
            </w:r>
            <w:r w:rsidR="00DD2B4E">
              <w:rPr>
                <w:noProof/>
                <w:webHidden/>
              </w:rPr>
              <w:t>106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76" w:history="1">
            <w:r w:rsidRPr="00181C7D">
              <w:rPr>
                <w:rStyle w:val="Hyperlink"/>
                <w:noProof/>
              </w:rPr>
              <w:t>4.3.2</w:t>
            </w:r>
            <w:r>
              <w:rPr>
                <w:rFonts w:eastAsiaTheme="minorEastAsia"/>
                <w:noProof/>
              </w:rPr>
              <w:tab/>
            </w:r>
            <w:r w:rsidRPr="00181C7D">
              <w:rPr>
                <w:rStyle w:val="Hyperlink"/>
                <w:noProof/>
              </w:rPr>
              <w:t>Strategic Resource Control</w:t>
            </w:r>
            <w:r>
              <w:rPr>
                <w:noProof/>
                <w:webHidden/>
              </w:rPr>
              <w:tab/>
            </w:r>
            <w:r>
              <w:rPr>
                <w:noProof/>
                <w:webHidden/>
              </w:rPr>
              <w:fldChar w:fldCharType="begin"/>
            </w:r>
            <w:r>
              <w:rPr>
                <w:noProof/>
                <w:webHidden/>
              </w:rPr>
              <w:instrText xml:space="preserve"> PAGEREF _Toc222652776 \h </w:instrText>
            </w:r>
            <w:r>
              <w:rPr>
                <w:noProof/>
                <w:webHidden/>
              </w:rPr>
            </w:r>
            <w:r>
              <w:rPr>
                <w:noProof/>
                <w:webHidden/>
              </w:rPr>
              <w:fldChar w:fldCharType="separate"/>
            </w:r>
            <w:r w:rsidR="00DD2B4E">
              <w:rPr>
                <w:noProof/>
                <w:webHidden/>
              </w:rPr>
              <w:t>107</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77" w:history="1">
            <w:r w:rsidRPr="00181C7D">
              <w:rPr>
                <w:rStyle w:val="Hyperlink"/>
                <w:noProof/>
                <w:lang w:eastAsia="en-IL"/>
              </w:rPr>
              <w:t>4.3.3</w:t>
            </w:r>
            <w:r>
              <w:rPr>
                <w:rFonts w:eastAsiaTheme="minorEastAsia"/>
                <w:noProof/>
              </w:rPr>
              <w:tab/>
            </w:r>
            <w:r w:rsidRPr="00181C7D">
              <w:rPr>
                <w:rStyle w:val="Hyperlink"/>
                <w:noProof/>
                <w:lang w:eastAsia="en-IL"/>
              </w:rPr>
              <w:t>Structural Embeddedness</w:t>
            </w:r>
            <w:r>
              <w:rPr>
                <w:noProof/>
                <w:webHidden/>
              </w:rPr>
              <w:tab/>
            </w:r>
            <w:r>
              <w:rPr>
                <w:noProof/>
                <w:webHidden/>
              </w:rPr>
              <w:fldChar w:fldCharType="begin"/>
            </w:r>
            <w:r>
              <w:rPr>
                <w:noProof/>
                <w:webHidden/>
              </w:rPr>
              <w:instrText xml:space="preserve"> PAGEREF _Toc222652777 \h </w:instrText>
            </w:r>
            <w:r>
              <w:rPr>
                <w:noProof/>
                <w:webHidden/>
              </w:rPr>
            </w:r>
            <w:r>
              <w:rPr>
                <w:noProof/>
                <w:webHidden/>
              </w:rPr>
              <w:fldChar w:fldCharType="separate"/>
            </w:r>
            <w:r w:rsidR="00DD2B4E">
              <w:rPr>
                <w:noProof/>
                <w:webHidden/>
              </w:rPr>
              <w:t>108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78" w:history="1">
            <w:r w:rsidRPr="00181C7D">
              <w:rPr>
                <w:rStyle w:val="Hyperlink"/>
                <w:noProof/>
              </w:rPr>
              <w:t>4.3.4</w:t>
            </w:r>
            <w:r>
              <w:rPr>
                <w:rFonts w:eastAsiaTheme="minorEastAsia"/>
                <w:noProof/>
              </w:rPr>
              <w:tab/>
            </w:r>
            <w:r w:rsidRPr="00181C7D">
              <w:rPr>
                <w:rStyle w:val="Hyperlink"/>
                <w:noProof/>
              </w:rPr>
              <w:t>Normative Legitimacy</w:t>
            </w:r>
            <w:r>
              <w:rPr>
                <w:noProof/>
                <w:webHidden/>
              </w:rPr>
              <w:tab/>
            </w:r>
            <w:r>
              <w:rPr>
                <w:noProof/>
                <w:webHidden/>
              </w:rPr>
              <w:fldChar w:fldCharType="begin"/>
            </w:r>
            <w:r>
              <w:rPr>
                <w:noProof/>
                <w:webHidden/>
              </w:rPr>
              <w:instrText xml:space="preserve"> PAGEREF _Toc222652778 \h </w:instrText>
            </w:r>
            <w:r>
              <w:rPr>
                <w:noProof/>
                <w:webHidden/>
              </w:rPr>
            </w:r>
            <w:r>
              <w:rPr>
                <w:noProof/>
                <w:webHidden/>
              </w:rPr>
              <w:fldChar w:fldCharType="separate"/>
            </w:r>
            <w:r w:rsidR="00DD2B4E">
              <w:rPr>
                <w:noProof/>
                <w:webHidden/>
              </w:rPr>
              <w:t>110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79" w:history="1">
            <w:r w:rsidRPr="00181C7D">
              <w:rPr>
                <w:rStyle w:val="Hyperlink"/>
                <w:noProof/>
                <w:lang w:eastAsia="en-IL"/>
              </w:rPr>
              <w:t>4.3.5</w:t>
            </w:r>
            <w:r>
              <w:rPr>
                <w:rFonts w:eastAsiaTheme="minorEastAsia"/>
                <w:noProof/>
              </w:rPr>
              <w:tab/>
            </w:r>
            <w:r w:rsidRPr="00181C7D">
              <w:rPr>
                <w:rStyle w:val="Hyperlink"/>
                <w:noProof/>
                <w:lang w:eastAsia="en-IL"/>
              </w:rPr>
              <w:t>Infrastructural Power</w:t>
            </w:r>
            <w:r>
              <w:rPr>
                <w:noProof/>
                <w:webHidden/>
              </w:rPr>
              <w:tab/>
            </w:r>
            <w:r>
              <w:rPr>
                <w:noProof/>
                <w:webHidden/>
              </w:rPr>
              <w:fldChar w:fldCharType="begin"/>
            </w:r>
            <w:r>
              <w:rPr>
                <w:noProof/>
                <w:webHidden/>
              </w:rPr>
              <w:instrText xml:space="preserve"> PAGEREF _Toc222652779 \h </w:instrText>
            </w:r>
            <w:r>
              <w:rPr>
                <w:noProof/>
                <w:webHidden/>
              </w:rPr>
            </w:r>
            <w:r>
              <w:rPr>
                <w:noProof/>
                <w:webHidden/>
              </w:rPr>
              <w:fldChar w:fldCharType="separate"/>
            </w:r>
            <w:r w:rsidR="00DD2B4E">
              <w:rPr>
                <w:noProof/>
                <w:webHidden/>
              </w:rPr>
              <w:t>111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0" w:history="1">
            <w:r w:rsidRPr="00181C7D">
              <w:rPr>
                <w:rStyle w:val="Hyperlink"/>
                <w:noProof/>
                <w:lang w:eastAsia="en-IL"/>
              </w:rPr>
              <w:t xml:space="preserve">4.3.6 </w:t>
            </w:r>
            <w:r>
              <w:rPr>
                <w:rFonts w:eastAsiaTheme="minorEastAsia"/>
                <w:noProof/>
              </w:rPr>
              <w:tab/>
            </w:r>
            <w:r w:rsidRPr="00181C7D">
              <w:rPr>
                <w:rStyle w:val="Hyperlink"/>
                <w:noProof/>
                <w:lang w:eastAsia="en-IL"/>
              </w:rPr>
              <w:t>Conclusion</w:t>
            </w:r>
            <w:r>
              <w:rPr>
                <w:noProof/>
                <w:webHidden/>
              </w:rPr>
              <w:tab/>
            </w:r>
            <w:r>
              <w:rPr>
                <w:noProof/>
                <w:webHidden/>
              </w:rPr>
              <w:fldChar w:fldCharType="begin"/>
            </w:r>
            <w:r>
              <w:rPr>
                <w:noProof/>
                <w:webHidden/>
              </w:rPr>
              <w:instrText xml:space="preserve"> PAGEREF _Toc222652780 \h </w:instrText>
            </w:r>
            <w:r>
              <w:rPr>
                <w:noProof/>
                <w:webHidden/>
              </w:rPr>
            </w:r>
            <w:r>
              <w:rPr>
                <w:noProof/>
                <w:webHidden/>
              </w:rPr>
              <w:fldChar w:fldCharType="separate"/>
            </w:r>
            <w:r w:rsidR="00DD2B4E">
              <w:rPr>
                <w:noProof/>
                <w:webHidden/>
              </w:rPr>
              <w:t>113</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81" w:history="1">
            <w:r w:rsidRPr="00181C7D">
              <w:rPr>
                <w:rStyle w:val="Hyperlink"/>
                <w:noProof/>
              </w:rPr>
              <w:t xml:space="preserve">4.4 </w:t>
            </w:r>
            <w:r>
              <w:rPr>
                <w:rFonts w:eastAsiaTheme="minorEastAsia"/>
                <w:noProof/>
              </w:rPr>
              <w:tab/>
            </w:r>
            <w:r w:rsidRPr="00181C7D">
              <w:rPr>
                <w:rStyle w:val="Hyperlink"/>
                <w:noProof/>
              </w:rPr>
              <w:t>Case Study 2</w:t>
            </w:r>
            <w:r w:rsidRPr="00181C7D">
              <w:rPr>
                <w:rStyle w:val="Hyperlink"/>
                <w:rFonts w:eastAsia="Times New Roman" w:cs="Times New Roman"/>
                <w:bCs/>
                <w:noProof/>
                <w:lang w:eastAsia="en-IL"/>
              </w:rPr>
              <w:t xml:space="preserve">: </w:t>
            </w:r>
            <w:r w:rsidRPr="00181C7D">
              <w:rPr>
                <w:rStyle w:val="Hyperlink"/>
                <w:noProof/>
              </w:rPr>
              <w:t xml:space="preserve">Huawei </w:t>
            </w:r>
            <w:r w:rsidRPr="00181C7D">
              <w:rPr>
                <w:rStyle w:val="Hyperlink"/>
                <w:rFonts w:eastAsia="Times New Roman" w:cs="Times New Roman"/>
                <w:bCs/>
                <w:noProof/>
                <w:lang w:eastAsia="en-IL"/>
              </w:rPr>
              <w:t>Technologies Co., Ltd.</w:t>
            </w:r>
            <w:r>
              <w:rPr>
                <w:noProof/>
                <w:webHidden/>
              </w:rPr>
              <w:tab/>
            </w:r>
            <w:r>
              <w:rPr>
                <w:noProof/>
                <w:webHidden/>
              </w:rPr>
              <w:fldChar w:fldCharType="begin"/>
            </w:r>
            <w:r>
              <w:rPr>
                <w:noProof/>
                <w:webHidden/>
              </w:rPr>
              <w:instrText xml:space="preserve"> PAGEREF _Toc222652781 \h </w:instrText>
            </w:r>
            <w:r>
              <w:rPr>
                <w:noProof/>
                <w:webHidden/>
              </w:rPr>
            </w:r>
            <w:r>
              <w:rPr>
                <w:noProof/>
                <w:webHidden/>
              </w:rPr>
              <w:fldChar w:fldCharType="separate"/>
            </w:r>
            <w:r w:rsidR="00DD2B4E">
              <w:rPr>
                <w:noProof/>
                <w:webHidden/>
              </w:rPr>
              <w:t>114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2" w:history="1">
            <w:r w:rsidRPr="00181C7D">
              <w:rPr>
                <w:rStyle w:val="Hyperlink"/>
                <w:noProof/>
              </w:rPr>
              <w:t>4.4.1</w:t>
            </w:r>
            <w:r>
              <w:rPr>
                <w:rFonts w:eastAsiaTheme="minorEastAsia"/>
                <w:noProof/>
              </w:rPr>
              <w:tab/>
            </w:r>
            <w:r w:rsidRPr="00181C7D">
              <w:rPr>
                <w:rStyle w:val="Hyperlink"/>
                <w:noProof/>
              </w:rPr>
              <w:t>Introduction</w:t>
            </w:r>
            <w:r>
              <w:rPr>
                <w:noProof/>
                <w:webHidden/>
              </w:rPr>
              <w:tab/>
            </w:r>
            <w:r>
              <w:rPr>
                <w:noProof/>
                <w:webHidden/>
              </w:rPr>
              <w:fldChar w:fldCharType="begin"/>
            </w:r>
            <w:r>
              <w:rPr>
                <w:noProof/>
                <w:webHidden/>
              </w:rPr>
              <w:instrText xml:space="preserve"> PAGEREF _Toc222652782 \h </w:instrText>
            </w:r>
            <w:r>
              <w:rPr>
                <w:noProof/>
                <w:webHidden/>
              </w:rPr>
            </w:r>
            <w:r>
              <w:rPr>
                <w:noProof/>
                <w:webHidden/>
              </w:rPr>
              <w:fldChar w:fldCharType="separate"/>
            </w:r>
            <w:r w:rsidR="00DD2B4E">
              <w:rPr>
                <w:noProof/>
                <w:webHidden/>
              </w:rPr>
              <w:t>114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3" w:history="1">
            <w:r w:rsidRPr="00181C7D">
              <w:rPr>
                <w:rStyle w:val="Hyperlink"/>
                <w:noProof/>
                <w:lang w:eastAsia="en-IL"/>
              </w:rPr>
              <w:t>4.4.2</w:t>
            </w:r>
            <w:r>
              <w:rPr>
                <w:rFonts w:eastAsiaTheme="minorEastAsia"/>
                <w:noProof/>
              </w:rPr>
              <w:tab/>
            </w:r>
            <w:r w:rsidRPr="00181C7D">
              <w:rPr>
                <w:rStyle w:val="Hyperlink"/>
                <w:noProof/>
                <w:lang w:eastAsia="en-IL"/>
              </w:rPr>
              <w:t>Strategic Resource Control</w:t>
            </w:r>
            <w:r>
              <w:rPr>
                <w:noProof/>
                <w:webHidden/>
              </w:rPr>
              <w:tab/>
            </w:r>
            <w:r>
              <w:rPr>
                <w:noProof/>
                <w:webHidden/>
              </w:rPr>
              <w:fldChar w:fldCharType="begin"/>
            </w:r>
            <w:r>
              <w:rPr>
                <w:noProof/>
                <w:webHidden/>
              </w:rPr>
              <w:instrText xml:space="preserve"> PAGEREF _Toc222652783 \h </w:instrText>
            </w:r>
            <w:r>
              <w:rPr>
                <w:noProof/>
                <w:webHidden/>
              </w:rPr>
            </w:r>
            <w:r>
              <w:rPr>
                <w:noProof/>
                <w:webHidden/>
              </w:rPr>
              <w:fldChar w:fldCharType="separate"/>
            </w:r>
            <w:r w:rsidR="00DD2B4E">
              <w:rPr>
                <w:noProof/>
                <w:webHidden/>
              </w:rPr>
              <w:t>114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4" w:history="1">
            <w:r w:rsidRPr="00181C7D">
              <w:rPr>
                <w:rStyle w:val="Hyperlink"/>
                <w:noProof/>
                <w:lang w:eastAsia="en-IL"/>
              </w:rPr>
              <w:t>4.4.3</w:t>
            </w:r>
            <w:r>
              <w:rPr>
                <w:rFonts w:eastAsiaTheme="minorEastAsia"/>
                <w:noProof/>
              </w:rPr>
              <w:tab/>
            </w:r>
            <w:r w:rsidRPr="00181C7D">
              <w:rPr>
                <w:rStyle w:val="Hyperlink"/>
                <w:noProof/>
                <w:lang w:eastAsia="en-IL"/>
              </w:rPr>
              <w:t>Structural Embeddedness</w:t>
            </w:r>
            <w:r>
              <w:rPr>
                <w:noProof/>
                <w:webHidden/>
              </w:rPr>
              <w:tab/>
            </w:r>
            <w:r>
              <w:rPr>
                <w:noProof/>
                <w:webHidden/>
              </w:rPr>
              <w:fldChar w:fldCharType="begin"/>
            </w:r>
            <w:r>
              <w:rPr>
                <w:noProof/>
                <w:webHidden/>
              </w:rPr>
              <w:instrText xml:space="preserve"> PAGEREF _Toc222652784 \h </w:instrText>
            </w:r>
            <w:r>
              <w:rPr>
                <w:noProof/>
                <w:webHidden/>
              </w:rPr>
            </w:r>
            <w:r>
              <w:rPr>
                <w:noProof/>
                <w:webHidden/>
              </w:rPr>
              <w:fldChar w:fldCharType="separate"/>
            </w:r>
            <w:r w:rsidR="00DD2B4E">
              <w:rPr>
                <w:noProof/>
                <w:webHidden/>
              </w:rPr>
              <w:t>116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5" w:history="1">
            <w:r w:rsidRPr="00181C7D">
              <w:rPr>
                <w:rStyle w:val="Hyperlink"/>
                <w:noProof/>
                <w:lang w:eastAsia="en-IL"/>
              </w:rPr>
              <w:t>4.4.4</w:t>
            </w:r>
            <w:r>
              <w:rPr>
                <w:rFonts w:eastAsiaTheme="minorEastAsia"/>
                <w:noProof/>
              </w:rPr>
              <w:tab/>
            </w:r>
            <w:r w:rsidRPr="00181C7D">
              <w:rPr>
                <w:rStyle w:val="Hyperlink"/>
                <w:noProof/>
                <w:lang w:eastAsia="en-IL"/>
              </w:rPr>
              <w:t>Normative Legitimacy</w:t>
            </w:r>
            <w:r>
              <w:rPr>
                <w:noProof/>
                <w:webHidden/>
              </w:rPr>
              <w:tab/>
            </w:r>
            <w:r>
              <w:rPr>
                <w:noProof/>
                <w:webHidden/>
              </w:rPr>
              <w:fldChar w:fldCharType="begin"/>
            </w:r>
            <w:r>
              <w:rPr>
                <w:noProof/>
                <w:webHidden/>
              </w:rPr>
              <w:instrText xml:space="preserve"> PAGEREF _Toc222652785 \h </w:instrText>
            </w:r>
            <w:r>
              <w:rPr>
                <w:noProof/>
                <w:webHidden/>
              </w:rPr>
            </w:r>
            <w:r>
              <w:rPr>
                <w:noProof/>
                <w:webHidden/>
              </w:rPr>
              <w:fldChar w:fldCharType="separate"/>
            </w:r>
            <w:r w:rsidR="00DD2B4E">
              <w:rPr>
                <w:noProof/>
                <w:webHidden/>
              </w:rPr>
              <w:t>118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6" w:history="1">
            <w:r w:rsidRPr="00181C7D">
              <w:rPr>
                <w:rStyle w:val="Hyperlink"/>
                <w:noProof/>
              </w:rPr>
              <w:t>4.4.5</w:t>
            </w:r>
            <w:r>
              <w:rPr>
                <w:rFonts w:eastAsiaTheme="minorEastAsia"/>
                <w:noProof/>
              </w:rPr>
              <w:tab/>
            </w:r>
            <w:r w:rsidRPr="00181C7D">
              <w:rPr>
                <w:rStyle w:val="Hyperlink"/>
                <w:noProof/>
              </w:rPr>
              <w:t>Infrastructural Power</w:t>
            </w:r>
            <w:r>
              <w:rPr>
                <w:noProof/>
                <w:webHidden/>
              </w:rPr>
              <w:tab/>
            </w:r>
            <w:r>
              <w:rPr>
                <w:noProof/>
                <w:webHidden/>
              </w:rPr>
              <w:fldChar w:fldCharType="begin"/>
            </w:r>
            <w:r>
              <w:rPr>
                <w:noProof/>
                <w:webHidden/>
              </w:rPr>
              <w:instrText xml:space="preserve"> PAGEREF _Toc222652786 \h </w:instrText>
            </w:r>
            <w:r>
              <w:rPr>
                <w:noProof/>
                <w:webHidden/>
              </w:rPr>
            </w:r>
            <w:r>
              <w:rPr>
                <w:noProof/>
                <w:webHidden/>
              </w:rPr>
              <w:fldChar w:fldCharType="separate"/>
            </w:r>
            <w:r w:rsidR="00DD2B4E">
              <w:rPr>
                <w:noProof/>
                <w:webHidden/>
              </w:rPr>
              <w:t>120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7" w:history="1">
            <w:r w:rsidRPr="00181C7D">
              <w:rPr>
                <w:rStyle w:val="Hyperlink"/>
                <w:noProof/>
              </w:rPr>
              <w:t xml:space="preserve">4.4.6 </w:t>
            </w:r>
            <w:r>
              <w:rPr>
                <w:rFonts w:eastAsiaTheme="minorEastAsia"/>
                <w:noProof/>
              </w:rPr>
              <w:tab/>
            </w:r>
            <w:r w:rsidRPr="00181C7D">
              <w:rPr>
                <w:rStyle w:val="Hyperlink"/>
                <w:noProof/>
              </w:rPr>
              <w:t>Conclusion</w:t>
            </w:r>
            <w:r>
              <w:rPr>
                <w:noProof/>
                <w:webHidden/>
              </w:rPr>
              <w:tab/>
            </w:r>
            <w:r>
              <w:rPr>
                <w:noProof/>
                <w:webHidden/>
              </w:rPr>
              <w:fldChar w:fldCharType="begin"/>
            </w:r>
            <w:r>
              <w:rPr>
                <w:noProof/>
                <w:webHidden/>
              </w:rPr>
              <w:instrText xml:space="preserve"> PAGEREF _Toc222652787 \h </w:instrText>
            </w:r>
            <w:r>
              <w:rPr>
                <w:noProof/>
                <w:webHidden/>
              </w:rPr>
            </w:r>
            <w:r>
              <w:rPr>
                <w:noProof/>
                <w:webHidden/>
              </w:rPr>
              <w:fldChar w:fldCharType="separate"/>
            </w:r>
            <w:r w:rsidR="00DD2B4E">
              <w:rPr>
                <w:noProof/>
                <w:webHidden/>
              </w:rPr>
              <w:t>123</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788" w:history="1">
            <w:r w:rsidRPr="00181C7D">
              <w:rPr>
                <w:rStyle w:val="Hyperlink"/>
                <w:noProof/>
              </w:rPr>
              <w:t xml:space="preserve">4.5 </w:t>
            </w:r>
            <w:r>
              <w:rPr>
                <w:rFonts w:eastAsiaTheme="minorEastAsia"/>
                <w:noProof/>
              </w:rPr>
              <w:tab/>
            </w:r>
            <w:r w:rsidRPr="00181C7D">
              <w:rPr>
                <w:rStyle w:val="Hyperlink"/>
                <w:noProof/>
              </w:rPr>
              <w:t>Case Study 3</w:t>
            </w:r>
            <w:r w:rsidRPr="00181C7D">
              <w:rPr>
                <w:rStyle w:val="Hyperlink"/>
                <w:rFonts w:eastAsia="Times New Roman" w:cs="Times New Roman"/>
                <w:bCs/>
                <w:noProof/>
                <w:lang w:eastAsia="en-IL"/>
              </w:rPr>
              <w:t xml:space="preserve">: </w:t>
            </w:r>
            <w:r w:rsidRPr="00181C7D">
              <w:rPr>
                <w:rStyle w:val="Hyperlink"/>
                <w:noProof/>
              </w:rPr>
              <w:t xml:space="preserve">SAP </w:t>
            </w:r>
            <w:r w:rsidRPr="00181C7D">
              <w:rPr>
                <w:rStyle w:val="Hyperlink"/>
                <w:rFonts w:eastAsia="Times New Roman" w:cs="Times New Roman"/>
                <w:bCs/>
                <w:noProof/>
                <w:lang w:eastAsia="en-IL"/>
              </w:rPr>
              <w:t>SE</w:t>
            </w:r>
            <w:r>
              <w:rPr>
                <w:noProof/>
                <w:webHidden/>
              </w:rPr>
              <w:tab/>
            </w:r>
            <w:r>
              <w:rPr>
                <w:noProof/>
                <w:webHidden/>
              </w:rPr>
              <w:fldChar w:fldCharType="begin"/>
            </w:r>
            <w:r>
              <w:rPr>
                <w:noProof/>
                <w:webHidden/>
              </w:rPr>
              <w:instrText xml:space="preserve"> PAGEREF _Toc222652788 \h </w:instrText>
            </w:r>
            <w:r>
              <w:rPr>
                <w:noProof/>
                <w:webHidden/>
              </w:rPr>
            </w:r>
            <w:r>
              <w:rPr>
                <w:noProof/>
                <w:webHidden/>
              </w:rPr>
              <w:fldChar w:fldCharType="separate"/>
            </w:r>
            <w:r w:rsidR="00DD2B4E">
              <w:rPr>
                <w:noProof/>
                <w:webHidden/>
              </w:rPr>
              <w:t>124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89" w:history="1">
            <w:r w:rsidRPr="00181C7D">
              <w:rPr>
                <w:rStyle w:val="Hyperlink"/>
                <w:noProof/>
              </w:rPr>
              <w:t>4.5.1</w:t>
            </w:r>
            <w:r>
              <w:rPr>
                <w:rFonts w:eastAsiaTheme="minorEastAsia"/>
                <w:noProof/>
              </w:rPr>
              <w:tab/>
            </w:r>
            <w:r w:rsidRPr="00181C7D">
              <w:rPr>
                <w:rStyle w:val="Hyperlink"/>
                <w:noProof/>
              </w:rPr>
              <w:t>Introduction</w:t>
            </w:r>
            <w:r>
              <w:rPr>
                <w:noProof/>
                <w:webHidden/>
              </w:rPr>
              <w:tab/>
            </w:r>
            <w:r>
              <w:rPr>
                <w:noProof/>
                <w:webHidden/>
              </w:rPr>
              <w:fldChar w:fldCharType="begin"/>
            </w:r>
            <w:r>
              <w:rPr>
                <w:noProof/>
                <w:webHidden/>
              </w:rPr>
              <w:instrText xml:space="preserve"> PAGEREF _Toc222652789 \h </w:instrText>
            </w:r>
            <w:r>
              <w:rPr>
                <w:noProof/>
                <w:webHidden/>
              </w:rPr>
            </w:r>
            <w:r>
              <w:rPr>
                <w:noProof/>
                <w:webHidden/>
              </w:rPr>
              <w:fldChar w:fldCharType="separate"/>
            </w:r>
            <w:r w:rsidR="00DD2B4E">
              <w:rPr>
                <w:noProof/>
                <w:webHidden/>
              </w:rPr>
              <w:t>124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90" w:history="1">
            <w:r w:rsidRPr="00181C7D">
              <w:rPr>
                <w:rStyle w:val="Hyperlink"/>
                <w:noProof/>
                <w:lang w:eastAsia="en-IL"/>
              </w:rPr>
              <w:t>4.5.2</w:t>
            </w:r>
            <w:r>
              <w:rPr>
                <w:rFonts w:eastAsiaTheme="minorEastAsia"/>
                <w:noProof/>
              </w:rPr>
              <w:tab/>
            </w:r>
            <w:r w:rsidRPr="00181C7D">
              <w:rPr>
                <w:rStyle w:val="Hyperlink"/>
                <w:noProof/>
                <w:lang w:eastAsia="en-IL"/>
              </w:rPr>
              <w:t>Strategic Resource Control</w:t>
            </w:r>
            <w:r>
              <w:rPr>
                <w:noProof/>
                <w:webHidden/>
              </w:rPr>
              <w:tab/>
            </w:r>
            <w:r>
              <w:rPr>
                <w:noProof/>
                <w:webHidden/>
              </w:rPr>
              <w:fldChar w:fldCharType="begin"/>
            </w:r>
            <w:r>
              <w:rPr>
                <w:noProof/>
                <w:webHidden/>
              </w:rPr>
              <w:instrText xml:space="preserve"> PAGEREF _Toc222652790 \h </w:instrText>
            </w:r>
            <w:r>
              <w:rPr>
                <w:noProof/>
                <w:webHidden/>
              </w:rPr>
            </w:r>
            <w:r>
              <w:rPr>
                <w:noProof/>
                <w:webHidden/>
              </w:rPr>
              <w:fldChar w:fldCharType="separate"/>
            </w:r>
            <w:r w:rsidR="00DD2B4E">
              <w:rPr>
                <w:noProof/>
                <w:webHidden/>
              </w:rPr>
              <w:t>124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91" w:history="1">
            <w:r w:rsidRPr="00181C7D">
              <w:rPr>
                <w:rStyle w:val="Hyperlink"/>
                <w:noProof/>
                <w:lang w:eastAsia="en-IL"/>
              </w:rPr>
              <w:t>4.5.3</w:t>
            </w:r>
            <w:r>
              <w:rPr>
                <w:rFonts w:eastAsiaTheme="minorEastAsia"/>
                <w:noProof/>
              </w:rPr>
              <w:tab/>
            </w:r>
            <w:r w:rsidRPr="00181C7D">
              <w:rPr>
                <w:rStyle w:val="Hyperlink"/>
                <w:noProof/>
                <w:lang w:eastAsia="en-IL"/>
              </w:rPr>
              <w:t>Structural Embeddedness</w:t>
            </w:r>
            <w:r>
              <w:rPr>
                <w:noProof/>
                <w:webHidden/>
              </w:rPr>
              <w:tab/>
            </w:r>
            <w:r>
              <w:rPr>
                <w:noProof/>
                <w:webHidden/>
              </w:rPr>
              <w:fldChar w:fldCharType="begin"/>
            </w:r>
            <w:r>
              <w:rPr>
                <w:noProof/>
                <w:webHidden/>
              </w:rPr>
              <w:instrText xml:space="preserve"> PAGEREF _Toc222652791 \h </w:instrText>
            </w:r>
            <w:r>
              <w:rPr>
                <w:noProof/>
                <w:webHidden/>
              </w:rPr>
            </w:r>
            <w:r>
              <w:rPr>
                <w:noProof/>
                <w:webHidden/>
              </w:rPr>
              <w:fldChar w:fldCharType="separate"/>
            </w:r>
            <w:r w:rsidR="00DD2B4E">
              <w:rPr>
                <w:noProof/>
                <w:webHidden/>
              </w:rPr>
              <w:t>126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92" w:history="1">
            <w:r w:rsidRPr="00181C7D">
              <w:rPr>
                <w:rStyle w:val="Hyperlink"/>
                <w:noProof/>
                <w:lang w:eastAsia="en-IL"/>
              </w:rPr>
              <w:t>4.5.4</w:t>
            </w:r>
            <w:r>
              <w:rPr>
                <w:rFonts w:eastAsiaTheme="minorEastAsia"/>
                <w:noProof/>
              </w:rPr>
              <w:tab/>
            </w:r>
            <w:r w:rsidRPr="00181C7D">
              <w:rPr>
                <w:rStyle w:val="Hyperlink"/>
                <w:noProof/>
                <w:lang w:eastAsia="en-IL"/>
              </w:rPr>
              <w:t>Normative Legitimacy</w:t>
            </w:r>
            <w:r>
              <w:rPr>
                <w:noProof/>
                <w:webHidden/>
              </w:rPr>
              <w:tab/>
            </w:r>
            <w:r>
              <w:rPr>
                <w:noProof/>
                <w:webHidden/>
              </w:rPr>
              <w:fldChar w:fldCharType="begin"/>
            </w:r>
            <w:r>
              <w:rPr>
                <w:noProof/>
                <w:webHidden/>
              </w:rPr>
              <w:instrText xml:space="preserve"> PAGEREF _Toc222652792 \h </w:instrText>
            </w:r>
            <w:r>
              <w:rPr>
                <w:noProof/>
                <w:webHidden/>
              </w:rPr>
            </w:r>
            <w:r>
              <w:rPr>
                <w:noProof/>
                <w:webHidden/>
              </w:rPr>
              <w:fldChar w:fldCharType="separate"/>
            </w:r>
            <w:r w:rsidR="00DD2B4E">
              <w:rPr>
                <w:noProof/>
                <w:webHidden/>
              </w:rPr>
              <w:t>129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93" w:history="1">
            <w:r w:rsidRPr="00181C7D">
              <w:rPr>
                <w:rStyle w:val="Hyperlink"/>
                <w:noProof/>
              </w:rPr>
              <w:t>4.5.5</w:t>
            </w:r>
            <w:r>
              <w:rPr>
                <w:rFonts w:eastAsiaTheme="minorEastAsia"/>
                <w:noProof/>
              </w:rPr>
              <w:tab/>
            </w:r>
            <w:r w:rsidRPr="00181C7D">
              <w:rPr>
                <w:rStyle w:val="Hyperlink"/>
                <w:noProof/>
              </w:rPr>
              <w:t xml:space="preserve">Infrastructural </w:t>
            </w:r>
            <w:r w:rsidRPr="00181C7D">
              <w:rPr>
                <w:rStyle w:val="Hyperlink"/>
                <w:noProof/>
                <w:lang w:eastAsia="en-IL"/>
              </w:rPr>
              <w:t>Power</w:t>
            </w:r>
            <w:r>
              <w:rPr>
                <w:noProof/>
                <w:webHidden/>
              </w:rPr>
              <w:tab/>
            </w:r>
            <w:r>
              <w:rPr>
                <w:noProof/>
                <w:webHidden/>
              </w:rPr>
              <w:fldChar w:fldCharType="begin"/>
            </w:r>
            <w:r>
              <w:rPr>
                <w:noProof/>
                <w:webHidden/>
              </w:rPr>
              <w:instrText xml:space="preserve"> PAGEREF _Toc222652793 \h </w:instrText>
            </w:r>
            <w:r>
              <w:rPr>
                <w:noProof/>
                <w:webHidden/>
              </w:rPr>
            </w:r>
            <w:r>
              <w:rPr>
                <w:noProof/>
                <w:webHidden/>
              </w:rPr>
              <w:fldChar w:fldCharType="separate"/>
            </w:r>
            <w:r w:rsidR="00DD2B4E">
              <w:rPr>
                <w:noProof/>
                <w:webHidden/>
              </w:rPr>
              <w:t>131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94" w:history="1">
            <w:r w:rsidRPr="00181C7D">
              <w:rPr>
                <w:rStyle w:val="Hyperlink"/>
                <w:noProof/>
                <w:lang w:eastAsia="en-IL"/>
              </w:rPr>
              <w:t>4.5.6</w:t>
            </w:r>
            <w:r>
              <w:rPr>
                <w:rFonts w:eastAsiaTheme="minorEastAsia"/>
                <w:noProof/>
              </w:rPr>
              <w:tab/>
            </w:r>
            <w:r w:rsidRPr="00181C7D">
              <w:rPr>
                <w:rStyle w:val="Hyperlink"/>
                <w:noProof/>
                <w:lang w:eastAsia="en-IL"/>
              </w:rPr>
              <w:t>Conclusion</w:t>
            </w:r>
            <w:r>
              <w:rPr>
                <w:noProof/>
                <w:webHidden/>
              </w:rPr>
              <w:tab/>
            </w:r>
            <w:r>
              <w:rPr>
                <w:noProof/>
                <w:webHidden/>
              </w:rPr>
              <w:fldChar w:fldCharType="begin"/>
            </w:r>
            <w:r>
              <w:rPr>
                <w:noProof/>
                <w:webHidden/>
              </w:rPr>
              <w:instrText xml:space="preserve"> PAGEREF _Toc222652794 \h </w:instrText>
            </w:r>
            <w:r>
              <w:rPr>
                <w:noProof/>
                <w:webHidden/>
              </w:rPr>
            </w:r>
            <w:r>
              <w:rPr>
                <w:noProof/>
                <w:webHidden/>
              </w:rPr>
              <w:fldChar w:fldCharType="separate"/>
            </w:r>
            <w:r w:rsidR="00DD2B4E">
              <w:rPr>
                <w:noProof/>
                <w:webHidden/>
              </w:rPr>
              <w:t>133</w:t>
            </w:r>
            <w:r>
              <w:rPr>
                <w:noProof/>
                <w:webHidden/>
              </w:rPr>
              <w:fldChar w:fldCharType="end"/>
            </w:r>
          </w:hyperlink>
        </w:p>
        <w:p w:rsidR="00045A40" w:rsidRDefault="00045A40">
          <w:pPr>
            <w:pStyle w:val="TOC2"/>
            <w:tabs>
              <w:tab w:val="right" w:leader="dot" w:pos="9350"/>
            </w:tabs>
            <w:rPr>
              <w:rFonts w:eastAsiaTheme="minorEastAsia"/>
              <w:noProof/>
            </w:rPr>
          </w:pPr>
          <w:hyperlink w:anchor="_Toc222652795" w:history="1">
            <w:r w:rsidRPr="00181C7D">
              <w:rPr>
                <w:rStyle w:val="Hyperlink"/>
                <w:noProof/>
              </w:rPr>
              <w:t>4.6 Comparative Analysis and Synthesis</w:t>
            </w:r>
            <w:r>
              <w:rPr>
                <w:noProof/>
                <w:webHidden/>
              </w:rPr>
              <w:tab/>
            </w:r>
            <w:r>
              <w:rPr>
                <w:noProof/>
                <w:webHidden/>
              </w:rPr>
              <w:fldChar w:fldCharType="begin"/>
            </w:r>
            <w:r>
              <w:rPr>
                <w:noProof/>
                <w:webHidden/>
              </w:rPr>
              <w:instrText xml:space="preserve"> PAGEREF _Toc222652795 \h </w:instrText>
            </w:r>
            <w:r>
              <w:rPr>
                <w:noProof/>
                <w:webHidden/>
              </w:rPr>
            </w:r>
            <w:r>
              <w:rPr>
                <w:noProof/>
                <w:webHidden/>
              </w:rPr>
              <w:fldChar w:fldCharType="separate"/>
            </w:r>
            <w:r w:rsidR="00DD2B4E">
              <w:rPr>
                <w:noProof/>
                <w:webHidden/>
              </w:rPr>
              <w:t>133</w:t>
            </w:r>
            <w:r>
              <w:rPr>
                <w:noProof/>
                <w:webHidden/>
              </w:rPr>
              <w:fldChar w:fldCharType="end"/>
            </w:r>
          </w:hyperlink>
        </w:p>
        <w:p w:rsidR="00045A40" w:rsidRDefault="00045A40">
          <w:pPr>
            <w:pStyle w:val="TOC3"/>
            <w:tabs>
              <w:tab w:val="right" w:leader="dot" w:pos="9350"/>
            </w:tabs>
            <w:rPr>
              <w:rFonts w:eastAsiaTheme="minorEastAsia"/>
              <w:noProof/>
            </w:rPr>
          </w:pPr>
          <w:hyperlink w:anchor="_Toc222652796" w:history="1">
            <w:r w:rsidRPr="00181C7D">
              <w:rPr>
                <w:rStyle w:val="Hyperlink"/>
                <w:noProof/>
              </w:rPr>
              <w:t>Figure 3: Three Trajectories of Corporate Quasi-Sovereignty</w:t>
            </w:r>
            <w:r>
              <w:rPr>
                <w:noProof/>
                <w:webHidden/>
              </w:rPr>
              <w:tab/>
            </w:r>
            <w:r>
              <w:rPr>
                <w:noProof/>
                <w:webHidden/>
              </w:rPr>
              <w:fldChar w:fldCharType="begin"/>
            </w:r>
            <w:r>
              <w:rPr>
                <w:noProof/>
                <w:webHidden/>
              </w:rPr>
              <w:instrText xml:space="preserve"> PAGEREF _Toc222652796 \h </w:instrText>
            </w:r>
            <w:r>
              <w:rPr>
                <w:noProof/>
                <w:webHidden/>
              </w:rPr>
            </w:r>
            <w:r>
              <w:rPr>
                <w:noProof/>
                <w:webHidden/>
              </w:rPr>
              <w:fldChar w:fldCharType="separate"/>
            </w:r>
            <w:r w:rsidR="00DD2B4E">
              <w:rPr>
                <w:noProof/>
                <w:webHidden/>
              </w:rPr>
              <w:t>134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97" w:history="1">
            <w:r w:rsidRPr="00181C7D">
              <w:rPr>
                <w:rStyle w:val="Hyperlink"/>
                <w:noProof/>
              </w:rPr>
              <w:t>4.6.1</w:t>
            </w:r>
            <w:r>
              <w:rPr>
                <w:rFonts w:eastAsiaTheme="minorEastAsia"/>
                <w:noProof/>
              </w:rPr>
              <w:tab/>
            </w:r>
            <w:r w:rsidRPr="00181C7D">
              <w:rPr>
                <w:rStyle w:val="Hyperlink"/>
                <w:noProof/>
              </w:rPr>
              <w:t>Across all cases, four shared features are evident:</w:t>
            </w:r>
            <w:r>
              <w:rPr>
                <w:noProof/>
                <w:webHidden/>
              </w:rPr>
              <w:tab/>
            </w:r>
            <w:r>
              <w:rPr>
                <w:noProof/>
                <w:webHidden/>
              </w:rPr>
              <w:fldChar w:fldCharType="begin"/>
            </w:r>
            <w:r>
              <w:rPr>
                <w:noProof/>
                <w:webHidden/>
              </w:rPr>
              <w:instrText xml:space="preserve"> PAGEREF _Toc222652797 \h </w:instrText>
            </w:r>
            <w:r>
              <w:rPr>
                <w:noProof/>
                <w:webHidden/>
              </w:rPr>
            </w:r>
            <w:r>
              <w:rPr>
                <w:noProof/>
                <w:webHidden/>
              </w:rPr>
              <w:fldChar w:fldCharType="separate"/>
            </w:r>
            <w:r w:rsidR="00DD2B4E">
              <w:rPr>
                <w:noProof/>
                <w:webHidden/>
              </w:rPr>
              <w:t>135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798" w:history="1">
            <w:r w:rsidRPr="00181C7D">
              <w:rPr>
                <w:rStyle w:val="Hyperlink"/>
                <w:noProof/>
                <w:lang w:eastAsia="en-IL"/>
              </w:rPr>
              <w:t>4.6.2</w:t>
            </w:r>
            <w:r>
              <w:rPr>
                <w:rFonts w:eastAsiaTheme="minorEastAsia"/>
                <w:noProof/>
              </w:rPr>
              <w:tab/>
            </w:r>
            <w:r w:rsidRPr="00181C7D">
              <w:rPr>
                <w:rStyle w:val="Hyperlink"/>
                <w:noProof/>
                <w:lang w:eastAsia="en-IL"/>
              </w:rPr>
              <w:t>Conclusion</w:t>
            </w:r>
            <w:r>
              <w:rPr>
                <w:noProof/>
                <w:webHidden/>
              </w:rPr>
              <w:tab/>
            </w:r>
            <w:r>
              <w:rPr>
                <w:noProof/>
                <w:webHidden/>
              </w:rPr>
              <w:fldChar w:fldCharType="begin"/>
            </w:r>
            <w:r>
              <w:rPr>
                <w:noProof/>
                <w:webHidden/>
              </w:rPr>
              <w:instrText xml:space="preserve"> PAGEREF _Toc222652798 \h </w:instrText>
            </w:r>
            <w:r>
              <w:rPr>
                <w:noProof/>
                <w:webHidden/>
              </w:rPr>
            </w:r>
            <w:r>
              <w:rPr>
                <w:noProof/>
                <w:webHidden/>
              </w:rPr>
              <w:fldChar w:fldCharType="separate"/>
            </w:r>
            <w:r w:rsidR="00DD2B4E">
              <w:rPr>
                <w:noProof/>
                <w:webHidden/>
              </w:rPr>
              <w:t>138</w:t>
            </w:r>
            <w:r>
              <w:rPr>
                <w:noProof/>
                <w:webHidden/>
              </w:rPr>
              <w:fldChar w:fldCharType="end"/>
            </w:r>
          </w:hyperlink>
        </w:p>
        <w:p w:rsidR="00045A40" w:rsidRDefault="00045A40">
          <w:pPr>
            <w:pStyle w:val="TOC3"/>
            <w:tabs>
              <w:tab w:val="right" w:leader="dot" w:pos="9350"/>
            </w:tabs>
            <w:rPr>
              <w:rFonts w:eastAsiaTheme="minorEastAsia"/>
              <w:noProof/>
            </w:rPr>
          </w:pPr>
          <w:hyperlink w:anchor="_Toc222652799" w:history="1">
            <w:r w:rsidRPr="00181C7D">
              <w:rPr>
                <w:rStyle w:val="Hyperlink"/>
                <w:noProof/>
              </w:rPr>
              <w:t xml:space="preserve">Table </w:t>
            </w:r>
            <w:r w:rsidRPr="00181C7D">
              <w:rPr>
                <w:rStyle w:val="Hyperlink"/>
                <w:noProof/>
                <w:rtl/>
              </w:rPr>
              <w:t>7</w:t>
            </w:r>
            <w:r w:rsidRPr="00181C7D">
              <w:rPr>
                <w:rStyle w:val="Hyperlink"/>
                <w:noProof/>
              </w:rPr>
              <w:t>: Comparative Configurations of Corporate Quasi-Sovereignty</w:t>
            </w:r>
            <w:r>
              <w:rPr>
                <w:noProof/>
                <w:webHidden/>
              </w:rPr>
              <w:tab/>
            </w:r>
            <w:r>
              <w:rPr>
                <w:noProof/>
                <w:webHidden/>
              </w:rPr>
              <w:fldChar w:fldCharType="begin"/>
            </w:r>
            <w:r>
              <w:rPr>
                <w:noProof/>
                <w:webHidden/>
              </w:rPr>
              <w:instrText xml:space="preserve"> PAGEREF _Toc222652799 \h </w:instrText>
            </w:r>
            <w:r>
              <w:rPr>
                <w:noProof/>
                <w:webHidden/>
              </w:rPr>
            </w:r>
            <w:r>
              <w:rPr>
                <w:noProof/>
                <w:webHidden/>
              </w:rPr>
              <w:fldChar w:fldCharType="separate"/>
            </w:r>
            <w:r w:rsidR="00DD2B4E">
              <w:rPr>
                <w:noProof/>
                <w:webHidden/>
              </w:rPr>
              <w:t>139</w:t>
            </w:r>
            <w:r>
              <w:rPr>
                <w:noProof/>
                <w:webHidden/>
              </w:rPr>
              <w:fldChar w:fldCharType="end"/>
            </w:r>
          </w:hyperlink>
        </w:p>
        <w:p w:rsidR="00045A40" w:rsidRDefault="00045A40">
          <w:pPr>
            <w:pStyle w:val="TOC1"/>
            <w:tabs>
              <w:tab w:val="right" w:leader="dot" w:pos="9350"/>
            </w:tabs>
            <w:rPr>
              <w:rFonts w:eastAsiaTheme="minorEastAsia"/>
              <w:noProof/>
            </w:rPr>
          </w:pPr>
          <w:hyperlink w:anchor="_Toc222652800" w:history="1">
            <w:r w:rsidRPr="00181C7D">
              <w:rPr>
                <w:rStyle w:val="Hyperlink"/>
                <w:noProof/>
              </w:rPr>
              <w:t>Chapter 5</w:t>
            </w:r>
            <w:r>
              <w:rPr>
                <w:noProof/>
                <w:webHidden/>
              </w:rPr>
              <w:tab/>
            </w:r>
            <w:r>
              <w:rPr>
                <w:noProof/>
                <w:webHidden/>
              </w:rPr>
              <w:fldChar w:fldCharType="begin"/>
            </w:r>
            <w:r>
              <w:rPr>
                <w:noProof/>
                <w:webHidden/>
              </w:rPr>
              <w:instrText xml:space="preserve"> PAGEREF _Toc222652800 \h </w:instrText>
            </w:r>
            <w:r>
              <w:rPr>
                <w:noProof/>
                <w:webHidden/>
              </w:rPr>
            </w:r>
            <w:r>
              <w:rPr>
                <w:noProof/>
                <w:webHidden/>
              </w:rPr>
              <w:fldChar w:fldCharType="separate"/>
            </w:r>
            <w:r w:rsidR="00DD2B4E">
              <w:rPr>
                <w:noProof/>
                <w:webHidden/>
              </w:rPr>
              <w:t>141</w:t>
            </w:r>
            <w:r>
              <w:rPr>
                <w:noProof/>
                <w:webHidden/>
              </w:rPr>
              <w:fldChar w:fldCharType="end"/>
            </w:r>
          </w:hyperlink>
        </w:p>
        <w:p w:rsidR="00045A40" w:rsidRDefault="00045A40">
          <w:pPr>
            <w:pStyle w:val="TOC1"/>
            <w:tabs>
              <w:tab w:val="right" w:leader="dot" w:pos="9350"/>
            </w:tabs>
            <w:rPr>
              <w:rFonts w:eastAsiaTheme="minorEastAsia"/>
              <w:noProof/>
            </w:rPr>
          </w:pPr>
          <w:hyperlink w:anchor="_Toc222652801" w:history="1">
            <w:r w:rsidRPr="00181C7D">
              <w:rPr>
                <w:rStyle w:val="Hyperlink"/>
                <w:noProof/>
              </w:rPr>
              <w:t>Case Study I: Meta Inc. (USA)</w:t>
            </w:r>
            <w:r>
              <w:rPr>
                <w:noProof/>
                <w:webHidden/>
              </w:rPr>
              <w:tab/>
            </w:r>
            <w:r>
              <w:rPr>
                <w:noProof/>
                <w:webHidden/>
              </w:rPr>
              <w:fldChar w:fldCharType="begin"/>
            </w:r>
            <w:r>
              <w:rPr>
                <w:noProof/>
                <w:webHidden/>
              </w:rPr>
              <w:instrText xml:space="preserve"> PAGEREF _Toc222652801 \h </w:instrText>
            </w:r>
            <w:r>
              <w:rPr>
                <w:noProof/>
                <w:webHidden/>
              </w:rPr>
            </w:r>
            <w:r>
              <w:rPr>
                <w:noProof/>
                <w:webHidden/>
              </w:rPr>
              <w:fldChar w:fldCharType="separate"/>
            </w:r>
            <w:r w:rsidR="00DD2B4E">
              <w:rPr>
                <w:noProof/>
                <w:webHidden/>
              </w:rPr>
              <w:t>141</w:t>
            </w:r>
            <w:r>
              <w:rPr>
                <w:noProof/>
                <w:webHidden/>
              </w:rPr>
              <w:fldChar w:fldCharType="end"/>
            </w:r>
          </w:hyperlink>
        </w:p>
        <w:p w:rsidR="00045A40" w:rsidRDefault="00045A40">
          <w:pPr>
            <w:pStyle w:val="TOC1"/>
            <w:tabs>
              <w:tab w:val="right" w:leader="dot" w:pos="9350"/>
            </w:tabs>
            <w:rPr>
              <w:rFonts w:eastAsiaTheme="minorEastAsia"/>
              <w:noProof/>
            </w:rPr>
          </w:pPr>
          <w:hyperlink w:anchor="_Toc222652802" w:history="1">
            <w:r w:rsidRPr="00181C7D">
              <w:rPr>
                <w:rStyle w:val="Hyperlink"/>
                <w:noProof/>
              </w:rPr>
              <w:t>as a Quasi-Sovereign</w:t>
            </w:r>
            <w:r>
              <w:rPr>
                <w:noProof/>
                <w:webHidden/>
              </w:rPr>
              <w:tab/>
            </w:r>
            <w:r>
              <w:rPr>
                <w:noProof/>
                <w:webHidden/>
              </w:rPr>
              <w:fldChar w:fldCharType="begin"/>
            </w:r>
            <w:r>
              <w:rPr>
                <w:noProof/>
                <w:webHidden/>
              </w:rPr>
              <w:instrText xml:space="preserve"> PAGEREF _Toc222652802 \h </w:instrText>
            </w:r>
            <w:r>
              <w:rPr>
                <w:noProof/>
                <w:webHidden/>
              </w:rPr>
            </w:r>
            <w:r>
              <w:rPr>
                <w:noProof/>
                <w:webHidden/>
              </w:rPr>
              <w:fldChar w:fldCharType="separate"/>
            </w:r>
            <w:r w:rsidR="00DD2B4E">
              <w:rPr>
                <w:noProof/>
                <w:webHidden/>
              </w:rPr>
              <w:t>141</w:t>
            </w:r>
            <w:r>
              <w:rPr>
                <w:noProof/>
                <w:webHidden/>
              </w:rPr>
              <w:fldChar w:fldCharType="end"/>
            </w:r>
          </w:hyperlink>
        </w:p>
        <w:p w:rsidR="00045A40" w:rsidRDefault="00045A40">
          <w:pPr>
            <w:pStyle w:val="TOC1"/>
            <w:tabs>
              <w:tab w:val="right" w:leader="dot" w:pos="9350"/>
            </w:tabs>
            <w:rPr>
              <w:rFonts w:eastAsiaTheme="minorEastAsia"/>
              <w:noProof/>
            </w:rPr>
          </w:pPr>
          <w:hyperlink w:anchor="_Toc222652803" w:history="1">
            <w:r w:rsidRPr="00181C7D">
              <w:rPr>
                <w:rStyle w:val="Hyperlink"/>
                <w:noProof/>
              </w:rPr>
              <w:t>Geopolitical Actor</w:t>
            </w:r>
            <w:r>
              <w:rPr>
                <w:noProof/>
                <w:webHidden/>
              </w:rPr>
              <w:tab/>
            </w:r>
            <w:r>
              <w:rPr>
                <w:noProof/>
                <w:webHidden/>
              </w:rPr>
              <w:fldChar w:fldCharType="begin"/>
            </w:r>
            <w:r>
              <w:rPr>
                <w:noProof/>
                <w:webHidden/>
              </w:rPr>
              <w:instrText xml:space="preserve"> PAGEREF _Toc222652803 \h </w:instrText>
            </w:r>
            <w:r>
              <w:rPr>
                <w:noProof/>
                <w:webHidden/>
              </w:rPr>
            </w:r>
            <w:r>
              <w:rPr>
                <w:noProof/>
                <w:webHidden/>
              </w:rPr>
              <w:fldChar w:fldCharType="separate"/>
            </w:r>
            <w:r w:rsidR="00DD2B4E">
              <w:rPr>
                <w:noProof/>
                <w:webHidden/>
              </w:rPr>
              <w:t>141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04" w:history="1">
            <w:r w:rsidRPr="00181C7D">
              <w:rPr>
                <w:rStyle w:val="Hyperlink"/>
                <w:noProof/>
              </w:rPr>
              <w:t>5.1</w:t>
            </w:r>
            <w:r>
              <w:rPr>
                <w:rFonts w:eastAsiaTheme="minorEastAsia"/>
                <w:noProof/>
              </w:rPr>
              <w:tab/>
            </w:r>
            <w:r w:rsidRPr="00181C7D">
              <w:rPr>
                <w:rStyle w:val="Hyperlink"/>
                <w:noProof/>
              </w:rPr>
              <w:t>Introduction</w:t>
            </w:r>
            <w:r>
              <w:rPr>
                <w:noProof/>
                <w:webHidden/>
              </w:rPr>
              <w:tab/>
            </w:r>
            <w:r>
              <w:rPr>
                <w:noProof/>
                <w:webHidden/>
              </w:rPr>
              <w:fldChar w:fldCharType="begin"/>
            </w:r>
            <w:r>
              <w:rPr>
                <w:noProof/>
                <w:webHidden/>
              </w:rPr>
              <w:instrText xml:space="preserve"> PAGEREF _Toc222652804 \h </w:instrText>
            </w:r>
            <w:r>
              <w:rPr>
                <w:noProof/>
                <w:webHidden/>
              </w:rPr>
            </w:r>
            <w:r>
              <w:rPr>
                <w:noProof/>
                <w:webHidden/>
              </w:rPr>
              <w:fldChar w:fldCharType="separate"/>
            </w:r>
            <w:r w:rsidR="00DD2B4E">
              <w:rPr>
                <w:noProof/>
                <w:webHidden/>
              </w:rPr>
              <w:t>141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05" w:history="1">
            <w:r w:rsidRPr="00045A40">
              <w:rPr>
                <w:rStyle w:val="Hyperlink"/>
                <w:b/>
                <w:noProof/>
                <w:rtl/>
              </w:rPr>
              <w:t>5.2</w:t>
            </w:r>
            <w:r>
              <w:rPr>
                <w:rFonts w:eastAsiaTheme="minorEastAsia"/>
                <w:noProof/>
              </w:rPr>
              <w:tab/>
            </w:r>
            <w:r w:rsidRPr="00181C7D">
              <w:rPr>
                <w:rStyle w:val="Hyperlink"/>
                <w:noProof/>
              </w:rPr>
              <w:t>Analytical Orientation: Applying the Four-Dimensional Framework</w:t>
            </w:r>
            <w:r>
              <w:rPr>
                <w:noProof/>
                <w:webHidden/>
              </w:rPr>
              <w:tab/>
            </w:r>
            <w:r>
              <w:rPr>
                <w:noProof/>
                <w:webHidden/>
              </w:rPr>
              <w:fldChar w:fldCharType="begin"/>
            </w:r>
            <w:r>
              <w:rPr>
                <w:noProof/>
                <w:webHidden/>
              </w:rPr>
              <w:instrText xml:space="preserve"> PAGEREF _Toc222652805 \h </w:instrText>
            </w:r>
            <w:r>
              <w:rPr>
                <w:noProof/>
                <w:webHidden/>
              </w:rPr>
            </w:r>
            <w:r>
              <w:rPr>
                <w:noProof/>
                <w:webHidden/>
              </w:rPr>
              <w:fldChar w:fldCharType="separate"/>
            </w:r>
            <w:r w:rsidR="00DD2B4E">
              <w:rPr>
                <w:noProof/>
                <w:webHidden/>
              </w:rPr>
              <w:t>144</w:t>
            </w:r>
            <w:r>
              <w:rPr>
                <w:noProof/>
                <w:webHidden/>
              </w:rPr>
              <w:fldChar w:fldCharType="end"/>
            </w:r>
          </w:hyperlink>
        </w:p>
        <w:p w:rsidR="00045A40" w:rsidRDefault="00045A40">
          <w:pPr>
            <w:pStyle w:val="TOC3"/>
            <w:tabs>
              <w:tab w:val="right" w:leader="dot" w:pos="9350"/>
            </w:tabs>
            <w:rPr>
              <w:rFonts w:eastAsiaTheme="minorEastAsia"/>
              <w:noProof/>
            </w:rPr>
          </w:pPr>
          <w:hyperlink w:anchor="_Toc222652806" w:history="1">
            <w:r w:rsidRPr="00181C7D">
              <w:rPr>
                <w:rStyle w:val="Hyperlink"/>
                <w:noProof/>
              </w:rPr>
              <w:t xml:space="preserve">Table </w:t>
            </w:r>
            <w:r w:rsidRPr="00181C7D">
              <w:rPr>
                <w:rStyle w:val="Hyperlink"/>
                <w:noProof/>
                <w:rtl/>
              </w:rPr>
              <w:t>8</w:t>
            </w:r>
            <w:r w:rsidRPr="00181C7D">
              <w:rPr>
                <w:rStyle w:val="Hyperlink"/>
                <w:noProof/>
              </w:rPr>
              <w:t>: Application of the Four-Dimensional Framework to Meta Platforms</w:t>
            </w:r>
            <w:r>
              <w:rPr>
                <w:noProof/>
                <w:webHidden/>
              </w:rPr>
              <w:tab/>
            </w:r>
            <w:r>
              <w:rPr>
                <w:noProof/>
                <w:webHidden/>
              </w:rPr>
              <w:fldChar w:fldCharType="begin"/>
            </w:r>
            <w:r>
              <w:rPr>
                <w:noProof/>
                <w:webHidden/>
              </w:rPr>
              <w:instrText xml:space="preserve"> PAGEREF _Toc222652806 \h </w:instrText>
            </w:r>
            <w:r>
              <w:rPr>
                <w:noProof/>
                <w:webHidden/>
              </w:rPr>
            </w:r>
            <w:r>
              <w:rPr>
                <w:noProof/>
                <w:webHidden/>
              </w:rPr>
              <w:fldChar w:fldCharType="separate"/>
            </w:r>
            <w:r w:rsidR="00DD2B4E">
              <w:rPr>
                <w:noProof/>
                <w:webHidden/>
              </w:rPr>
              <w:t>145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07" w:history="1">
            <w:r w:rsidRPr="00181C7D">
              <w:rPr>
                <w:rStyle w:val="Hyperlink"/>
                <w:noProof/>
              </w:rPr>
              <w:t>5.3</w:t>
            </w:r>
            <w:r>
              <w:rPr>
                <w:rFonts w:eastAsiaTheme="minorEastAsia"/>
                <w:noProof/>
              </w:rPr>
              <w:tab/>
            </w:r>
            <w:r w:rsidRPr="00181C7D">
              <w:rPr>
                <w:rStyle w:val="Hyperlink"/>
                <w:noProof/>
              </w:rPr>
              <w:t>Meta in Comparative Perspective</w:t>
            </w:r>
            <w:r>
              <w:rPr>
                <w:noProof/>
                <w:webHidden/>
              </w:rPr>
              <w:tab/>
            </w:r>
            <w:r>
              <w:rPr>
                <w:noProof/>
                <w:webHidden/>
              </w:rPr>
              <w:fldChar w:fldCharType="begin"/>
            </w:r>
            <w:r>
              <w:rPr>
                <w:noProof/>
                <w:webHidden/>
              </w:rPr>
              <w:instrText xml:space="preserve"> PAGEREF _Toc222652807 \h </w:instrText>
            </w:r>
            <w:r>
              <w:rPr>
                <w:noProof/>
                <w:webHidden/>
              </w:rPr>
            </w:r>
            <w:r>
              <w:rPr>
                <w:noProof/>
                <w:webHidden/>
              </w:rPr>
              <w:fldChar w:fldCharType="separate"/>
            </w:r>
            <w:r w:rsidR="00DD2B4E">
              <w:rPr>
                <w:noProof/>
                <w:webHidden/>
              </w:rPr>
              <w:t>145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08" w:history="1">
            <w:r w:rsidRPr="00181C7D">
              <w:rPr>
                <w:rStyle w:val="Hyperlink"/>
                <w:noProof/>
              </w:rPr>
              <w:t>5.3.1</w:t>
            </w:r>
            <w:r>
              <w:rPr>
                <w:rFonts w:eastAsiaTheme="minorEastAsia"/>
                <w:noProof/>
              </w:rPr>
              <w:tab/>
            </w:r>
            <w:r w:rsidRPr="00181C7D">
              <w:rPr>
                <w:rStyle w:val="Hyperlink"/>
                <w:noProof/>
              </w:rPr>
              <w:t xml:space="preserve"> Strategic Resource Control</w:t>
            </w:r>
            <w:r>
              <w:rPr>
                <w:noProof/>
                <w:webHidden/>
              </w:rPr>
              <w:tab/>
            </w:r>
            <w:r>
              <w:rPr>
                <w:noProof/>
                <w:webHidden/>
              </w:rPr>
              <w:fldChar w:fldCharType="begin"/>
            </w:r>
            <w:r>
              <w:rPr>
                <w:noProof/>
                <w:webHidden/>
              </w:rPr>
              <w:instrText xml:space="preserve"> PAGEREF _Toc222652808 \h </w:instrText>
            </w:r>
            <w:r>
              <w:rPr>
                <w:noProof/>
                <w:webHidden/>
              </w:rPr>
            </w:r>
            <w:r>
              <w:rPr>
                <w:noProof/>
                <w:webHidden/>
              </w:rPr>
              <w:fldChar w:fldCharType="separate"/>
            </w:r>
            <w:r w:rsidR="00DD2B4E">
              <w:rPr>
                <w:noProof/>
                <w:webHidden/>
              </w:rPr>
              <w:t>146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09" w:history="1">
            <w:r w:rsidRPr="00181C7D">
              <w:rPr>
                <w:rStyle w:val="Hyperlink"/>
                <w:noProof/>
              </w:rPr>
              <w:t>5.3.2</w:t>
            </w:r>
            <w:r>
              <w:rPr>
                <w:rFonts w:eastAsiaTheme="minorEastAsia"/>
                <w:noProof/>
              </w:rPr>
              <w:tab/>
            </w:r>
            <w:r w:rsidRPr="00181C7D">
              <w:rPr>
                <w:rStyle w:val="Hyperlink"/>
                <w:noProof/>
              </w:rPr>
              <w:t xml:space="preserve"> Infrastructural Power</w:t>
            </w:r>
            <w:r>
              <w:rPr>
                <w:noProof/>
                <w:webHidden/>
              </w:rPr>
              <w:tab/>
            </w:r>
            <w:r>
              <w:rPr>
                <w:noProof/>
                <w:webHidden/>
              </w:rPr>
              <w:fldChar w:fldCharType="begin"/>
            </w:r>
            <w:r>
              <w:rPr>
                <w:noProof/>
                <w:webHidden/>
              </w:rPr>
              <w:instrText xml:space="preserve"> PAGEREF _Toc222652809 \h </w:instrText>
            </w:r>
            <w:r>
              <w:rPr>
                <w:noProof/>
                <w:webHidden/>
              </w:rPr>
            </w:r>
            <w:r>
              <w:rPr>
                <w:noProof/>
                <w:webHidden/>
              </w:rPr>
              <w:fldChar w:fldCharType="separate"/>
            </w:r>
            <w:r w:rsidR="00DD2B4E">
              <w:rPr>
                <w:noProof/>
                <w:webHidden/>
              </w:rPr>
              <w:t>150</w:t>
            </w:r>
            <w:r>
              <w:rPr>
                <w:noProof/>
                <w:webHidden/>
              </w:rPr>
              <w:fldChar w:fldCharType="end"/>
            </w:r>
          </w:hyperlink>
        </w:p>
        <w:p w:rsidR="00045A40" w:rsidRDefault="00045A40">
          <w:pPr>
            <w:pStyle w:val="TOC3"/>
            <w:tabs>
              <w:tab w:val="right" w:leader="dot" w:pos="9350"/>
            </w:tabs>
            <w:rPr>
              <w:rFonts w:eastAsiaTheme="minorEastAsia"/>
              <w:noProof/>
            </w:rPr>
          </w:pPr>
          <w:hyperlink w:anchor="_Toc222652810" w:history="1">
            <w:r w:rsidRPr="00181C7D">
              <w:rPr>
                <w:rStyle w:val="Hyperlink"/>
                <w:noProof/>
              </w:rPr>
              <w:t>5.3.3 Normative Legitimacy</w:t>
            </w:r>
            <w:r>
              <w:rPr>
                <w:noProof/>
                <w:webHidden/>
              </w:rPr>
              <w:tab/>
            </w:r>
            <w:r>
              <w:rPr>
                <w:noProof/>
                <w:webHidden/>
              </w:rPr>
              <w:fldChar w:fldCharType="begin"/>
            </w:r>
            <w:r>
              <w:rPr>
                <w:noProof/>
                <w:webHidden/>
              </w:rPr>
              <w:instrText xml:space="preserve"> PAGEREF _Toc222652810 \h </w:instrText>
            </w:r>
            <w:r>
              <w:rPr>
                <w:noProof/>
                <w:webHidden/>
              </w:rPr>
            </w:r>
            <w:r>
              <w:rPr>
                <w:noProof/>
                <w:webHidden/>
              </w:rPr>
              <w:fldChar w:fldCharType="separate"/>
            </w:r>
            <w:r w:rsidR="00DD2B4E">
              <w:rPr>
                <w:noProof/>
                <w:webHidden/>
              </w:rPr>
              <w:t>153</w:t>
            </w:r>
            <w:r>
              <w:rPr>
                <w:noProof/>
                <w:webHidden/>
              </w:rPr>
              <w:fldChar w:fldCharType="end"/>
            </w:r>
          </w:hyperlink>
        </w:p>
        <w:p w:rsidR="00045A40" w:rsidRDefault="00045A40">
          <w:pPr>
            <w:pStyle w:val="TOC3"/>
            <w:tabs>
              <w:tab w:val="right" w:leader="dot" w:pos="9350"/>
            </w:tabs>
            <w:rPr>
              <w:rFonts w:eastAsiaTheme="minorEastAsia"/>
              <w:noProof/>
            </w:rPr>
          </w:pPr>
          <w:hyperlink w:anchor="_Toc222652811" w:history="1">
            <w:r w:rsidRPr="00181C7D">
              <w:rPr>
                <w:rStyle w:val="Hyperlink"/>
                <w:noProof/>
              </w:rPr>
              <w:t>5.3.4. Structural Embeddedness</w:t>
            </w:r>
            <w:r>
              <w:rPr>
                <w:noProof/>
                <w:webHidden/>
              </w:rPr>
              <w:tab/>
            </w:r>
            <w:r>
              <w:rPr>
                <w:noProof/>
                <w:webHidden/>
              </w:rPr>
              <w:fldChar w:fldCharType="begin"/>
            </w:r>
            <w:r>
              <w:rPr>
                <w:noProof/>
                <w:webHidden/>
              </w:rPr>
              <w:instrText xml:space="preserve"> PAGEREF _Toc222652811 \h </w:instrText>
            </w:r>
            <w:r>
              <w:rPr>
                <w:noProof/>
                <w:webHidden/>
              </w:rPr>
            </w:r>
            <w:r>
              <w:rPr>
                <w:noProof/>
                <w:webHidden/>
              </w:rPr>
              <w:fldChar w:fldCharType="separate"/>
            </w:r>
            <w:r w:rsidR="00DD2B4E">
              <w:rPr>
                <w:noProof/>
                <w:webHidden/>
              </w:rPr>
              <w:t>156</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12" w:history="1">
            <w:r w:rsidRPr="00181C7D">
              <w:rPr>
                <w:rStyle w:val="Hyperlink"/>
                <w:noProof/>
              </w:rPr>
              <w:t>5.4</w:t>
            </w:r>
            <w:r>
              <w:rPr>
                <w:rFonts w:eastAsiaTheme="minorEastAsia"/>
                <w:noProof/>
              </w:rPr>
              <w:tab/>
            </w:r>
            <w:r w:rsidRPr="00181C7D">
              <w:rPr>
                <w:rStyle w:val="Hyperlink"/>
                <w:noProof/>
              </w:rPr>
              <w:t>Conclusion</w:t>
            </w:r>
            <w:r>
              <w:rPr>
                <w:noProof/>
                <w:webHidden/>
              </w:rPr>
              <w:tab/>
            </w:r>
            <w:r>
              <w:rPr>
                <w:noProof/>
                <w:webHidden/>
              </w:rPr>
              <w:fldChar w:fldCharType="begin"/>
            </w:r>
            <w:r>
              <w:rPr>
                <w:noProof/>
                <w:webHidden/>
              </w:rPr>
              <w:instrText xml:space="preserve"> PAGEREF _Toc222652812 \h </w:instrText>
            </w:r>
            <w:r>
              <w:rPr>
                <w:noProof/>
                <w:webHidden/>
              </w:rPr>
            </w:r>
            <w:r>
              <w:rPr>
                <w:noProof/>
                <w:webHidden/>
              </w:rPr>
              <w:fldChar w:fldCharType="separate"/>
            </w:r>
            <w:r w:rsidR="00DD2B4E">
              <w:rPr>
                <w:noProof/>
                <w:webHidden/>
              </w:rPr>
              <w:t>159</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13" w:history="1">
            <w:r w:rsidRPr="00181C7D">
              <w:rPr>
                <w:rStyle w:val="Hyperlink"/>
                <w:noProof/>
              </w:rPr>
              <w:t>5.5</w:t>
            </w:r>
            <w:r>
              <w:rPr>
                <w:rFonts w:eastAsiaTheme="minorEastAsia"/>
                <w:noProof/>
              </w:rPr>
              <w:tab/>
            </w:r>
            <w:r w:rsidRPr="00181C7D">
              <w:rPr>
                <w:rStyle w:val="Hyperlink"/>
                <w:noProof/>
              </w:rPr>
              <w:t>Future Trajectories of Meta’s Quasi-Sovereignty</w:t>
            </w:r>
            <w:r>
              <w:rPr>
                <w:noProof/>
                <w:webHidden/>
              </w:rPr>
              <w:tab/>
            </w:r>
            <w:r>
              <w:rPr>
                <w:noProof/>
                <w:webHidden/>
              </w:rPr>
              <w:fldChar w:fldCharType="begin"/>
            </w:r>
            <w:r>
              <w:rPr>
                <w:noProof/>
                <w:webHidden/>
              </w:rPr>
              <w:instrText xml:space="preserve"> PAGEREF _Toc222652813 \h </w:instrText>
            </w:r>
            <w:r>
              <w:rPr>
                <w:noProof/>
                <w:webHidden/>
              </w:rPr>
            </w:r>
            <w:r>
              <w:rPr>
                <w:noProof/>
                <w:webHidden/>
              </w:rPr>
              <w:fldChar w:fldCharType="separate"/>
            </w:r>
            <w:r w:rsidR="00DD2B4E">
              <w:rPr>
                <w:noProof/>
                <w:webHidden/>
              </w:rPr>
              <w:t>160</w:t>
            </w:r>
            <w:r>
              <w:rPr>
                <w:noProof/>
                <w:webHidden/>
              </w:rPr>
              <w:fldChar w:fldCharType="end"/>
            </w:r>
          </w:hyperlink>
        </w:p>
        <w:p w:rsidR="00045A40" w:rsidRDefault="00045A40">
          <w:pPr>
            <w:pStyle w:val="TOC1"/>
            <w:tabs>
              <w:tab w:val="right" w:leader="dot" w:pos="9350"/>
            </w:tabs>
            <w:rPr>
              <w:rFonts w:eastAsiaTheme="minorEastAsia"/>
              <w:noProof/>
            </w:rPr>
          </w:pPr>
          <w:hyperlink w:anchor="_Toc222652814" w:history="1">
            <w:r w:rsidRPr="00181C7D">
              <w:rPr>
                <w:rStyle w:val="Hyperlink"/>
                <w:rFonts w:eastAsia="Times New Roman"/>
                <w:noProof/>
                <w:lang w:eastAsia="en-IL"/>
              </w:rPr>
              <w:t>Chapter 6</w:t>
            </w:r>
            <w:r>
              <w:rPr>
                <w:noProof/>
                <w:webHidden/>
              </w:rPr>
              <w:tab/>
            </w:r>
            <w:r>
              <w:rPr>
                <w:noProof/>
                <w:webHidden/>
              </w:rPr>
              <w:fldChar w:fldCharType="begin"/>
            </w:r>
            <w:r>
              <w:rPr>
                <w:noProof/>
                <w:webHidden/>
              </w:rPr>
              <w:instrText xml:space="preserve"> PAGEREF _Toc222652814 \h </w:instrText>
            </w:r>
            <w:r>
              <w:rPr>
                <w:noProof/>
                <w:webHidden/>
              </w:rPr>
            </w:r>
            <w:r>
              <w:rPr>
                <w:noProof/>
                <w:webHidden/>
              </w:rPr>
              <w:fldChar w:fldCharType="separate"/>
            </w:r>
            <w:r w:rsidR="00DD2B4E">
              <w:rPr>
                <w:noProof/>
                <w:webHidden/>
              </w:rPr>
              <w:t>161</w:t>
            </w:r>
            <w:r>
              <w:rPr>
                <w:noProof/>
                <w:webHidden/>
              </w:rPr>
              <w:fldChar w:fldCharType="end"/>
            </w:r>
          </w:hyperlink>
        </w:p>
        <w:p w:rsidR="00045A40" w:rsidRDefault="00045A40">
          <w:pPr>
            <w:pStyle w:val="TOC1"/>
            <w:tabs>
              <w:tab w:val="right" w:leader="dot" w:pos="9350"/>
            </w:tabs>
            <w:rPr>
              <w:rFonts w:eastAsiaTheme="minorEastAsia"/>
              <w:noProof/>
            </w:rPr>
          </w:pPr>
          <w:hyperlink w:anchor="_Toc222652815" w:history="1">
            <w:r w:rsidRPr="00181C7D">
              <w:rPr>
                <w:rStyle w:val="Hyperlink"/>
                <w:rFonts w:eastAsia="Times New Roman"/>
                <w:noProof/>
                <w:lang w:eastAsia="en-IL" w:bidi="ar-SA"/>
              </w:rPr>
              <w:t>Case Study II: Huawei (China) Quasi-Sovereign Corporate Power</w:t>
            </w:r>
            <w:r>
              <w:rPr>
                <w:noProof/>
                <w:webHidden/>
              </w:rPr>
              <w:tab/>
            </w:r>
            <w:r>
              <w:rPr>
                <w:noProof/>
                <w:webHidden/>
              </w:rPr>
              <w:fldChar w:fldCharType="begin"/>
            </w:r>
            <w:r>
              <w:rPr>
                <w:noProof/>
                <w:webHidden/>
              </w:rPr>
              <w:instrText xml:space="preserve"> PAGEREF _Toc222652815 \h </w:instrText>
            </w:r>
            <w:r>
              <w:rPr>
                <w:noProof/>
                <w:webHidden/>
              </w:rPr>
            </w:r>
            <w:r>
              <w:rPr>
                <w:noProof/>
                <w:webHidden/>
              </w:rPr>
              <w:fldChar w:fldCharType="separate"/>
            </w:r>
            <w:r w:rsidR="00DD2B4E">
              <w:rPr>
                <w:noProof/>
                <w:webHidden/>
              </w:rPr>
              <w:t>161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16" w:history="1">
            <w:r w:rsidRPr="00181C7D">
              <w:rPr>
                <w:rStyle w:val="Hyperlink"/>
                <w:rFonts w:eastAsia="Times New Roman"/>
                <w:noProof/>
                <w:lang w:eastAsia="en-IL"/>
              </w:rPr>
              <w:t>6.1</w:t>
            </w:r>
            <w:r>
              <w:rPr>
                <w:rFonts w:eastAsiaTheme="minorEastAsia"/>
                <w:noProof/>
              </w:rPr>
              <w:tab/>
            </w:r>
            <w:r w:rsidRPr="00181C7D">
              <w:rPr>
                <w:rStyle w:val="Hyperlink"/>
                <w:rFonts w:eastAsia="Times New Roman"/>
                <w:noProof/>
                <w:lang w:eastAsia="en-IL"/>
              </w:rPr>
              <w:t>Introduction</w:t>
            </w:r>
            <w:r>
              <w:rPr>
                <w:noProof/>
                <w:webHidden/>
              </w:rPr>
              <w:tab/>
            </w:r>
            <w:r>
              <w:rPr>
                <w:noProof/>
                <w:webHidden/>
              </w:rPr>
              <w:fldChar w:fldCharType="begin"/>
            </w:r>
            <w:r>
              <w:rPr>
                <w:noProof/>
                <w:webHidden/>
              </w:rPr>
              <w:instrText xml:space="preserve"> PAGEREF _Toc222652816 \h </w:instrText>
            </w:r>
            <w:r>
              <w:rPr>
                <w:noProof/>
                <w:webHidden/>
              </w:rPr>
            </w:r>
            <w:r>
              <w:rPr>
                <w:noProof/>
                <w:webHidden/>
              </w:rPr>
              <w:fldChar w:fldCharType="separate"/>
            </w:r>
            <w:r w:rsidR="00DD2B4E">
              <w:rPr>
                <w:noProof/>
                <w:webHidden/>
              </w:rPr>
              <w:t>161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17" w:history="1">
            <w:r w:rsidRPr="00181C7D">
              <w:rPr>
                <w:rStyle w:val="Hyperlink"/>
                <w:rFonts w:eastAsia="Times New Roman"/>
                <w:noProof/>
              </w:rPr>
              <w:t>6.2</w:t>
            </w:r>
            <w:r>
              <w:rPr>
                <w:rFonts w:eastAsiaTheme="minorEastAsia"/>
                <w:noProof/>
              </w:rPr>
              <w:tab/>
            </w:r>
            <w:r w:rsidRPr="00181C7D">
              <w:rPr>
                <w:rStyle w:val="Hyperlink"/>
                <w:rFonts w:eastAsia="Times New Roman"/>
                <w:noProof/>
              </w:rPr>
              <w:t>Conventional Strategic Analysis: SWOT and Porter’s Five Forces</w:t>
            </w:r>
            <w:r>
              <w:rPr>
                <w:noProof/>
                <w:webHidden/>
              </w:rPr>
              <w:tab/>
            </w:r>
            <w:r>
              <w:rPr>
                <w:noProof/>
                <w:webHidden/>
              </w:rPr>
              <w:fldChar w:fldCharType="begin"/>
            </w:r>
            <w:r>
              <w:rPr>
                <w:noProof/>
                <w:webHidden/>
              </w:rPr>
              <w:instrText xml:space="preserve"> PAGEREF _Toc222652817 \h </w:instrText>
            </w:r>
            <w:r>
              <w:rPr>
                <w:noProof/>
                <w:webHidden/>
              </w:rPr>
            </w:r>
            <w:r>
              <w:rPr>
                <w:noProof/>
                <w:webHidden/>
              </w:rPr>
              <w:fldChar w:fldCharType="separate"/>
            </w:r>
            <w:r w:rsidR="00DD2B4E">
              <w:rPr>
                <w:noProof/>
                <w:webHidden/>
              </w:rPr>
              <w:t>162</w:t>
            </w:r>
            <w:r>
              <w:rPr>
                <w:noProof/>
                <w:webHidden/>
              </w:rPr>
              <w:fldChar w:fldCharType="end"/>
            </w:r>
          </w:hyperlink>
        </w:p>
        <w:p w:rsidR="00045A40" w:rsidRDefault="00045A40">
          <w:pPr>
            <w:pStyle w:val="TOC3"/>
            <w:tabs>
              <w:tab w:val="right" w:leader="dot" w:pos="9350"/>
            </w:tabs>
            <w:rPr>
              <w:rFonts w:eastAsiaTheme="minorEastAsia"/>
              <w:noProof/>
            </w:rPr>
          </w:pPr>
          <w:hyperlink w:anchor="_Toc222652821" w:history="1">
            <w:r w:rsidRPr="00181C7D">
              <w:rPr>
                <w:rStyle w:val="Hyperlink"/>
                <w:noProof/>
              </w:rPr>
              <w:t>6.2.1 Strategic Resource Control</w:t>
            </w:r>
            <w:r>
              <w:rPr>
                <w:noProof/>
                <w:webHidden/>
              </w:rPr>
              <w:tab/>
            </w:r>
            <w:r>
              <w:rPr>
                <w:noProof/>
                <w:webHidden/>
              </w:rPr>
              <w:fldChar w:fldCharType="begin"/>
            </w:r>
            <w:r>
              <w:rPr>
                <w:noProof/>
                <w:webHidden/>
              </w:rPr>
              <w:instrText xml:space="preserve"> PAGEREF _Toc222652821 \h </w:instrText>
            </w:r>
            <w:r>
              <w:rPr>
                <w:noProof/>
                <w:webHidden/>
              </w:rPr>
            </w:r>
            <w:r>
              <w:rPr>
                <w:noProof/>
                <w:webHidden/>
              </w:rPr>
              <w:fldChar w:fldCharType="separate"/>
            </w:r>
            <w:r w:rsidR="00DD2B4E">
              <w:rPr>
                <w:noProof/>
                <w:webHidden/>
              </w:rPr>
              <w:t>163</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22" w:history="1">
            <w:r w:rsidRPr="00181C7D">
              <w:rPr>
                <w:rStyle w:val="Hyperlink"/>
                <w:noProof/>
                <w:lang w:eastAsia="en-IL"/>
              </w:rPr>
              <w:t>6.2.2</w:t>
            </w:r>
            <w:r>
              <w:rPr>
                <w:rFonts w:eastAsiaTheme="minorEastAsia"/>
                <w:noProof/>
              </w:rPr>
              <w:tab/>
            </w:r>
            <w:r w:rsidRPr="00181C7D">
              <w:rPr>
                <w:rStyle w:val="Hyperlink"/>
                <w:noProof/>
                <w:lang w:eastAsia="en-IL"/>
              </w:rPr>
              <w:t>Structural Embeddedness in Global Capitalism</w:t>
            </w:r>
            <w:r>
              <w:rPr>
                <w:noProof/>
                <w:webHidden/>
              </w:rPr>
              <w:tab/>
            </w:r>
            <w:r>
              <w:rPr>
                <w:noProof/>
                <w:webHidden/>
              </w:rPr>
              <w:fldChar w:fldCharType="begin"/>
            </w:r>
            <w:r>
              <w:rPr>
                <w:noProof/>
                <w:webHidden/>
              </w:rPr>
              <w:instrText xml:space="preserve"> PAGEREF _Toc222652822 \h </w:instrText>
            </w:r>
            <w:r>
              <w:rPr>
                <w:noProof/>
                <w:webHidden/>
              </w:rPr>
            </w:r>
            <w:r>
              <w:rPr>
                <w:noProof/>
                <w:webHidden/>
              </w:rPr>
              <w:fldChar w:fldCharType="separate"/>
            </w:r>
            <w:r w:rsidR="00DD2B4E">
              <w:rPr>
                <w:noProof/>
                <w:webHidden/>
              </w:rPr>
              <w:t>166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23" w:history="1">
            <w:r w:rsidRPr="00181C7D">
              <w:rPr>
                <w:rStyle w:val="Hyperlink"/>
                <w:noProof/>
                <w:lang w:eastAsia="en-IL"/>
              </w:rPr>
              <w:t>6.2.3</w:t>
            </w:r>
            <w:r>
              <w:rPr>
                <w:rFonts w:eastAsiaTheme="minorEastAsia"/>
                <w:noProof/>
              </w:rPr>
              <w:tab/>
            </w:r>
            <w:r w:rsidRPr="00181C7D">
              <w:rPr>
                <w:rStyle w:val="Hyperlink"/>
                <w:noProof/>
                <w:lang w:eastAsia="en-IL"/>
              </w:rPr>
              <w:t>Normative Authority and Legitimacy</w:t>
            </w:r>
            <w:r>
              <w:rPr>
                <w:noProof/>
                <w:webHidden/>
              </w:rPr>
              <w:tab/>
            </w:r>
            <w:r>
              <w:rPr>
                <w:noProof/>
                <w:webHidden/>
              </w:rPr>
              <w:fldChar w:fldCharType="begin"/>
            </w:r>
            <w:r>
              <w:rPr>
                <w:noProof/>
                <w:webHidden/>
              </w:rPr>
              <w:instrText xml:space="preserve"> PAGEREF _Toc222652823 \h </w:instrText>
            </w:r>
            <w:r>
              <w:rPr>
                <w:noProof/>
                <w:webHidden/>
              </w:rPr>
            </w:r>
            <w:r>
              <w:rPr>
                <w:noProof/>
                <w:webHidden/>
              </w:rPr>
              <w:fldChar w:fldCharType="separate"/>
            </w:r>
            <w:r w:rsidR="00DD2B4E">
              <w:rPr>
                <w:noProof/>
                <w:webHidden/>
              </w:rPr>
              <w:t>170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24" w:history="1">
            <w:r w:rsidRPr="00181C7D">
              <w:rPr>
                <w:rStyle w:val="Hyperlink"/>
                <w:noProof/>
                <w:lang w:eastAsia="en-IL"/>
              </w:rPr>
              <w:t>6.2.4</w:t>
            </w:r>
            <w:r>
              <w:rPr>
                <w:rFonts w:eastAsiaTheme="minorEastAsia"/>
                <w:noProof/>
              </w:rPr>
              <w:tab/>
            </w:r>
            <w:r w:rsidRPr="00181C7D">
              <w:rPr>
                <w:rStyle w:val="Hyperlink"/>
                <w:noProof/>
                <w:lang w:eastAsia="en-IL"/>
              </w:rPr>
              <w:t>Technological Mediation of Power</w:t>
            </w:r>
            <w:r>
              <w:rPr>
                <w:noProof/>
                <w:webHidden/>
              </w:rPr>
              <w:tab/>
            </w:r>
            <w:r>
              <w:rPr>
                <w:noProof/>
                <w:webHidden/>
              </w:rPr>
              <w:fldChar w:fldCharType="begin"/>
            </w:r>
            <w:r>
              <w:rPr>
                <w:noProof/>
                <w:webHidden/>
              </w:rPr>
              <w:instrText xml:space="preserve"> PAGEREF _Toc222652824 \h </w:instrText>
            </w:r>
            <w:r>
              <w:rPr>
                <w:noProof/>
                <w:webHidden/>
              </w:rPr>
            </w:r>
            <w:r>
              <w:rPr>
                <w:noProof/>
                <w:webHidden/>
              </w:rPr>
              <w:fldChar w:fldCharType="separate"/>
            </w:r>
            <w:r w:rsidR="00DD2B4E">
              <w:rPr>
                <w:noProof/>
                <w:webHidden/>
              </w:rPr>
              <w:t>175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25" w:history="1">
            <w:r w:rsidRPr="00181C7D">
              <w:rPr>
                <w:rStyle w:val="Hyperlink"/>
                <w:noProof/>
              </w:rPr>
              <w:t>6.3</w:t>
            </w:r>
            <w:r>
              <w:rPr>
                <w:rFonts w:eastAsiaTheme="minorEastAsia"/>
                <w:noProof/>
              </w:rPr>
              <w:tab/>
            </w:r>
            <w:r w:rsidRPr="00181C7D">
              <w:rPr>
                <w:rStyle w:val="Hyperlink"/>
                <w:noProof/>
              </w:rPr>
              <w:t>Huawei and the Diffusion of Sovereignty in the Digital Age</w:t>
            </w:r>
            <w:r>
              <w:rPr>
                <w:noProof/>
                <w:webHidden/>
              </w:rPr>
              <w:tab/>
            </w:r>
            <w:r>
              <w:rPr>
                <w:noProof/>
                <w:webHidden/>
              </w:rPr>
              <w:fldChar w:fldCharType="begin"/>
            </w:r>
            <w:r>
              <w:rPr>
                <w:noProof/>
                <w:webHidden/>
              </w:rPr>
              <w:instrText xml:space="preserve"> PAGEREF _Toc222652825 \h </w:instrText>
            </w:r>
            <w:r>
              <w:rPr>
                <w:noProof/>
                <w:webHidden/>
              </w:rPr>
            </w:r>
            <w:r>
              <w:rPr>
                <w:noProof/>
                <w:webHidden/>
              </w:rPr>
              <w:fldChar w:fldCharType="separate"/>
            </w:r>
            <w:r w:rsidR="00DD2B4E">
              <w:rPr>
                <w:noProof/>
                <w:webHidden/>
              </w:rPr>
              <w:t>179</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26" w:history="1">
            <w:r w:rsidRPr="00181C7D">
              <w:rPr>
                <w:rStyle w:val="Hyperlink"/>
                <w:rFonts w:eastAsia="Times New Roman"/>
                <w:noProof/>
                <w:lang w:eastAsia="en-IL"/>
              </w:rPr>
              <w:t>6.4</w:t>
            </w:r>
            <w:r>
              <w:rPr>
                <w:rFonts w:eastAsiaTheme="minorEastAsia"/>
                <w:noProof/>
              </w:rPr>
              <w:tab/>
            </w:r>
            <w:r w:rsidRPr="00181C7D">
              <w:rPr>
                <w:rStyle w:val="Hyperlink"/>
                <w:rFonts w:eastAsia="Times New Roman"/>
                <w:noProof/>
                <w:lang w:eastAsia="en-IL"/>
              </w:rPr>
              <w:t>Conclusion</w:t>
            </w:r>
            <w:r>
              <w:rPr>
                <w:noProof/>
                <w:webHidden/>
              </w:rPr>
              <w:tab/>
            </w:r>
            <w:r>
              <w:rPr>
                <w:noProof/>
                <w:webHidden/>
              </w:rPr>
              <w:fldChar w:fldCharType="begin"/>
            </w:r>
            <w:r>
              <w:rPr>
                <w:noProof/>
                <w:webHidden/>
              </w:rPr>
              <w:instrText xml:space="preserve"> PAGEREF _Toc222652826 \h </w:instrText>
            </w:r>
            <w:r>
              <w:rPr>
                <w:noProof/>
                <w:webHidden/>
              </w:rPr>
            </w:r>
            <w:r>
              <w:rPr>
                <w:noProof/>
                <w:webHidden/>
              </w:rPr>
              <w:fldChar w:fldCharType="separate"/>
            </w:r>
            <w:r w:rsidR="00DD2B4E">
              <w:rPr>
                <w:noProof/>
                <w:webHidden/>
              </w:rPr>
              <w:t>181</w:t>
            </w:r>
            <w:r>
              <w:rPr>
                <w:noProof/>
                <w:webHidden/>
              </w:rPr>
              <w:fldChar w:fldCharType="end"/>
            </w:r>
          </w:hyperlink>
        </w:p>
        <w:p w:rsidR="00045A40" w:rsidRDefault="00045A40">
          <w:pPr>
            <w:pStyle w:val="TOC3"/>
            <w:tabs>
              <w:tab w:val="right" w:leader="dot" w:pos="9350"/>
            </w:tabs>
            <w:rPr>
              <w:rFonts w:eastAsiaTheme="minorEastAsia"/>
              <w:noProof/>
            </w:rPr>
          </w:pPr>
          <w:hyperlink w:anchor="_Toc222652827" w:history="1">
            <w:r w:rsidRPr="00181C7D">
              <w:rPr>
                <w:rStyle w:val="Hyperlink"/>
                <w:noProof/>
              </w:rPr>
              <w:t xml:space="preserve">Table </w:t>
            </w:r>
            <w:r w:rsidRPr="00181C7D">
              <w:rPr>
                <w:rStyle w:val="Hyperlink"/>
                <w:noProof/>
                <w:rtl/>
              </w:rPr>
              <w:t>9</w:t>
            </w:r>
            <w:r w:rsidRPr="00181C7D">
              <w:rPr>
                <w:rStyle w:val="Hyperlink"/>
                <w:noProof/>
              </w:rPr>
              <w:t>: Application of the Four-Dimensional Framework to Huawei Technologies</w:t>
            </w:r>
            <w:r>
              <w:rPr>
                <w:noProof/>
                <w:webHidden/>
              </w:rPr>
              <w:tab/>
            </w:r>
            <w:r>
              <w:rPr>
                <w:noProof/>
                <w:webHidden/>
              </w:rPr>
              <w:fldChar w:fldCharType="begin"/>
            </w:r>
            <w:r>
              <w:rPr>
                <w:noProof/>
                <w:webHidden/>
              </w:rPr>
              <w:instrText xml:space="preserve"> PAGEREF _Toc222652827 \h </w:instrText>
            </w:r>
            <w:r>
              <w:rPr>
                <w:noProof/>
                <w:webHidden/>
              </w:rPr>
            </w:r>
            <w:r>
              <w:rPr>
                <w:noProof/>
                <w:webHidden/>
              </w:rPr>
              <w:fldChar w:fldCharType="separate"/>
            </w:r>
            <w:r w:rsidR="00DD2B4E">
              <w:rPr>
                <w:noProof/>
                <w:webHidden/>
              </w:rPr>
              <w:t>183</w:t>
            </w:r>
            <w:r>
              <w:rPr>
                <w:noProof/>
                <w:webHidden/>
              </w:rPr>
              <w:fldChar w:fldCharType="end"/>
            </w:r>
          </w:hyperlink>
        </w:p>
        <w:p w:rsidR="00045A40" w:rsidRDefault="00045A40">
          <w:pPr>
            <w:pStyle w:val="TOC1"/>
            <w:tabs>
              <w:tab w:val="right" w:leader="dot" w:pos="9350"/>
            </w:tabs>
            <w:rPr>
              <w:rFonts w:eastAsiaTheme="minorEastAsia"/>
              <w:noProof/>
            </w:rPr>
          </w:pPr>
          <w:hyperlink w:anchor="_Toc222652828" w:history="1">
            <w:r w:rsidRPr="00181C7D">
              <w:rPr>
                <w:rStyle w:val="Hyperlink"/>
                <w:rFonts w:eastAsia="Times New Roman"/>
                <w:noProof/>
                <w:lang w:eastAsia="en-IL"/>
              </w:rPr>
              <w:t>Chapter 7</w:t>
            </w:r>
            <w:r>
              <w:rPr>
                <w:noProof/>
                <w:webHidden/>
              </w:rPr>
              <w:tab/>
            </w:r>
            <w:r>
              <w:rPr>
                <w:noProof/>
                <w:webHidden/>
              </w:rPr>
              <w:fldChar w:fldCharType="begin"/>
            </w:r>
            <w:r>
              <w:rPr>
                <w:noProof/>
                <w:webHidden/>
              </w:rPr>
              <w:instrText xml:space="preserve"> PAGEREF _Toc222652828 \h </w:instrText>
            </w:r>
            <w:r>
              <w:rPr>
                <w:noProof/>
                <w:webHidden/>
              </w:rPr>
            </w:r>
            <w:r>
              <w:rPr>
                <w:noProof/>
                <w:webHidden/>
              </w:rPr>
              <w:fldChar w:fldCharType="separate"/>
            </w:r>
            <w:r w:rsidR="00DD2B4E">
              <w:rPr>
                <w:noProof/>
                <w:webHidden/>
              </w:rPr>
              <w:t>184</w:t>
            </w:r>
            <w:r>
              <w:rPr>
                <w:noProof/>
                <w:webHidden/>
              </w:rPr>
              <w:fldChar w:fldCharType="end"/>
            </w:r>
          </w:hyperlink>
        </w:p>
        <w:p w:rsidR="00045A40" w:rsidRDefault="00045A40">
          <w:pPr>
            <w:pStyle w:val="TOC1"/>
            <w:tabs>
              <w:tab w:val="right" w:leader="dot" w:pos="9350"/>
            </w:tabs>
            <w:rPr>
              <w:rFonts w:eastAsiaTheme="minorEastAsia"/>
              <w:noProof/>
            </w:rPr>
          </w:pPr>
          <w:hyperlink w:anchor="_Toc222652829" w:history="1">
            <w:r w:rsidRPr="00181C7D">
              <w:rPr>
                <w:rStyle w:val="Hyperlink"/>
                <w:rFonts w:eastAsia="Times New Roman"/>
                <w:noProof/>
                <w:lang w:eastAsia="en-IL" w:bidi="ar-SA"/>
              </w:rPr>
              <w:t>Case Study III: SAP (EU)</w:t>
            </w:r>
            <w:r>
              <w:rPr>
                <w:noProof/>
                <w:webHidden/>
              </w:rPr>
              <w:tab/>
            </w:r>
            <w:r>
              <w:rPr>
                <w:noProof/>
                <w:webHidden/>
              </w:rPr>
              <w:fldChar w:fldCharType="begin"/>
            </w:r>
            <w:r>
              <w:rPr>
                <w:noProof/>
                <w:webHidden/>
              </w:rPr>
              <w:instrText xml:space="preserve"> PAGEREF _Toc222652829 \h </w:instrText>
            </w:r>
            <w:r>
              <w:rPr>
                <w:noProof/>
                <w:webHidden/>
              </w:rPr>
            </w:r>
            <w:r>
              <w:rPr>
                <w:noProof/>
                <w:webHidden/>
              </w:rPr>
              <w:fldChar w:fldCharType="separate"/>
            </w:r>
            <w:r w:rsidR="00DD2B4E">
              <w:rPr>
                <w:noProof/>
                <w:webHidden/>
              </w:rPr>
              <w:t>184</w:t>
            </w:r>
            <w:r>
              <w:rPr>
                <w:noProof/>
                <w:webHidden/>
              </w:rPr>
              <w:fldChar w:fldCharType="end"/>
            </w:r>
          </w:hyperlink>
        </w:p>
        <w:p w:rsidR="00045A40" w:rsidRDefault="00045A40">
          <w:pPr>
            <w:pStyle w:val="TOC1"/>
            <w:tabs>
              <w:tab w:val="right" w:leader="dot" w:pos="9350"/>
            </w:tabs>
            <w:rPr>
              <w:rFonts w:eastAsiaTheme="minorEastAsia"/>
              <w:noProof/>
            </w:rPr>
          </w:pPr>
          <w:hyperlink w:anchor="_Toc222652830" w:history="1">
            <w:r w:rsidRPr="00181C7D">
              <w:rPr>
                <w:rStyle w:val="Hyperlink"/>
                <w:rFonts w:eastAsia="Times New Roman"/>
                <w:noProof/>
                <w:lang w:eastAsia="en-IL" w:bidi="ar-SA"/>
              </w:rPr>
              <w:t>A Quasi-Sovereign Corporate Actor in Global Enterprise Infrastructure</w:t>
            </w:r>
            <w:r>
              <w:rPr>
                <w:noProof/>
                <w:webHidden/>
              </w:rPr>
              <w:tab/>
            </w:r>
            <w:r>
              <w:rPr>
                <w:noProof/>
                <w:webHidden/>
              </w:rPr>
              <w:fldChar w:fldCharType="begin"/>
            </w:r>
            <w:r>
              <w:rPr>
                <w:noProof/>
                <w:webHidden/>
              </w:rPr>
              <w:instrText xml:space="preserve"> PAGEREF _Toc222652830 \h </w:instrText>
            </w:r>
            <w:r>
              <w:rPr>
                <w:noProof/>
                <w:webHidden/>
              </w:rPr>
            </w:r>
            <w:r>
              <w:rPr>
                <w:noProof/>
                <w:webHidden/>
              </w:rPr>
              <w:fldChar w:fldCharType="separate"/>
            </w:r>
            <w:r w:rsidR="00DD2B4E">
              <w:rPr>
                <w:noProof/>
                <w:webHidden/>
              </w:rPr>
              <w:t>184</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31" w:history="1">
            <w:r w:rsidRPr="00181C7D">
              <w:rPr>
                <w:rStyle w:val="Hyperlink"/>
                <w:rFonts w:eastAsia="Times New Roman"/>
                <w:noProof/>
                <w:lang w:eastAsia="en-IL"/>
              </w:rPr>
              <w:t>7.1</w:t>
            </w:r>
            <w:r>
              <w:rPr>
                <w:rFonts w:eastAsiaTheme="minorEastAsia"/>
                <w:noProof/>
              </w:rPr>
              <w:tab/>
            </w:r>
            <w:r w:rsidRPr="00181C7D">
              <w:rPr>
                <w:rStyle w:val="Hyperlink"/>
                <w:rFonts w:eastAsia="Times New Roman"/>
                <w:noProof/>
                <w:lang w:eastAsia="en-IL"/>
              </w:rPr>
              <w:t>Introduction</w:t>
            </w:r>
            <w:r>
              <w:rPr>
                <w:noProof/>
                <w:webHidden/>
              </w:rPr>
              <w:tab/>
            </w:r>
            <w:r>
              <w:rPr>
                <w:noProof/>
                <w:webHidden/>
              </w:rPr>
              <w:fldChar w:fldCharType="begin"/>
            </w:r>
            <w:r>
              <w:rPr>
                <w:noProof/>
                <w:webHidden/>
              </w:rPr>
              <w:instrText xml:space="preserve"> PAGEREF _Toc222652831 \h </w:instrText>
            </w:r>
            <w:r>
              <w:rPr>
                <w:noProof/>
                <w:webHidden/>
              </w:rPr>
            </w:r>
            <w:r>
              <w:rPr>
                <w:noProof/>
                <w:webHidden/>
              </w:rPr>
              <w:fldChar w:fldCharType="separate"/>
            </w:r>
            <w:r w:rsidR="00DD2B4E">
              <w:rPr>
                <w:noProof/>
                <w:webHidden/>
              </w:rPr>
              <w:t>184</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32" w:history="1">
            <w:r w:rsidRPr="00181C7D">
              <w:rPr>
                <w:rStyle w:val="Hyperlink"/>
                <w:noProof/>
              </w:rPr>
              <w:t>7.2</w:t>
            </w:r>
            <w:r>
              <w:rPr>
                <w:rFonts w:eastAsiaTheme="minorEastAsia"/>
                <w:noProof/>
              </w:rPr>
              <w:tab/>
            </w:r>
            <w:r w:rsidRPr="00181C7D">
              <w:rPr>
                <w:rStyle w:val="Hyperlink"/>
                <w:noProof/>
              </w:rPr>
              <w:t>Analytical Roadmap and Contribution</w:t>
            </w:r>
            <w:r>
              <w:rPr>
                <w:noProof/>
                <w:webHidden/>
              </w:rPr>
              <w:tab/>
            </w:r>
            <w:r>
              <w:rPr>
                <w:noProof/>
                <w:webHidden/>
              </w:rPr>
              <w:fldChar w:fldCharType="begin"/>
            </w:r>
            <w:r>
              <w:rPr>
                <w:noProof/>
                <w:webHidden/>
              </w:rPr>
              <w:instrText xml:space="preserve"> PAGEREF _Toc222652832 \h </w:instrText>
            </w:r>
            <w:r>
              <w:rPr>
                <w:noProof/>
                <w:webHidden/>
              </w:rPr>
            </w:r>
            <w:r>
              <w:rPr>
                <w:noProof/>
                <w:webHidden/>
              </w:rPr>
              <w:fldChar w:fldCharType="separate"/>
            </w:r>
            <w:r w:rsidR="00DD2B4E">
              <w:rPr>
                <w:noProof/>
                <w:webHidden/>
              </w:rPr>
              <w:t>185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33" w:history="1">
            <w:r w:rsidRPr="00181C7D">
              <w:rPr>
                <w:rStyle w:val="Hyperlink"/>
                <w:noProof/>
              </w:rPr>
              <w:t>7.3</w:t>
            </w:r>
            <w:r>
              <w:rPr>
                <w:rFonts w:eastAsiaTheme="minorEastAsia"/>
                <w:noProof/>
              </w:rPr>
              <w:tab/>
            </w:r>
            <w:r w:rsidRPr="00181C7D">
              <w:rPr>
                <w:rStyle w:val="Hyperlink"/>
                <w:noProof/>
              </w:rPr>
              <w:t>Analytical Framework: Four Dimensions of Corporate Quasi-Sovereignty</w:t>
            </w:r>
            <w:r>
              <w:rPr>
                <w:noProof/>
                <w:webHidden/>
              </w:rPr>
              <w:tab/>
            </w:r>
            <w:r>
              <w:rPr>
                <w:noProof/>
                <w:webHidden/>
              </w:rPr>
              <w:fldChar w:fldCharType="begin"/>
            </w:r>
            <w:r>
              <w:rPr>
                <w:noProof/>
                <w:webHidden/>
              </w:rPr>
              <w:instrText xml:space="preserve"> PAGEREF _Toc222652833 \h </w:instrText>
            </w:r>
            <w:r>
              <w:rPr>
                <w:noProof/>
                <w:webHidden/>
              </w:rPr>
            </w:r>
            <w:r>
              <w:rPr>
                <w:noProof/>
                <w:webHidden/>
              </w:rPr>
              <w:fldChar w:fldCharType="separate"/>
            </w:r>
            <w:r w:rsidR="00DD2B4E">
              <w:rPr>
                <w:noProof/>
                <w:webHidden/>
              </w:rPr>
              <w:t>186</w:t>
            </w:r>
            <w:r>
              <w:rPr>
                <w:noProof/>
                <w:webHidden/>
              </w:rPr>
              <w:fldChar w:fldCharType="end"/>
            </w:r>
          </w:hyperlink>
        </w:p>
        <w:p w:rsidR="00045A40" w:rsidRDefault="00045A40">
          <w:pPr>
            <w:pStyle w:val="TOC3"/>
            <w:tabs>
              <w:tab w:val="right" w:leader="dot" w:pos="9350"/>
            </w:tabs>
            <w:rPr>
              <w:rFonts w:eastAsiaTheme="minorEastAsia"/>
              <w:noProof/>
            </w:rPr>
          </w:pPr>
          <w:hyperlink w:anchor="_Toc222652834" w:history="1">
            <w:r w:rsidRPr="00181C7D">
              <w:rPr>
                <w:rStyle w:val="Hyperlink"/>
                <w:rFonts w:eastAsiaTheme="majorEastAsia"/>
                <w:noProof/>
              </w:rPr>
              <w:t>Table</w:t>
            </w:r>
            <w:r w:rsidRPr="00181C7D">
              <w:rPr>
                <w:rStyle w:val="Hyperlink"/>
                <w:rFonts w:eastAsiaTheme="majorEastAsia"/>
                <w:noProof/>
                <w:rtl/>
              </w:rPr>
              <w:t xml:space="preserve">10 </w:t>
            </w:r>
            <w:r w:rsidRPr="00181C7D">
              <w:rPr>
                <w:rStyle w:val="Hyperlink"/>
                <w:rFonts w:eastAsiaTheme="majorEastAsia"/>
                <w:noProof/>
              </w:rPr>
              <w:t>: Application of the Four-Dimensional Framework to SAP SE</w:t>
            </w:r>
            <w:r>
              <w:rPr>
                <w:noProof/>
                <w:webHidden/>
              </w:rPr>
              <w:tab/>
            </w:r>
            <w:r>
              <w:rPr>
                <w:noProof/>
                <w:webHidden/>
              </w:rPr>
              <w:fldChar w:fldCharType="begin"/>
            </w:r>
            <w:r>
              <w:rPr>
                <w:noProof/>
                <w:webHidden/>
              </w:rPr>
              <w:instrText xml:space="preserve"> PAGEREF _Toc222652834 \h </w:instrText>
            </w:r>
            <w:r>
              <w:rPr>
                <w:noProof/>
                <w:webHidden/>
              </w:rPr>
            </w:r>
            <w:r>
              <w:rPr>
                <w:noProof/>
                <w:webHidden/>
              </w:rPr>
              <w:fldChar w:fldCharType="separate"/>
            </w:r>
            <w:r w:rsidR="00DD2B4E">
              <w:rPr>
                <w:noProof/>
                <w:webHidden/>
              </w:rPr>
              <w:t>186</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35" w:history="1">
            <w:r w:rsidRPr="00181C7D">
              <w:rPr>
                <w:rStyle w:val="Hyperlink"/>
                <w:rFonts w:eastAsia="Times New Roman"/>
                <w:noProof/>
                <w:lang w:eastAsia="en-IL"/>
              </w:rPr>
              <w:t>7.4</w:t>
            </w:r>
            <w:r>
              <w:rPr>
                <w:rFonts w:eastAsiaTheme="minorEastAsia"/>
                <w:noProof/>
              </w:rPr>
              <w:tab/>
            </w:r>
            <w:r w:rsidRPr="00181C7D">
              <w:rPr>
                <w:rStyle w:val="Hyperlink"/>
                <w:rFonts w:eastAsia="Times New Roman"/>
                <w:noProof/>
                <w:lang w:eastAsia="en-IL"/>
              </w:rPr>
              <w:t>Overview of SAP and Its Strategic Assets</w:t>
            </w:r>
            <w:r>
              <w:rPr>
                <w:noProof/>
                <w:webHidden/>
              </w:rPr>
              <w:tab/>
            </w:r>
            <w:r>
              <w:rPr>
                <w:noProof/>
                <w:webHidden/>
              </w:rPr>
              <w:fldChar w:fldCharType="begin"/>
            </w:r>
            <w:r>
              <w:rPr>
                <w:noProof/>
                <w:webHidden/>
              </w:rPr>
              <w:instrText xml:space="preserve"> PAGEREF _Toc222652835 \h </w:instrText>
            </w:r>
            <w:r>
              <w:rPr>
                <w:noProof/>
                <w:webHidden/>
              </w:rPr>
            </w:r>
            <w:r>
              <w:rPr>
                <w:noProof/>
                <w:webHidden/>
              </w:rPr>
              <w:fldChar w:fldCharType="separate"/>
            </w:r>
            <w:r w:rsidR="00DD2B4E">
              <w:rPr>
                <w:noProof/>
                <w:webHidden/>
              </w:rPr>
              <w:t>187</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36" w:history="1">
            <w:r w:rsidRPr="00181C7D">
              <w:rPr>
                <w:rStyle w:val="Hyperlink"/>
                <w:rFonts w:eastAsia="Times New Roman"/>
                <w:noProof/>
                <w:lang w:eastAsia="en-IL"/>
              </w:rPr>
              <w:t>7.5</w:t>
            </w:r>
            <w:r>
              <w:rPr>
                <w:rFonts w:eastAsiaTheme="minorEastAsia"/>
                <w:noProof/>
              </w:rPr>
              <w:tab/>
            </w:r>
            <w:r w:rsidRPr="00181C7D">
              <w:rPr>
                <w:rStyle w:val="Hyperlink"/>
                <w:rFonts w:eastAsia="Times New Roman"/>
                <w:noProof/>
                <w:lang w:eastAsia="en-IL"/>
              </w:rPr>
              <w:t>Operational Reach and Critical Infrastructures</w:t>
            </w:r>
            <w:r>
              <w:rPr>
                <w:noProof/>
                <w:webHidden/>
              </w:rPr>
              <w:tab/>
            </w:r>
            <w:r>
              <w:rPr>
                <w:noProof/>
                <w:webHidden/>
              </w:rPr>
              <w:fldChar w:fldCharType="begin"/>
            </w:r>
            <w:r>
              <w:rPr>
                <w:noProof/>
                <w:webHidden/>
              </w:rPr>
              <w:instrText xml:space="preserve"> PAGEREF _Toc222652836 \h </w:instrText>
            </w:r>
            <w:r>
              <w:rPr>
                <w:noProof/>
                <w:webHidden/>
              </w:rPr>
            </w:r>
            <w:r>
              <w:rPr>
                <w:noProof/>
                <w:webHidden/>
              </w:rPr>
              <w:fldChar w:fldCharType="separate"/>
            </w:r>
            <w:r w:rsidR="00DD2B4E">
              <w:rPr>
                <w:noProof/>
                <w:webHidden/>
              </w:rPr>
              <w:t>188</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37" w:history="1">
            <w:r w:rsidRPr="00181C7D">
              <w:rPr>
                <w:rStyle w:val="Hyperlink"/>
                <w:rFonts w:eastAsia="Times New Roman"/>
                <w:noProof/>
                <w:lang w:eastAsia="en-IL"/>
              </w:rPr>
              <w:t>7.6</w:t>
            </w:r>
            <w:r>
              <w:rPr>
                <w:rFonts w:eastAsiaTheme="minorEastAsia"/>
                <w:noProof/>
              </w:rPr>
              <w:tab/>
            </w:r>
            <w:r w:rsidRPr="00181C7D">
              <w:rPr>
                <w:rStyle w:val="Hyperlink"/>
                <w:rFonts w:eastAsia="Times New Roman"/>
                <w:noProof/>
                <w:lang w:eastAsia="en-IL"/>
              </w:rPr>
              <w:t>Modes of Governance and Institutional Relationships</w:t>
            </w:r>
            <w:r>
              <w:rPr>
                <w:noProof/>
                <w:webHidden/>
              </w:rPr>
              <w:tab/>
            </w:r>
            <w:r>
              <w:rPr>
                <w:noProof/>
                <w:webHidden/>
              </w:rPr>
              <w:fldChar w:fldCharType="begin"/>
            </w:r>
            <w:r>
              <w:rPr>
                <w:noProof/>
                <w:webHidden/>
              </w:rPr>
              <w:instrText xml:space="preserve"> PAGEREF _Toc222652837 \h </w:instrText>
            </w:r>
            <w:r>
              <w:rPr>
                <w:noProof/>
                <w:webHidden/>
              </w:rPr>
            </w:r>
            <w:r>
              <w:rPr>
                <w:noProof/>
                <w:webHidden/>
              </w:rPr>
              <w:fldChar w:fldCharType="separate"/>
            </w:r>
            <w:r w:rsidR="00DD2B4E">
              <w:rPr>
                <w:noProof/>
                <w:webHidden/>
              </w:rPr>
              <w:t>189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38" w:history="1">
            <w:r w:rsidRPr="00181C7D">
              <w:rPr>
                <w:rStyle w:val="Hyperlink"/>
                <w:rFonts w:eastAsiaTheme="majorEastAsia"/>
                <w:noProof/>
              </w:rPr>
              <w:t>7.6.1</w:t>
            </w:r>
            <w:r>
              <w:rPr>
                <w:rFonts w:eastAsiaTheme="minorEastAsia"/>
                <w:noProof/>
              </w:rPr>
              <w:tab/>
            </w:r>
            <w:r w:rsidRPr="00181C7D">
              <w:rPr>
                <w:rStyle w:val="Hyperlink"/>
                <w:rFonts w:eastAsiaTheme="majorEastAsia"/>
                <w:noProof/>
              </w:rPr>
              <w:t>Quantifying SAP’s Partner Ecosystem</w:t>
            </w:r>
            <w:r>
              <w:rPr>
                <w:noProof/>
                <w:webHidden/>
              </w:rPr>
              <w:tab/>
            </w:r>
            <w:r>
              <w:rPr>
                <w:noProof/>
                <w:webHidden/>
              </w:rPr>
              <w:fldChar w:fldCharType="begin"/>
            </w:r>
            <w:r>
              <w:rPr>
                <w:noProof/>
                <w:webHidden/>
              </w:rPr>
              <w:instrText xml:space="preserve"> PAGEREF _Toc222652838 \h </w:instrText>
            </w:r>
            <w:r>
              <w:rPr>
                <w:noProof/>
                <w:webHidden/>
              </w:rPr>
            </w:r>
            <w:r>
              <w:rPr>
                <w:noProof/>
                <w:webHidden/>
              </w:rPr>
              <w:fldChar w:fldCharType="separate"/>
            </w:r>
            <w:r w:rsidR="00DD2B4E">
              <w:rPr>
                <w:noProof/>
                <w:webHidden/>
              </w:rPr>
              <w:t>190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39" w:history="1">
            <w:r w:rsidRPr="00181C7D">
              <w:rPr>
                <w:rStyle w:val="Hyperlink"/>
                <w:noProof/>
                <w:lang w:eastAsia="en-IL"/>
              </w:rPr>
              <w:t>7.6.2</w:t>
            </w:r>
            <w:r>
              <w:rPr>
                <w:rFonts w:eastAsiaTheme="minorEastAsia"/>
                <w:noProof/>
              </w:rPr>
              <w:tab/>
            </w:r>
            <w:r w:rsidRPr="00181C7D">
              <w:rPr>
                <w:rStyle w:val="Hyperlink"/>
                <w:noProof/>
                <w:lang w:eastAsia="en-IL"/>
              </w:rPr>
              <w:t xml:space="preserve"> Interactions with States: Regulation, Contracts, and Diplomacy</w:t>
            </w:r>
            <w:r>
              <w:rPr>
                <w:noProof/>
                <w:webHidden/>
              </w:rPr>
              <w:tab/>
            </w:r>
            <w:r>
              <w:rPr>
                <w:noProof/>
                <w:webHidden/>
              </w:rPr>
              <w:fldChar w:fldCharType="begin"/>
            </w:r>
            <w:r>
              <w:rPr>
                <w:noProof/>
                <w:webHidden/>
              </w:rPr>
              <w:instrText xml:space="preserve"> PAGEREF _Toc222652839 \h </w:instrText>
            </w:r>
            <w:r>
              <w:rPr>
                <w:noProof/>
                <w:webHidden/>
              </w:rPr>
            </w:r>
            <w:r>
              <w:rPr>
                <w:noProof/>
                <w:webHidden/>
              </w:rPr>
              <w:fldChar w:fldCharType="separate"/>
            </w:r>
            <w:r w:rsidR="00DD2B4E">
              <w:rPr>
                <w:noProof/>
                <w:webHidden/>
              </w:rPr>
              <w:t>192</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40" w:history="1">
            <w:r w:rsidRPr="00181C7D">
              <w:rPr>
                <w:rStyle w:val="Hyperlink"/>
                <w:rFonts w:eastAsiaTheme="majorEastAsia"/>
                <w:noProof/>
              </w:rPr>
              <w:t>7.6.3</w:t>
            </w:r>
            <w:r>
              <w:rPr>
                <w:rFonts w:eastAsiaTheme="minorEastAsia"/>
                <w:noProof/>
              </w:rPr>
              <w:tab/>
            </w:r>
            <w:r w:rsidRPr="00181C7D">
              <w:rPr>
                <w:rStyle w:val="Hyperlink"/>
                <w:rFonts w:eastAsiaTheme="majorEastAsia"/>
                <w:noProof/>
              </w:rPr>
              <w:t>Cloud Dependence and European Digital Sovereignty</w:t>
            </w:r>
            <w:r>
              <w:rPr>
                <w:noProof/>
                <w:webHidden/>
              </w:rPr>
              <w:tab/>
            </w:r>
            <w:r>
              <w:rPr>
                <w:noProof/>
                <w:webHidden/>
              </w:rPr>
              <w:fldChar w:fldCharType="begin"/>
            </w:r>
            <w:r>
              <w:rPr>
                <w:noProof/>
                <w:webHidden/>
              </w:rPr>
              <w:instrText xml:space="preserve"> PAGEREF _Toc222652840 \h </w:instrText>
            </w:r>
            <w:r>
              <w:rPr>
                <w:noProof/>
                <w:webHidden/>
              </w:rPr>
            </w:r>
            <w:r>
              <w:rPr>
                <w:noProof/>
                <w:webHidden/>
              </w:rPr>
              <w:fldChar w:fldCharType="separate"/>
            </w:r>
            <w:r w:rsidR="00DD2B4E">
              <w:rPr>
                <w:noProof/>
                <w:webHidden/>
              </w:rPr>
              <w:t>193</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41" w:history="1">
            <w:r w:rsidRPr="00181C7D">
              <w:rPr>
                <w:rStyle w:val="Hyperlink"/>
                <w:rFonts w:eastAsia="Times New Roman"/>
                <w:noProof/>
                <w:lang w:eastAsia="en-IL"/>
              </w:rPr>
              <w:t>7.7</w:t>
            </w:r>
            <w:r>
              <w:rPr>
                <w:rFonts w:eastAsiaTheme="minorEastAsia"/>
                <w:noProof/>
              </w:rPr>
              <w:tab/>
            </w:r>
            <w:r w:rsidRPr="00181C7D">
              <w:rPr>
                <w:rStyle w:val="Hyperlink"/>
                <w:rFonts w:eastAsia="Times New Roman"/>
                <w:noProof/>
                <w:lang w:eastAsia="en-IL"/>
              </w:rPr>
              <w:t>Public Controversies and Governance Challenges</w:t>
            </w:r>
            <w:r>
              <w:rPr>
                <w:noProof/>
                <w:webHidden/>
              </w:rPr>
              <w:tab/>
            </w:r>
            <w:r>
              <w:rPr>
                <w:noProof/>
                <w:webHidden/>
              </w:rPr>
              <w:fldChar w:fldCharType="begin"/>
            </w:r>
            <w:r>
              <w:rPr>
                <w:noProof/>
                <w:webHidden/>
              </w:rPr>
              <w:instrText xml:space="preserve"> PAGEREF _Toc222652841 \h </w:instrText>
            </w:r>
            <w:r>
              <w:rPr>
                <w:noProof/>
                <w:webHidden/>
              </w:rPr>
            </w:r>
            <w:r>
              <w:rPr>
                <w:noProof/>
                <w:webHidden/>
              </w:rPr>
              <w:fldChar w:fldCharType="separate"/>
            </w:r>
            <w:r w:rsidR="00DD2B4E">
              <w:rPr>
                <w:noProof/>
                <w:webHidden/>
              </w:rPr>
              <w:t>195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42" w:history="1">
            <w:r w:rsidRPr="00181C7D">
              <w:rPr>
                <w:rStyle w:val="Hyperlink"/>
                <w:rFonts w:eastAsiaTheme="majorEastAsia"/>
                <w:noProof/>
              </w:rPr>
              <w:t>7.7.1</w:t>
            </w:r>
            <w:r>
              <w:rPr>
                <w:rFonts w:eastAsiaTheme="minorEastAsia"/>
                <w:noProof/>
              </w:rPr>
              <w:tab/>
            </w:r>
            <w:r w:rsidRPr="00181C7D">
              <w:rPr>
                <w:rStyle w:val="Hyperlink"/>
                <w:rFonts w:eastAsiaTheme="majorEastAsia"/>
                <w:noProof/>
              </w:rPr>
              <w:t>Project Failures and Lessons Learned</w:t>
            </w:r>
            <w:r>
              <w:rPr>
                <w:noProof/>
                <w:webHidden/>
              </w:rPr>
              <w:tab/>
            </w:r>
            <w:r>
              <w:rPr>
                <w:noProof/>
                <w:webHidden/>
              </w:rPr>
              <w:fldChar w:fldCharType="begin"/>
            </w:r>
            <w:r>
              <w:rPr>
                <w:noProof/>
                <w:webHidden/>
              </w:rPr>
              <w:instrText xml:space="preserve"> PAGEREF _Toc222652842 \h </w:instrText>
            </w:r>
            <w:r>
              <w:rPr>
                <w:noProof/>
                <w:webHidden/>
              </w:rPr>
            </w:r>
            <w:r>
              <w:rPr>
                <w:noProof/>
                <w:webHidden/>
              </w:rPr>
              <w:fldChar w:fldCharType="separate"/>
            </w:r>
            <w:r w:rsidR="00DD2B4E">
              <w:rPr>
                <w:noProof/>
                <w:webHidden/>
              </w:rPr>
              <w:t>196</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43" w:history="1">
            <w:r w:rsidRPr="00181C7D">
              <w:rPr>
                <w:rStyle w:val="Hyperlink"/>
                <w:rFonts w:eastAsia="Times New Roman"/>
                <w:noProof/>
                <w:lang w:eastAsia="en-IL"/>
              </w:rPr>
              <w:t>7.8</w:t>
            </w:r>
            <w:r>
              <w:rPr>
                <w:rFonts w:eastAsiaTheme="minorEastAsia"/>
                <w:noProof/>
              </w:rPr>
              <w:tab/>
            </w:r>
            <w:r w:rsidRPr="00181C7D">
              <w:rPr>
                <w:rStyle w:val="Hyperlink"/>
                <w:rFonts w:eastAsia="Times New Roman"/>
                <w:noProof/>
                <w:lang w:eastAsia="en-IL"/>
              </w:rPr>
              <w:t>Contributions to Global Norms and Regulatory Models</w:t>
            </w:r>
            <w:r>
              <w:rPr>
                <w:noProof/>
                <w:webHidden/>
              </w:rPr>
              <w:tab/>
            </w:r>
            <w:r>
              <w:rPr>
                <w:noProof/>
                <w:webHidden/>
              </w:rPr>
              <w:fldChar w:fldCharType="begin"/>
            </w:r>
            <w:r>
              <w:rPr>
                <w:noProof/>
                <w:webHidden/>
              </w:rPr>
              <w:instrText xml:space="preserve"> PAGEREF _Toc222652843 \h </w:instrText>
            </w:r>
            <w:r>
              <w:rPr>
                <w:noProof/>
                <w:webHidden/>
              </w:rPr>
            </w:r>
            <w:r>
              <w:rPr>
                <w:noProof/>
                <w:webHidden/>
              </w:rPr>
              <w:fldChar w:fldCharType="separate"/>
            </w:r>
            <w:r w:rsidR="00DD2B4E">
              <w:rPr>
                <w:noProof/>
                <w:webHidden/>
              </w:rPr>
              <w:t>198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44" w:history="1">
            <w:r w:rsidRPr="00181C7D">
              <w:rPr>
                <w:rStyle w:val="Hyperlink"/>
                <w:rFonts w:eastAsiaTheme="majorEastAsia"/>
                <w:noProof/>
              </w:rPr>
              <w:t>7.8.1</w:t>
            </w:r>
            <w:r>
              <w:rPr>
                <w:rFonts w:eastAsiaTheme="minorEastAsia"/>
                <w:noProof/>
              </w:rPr>
              <w:tab/>
            </w:r>
            <w:r w:rsidRPr="00181C7D">
              <w:rPr>
                <w:rStyle w:val="Hyperlink"/>
                <w:rFonts w:eastAsiaTheme="majorEastAsia"/>
                <w:noProof/>
              </w:rPr>
              <w:t>Public-Sector Reform and Norm Diffusion</w:t>
            </w:r>
            <w:r>
              <w:rPr>
                <w:noProof/>
                <w:webHidden/>
              </w:rPr>
              <w:tab/>
            </w:r>
            <w:r>
              <w:rPr>
                <w:noProof/>
                <w:webHidden/>
              </w:rPr>
              <w:fldChar w:fldCharType="begin"/>
            </w:r>
            <w:r>
              <w:rPr>
                <w:noProof/>
                <w:webHidden/>
              </w:rPr>
              <w:instrText xml:space="preserve"> PAGEREF _Toc222652844 \h </w:instrText>
            </w:r>
            <w:r>
              <w:rPr>
                <w:noProof/>
                <w:webHidden/>
              </w:rPr>
            </w:r>
            <w:r>
              <w:rPr>
                <w:noProof/>
                <w:webHidden/>
              </w:rPr>
              <w:fldChar w:fldCharType="separate"/>
            </w:r>
            <w:r w:rsidR="00DD2B4E">
              <w:rPr>
                <w:noProof/>
                <w:webHidden/>
              </w:rPr>
              <w:t>199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45" w:history="1">
            <w:r w:rsidRPr="00181C7D">
              <w:rPr>
                <w:rStyle w:val="Hyperlink"/>
                <w:noProof/>
                <w:lang w:eastAsia="en-IL"/>
              </w:rPr>
              <w:t>7.8.2</w:t>
            </w:r>
            <w:r>
              <w:rPr>
                <w:rFonts w:eastAsiaTheme="minorEastAsia"/>
                <w:noProof/>
              </w:rPr>
              <w:tab/>
            </w:r>
            <w:r w:rsidRPr="00181C7D">
              <w:rPr>
                <w:rStyle w:val="Hyperlink"/>
                <w:noProof/>
                <w:lang w:eastAsia="en-IL"/>
              </w:rPr>
              <w:t>Comparative Posture</w:t>
            </w:r>
            <w:r>
              <w:rPr>
                <w:noProof/>
                <w:webHidden/>
              </w:rPr>
              <w:tab/>
            </w:r>
            <w:r>
              <w:rPr>
                <w:noProof/>
                <w:webHidden/>
              </w:rPr>
              <w:fldChar w:fldCharType="begin"/>
            </w:r>
            <w:r>
              <w:rPr>
                <w:noProof/>
                <w:webHidden/>
              </w:rPr>
              <w:instrText xml:space="preserve"> PAGEREF _Toc222652845 \h </w:instrText>
            </w:r>
            <w:r>
              <w:rPr>
                <w:noProof/>
                <w:webHidden/>
              </w:rPr>
            </w:r>
            <w:r>
              <w:rPr>
                <w:noProof/>
                <w:webHidden/>
              </w:rPr>
              <w:fldChar w:fldCharType="separate"/>
            </w:r>
            <w:r w:rsidR="00DD2B4E">
              <w:rPr>
                <w:noProof/>
                <w:webHidden/>
              </w:rPr>
              <w:t>200</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46" w:history="1">
            <w:r w:rsidRPr="00181C7D">
              <w:rPr>
                <w:rStyle w:val="Hyperlink"/>
                <w:rFonts w:eastAsia="Times New Roman"/>
                <w:noProof/>
                <w:lang w:eastAsia="en-IL"/>
              </w:rPr>
              <w:t>7.9</w:t>
            </w:r>
            <w:r>
              <w:rPr>
                <w:rFonts w:eastAsiaTheme="minorEastAsia"/>
                <w:noProof/>
              </w:rPr>
              <w:tab/>
            </w:r>
            <w:r w:rsidRPr="00181C7D">
              <w:rPr>
                <w:rStyle w:val="Hyperlink"/>
                <w:rFonts w:eastAsia="Times New Roman"/>
                <w:noProof/>
                <w:lang w:eastAsia="en-IL"/>
              </w:rPr>
              <w:t>Conclusion</w:t>
            </w:r>
            <w:r>
              <w:rPr>
                <w:noProof/>
                <w:webHidden/>
              </w:rPr>
              <w:tab/>
            </w:r>
            <w:r>
              <w:rPr>
                <w:noProof/>
                <w:webHidden/>
              </w:rPr>
              <w:fldChar w:fldCharType="begin"/>
            </w:r>
            <w:r>
              <w:rPr>
                <w:noProof/>
                <w:webHidden/>
              </w:rPr>
              <w:instrText xml:space="preserve"> PAGEREF _Toc222652846 \h </w:instrText>
            </w:r>
            <w:r>
              <w:rPr>
                <w:noProof/>
                <w:webHidden/>
              </w:rPr>
            </w:r>
            <w:r>
              <w:rPr>
                <w:noProof/>
                <w:webHidden/>
              </w:rPr>
              <w:fldChar w:fldCharType="separate"/>
            </w:r>
            <w:r w:rsidR="00DD2B4E">
              <w:rPr>
                <w:noProof/>
                <w:webHidden/>
              </w:rPr>
              <w:t>201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47" w:history="1">
            <w:r w:rsidRPr="00181C7D">
              <w:rPr>
                <w:rStyle w:val="Hyperlink"/>
                <w:noProof/>
              </w:rPr>
              <w:t>7.10</w:t>
            </w:r>
            <w:r>
              <w:rPr>
                <w:rFonts w:eastAsiaTheme="minorEastAsia"/>
                <w:noProof/>
              </w:rPr>
              <w:tab/>
            </w:r>
            <w:r w:rsidRPr="00181C7D">
              <w:rPr>
                <w:rStyle w:val="Hyperlink"/>
                <w:noProof/>
              </w:rPr>
              <w:t>Theoretical Contribution and Future Implications</w:t>
            </w:r>
            <w:r>
              <w:rPr>
                <w:noProof/>
                <w:webHidden/>
              </w:rPr>
              <w:tab/>
            </w:r>
            <w:r>
              <w:rPr>
                <w:noProof/>
                <w:webHidden/>
              </w:rPr>
              <w:fldChar w:fldCharType="begin"/>
            </w:r>
            <w:r>
              <w:rPr>
                <w:noProof/>
                <w:webHidden/>
              </w:rPr>
              <w:instrText xml:space="preserve"> PAGEREF _Toc222652847 \h </w:instrText>
            </w:r>
            <w:r>
              <w:rPr>
                <w:noProof/>
                <w:webHidden/>
              </w:rPr>
            </w:r>
            <w:r>
              <w:rPr>
                <w:noProof/>
                <w:webHidden/>
              </w:rPr>
              <w:fldChar w:fldCharType="separate"/>
            </w:r>
            <w:r w:rsidR="00DD2B4E">
              <w:rPr>
                <w:noProof/>
                <w:webHidden/>
              </w:rPr>
              <w:t>203</w:t>
            </w:r>
            <w:r>
              <w:rPr>
                <w:noProof/>
                <w:webHidden/>
              </w:rPr>
              <w:fldChar w:fldCharType="end"/>
            </w:r>
          </w:hyperlink>
        </w:p>
        <w:p w:rsidR="00045A40" w:rsidRDefault="00045A40">
          <w:pPr>
            <w:pStyle w:val="TOC1"/>
            <w:tabs>
              <w:tab w:val="right" w:leader="dot" w:pos="9350"/>
            </w:tabs>
            <w:rPr>
              <w:rFonts w:eastAsiaTheme="minorEastAsia"/>
              <w:noProof/>
            </w:rPr>
          </w:pPr>
          <w:hyperlink w:anchor="_Toc222652848" w:history="1">
            <w:r w:rsidRPr="00181C7D">
              <w:rPr>
                <w:rStyle w:val="Hyperlink"/>
                <w:rFonts w:eastAsia="Times New Roman"/>
                <w:noProof/>
                <w:lang w:eastAsia="en-IL"/>
              </w:rPr>
              <w:t>Chapter 8</w:t>
            </w:r>
            <w:r>
              <w:rPr>
                <w:noProof/>
                <w:webHidden/>
              </w:rPr>
              <w:tab/>
            </w:r>
            <w:r>
              <w:rPr>
                <w:noProof/>
                <w:webHidden/>
              </w:rPr>
              <w:fldChar w:fldCharType="begin"/>
            </w:r>
            <w:r>
              <w:rPr>
                <w:noProof/>
                <w:webHidden/>
              </w:rPr>
              <w:instrText xml:space="preserve"> PAGEREF _Toc222652848 \h </w:instrText>
            </w:r>
            <w:r>
              <w:rPr>
                <w:noProof/>
                <w:webHidden/>
              </w:rPr>
            </w:r>
            <w:r>
              <w:rPr>
                <w:noProof/>
                <w:webHidden/>
              </w:rPr>
              <w:fldChar w:fldCharType="separate"/>
            </w:r>
            <w:r w:rsidR="00DD2B4E">
              <w:rPr>
                <w:noProof/>
                <w:webHidden/>
              </w:rPr>
              <w:t>204</w:t>
            </w:r>
            <w:r>
              <w:rPr>
                <w:noProof/>
                <w:webHidden/>
              </w:rPr>
              <w:fldChar w:fldCharType="end"/>
            </w:r>
          </w:hyperlink>
        </w:p>
        <w:p w:rsidR="00045A40" w:rsidRDefault="00045A40">
          <w:pPr>
            <w:pStyle w:val="TOC1"/>
            <w:tabs>
              <w:tab w:val="right" w:leader="dot" w:pos="9350"/>
            </w:tabs>
            <w:rPr>
              <w:rFonts w:eastAsiaTheme="minorEastAsia"/>
              <w:noProof/>
            </w:rPr>
          </w:pPr>
          <w:hyperlink w:anchor="_Toc222652849" w:history="1">
            <w:r w:rsidRPr="00181C7D">
              <w:rPr>
                <w:rStyle w:val="Hyperlink"/>
                <w:rFonts w:eastAsia="Times New Roman"/>
                <w:noProof/>
                <w:lang w:eastAsia="en-IL"/>
              </w:rPr>
              <w:t>Comparative Analysis and Synthesis</w:t>
            </w:r>
            <w:r>
              <w:rPr>
                <w:noProof/>
                <w:webHidden/>
              </w:rPr>
              <w:tab/>
            </w:r>
            <w:r>
              <w:rPr>
                <w:noProof/>
                <w:webHidden/>
              </w:rPr>
              <w:fldChar w:fldCharType="begin"/>
            </w:r>
            <w:r>
              <w:rPr>
                <w:noProof/>
                <w:webHidden/>
              </w:rPr>
              <w:instrText xml:space="preserve"> PAGEREF _Toc222652849 \h </w:instrText>
            </w:r>
            <w:r>
              <w:rPr>
                <w:noProof/>
                <w:webHidden/>
              </w:rPr>
            </w:r>
            <w:r>
              <w:rPr>
                <w:noProof/>
                <w:webHidden/>
              </w:rPr>
              <w:fldChar w:fldCharType="separate"/>
            </w:r>
            <w:r w:rsidR="00DD2B4E">
              <w:rPr>
                <w:noProof/>
                <w:webHidden/>
              </w:rPr>
              <w:t>204</w:t>
            </w:r>
            <w:r>
              <w:rPr>
                <w:noProof/>
                <w:webHidden/>
              </w:rPr>
              <w:fldChar w:fldCharType="end"/>
            </w:r>
          </w:hyperlink>
        </w:p>
        <w:p w:rsidR="00045A40" w:rsidRDefault="00045A40">
          <w:pPr>
            <w:pStyle w:val="TOC2"/>
            <w:tabs>
              <w:tab w:val="right" w:leader="dot" w:pos="9350"/>
            </w:tabs>
            <w:rPr>
              <w:rFonts w:eastAsiaTheme="minorEastAsia"/>
              <w:noProof/>
            </w:rPr>
          </w:pPr>
          <w:hyperlink w:anchor="_Toc222652850" w:history="1">
            <w:r w:rsidRPr="00181C7D">
              <w:rPr>
                <w:rStyle w:val="Hyperlink"/>
                <w:rFonts w:eastAsia="Times New Roman"/>
                <w:noProof/>
                <w:lang w:eastAsia="en-IL"/>
              </w:rPr>
              <w:t>8.1 Introduction</w:t>
            </w:r>
            <w:r w:rsidRPr="00181C7D">
              <w:rPr>
                <w:rStyle w:val="Hyperlink"/>
                <w:rFonts w:eastAsia="Times New Roman"/>
                <w:noProof/>
                <w:rtl/>
                <w:lang w:eastAsia="en-IL"/>
              </w:rPr>
              <w:t xml:space="preserve">: </w:t>
            </w:r>
            <w:r w:rsidRPr="00181C7D">
              <w:rPr>
                <w:rStyle w:val="Hyperlink"/>
                <w:rFonts w:eastAsia="Times New Roman"/>
                <w:noProof/>
              </w:rPr>
              <w:t>Comparative Synthesis</w:t>
            </w:r>
            <w:r>
              <w:rPr>
                <w:noProof/>
                <w:webHidden/>
              </w:rPr>
              <w:tab/>
            </w:r>
            <w:r>
              <w:rPr>
                <w:noProof/>
                <w:webHidden/>
              </w:rPr>
              <w:fldChar w:fldCharType="begin"/>
            </w:r>
            <w:r>
              <w:rPr>
                <w:noProof/>
                <w:webHidden/>
              </w:rPr>
              <w:instrText xml:space="preserve"> PAGEREF _Toc222652850 \h </w:instrText>
            </w:r>
            <w:r>
              <w:rPr>
                <w:noProof/>
                <w:webHidden/>
              </w:rPr>
            </w:r>
            <w:r>
              <w:rPr>
                <w:noProof/>
                <w:webHidden/>
              </w:rPr>
              <w:fldChar w:fldCharType="separate"/>
            </w:r>
            <w:r w:rsidR="00DD2B4E">
              <w:rPr>
                <w:noProof/>
                <w:webHidden/>
              </w:rPr>
              <w:t>204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51" w:history="1">
            <w:r w:rsidRPr="00181C7D">
              <w:rPr>
                <w:rStyle w:val="Hyperlink"/>
                <w:noProof/>
              </w:rPr>
              <w:t xml:space="preserve">8.1.1 </w:t>
            </w:r>
            <w:r>
              <w:rPr>
                <w:rFonts w:eastAsiaTheme="minorEastAsia"/>
                <w:noProof/>
              </w:rPr>
              <w:tab/>
            </w:r>
            <w:r w:rsidRPr="00181C7D">
              <w:rPr>
                <w:rStyle w:val="Hyperlink"/>
                <w:noProof/>
              </w:rPr>
              <w:t>From Case Studies to Comparative Logic</w:t>
            </w:r>
            <w:r>
              <w:rPr>
                <w:noProof/>
                <w:webHidden/>
              </w:rPr>
              <w:tab/>
            </w:r>
            <w:r>
              <w:rPr>
                <w:noProof/>
                <w:webHidden/>
              </w:rPr>
              <w:fldChar w:fldCharType="begin"/>
            </w:r>
            <w:r>
              <w:rPr>
                <w:noProof/>
                <w:webHidden/>
              </w:rPr>
              <w:instrText xml:space="preserve"> PAGEREF _Toc222652851 \h </w:instrText>
            </w:r>
            <w:r>
              <w:rPr>
                <w:noProof/>
                <w:webHidden/>
              </w:rPr>
            </w:r>
            <w:r>
              <w:rPr>
                <w:noProof/>
                <w:webHidden/>
              </w:rPr>
              <w:fldChar w:fldCharType="separate"/>
            </w:r>
            <w:r w:rsidR="00DD2B4E">
              <w:rPr>
                <w:noProof/>
                <w:webHidden/>
              </w:rPr>
              <w:t>205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52" w:history="1">
            <w:r w:rsidRPr="00181C7D">
              <w:rPr>
                <w:rStyle w:val="Hyperlink"/>
                <w:noProof/>
              </w:rPr>
              <w:t>8.1.2</w:t>
            </w:r>
            <w:r>
              <w:rPr>
                <w:rFonts w:eastAsiaTheme="minorEastAsia"/>
                <w:noProof/>
              </w:rPr>
              <w:tab/>
            </w:r>
            <w:r w:rsidRPr="00181C7D">
              <w:rPr>
                <w:rStyle w:val="Hyperlink"/>
                <w:noProof/>
              </w:rPr>
              <w:t>Clarifying Quasi-Sovereignty and Related Concepts</w:t>
            </w:r>
            <w:r>
              <w:rPr>
                <w:noProof/>
                <w:webHidden/>
              </w:rPr>
              <w:tab/>
            </w:r>
            <w:r>
              <w:rPr>
                <w:noProof/>
                <w:webHidden/>
              </w:rPr>
              <w:fldChar w:fldCharType="begin"/>
            </w:r>
            <w:r>
              <w:rPr>
                <w:noProof/>
                <w:webHidden/>
              </w:rPr>
              <w:instrText xml:space="preserve"> PAGEREF _Toc222652852 \h </w:instrText>
            </w:r>
            <w:r>
              <w:rPr>
                <w:noProof/>
                <w:webHidden/>
              </w:rPr>
            </w:r>
            <w:r>
              <w:rPr>
                <w:noProof/>
                <w:webHidden/>
              </w:rPr>
              <w:fldChar w:fldCharType="separate"/>
            </w:r>
            <w:r w:rsidR="00DD2B4E">
              <w:rPr>
                <w:noProof/>
                <w:webHidden/>
              </w:rPr>
              <w:t>206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53" w:history="1">
            <w:r w:rsidRPr="00181C7D">
              <w:rPr>
                <w:rStyle w:val="Hyperlink"/>
                <w:noProof/>
              </w:rPr>
              <w:t>8.1.3</w:t>
            </w:r>
            <w:r>
              <w:rPr>
                <w:rFonts w:eastAsiaTheme="minorEastAsia"/>
                <w:noProof/>
              </w:rPr>
              <w:tab/>
            </w:r>
            <w:r w:rsidRPr="00181C7D">
              <w:rPr>
                <w:rStyle w:val="Hyperlink"/>
                <w:noProof/>
              </w:rPr>
              <w:t>The Four Dimensions as Comparative Axes</w:t>
            </w:r>
            <w:r>
              <w:rPr>
                <w:noProof/>
                <w:webHidden/>
              </w:rPr>
              <w:tab/>
            </w:r>
            <w:r>
              <w:rPr>
                <w:noProof/>
                <w:webHidden/>
              </w:rPr>
              <w:fldChar w:fldCharType="begin"/>
            </w:r>
            <w:r>
              <w:rPr>
                <w:noProof/>
                <w:webHidden/>
              </w:rPr>
              <w:instrText xml:space="preserve"> PAGEREF _Toc222652853 \h </w:instrText>
            </w:r>
            <w:r>
              <w:rPr>
                <w:noProof/>
                <w:webHidden/>
              </w:rPr>
            </w:r>
            <w:r>
              <w:rPr>
                <w:noProof/>
                <w:webHidden/>
              </w:rPr>
              <w:fldChar w:fldCharType="separate"/>
            </w:r>
            <w:r w:rsidR="00DD2B4E">
              <w:rPr>
                <w:noProof/>
                <w:webHidden/>
              </w:rPr>
              <w:t>207</w:t>
            </w:r>
            <w:r>
              <w:rPr>
                <w:noProof/>
                <w:webHidden/>
              </w:rPr>
              <w:fldChar w:fldCharType="end"/>
            </w:r>
          </w:hyperlink>
        </w:p>
        <w:p w:rsidR="00045A40" w:rsidRDefault="00045A40">
          <w:pPr>
            <w:pStyle w:val="TOC3"/>
            <w:tabs>
              <w:tab w:val="right" w:leader="dot" w:pos="9350"/>
            </w:tabs>
            <w:rPr>
              <w:rFonts w:eastAsiaTheme="minorEastAsia"/>
              <w:noProof/>
            </w:rPr>
          </w:pPr>
          <w:hyperlink w:anchor="_Toc222652854" w:history="1">
            <w:r w:rsidRPr="00181C7D">
              <w:rPr>
                <w:rStyle w:val="Hyperlink"/>
                <w:noProof/>
              </w:rPr>
              <w:t>Table 1</w:t>
            </w:r>
            <w:r w:rsidRPr="00181C7D">
              <w:rPr>
                <w:rStyle w:val="Hyperlink"/>
                <w:noProof/>
                <w:rtl/>
              </w:rPr>
              <w:t>1</w:t>
            </w:r>
            <w:r w:rsidRPr="00181C7D">
              <w:rPr>
                <w:rStyle w:val="Hyperlink"/>
                <w:noProof/>
              </w:rPr>
              <w:t>: Operationalization of Corporate Quasi-Sovereignty</w:t>
            </w:r>
            <w:r>
              <w:rPr>
                <w:noProof/>
                <w:webHidden/>
              </w:rPr>
              <w:tab/>
            </w:r>
            <w:r>
              <w:rPr>
                <w:noProof/>
                <w:webHidden/>
              </w:rPr>
              <w:fldChar w:fldCharType="begin"/>
            </w:r>
            <w:r>
              <w:rPr>
                <w:noProof/>
                <w:webHidden/>
              </w:rPr>
              <w:instrText xml:space="preserve"> PAGEREF _Toc222652854 \h </w:instrText>
            </w:r>
            <w:r>
              <w:rPr>
                <w:noProof/>
                <w:webHidden/>
              </w:rPr>
            </w:r>
            <w:r>
              <w:rPr>
                <w:noProof/>
                <w:webHidden/>
              </w:rPr>
              <w:fldChar w:fldCharType="separate"/>
            </w:r>
            <w:r w:rsidR="00DD2B4E">
              <w:rPr>
                <w:noProof/>
                <w:webHidden/>
              </w:rPr>
              <w:t>209</w:t>
            </w:r>
            <w:r>
              <w:rPr>
                <w:noProof/>
                <w:webHidden/>
              </w:rPr>
              <w:fldChar w:fldCharType="end"/>
            </w:r>
          </w:hyperlink>
        </w:p>
        <w:p w:rsidR="00045A40" w:rsidRDefault="00045A40">
          <w:pPr>
            <w:pStyle w:val="TOC3"/>
            <w:tabs>
              <w:tab w:val="right" w:leader="dot" w:pos="9350"/>
            </w:tabs>
            <w:rPr>
              <w:rFonts w:eastAsiaTheme="minorEastAsia"/>
              <w:noProof/>
            </w:rPr>
          </w:pPr>
          <w:hyperlink w:anchor="_Toc222652855" w:history="1">
            <w:r w:rsidRPr="00181C7D">
              <w:rPr>
                <w:rStyle w:val="Hyperlink"/>
                <w:noProof/>
              </w:rPr>
              <w:t>Figure 4: Venn Diagram of Corporate Quasi-Sovereignty</w:t>
            </w:r>
            <w:r>
              <w:rPr>
                <w:noProof/>
                <w:webHidden/>
              </w:rPr>
              <w:tab/>
            </w:r>
            <w:r>
              <w:rPr>
                <w:noProof/>
                <w:webHidden/>
              </w:rPr>
              <w:fldChar w:fldCharType="begin"/>
            </w:r>
            <w:r>
              <w:rPr>
                <w:noProof/>
                <w:webHidden/>
              </w:rPr>
              <w:instrText xml:space="preserve"> PAGEREF _Toc222652855 \h </w:instrText>
            </w:r>
            <w:r>
              <w:rPr>
                <w:noProof/>
                <w:webHidden/>
              </w:rPr>
            </w:r>
            <w:r>
              <w:rPr>
                <w:noProof/>
                <w:webHidden/>
              </w:rPr>
              <w:fldChar w:fldCharType="separate"/>
            </w:r>
            <w:r w:rsidR="00DD2B4E">
              <w:rPr>
                <w:noProof/>
                <w:webHidden/>
              </w:rPr>
              <w:t>210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56" w:history="1">
            <w:r w:rsidRPr="00181C7D">
              <w:rPr>
                <w:rStyle w:val="Hyperlink"/>
                <w:noProof/>
              </w:rPr>
              <w:t>8.1.4</w:t>
            </w:r>
            <w:r>
              <w:rPr>
                <w:rFonts w:eastAsiaTheme="minorEastAsia"/>
                <w:noProof/>
              </w:rPr>
              <w:tab/>
            </w:r>
            <w:r w:rsidRPr="00181C7D">
              <w:rPr>
                <w:rStyle w:val="Hyperlink"/>
                <w:noProof/>
              </w:rPr>
              <w:t>Why These Cases Matter</w:t>
            </w:r>
            <w:r>
              <w:rPr>
                <w:noProof/>
                <w:webHidden/>
              </w:rPr>
              <w:tab/>
            </w:r>
            <w:r>
              <w:rPr>
                <w:noProof/>
                <w:webHidden/>
              </w:rPr>
              <w:fldChar w:fldCharType="begin"/>
            </w:r>
            <w:r>
              <w:rPr>
                <w:noProof/>
                <w:webHidden/>
              </w:rPr>
              <w:instrText xml:space="preserve"> PAGEREF _Toc222652856 \h </w:instrText>
            </w:r>
            <w:r>
              <w:rPr>
                <w:noProof/>
                <w:webHidden/>
              </w:rPr>
            </w:r>
            <w:r>
              <w:rPr>
                <w:noProof/>
                <w:webHidden/>
              </w:rPr>
              <w:fldChar w:fldCharType="separate"/>
            </w:r>
            <w:r w:rsidR="00DD2B4E">
              <w:rPr>
                <w:noProof/>
                <w:webHidden/>
              </w:rPr>
              <w:t>211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57" w:history="1">
            <w:r w:rsidRPr="00181C7D">
              <w:rPr>
                <w:rStyle w:val="Hyperlink"/>
                <w:noProof/>
              </w:rPr>
              <w:t>8.1.5</w:t>
            </w:r>
            <w:r>
              <w:rPr>
                <w:rFonts w:eastAsiaTheme="minorEastAsia"/>
                <w:noProof/>
              </w:rPr>
              <w:tab/>
            </w:r>
            <w:r w:rsidRPr="00181C7D">
              <w:rPr>
                <w:rStyle w:val="Hyperlink"/>
                <w:noProof/>
              </w:rPr>
              <w:t>From Empirical Patterns to Theoretical Implications</w:t>
            </w:r>
            <w:r>
              <w:rPr>
                <w:noProof/>
                <w:webHidden/>
              </w:rPr>
              <w:tab/>
            </w:r>
            <w:r>
              <w:rPr>
                <w:noProof/>
                <w:webHidden/>
              </w:rPr>
              <w:fldChar w:fldCharType="begin"/>
            </w:r>
            <w:r>
              <w:rPr>
                <w:noProof/>
                <w:webHidden/>
              </w:rPr>
              <w:instrText xml:space="preserve"> PAGEREF _Toc222652857 \h </w:instrText>
            </w:r>
            <w:r>
              <w:rPr>
                <w:noProof/>
                <w:webHidden/>
              </w:rPr>
            </w:r>
            <w:r>
              <w:rPr>
                <w:noProof/>
                <w:webHidden/>
              </w:rPr>
              <w:fldChar w:fldCharType="separate"/>
            </w:r>
            <w:r w:rsidR="00DD2B4E">
              <w:rPr>
                <w:noProof/>
                <w:webHidden/>
              </w:rPr>
              <w:t>211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58" w:history="1">
            <w:r w:rsidRPr="00181C7D">
              <w:rPr>
                <w:rStyle w:val="Hyperlink"/>
                <w:rFonts w:eastAsia="Times New Roman"/>
                <w:noProof/>
              </w:rPr>
              <w:t>8.2</w:t>
            </w:r>
            <w:r>
              <w:rPr>
                <w:rFonts w:eastAsiaTheme="minorEastAsia"/>
                <w:noProof/>
              </w:rPr>
              <w:tab/>
            </w:r>
            <w:r w:rsidRPr="00181C7D">
              <w:rPr>
                <w:rStyle w:val="Hyperlink"/>
                <w:rFonts w:eastAsia="Times New Roman"/>
                <w:noProof/>
              </w:rPr>
              <w:t>Convergence and Divergence Across the Four Dimensions of Quasi-Sovereignty</w:t>
            </w:r>
            <w:r>
              <w:rPr>
                <w:noProof/>
                <w:webHidden/>
              </w:rPr>
              <w:tab/>
            </w:r>
            <w:r>
              <w:rPr>
                <w:noProof/>
                <w:webHidden/>
              </w:rPr>
              <w:fldChar w:fldCharType="begin"/>
            </w:r>
            <w:r>
              <w:rPr>
                <w:noProof/>
                <w:webHidden/>
              </w:rPr>
              <w:instrText xml:space="preserve"> PAGEREF _Toc222652858 \h </w:instrText>
            </w:r>
            <w:r>
              <w:rPr>
                <w:noProof/>
                <w:webHidden/>
              </w:rPr>
            </w:r>
            <w:r>
              <w:rPr>
                <w:noProof/>
                <w:webHidden/>
              </w:rPr>
              <w:fldChar w:fldCharType="separate"/>
            </w:r>
            <w:r w:rsidR="00DD2B4E">
              <w:rPr>
                <w:noProof/>
                <w:webHidden/>
              </w:rPr>
              <w:t>212</w:t>
            </w:r>
            <w:r>
              <w:rPr>
                <w:noProof/>
                <w:webHidden/>
              </w:rPr>
              <w:fldChar w:fldCharType="end"/>
            </w:r>
          </w:hyperlink>
        </w:p>
        <w:p w:rsidR="00045A40" w:rsidRDefault="00045A40">
          <w:pPr>
            <w:pStyle w:val="TOC3"/>
            <w:tabs>
              <w:tab w:val="right" w:leader="dot" w:pos="9350"/>
            </w:tabs>
            <w:rPr>
              <w:rFonts w:eastAsiaTheme="minorEastAsia"/>
              <w:noProof/>
            </w:rPr>
          </w:pPr>
          <w:hyperlink w:anchor="_Toc222652859" w:history="1">
            <w:r w:rsidRPr="00181C7D">
              <w:rPr>
                <w:rStyle w:val="Hyperlink"/>
                <w:noProof/>
              </w:rPr>
              <w:t>8.2.1 Strategic Resource Control: Convergent Accumulation, Divergent Assets</w:t>
            </w:r>
            <w:r>
              <w:rPr>
                <w:noProof/>
                <w:webHidden/>
              </w:rPr>
              <w:tab/>
            </w:r>
            <w:r>
              <w:rPr>
                <w:noProof/>
                <w:webHidden/>
              </w:rPr>
              <w:fldChar w:fldCharType="begin"/>
            </w:r>
            <w:r>
              <w:rPr>
                <w:noProof/>
                <w:webHidden/>
              </w:rPr>
              <w:instrText xml:space="preserve"> PAGEREF _Toc222652859 \h </w:instrText>
            </w:r>
            <w:r>
              <w:rPr>
                <w:noProof/>
                <w:webHidden/>
              </w:rPr>
            </w:r>
            <w:r>
              <w:rPr>
                <w:noProof/>
                <w:webHidden/>
              </w:rPr>
              <w:fldChar w:fldCharType="separate"/>
            </w:r>
            <w:r w:rsidR="00DD2B4E">
              <w:rPr>
                <w:noProof/>
                <w:webHidden/>
              </w:rPr>
              <w:t>212</w:t>
            </w:r>
            <w:r>
              <w:rPr>
                <w:noProof/>
                <w:webHidden/>
              </w:rPr>
              <w:fldChar w:fldCharType="end"/>
            </w:r>
          </w:hyperlink>
        </w:p>
        <w:p w:rsidR="00045A40" w:rsidRDefault="00045A40">
          <w:pPr>
            <w:pStyle w:val="TOC3"/>
            <w:tabs>
              <w:tab w:val="right" w:leader="dot" w:pos="9350"/>
            </w:tabs>
            <w:rPr>
              <w:rFonts w:eastAsiaTheme="minorEastAsia"/>
              <w:noProof/>
            </w:rPr>
          </w:pPr>
          <w:hyperlink w:anchor="_Toc222652860" w:history="1">
            <w:r w:rsidRPr="00181C7D">
              <w:rPr>
                <w:rStyle w:val="Hyperlink"/>
                <w:noProof/>
              </w:rPr>
              <w:t>8.2.2 Structural Embeddedness: Shared Indispensability, Distinct Pathways</w:t>
            </w:r>
            <w:r>
              <w:rPr>
                <w:noProof/>
                <w:webHidden/>
              </w:rPr>
              <w:tab/>
            </w:r>
            <w:r>
              <w:rPr>
                <w:noProof/>
                <w:webHidden/>
              </w:rPr>
              <w:fldChar w:fldCharType="begin"/>
            </w:r>
            <w:r>
              <w:rPr>
                <w:noProof/>
                <w:webHidden/>
              </w:rPr>
              <w:instrText xml:space="preserve"> PAGEREF _Toc222652860 \h </w:instrText>
            </w:r>
            <w:r>
              <w:rPr>
                <w:noProof/>
                <w:webHidden/>
              </w:rPr>
            </w:r>
            <w:r>
              <w:rPr>
                <w:noProof/>
                <w:webHidden/>
              </w:rPr>
              <w:fldChar w:fldCharType="separate"/>
            </w:r>
            <w:r w:rsidR="00DD2B4E">
              <w:rPr>
                <w:noProof/>
                <w:webHidden/>
              </w:rPr>
              <w:t>214</w:t>
            </w:r>
            <w:r>
              <w:rPr>
                <w:noProof/>
                <w:webHidden/>
              </w:rPr>
              <w:fldChar w:fldCharType="end"/>
            </w:r>
          </w:hyperlink>
        </w:p>
        <w:p w:rsidR="00045A40" w:rsidRDefault="00045A40">
          <w:pPr>
            <w:pStyle w:val="TOC3"/>
            <w:tabs>
              <w:tab w:val="right" w:leader="dot" w:pos="9350"/>
            </w:tabs>
            <w:rPr>
              <w:rFonts w:eastAsiaTheme="minorEastAsia"/>
              <w:noProof/>
            </w:rPr>
          </w:pPr>
          <w:hyperlink w:anchor="_Toc222652861" w:history="1">
            <w:r w:rsidRPr="00181C7D">
              <w:rPr>
                <w:rStyle w:val="Hyperlink"/>
                <w:noProof/>
              </w:rPr>
              <w:t>8.2.3 Normative Legitimacy: Universal Aspiration, Fragmented Reception</w:t>
            </w:r>
            <w:r>
              <w:rPr>
                <w:noProof/>
                <w:webHidden/>
              </w:rPr>
              <w:tab/>
            </w:r>
            <w:r>
              <w:rPr>
                <w:noProof/>
                <w:webHidden/>
              </w:rPr>
              <w:fldChar w:fldCharType="begin"/>
            </w:r>
            <w:r>
              <w:rPr>
                <w:noProof/>
                <w:webHidden/>
              </w:rPr>
              <w:instrText xml:space="preserve"> PAGEREF _Toc222652861 \h </w:instrText>
            </w:r>
            <w:r>
              <w:rPr>
                <w:noProof/>
                <w:webHidden/>
              </w:rPr>
            </w:r>
            <w:r>
              <w:rPr>
                <w:noProof/>
                <w:webHidden/>
              </w:rPr>
              <w:fldChar w:fldCharType="separate"/>
            </w:r>
            <w:r w:rsidR="00DD2B4E">
              <w:rPr>
                <w:noProof/>
                <w:webHidden/>
              </w:rPr>
              <w:t>215</w:t>
            </w:r>
            <w:r>
              <w:rPr>
                <w:noProof/>
                <w:webHidden/>
              </w:rPr>
              <w:fldChar w:fldCharType="end"/>
            </w:r>
          </w:hyperlink>
        </w:p>
        <w:p w:rsidR="00045A40" w:rsidRDefault="00045A40">
          <w:pPr>
            <w:pStyle w:val="TOC3"/>
            <w:tabs>
              <w:tab w:val="right" w:leader="dot" w:pos="9350"/>
            </w:tabs>
            <w:rPr>
              <w:rFonts w:eastAsiaTheme="minorEastAsia"/>
              <w:noProof/>
            </w:rPr>
          </w:pPr>
          <w:hyperlink w:anchor="_Toc222652862" w:history="1">
            <w:r w:rsidRPr="00181C7D">
              <w:rPr>
                <w:rStyle w:val="Hyperlink"/>
                <w:noProof/>
              </w:rPr>
              <w:t>8.2.4 Infrastructural Power: Shared Reach, Divergent Arenas</w:t>
            </w:r>
            <w:r>
              <w:rPr>
                <w:noProof/>
                <w:webHidden/>
              </w:rPr>
              <w:tab/>
            </w:r>
            <w:r>
              <w:rPr>
                <w:noProof/>
                <w:webHidden/>
              </w:rPr>
              <w:fldChar w:fldCharType="begin"/>
            </w:r>
            <w:r>
              <w:rPr>
                <w:noProof/>
                <w:webHidden/>
              </w:rPr>
              <w:instrText xml:space="preserve"> PAGEREF _Toc222652862 \h </w:instrText>
            </w:r>
            <w:r>
              <w:rPr>
                <w:noProof/>
                <w:webHidden/>
              </w:rPr>
            </w:r>
            <w:r>
              <w:rPr>
                <w:noProof/>
                <w:webHidden/>
              </w:rPr>
              <w:fldChar w:fldCharType="separate"/>
            </w:r>
            <w:r w:rsidR="00DD2B4E">
              <w:rPr>
                <w:noProof/>
                <w:webHidden/>
              </w:rPr>
              <w:t>216</w:t>
            </w:r>
            <w:r>
              <w:rPr>
                <w:noProof/>
                <w:webHidden/>
              </w:rPr>
              <w:fldChar w:fldCharType="end"/>
            </w:r>
          </w:hyperlink>
        </w:p>
        <w:p w:rsidR="00045A40" w:rsidRDefault="00045A40">
          <w:pPr>
            <w:pStyle w:val="TOC3"/>
            <w:tabs>
              <w:tab w:val="right" w:leader="dot" w:pos="9350"/>
            </w:tabs>
            <w:rPr>
              <w:rFonts w:eastAsiaTheme="minorEastAsia"/>
              <w:noProof/>
            </w:rPr>
          </w:pPr>
          <w:hyperlink w:anchor="_Toc222652863" w:history="1">
            <w:r w:rsidRPr="00181C7D">
              <w:rPr>
                <w:rStyle w:val="Hyperlink"/>
                <w:noProof/>
              </w:rPr>
              <w:t>8.2.5 Interim Comparative Insights</w:t>
            </w:r>
            <w:r>
              <w:rPr>
                <w:noProof/>
                <w:webHidden/>
              </w:rPr>
              <w:tab/>
            </w:r>
            <w:r>
              <w:rPr>
                <w:noProof/>
                <w:webHidden/>
              </w:rPr>
              <w:fldChar w:fldCharType="begin"/>
            </w:r>
            <w:r>
              <w:rPr>
                <w:noProof/>
                <w:webHidden/>
              </w:rPr>
              <w:instrText xml:space="preserve"> PAGEREF _Toc222652863 \h </w:instrText>
            </w:r>
            <w:r>
              <w:rPr>
                <w:noProof/>
                <w:webHidden/>
              </w:rPr>
            </w:r>
            <w:r>
              <w:rPr>
                <w:noProof/>
                <w:webHidden/>
              </w:rPr>
              <w:fldChar w:fldCharType="separate"/>
            </w:r>
            <w:r w:rsidR="00DD2B4E">
              <w:rPr>
                <w:noProof/>
                <w:webHidden/>
              </w:rPr>
              <w:t>217</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64" w:history="1">
            <w:r w:rsidRPr="00181C7D">
              <w:rPr>
                <w:rStyle w:val="Hyperlink"/>
                <w:rFonts w:eastAsia="Times New Roman"/>
                <w:noProof/>
                <w:lang w:eastAsia="en-IL"/>
              </w:rPr>
              <w:t>8.3</w:t>
            </w:r>
            <w:r>
              <w:rPr>
                <w:rFonts w:eastAsiaTheme="minorEastAsia"/>
                <w:noProof/>
              </w:rPr>
              <w:tab/>
            </w:r>
            <w:r w:rsidRPr="00181C7D">
              <w:rPr>
                <w:rStyle w:val="Hyperlink"/>
                <w:rFonts w:eastAsia="Times New Roman"/>
                <w:noProof/>
                <w:lang w:eastAsia="en-IL"/>
              </w:rPr>
              <w:t xml:space="preserve"> Configurations of Corporate quasi-sovereignty</w:t>
            </w:r>
            <w:r>
              <w:rPr>
                <w:noProof/>
                <w:webHidden/>
              </w:rPr>
              <w:tab/>
            </w:r>
            <w:r>
              <w:rPr>
                <w:noProof/>
                <w:webHidden/>
              </w:rPr>
              <w:fldChar w:fldCharType="begin"/>
            </w:r>
            <w:r>
              <w:rPr>
                <w:noProof/>
                <w:webHidden/>
              </w:rPr>
              <w:instrText xml:space="preserve"> PAGEREF _Toc222652864 \h </w:instrText>
            </w:r>
            <w:r>
              <w:rPr>
                <w:noProof/>
                <w:webHidden/>
              </w:rPr>
            </w:r>
            <w:r>
              <w:rPr>
                <w:noProof/>
                <w:webHidden/>
              </w:rPr>
              <w:fldChar w:fldCharType="separate"/>
            </w:r>
            <w:r w:rsidR="00DD2B4E">
              <w:rPr>
                <w:noProof/>
                <w:webHidden/>
              </w:rPr>
              <w:t>218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65" w:history="1">
            <w:r w:rsidRPr="00181C7D">
              <w:rPr>
                <w:rStyle w:val="Hyperlink"/>
                <w:rFonts w:eastAsiaTheme="majorEastAsia"/>
                <w:noProof/>
              </w:rPr>
              <w:t>8.3.1</w:t>
            </w:r>
            <w:r>
              <w:rPr>
                <w:rFonts w:eastAsiaTheme="minorEastAsia"/>
                <w:noProof/>
              </w:rPr>
              <w:tab/>
            </w:r>
            <w:r w:rsidRPr="00181C7D">
              <w:rPr>
                <w:rStyle w:val="Hyperlink"/>
                <w:rFonts w:eastAsiaTheme="majorEastAsia"/>
                <w:noProof/>
              </w:rPr>
              <w:t>From Dimensional Comparison to Configurational Analysis</w:t>
            </w:r>
            <w:r>
              <w:rPr>
                <w:noProof/>
                <w:webHidden/>
              </w:rPr>
              <w:tab/>
            </w:r>
            <w:r>
              <w:rPr>
                <w:noProof/>
                <w:webHidden/>
              </w:rPr>
              <w:fldChar w:fldCharType="begin"/>
            </w:r>
            <w:r>
              <w:rPr>
                <w:noProof/>
                <w:webHidden/>
              </w:rPr>
              <w:instrText xml:space="preserve"> PAGEREF _Toc222652865 \h </w:instrText>
            </w:r>
            <w:r>
              <w:rPr>
                <w:noProof/>
                <w:webHidden/>
              </w:rPr>
            </w:r>
            <w:r>
              <w:rPr>
                <w:noProof/>
                <w:webHidden/>
              </w:rPr>
              <w:fldChar w:fldCharType="separate"/>
            </w:r>
            <w:r w:rsidR="00DD2B4E">
              <w:rPr>
                <w:noProof/>
                <w:webHidden/>
              </w:rPr>
              <w:t>218</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66" w:history="1">
            <w:r w:rsidRPr="00181C7D">
              <w:rPr>
                <w:rStyle w:val="Hyperlink"/>
                <w:rFonts w:eastAsiaTheme="majorEastAsia"/>
                <w:noProof/>
              </w:rPr>
              <w:t>8.3.2</w:t>
            </w:r>
            <w:r>
              <w:rPr>
                <w:rFonts w:eastAsiaTheme="minorEastAsia"/>
                <w:noProof/>
              </w:rPr>
              <w:tab/>
            </w:r>
            <w:r w:rsidRPr="00181C7D">
              <w:rPr>
                <w:rStyle w:val="Hyperlink"/>
                <w:rFonts w:eastAsiaTheme="majorEastAsia"/>
                <w:noProof/>
              </w:rPr>
              <w:t>Configurational Implications for the Concept of Quasi-Sovereignty</w:t>
            </w:r>
            <w:r>
              <w:rPr>
                <w:noProof/>
                <w:webHidden/>
              </w:rPr>
              <w:tab/>
            </w:r>
            <w:r>
              <w:rPr>
                <w:noProof/>
                <w:webHidden/>
              </w:rPr>
              <w:fldChar w:fldCharType="begin"/>
            </w:r>
            <w:r>
              <w:rPr>
                <w:noProof/>
                <w:webHidden/>
              </w:rPr>
              <w:instrText xml:space="preserve"> PAGEREF _Toc222652866 \h </w:instrText>
            </w:r>
            <w:r>
              <w:rPr>
                <w:noProof/>
                <w:webHidden/>
              </w:rPr>
            </w:r>
            <w:r>
              <w:rPr>
                <w:noProof/>
                <w:webHidden/>
              </w:rPr>
              <w:fldChar w:fldCharType="separate"/>
            </w:r>
            <w:r w:rsidR="00DD2B4E">
              <w:rPr>
                <w:noProof/>
                <w:webHidden/>
              </w:rPr>
              <w:t>222</w:t>
            </w:r>
            <w:r>
              <w:rPr>
                <w:noProof/>
                <w:webHidden/>
              </w:rPr>
              <w:fldChar w:fldCharType="end"/>
            </w:r>
          </w:hyperlink>
        </w:p>
        <w:p w:rsidR="00045A40" w:rsidRDefault="00045A40" w:rsidP="00045A40">
          <w:pPr>
            <w:pStyle w:val="TOC2"/>
            <w:tabs>
              <w:tab w:val="left" w:pos="880"/>
              <w:tab w:val="right" w:leader="dot" w:pos="9350"/>
            </w:tabs>
            <w:rPr>
              <w:rFonts w:eastAsiaTheme="minorEastAsia"/>
              <w:noProof/>
            </w:rPr>
          </w:pPr>
          <w:hyperlink w:anchor="_Toc222652867" w:history="1">
            <w:r w:rsidRPr="00181C7D">
              <w:rPr>
                <w:rStyle w:val="Hyperlink"/>
                <w:noProof/>
              </w:rPr>
              <w:t>8.4</w:t>
            </w:r>
            <w:r>
              <w:rPr>
                <w:rFonts w:eastAsiaTheme="minorEastAsia"/>
                <w:noProof/>
              </w:rPr>
              <w:t xml:space="preserve">   </w:t>
            </w:r>
            <w:r w:rsidRPr="00181C7D">
              <w:rPr>
                <w:rStyle w:val="Hyperlink"/>
                <w:noProof/>
              </w:rPr>
              <w:t xml:space="preserve">Theoretical </w:t>
            </w:r>
            <w:r>
              <w:rPr>
                <w:rStyle w:val="Hyperlink"/>
                <w:noProof/>
              </w:rPr>
              <w:t>Discussion:</w:t>
            </w:r>
            <w:r w:rsidRPr="00181C7D">
              <w:rPr>
                <w:rStyle w:val="Hyperlink"/>
                <w:noProof/>
              </w:rPr>
              <w:t xml:space="preserve">Distributed Sovereignty, Contextual Sovereignty, </w:t>
            </w:r>
            <w:r>
              <w:rPr>
                <w:rStyle w:val="Hyperlink"/>
                <w:noProof/>
              </w:rPr>
              <w:t>&amp;</w:t>
            </w:r>
            <w:r w:rsidRPr="00181C7D">
              <w:rPr>
                <w:rStyle w:val="Hyperlink"/>
                <w:noProof/>
              </w:rPr>
              <w:t xml:space="preserve"> Non-State Power</w:t>
            </w:r>
            <w:r>
              <w:rPr>
                <w:noProof/>
                <w:webHidden/>
              </w:rPr>
              <w:tab/>
            </w:r>
            <w:r>
              <w:rPr>
                <w:noProof/>
                <w:webHidden/>
              </w:rPr>
              <w:fldChar w:fldCharType="begin"/>
            </w:r>
            <w:r>
              <w:rPr>
                <w:noProof/>
                <w:webHidden/>
              </w:rPr>
              <w:instrText xml:space="preserve"> PAGEREF _Toc222652867 \h </w:instrText>
            </w:r>
            <w:r>
              <w:rPr>
                <w:noProof/>
                <w:webHidden/>
              </w:rPr>
            </w:r>
            <w:r>
              <w:rPr>
                <w:noProof/>
                <w:webHidden/>
              </w:rPr>
              <w:fldChar w:fldCharType="separate"/>
            </w:r>
            <w:r w:rsidR="00DD2B4E">
              <w:rPr>
                <w:noProof/>
                <w:webHidden/>
              </w:rPr>
              <w:t>223</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68" w:history="1">
            <w:r w:rsidRPr="00181C7D">
              <w:rPr>
                <w:rStyle w:val="Hyperlink"/>
                <w:noProof/>
              </w:rPr>
              <w:t>8.4.1</w:t>
            </w:r>
            <w:r>
              <w:rPr>
                <w:rFonts w:eastAsiaTheme="minorEastAsia"/>
                <w:noProof/>
              </w:rPr>
              <w:tab/>
            </w:r>
            <w:r w:rsidRPr="00181C7D">
              <w:rPr>
                <w:rStyle w:val="Hyperlink"/>
                <w:noProof/>
              </w:rPr>
              <w:t>Distributed Sovereignty</w:t>
            </w:r>
            <w:r>
              <w:rPr>
                <w:noProof/>
                <w:webHidden/>
              </w:rPr>
              <w:tab/>
            </w:r>
            <w:r>
              <w:rPr>
                <w:noProof/>
                <w:webHidden/>
              </w:rPr>
              <w:fldChar w:fldCharType="begin"/>
            </w:r>
            <w:r>
              <w:rPr>
                <w:noProof/>
                <w:webHidden/>
              </w:rPr>
              <w:instrText xml:space="preserve"> PAGEREF _Toc222652868 \h </w:instrText>
            </w:r>
            <w:r>
              <w:rPr>
                <w:noProof/>
                <w:webHidden/>
              </w:rPr>
            </w:r>
            <w:r>
              <w:rPr>
                <w:noProof/>
                <w:webHidden/>
              </w:rPr>
              <w:fldChar w:fldCharType="separate"/>
            </w:r>
            <w:r w:rsidR="00DD2B4E">
              <w:rPr>
                <w:noProof/>
                <w:webHidden/>
              </w:rPr>
              <w:t>223</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69" w:history="1">
            <w:r w:rsidRPr="00181C7D">
              <w:rPr>
                <w:rStyle w:val="Hyperlink"/>
                <w:noProof/>
              </w:rPr>
              <w:t>8.4.2</w:t>
            </w:r>
            <w:r>
              <w:rPr>
                <w:rFonts w:eastAsiaTheme="minorEastAsia"/>
                <w:noProof/>
              </w:rPr>
              <w:tab/>
            </w:r>
            <w:r w:rsidRPr="00181C7D">
              <w:rPr>
                <w:rStyle w:val="Hyperlink"/>
                <w:noProof/>
              </w:rPr>
              <w:t>Contextual Sovereignty</w:t>
            </w:r>
            <w:r>
              <w:rPr>
                <w:noProof/>
                <w:webHidden/>
              </w:rPr>
              <w:tab/>
            </w:r>
            <w:r>
              <w:rPr>
                <w:noProof/>
                <w:webHidden/>
              </w:rPr>
              <w:fldChar w:fldCharType="begin"/>
            </w:r>
            <w:r>
              <w:rPr>
                <w:noProof/>
                <w:webHidden/>
              </w:rPr>
              <w:instrText xml:space="preserve"> PAGEREF _Toc222652869 \h </w:instrText>
            </w:r>
            <w:r>
              <w:rPr>
                <w:noProof/>
                <w:webHidden/>
              </w:rPr>
            </w:r>
            <w:r>
              <w:rPr>
                <w:noProof/>
                <w:webHidden/>
              </w:rPr>
              <w:fldChar w:fldCharType="separate"/>
            </w:r>
            <w:r w:rsidR="00DD2B4E">
              <w:rPr>
                <w:noProof/>
                <w:webHidden/>
              </w:rPr>
              <w:t>224</w:t>
            </w:r>
            <w:r>
              <w:rPr>
                <w:noProof/>
                <w:webHidden/>
              </w:rPr>
              <w:fldChar w:fldCharType="end"/>
            </w:r>
          </w:hyperlink>
        </w:p>
        <w:p w:rsidR="00045A40" w:rsidRDefault="00045A40">
          <w:pPr>
            <w:pStyle w:val="TOC3"/>
            <w:tabs>
              <w:tab w:val="right" w:leader="dot" w:pos="9350"/>
            </w:tabs>
            <w:rPr>
              <w:rFonts w:eastAsiaTheme="minorEastAsia"/>
              <w:noProof/>
            </w:rPr>
          </w:pPr>
          <w:hyperlink w:anchor="_Toc222652870" w:history="1">
            <w:r w:rsidRPr="00181C7D">
              <w:rPr>
                <w:rStyle w:val="Hyperlink"/>
                <w:noProof/>
              </w:rPr>
              <w:t>Table 1</w:t>
            </w:r>
            <w:r w:rsidRPr="00181C7D">
              <w:rPr>
                <w:rStyle w:val="Hyperlink"/>
                <w:noProof/>
                <w:rtl/>
              </w:rPr>
              <w:t>2</w:t>
            </w:r>
            <w:r w:rsidRPr="00181C7D">
              <w:rPr>
                <w:rStyle w:val="Hyperlink"/>
                <w:noProof/>
              </w:rPr>
              <w:t>: Comparative Forms of Sovereignty Across Meta, Huawei, and SAP</w:t>
            </w:r>
            <w:r>
              <w:rPr>
                <w:noProof/>
                <w:webHidden/>
              </w:rPr>
              <w:tab/>
            </w:r>
            <w:r>
              <w:rPr>
                <w:noProof/>
                <w:webHidden/>
              </w:rPr>
              <w:fldChar w:fldCharType="begin"/>
            </w:r>
            <w:r>
              <w:rPr>
                <w:noProof/>
                <w:webHidden/>
              </w:rPr>
              <w:instrText xml:space="preserve"> PAGEREF _Toc222652870 \h </w:instrText>
            </w:r>
            <w:r>
              <w:rPr>
                <w:noProof/>
                <w:webHidden/>
              </w:rPr>
            </w:r>
            <w:r>
              <w:rPr>
                <w:noProof/>
                <w:webHidden/>
              </w:rPr>
              <w:fldChar w:fldCharType="separate"/>
            </w:r>
            <w:r w:rsidR="00DD2B4E">
              <w:rPr>
                <w:noProof/>
                <w:webHidden/>
              </w:rPr>
              <w:t>226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71" w:history="1">
            <w:r w:rsidRPr="00181C7D">
              <w:rPr>
                <w:rStyle w:val="Hyperlink"/>
                <w:noProof/>
              </w:rPr>
              <w:t>8.4.3</w:t>
            </w:r>
            <w:r>
              <w:rPr>
                <w:rFonts w:eastAsiaTheme="minorEastAsia"/>
                <w:noProof/>
              </w:rPr>
              <w:tab/>
            </w:r>
            <w:r w:rsidRPr="00181C7D">
              <w:rPr>
                <w:rStyle w:val="Hyperlink"/>
                <w:noProof/>
              </w:rPr>
              <w:t>The Anatomy of Non-State Power</w:t>
            </w:r>
            <w:r>
              <w:rPr>
                <w:noProof/>
                <w:webHidden/>
              </w:rPr>
              <w:tab/>
            </w:r>
            <w:r>
              <w:rPr>
                <w:noProof/>
                <w:webHidden/>
              </w:rPr>
              <w:fldChar w:fldCharType="begin"/>
            </w:r>
            <w:r>
              <w:rPr>
                <w:noProof/>
                <w:webHidden/>
              </w:rPr>
              <w:instrText xml:space="preserve"> PAGEREF _Toc222652871 \h </w:instrText>
            </w:r>
            <w:r>
              <w:rPr>
                <w:noProof/>
                <w:webHidden/>
              </w:rPr>
            </w:r>
            <w:r>
              <w:rPr>
                <w:noProof/>
                <w:webHidden/>
              </w:rPr>
              <w:fldChar w:fldCharType="separate"/>
            </w:r>
            <w:r w:rsidR="00DD2B4E">
              <w:rPr>
                <w:noProof/>
                <w:webHidden/>
              </w:rPr>
              <w:t>226</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72" w:history="1">
            <w:r w:rsidRPr="00181C7D">
              <w:rPr>
                <w:rStyle w:val="Hyperlink"/>
                <w:noProof/>
              </w:rPr>
              <w:t>8.</w:t>
            </w:r>
            <w:r w:rsidRPr="00181C7D">
              <w:rPr>
                <w:rStyle w:val="Hyperlink"/>
                <w:bCs/>
                <w:noProof/>
                <w:rtl/>
              </w:rPr>
              <w:t>5</w:t>
            </w:r>
            <w:r w:rsidRPr="00181C7D">
              <w:rPr>
                <w:rStyle w:val="Hyperlink"/>
                <w:noProof/>
              </w:rPr>
              <w:t xml:space="preserve"> </w:t>
            </w:r>
            <w:r>
              <w:rPr>
                <w:rFonts w:eastAsiaTheme="minorEastAsia"/>
                <w:noProof/>
              </w:rPr>
              <w:tab/>
            </w:r>
            <w:r w:rsidRPr="00181C7D">
              <w:rPr>
                <w:rStyle w:val="Hyperlink"/>
                <w:noProof/>
              </w:rPr>
              <w:t>Tech Empires and the New World Order</w:t>
            </w:r>
            <w:r>
              <w:rPr>
                <w:noProof/>
                <w:webHidden/>
              </w:rPr>
              <w:tab/>
            </w:r>
            <w:r>
              <w:rPr>
                <w:noProof/>
                <w:webHidden/>
              </w:rPr>
              <w:fldChar w:fldCharType="begin"/>
            </w:r>
            <w:r>
              <w:rPr>
                <w:noProof/>
                <w:webHidden/>
              </w:rPr>
              <w:instrText xml:space="preserve"> PAGEREF _Toc222652872 \h </w:instrText>
            </w:r>
            <w:r>
              <w:rPr>
                <w:noProof/>
                <w:webHidden/>
              </w:rPr>
            </w:r>
            <w:r>
              <w:rPr>
                <w:noProof/>
                <w:webHidden/>
              </w:rPr>
              <w:fldChar w:fldCharType="separate"/>
            </w:r>
            <w:r w:rsidR="00DD2B4E">
              <w:rPr>
                <w:noProof/>
                <w:webHidden/>
              </w:rPr>
              <w:t>229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73" w:history="1">
            <w:r w:rsidRPr="00181C7D">
              <w:rPr>
                <w:rStyle w:val="Hyperlink"/>
                <w:noProof/>
              </w:rPr>
              <w:t>8.5.1</w:t>
            </w:r>
            <w:r>
              <w:rPr>
                <w:rFonts w:eastAsiaTheme="minorEastAsia"/>
                <w:noProof/>
              </w:rPr>
              <w:tab/>
            </w:r>
            <w:r w:rsidRPr="00181C7D">
              <w:rPr>
                <w:rStyle w:val="Hyperlink"/>
                <w:noProof/>
              </w:rPr>
              <w:t>Tensions Between Competing Sovereignty Models</w:t>
            </w:r>
            <w:r>
              <w:rPr>
                <w:noProof/>
                <w:webHidden/>
              </w:rPr>
              <w:tab/>
            </w:r>
            <w:r>
              <w:rPr>
                <w:noProof/>
                <w:webHidden/>
              </w:rPr>
              <w:fldChar w:fldCharType="begin"/>
            </w:r>
            <w:r>
              <w:rPr>
                <w:noProof/>
                <w:webHidden/>
              </w:rPr>
              <w:instrText xml:space="preserve"> PAGEREF _Toc222652873 \h </w:instrText>
            </w:r>
            <w:r>
              <w:rPr>
                <w:noProof/>
                <w:webHidden/>
              </w:rPr>
            </w:r>
            <w:r>
              <w:rPr>
                <w:noProof/>
                <w:webHidden/>
              </w:rPr>
              <w:fldChar w:fldCharType="separate"/>
            </w:r>
            <w:r w:rsidR="00DD2B4E">
              <w:rPr>
                <w:noProof/>
                <w:webHidden/>
              </w:rPr>
              <w:t>231</w:t>
            </w:r>
            <w:r>
              <w:rPr>
                <w:noProof/>
                <w:webHidden/>
              </w:rPr>
              <w:fldChar w:fldCharType="end"/>
            </w:r>
          </w:hyperlink>
        </w:p>
        <w:p w:rsidR="00045A40" w:rsidRDefault="00045A40">
          <w:pPr>
            <w:pStyle w:val="TOC3"/>
            <w:tabs>
              <w:tab w:val="right" w:leader="dot" w:pos="9350"/>
            </w:tabs>
            <w:rPr>
              <w:rFonts w:eastAsiaTheme="minorEastAsia"/>
              <w:noProof/>
            </w:rPr>
          </w:pPr>
          <w:hyperlink w:anchor="_Toc222652874" w:history="1">
            <w:r w:rsidRPr="00181C7D">
              <w:rPr>
                <w:rStyle w:val="Hyperlink"/>
                <w:noProof/>
              </w:rPr>
              <w:t>Table 1</w:t>
            </w:r>
            <w:r w:rsidRPr="00181C7D">
              <w:rPr>
                <w:rStyle w:val="Hyperlink"/>
                <w:noProof/>
                <w:rtl/>
              </w:rPr>
              <w:t>3</w:t>
            </w:r>
            <w:r w:rsidRPr="00181C7D">
              <w:rPr>
                <w:rStyle w:val="Hyperlink"/>
                <w:noProof/>
              </w:rPr>
              <w:t>: Competing Sovereignty Models in the Digital Age</w:t>
            </w:r>
            <w:r>
              <w:rPr>
                <w:noProof/>
                <w:webHidden/>
              </w:rPr>
              <w:tab/>
            </w:r>
            <w:r>
              <w:rPr>
                <w:noProof/>
                <w:webHidden/>
              </w:rPr>
              <w:fldChar w:fldCharType="begin"/>
            </w:r>
            <w:r>
              <w:rPr>
                <w:noProof/>
                <w:webHidden/>
              </w:rPr>
              <w:instrText xml:space="preserve"> PAGEREF _Toc222652874 \h </w:instrText>
            </w:r>
            <w:r>
              <w:rPr>
                <w:noProof/>
                <w:webHidden/>
              </w:rPr>
            </w:r>
            <w:r>
              <w:rPr>
                <w:noProof/>
                <w:webHidden/>
              </w:rPr>
              <w:fldChar w:fldCharType="separate"/>
            </w:r>
            <w:r w:rsidR="00DD2B4E">
              <w:rPr>
                <w:noProof/>
                <w:webHidden/>
              </w:rPr>
              <w:t>234</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75" w:history="1">
            <w:r w:rsidRPr="00181C7D">
              <w:rPr>
                <w:rStyle w:val="Hyperlink"/>
                <w:noProof/>
              </w:rPr>
              <w:t>8.5.2</w:t>
            </w:r>
            <w:r>
              <w:rPr>
                <w:rFonts w:eastAsiaTheme="minorEastAsia"/>
                <w:noProof/>
              </w:rPr>
              <w:tab/>
            </w:r>
            <w:r w:rsidRPr="00181C7D">
              <w:rPr>
                <w:rStyle w:val="Hyperlink"/>
                <w:noProof/>
              </w:rPr>
              <w:t>State Sovereignty Transformed Through Entanglement with Corporate Networks</w:t>
            </w:r>
            <w:r>
              <w:rPr>
                <w:noProof/>
                <w:webHidden/>
              </w:rPr>
              <w:tab/>
            </w:r>
            <w:r>
              <w:rPr>
                <w:noProof/>
                <w:webHidden/>
              </w:rPr>
              <w:fldChar w:fldCharType="begin"/>
            </w:r>
            <w:r>
              <w:rPr>
                <w:noProof/>
                <w:webHidden/>
              </w:rPr>
              <w:instrText xml:space="preserve"> PAGEREF _Toc222652875 \h </w:instrText>
            </w:r>
            <w:r>
              <w:rPr>
                <w:noProof/>
                <w:webHidden/>
              </w:rPr>
            </w:r>
            <w:r>
              <w:rPr>
                <w:noProof/>
                <w:webHidden/>
              </w:rPr>
              <w:fldChar w:fldCharType="separate"/>
            </w:r>
            <w:r w:rsidR="00DD2B4E">
              <w:rPr>
                <w:noProof/>
                <w:webHidden/>
              </w:rPr>
              <w:t>234</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76" w:history="1">
            <w:r w:rsidRPr="00181C7D">
              <w:rPr>
                <w:rStyle w:val="Hyperlink"/>
                <w:noProof/>
              </w:rPr>
              <w:t>8.6</w:t>
            </w:r>
            <w:r>
              <w:rPr>
                <w:rFonts w:eastAsiaTheme="minorEastAsia"/>
                <w:noProof/>
              </w:rPr>
              <w:tab/>
            </w:r>
            <w:r w:rsidRPr="00181C7D">
              <w:rPr>
                <w:rStyle w:val="Hyperlink"/>
                <w:noProof/>
              </w:rPr>
              <w:t>Redistribution of Geopolitical Power by Tech Giants</w:t>
            </w:r>
            <w:r>
              <w:rPr>
                <w:noProof/>
                <w:webHidden/>
              </w:rPr>
              <w:tab/>
            </w:r>
            <w:r>
              <w:rPr>
                <w:noProof/>
                <w:webHidden/>
              </w:rPr>
              <w:fldChar w:fldCharType="begin"/>
            </w:r>
            <w:r>
              <w:rPr>
                <w:noProof/>
                <w:webHidden/>
              </w:rPr>
              <w:instrText xml:space="preserve"> PAGEREF _Toc222652876 \h </w:instrText>
            </w:r>
            <w:r>
              <w:rPr>
                <w:noProof/>
                <w:webHidden/>
              </w:rPr>
            </w:r>
            <w:r>
              <w:rPr>
                <w:noProof/>
                <w:webHidden/>
              </w:rPr>
              <w:fldChar w:fldCharType="separate"/>
            </w:r>
            <w:r w:rsidR="00DD2B4E">
              <w:rPr>
                <w:noProof/>
                <w:webHidden/>
              </w:rPr>
              <w:t>237</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77" w:history="1">
            <w:r w:rsidRPr="00181C7D">
              <w:rPr>
                <w:rStyle w:val="Hyperlink"/>
                <w:rFonts w:eastAsia="Times New Roman"/>
                <w:noProof/>
                <w:lang w:eastAsia="en-IL"/>
              </w:rPr>
              <w:t>8.7</w:t>
            </w:r>
            <w:r>
              <w:rPr>
                <w:rFonts w:eastAsiaTheme="minorEastAsia"/>
                <w:noProof/>
              </w:rPr>
              <w:tab/>
            </w:r>
            <w:r w:rsidRPr="00181C7D">
              <w:rPr>
                <w:rStyle w:val="Hyperlink"/>
                <w:rFonts w:eastAsia="Times New Roman"/>
                <w:noProof/>
                <w:lang w:eastAsia="en-IL"/>
              </w:rPr>
              <w:t>Implications for Global Governance</w:t>
            </w:r>
            <w:r w:rsidRPr="00181C7D">
              <w:rPr>
                <w:rStyle w:val="Hyperlink"/>
                <w:rFonts w:eastAsia="Times New Roman"/>
                <w:noProof/>
                <w:rtl/>
                <w:lang w:eastAsia="en-IL"/>
              </w:rPr>
              <w:t xml:space="preserve"> </w:t>
            </w:r>
            <w:r w:rsidRPr="00181C7D">
              <w:rPr>
                <w:rStyle w:val="Hyperlink"/>
                <w:rFonts w:eastAsia="Times New Roman"/>
                <w:noProof/>
                <w:lang w:eastAsia="en-IL"/>
              </w:rPr>
              <w:t>and Conclusion</w:t>
            </w:r>
            <w:r>
              <w:rPr>
                <w:noProof/>
                <w:webHidden/>
              </w:rPr>
              <w:tab/>
            </w:r>
            <w:r>
              <w:rPr>
                <w:noProof/>
                <w:webHidden/>
              </w:rPr>
              <w:fldChar w:fldCharType="begin"/>
            </w:r>
            <w:r>
              <w:rPr>
                <w:noProof/>
                <w:webHidden/>
              </w:rPr>
              <w:instrText xml:space="preserve"> PAGEREF _Toc222652877 \h </w:instrText>
            </w:r>
            <w:r>
              <w:rPr>
                <w:noProof/>
                <w:webHidden/>
              </w:rPr>
            </w:r>
            <w:r>
              <w:rPr>
                <w:noProof/>
                <w:webHidden/>
              </w:rPr>
              <w:fldChar w:fldCharType="separate"/>
            </w:r>
            <w:r w:rsidR="00DD2B4E">
              <w:rPr>
                <w:noProof/>
                <w:webHidden/>
              </w:rPr>
              <w:t>240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78" w:history="1">
            <w:r w:rsidRPr="00181C7D">
              <w:rPr>
                <w:rStyle w:val="Hyperlink"/>
                <w:rFonts w:eastAsiaTheme="majorEastAsia"/>
                <w:noProof/>
              </w:rPr>
              <w:t>8.7.1</w:t>
            </w:r>
            <w:r>
              <w:rPr>
                <w:rFonts w:eastAsiaTheme="minorEastAsia"/>
                <w:noProof/>
              </w:rPr>
              <w:tab/>
            </w:r>
            <w:r w:rsidRPr="00181C7D">
              <w:rPr>
                <w:rStyle w:val="Hyperlink"/>
                <w:rFonts w:eastAsiaTheme="majorEastAsia"/>
                <w:noProof/>
              </w:rPr>
              <w:t>Critical Reflection on Limitations</w:t>
            </w:r>
            <w:r>
              <w:rPr>
                <w:noProof/>
                <w:webHidden/>
              </w:rPr>
              <w:tab/>
            </w:r>
            <w:r>
              <w:rPr>
                <w:noProof/>
                <w:webHidden/>
              </w:rPr>
              <w:fldChar w:fldCharType="begin"/>
            </w:r>
            <w:r>
              <w:rPr>
                <w:noProof/>
                <w:webHidden/>
              </w:rPr>
              <w:instrText xml:space="preserve"> PAGEREF _Toc222652878 \h </w:instrText>
            </w:r>
            <w:r>
              <w:rPr>
                <w:noProof/>
                <w:webHidden/>
              </w:rPr>
            </w:r>
            <w:r>
              <w:rPr>
                <w:noProof/>
                <w:webHidden/>
              </w:rPr>
              <w:fldChar w:fldCharType="separate"/>
            </w:r>
            <w:r w:rsidR="00DD2B4E">
              <w:rPr>
                <w:noProof/>
                <w:webHidden/>
              </w:rPr>
              <w:t>240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79" w:history="1">
            <w:r w:rsidRPr="00181C7D">
              <w:rPr>
                <w:rStyle w:val="Hyperlink"/>
                <w:rFonts w:eastAsiaTheme="majorEastAsia"/>
                <w:noProof/>
              </w:rPr>
              <w:t>8.7.2</w:t>
            </w:r>
            <w:r>
              <w:rPr>
                <w:rFonts w:eastAsiaTheme="minorEastAsia"/>
                <w:noProof/>
              </w:rPr>
              <w:tab/>
            </w:r>
            <w:r w:rsidRPr="00181C7D">
              <w:rPr>
                <w:rStyle w:val="Hyperlink"/>
                <w:rFonts w:eastAsiaTheme="majorEastAsia"/>
                <w:noProof/>
              </w:rPr>
              <w:t>Suggestions for Future Research</w:t>
            </w:r>
            <w:r>
              <w:rPr>
                <w:noProof/>
                <w:webHidden/>
              </w:rPr>
              <w:tab/>
            </w:r>
            <w:r>
              <w:rPr>
                <w:noProof/>
                <w:webHidden/>
              </w:rPr>
              <w:fldChar w:fldCharType="begin"/>
            </w:r>
            <w:r>
              <w:rPr>
                <w:noProof/>
                <w:webHidden/>
              </w:rPr>
              <w:instrText xml:space="preserve"> PAGEREF _Toc222652879 \h </w:instrText>
            </w:r>
            <w:r>
              <w:rPr>
                <w:noProof/>
                <w:webHidden/>
              </w:rPr>
            </w:r>
            <w:r>
              <w:rPr>
                <w:noProof/>
                <w:webHidden/>
              </w:rPr>
              <w:fldChar w:fldCharType="separate"/>
            </w:r>
            <w:r w:rsidR="00DD2B4E">
              <w:rPr>
                <w:noProof/>
                <w:webHidden/>
              </w:rPr>
              <w:t>242</w:t>
            </w:r>
            <w:r>
              <w:rPr>
                <w:noProof/>
                <w:webHidden/>
              </w:rPr>
              <w:fldChar w:fldCharType="end"/>
            </w:r>
          </w:hyperlink>
        </w:p>
        <w:p w:rsidR="00045A40" w:rsidRDefault="00045A40">
          <w:pPr>
            <w:pStyle w:val="TOC1"/>
            <w:tabs>
              <w:tab w:val="right" w:leader="dot" w:pos="9350"/>
            </w:tabs>
            <w:rPr>
              <w:rFonts w:eastAsiaTheme="minorEastAsia"/>
              <w:noProof/>
            </w:rPr>
          </w:pPr>
          <w:hyperlink w:anchor="_Toc222652880" w:history="1">
            <w:r w:rsidRPr="00181C7D">
              <w:rPr>
                <w:rStyle w:val="Hyperlink"/>
                <w:rFonts w:eastAsia="Times New Roman"/>
                <w:noProof/>
              </w:rPr>
              <w:t>Chapter 9</w:t>
            </w:r>
            <w:r>
              <w:rPr>
                <w:noProof/>
                <w:webHidden/>
              </w:rPr>
              <w:tab/>
            </w:r>
            <w:r>
              <w:rPr>
                <w:noProof/>
                <w:webHidden/>
              </w:rPr>
              <w:fldChar w:fldCharType="begin"/>
            </w:r>
            <w:r>
              <w:rPr>
                <w:noProof/>
                <w:webHidden/>
              </w:rPr>
              <w:instrText xml:space="preserve"> PAGEREF _Toc222652880 \h </w:instrText>
            </w:r>
            <w:r>
              <w:rPr>
                <w:noProof/>
                <w:webHidden/>
              </w:rPr>
            </w:r>
            <w:r>
              <w:rPr>
                <w:noProof/>
                <w:webHidden/>
              </w:rPr>
              <w:fldChar w:fldCharType="separate"/>
            </w:r>
            <w:r w:rsidR="00DD2B4E">
              <w:rPr>
                <w:noProof/>
                <w:webHidden/>
              </w:rPr>
              <w:t>244</w:t>
            </w:r>
            <w:r>
              <w:rPr>
                <w:noProof/>
                <w:webHidden/>
              </w:rPr>
              <w:fldChar w:fldCharType="end"/>
            </w:r>
          </w:hyperlink>
        </w:p>
        <w:p w:rsidR="00045A40" w:rsidRDefault="00045A40">
          <w:pPr>
            <w:pStyle w:val="TOC1"/>
            <w:tabs>
              <w:tab w:val="right" w:leader="dot" w:pos="9350"/>
            </w:tabs>
            <w:rPr>
              <w:rFonts w:eastAsiaTheme="minorEastAsia"/>
              <w:noProof/>
            </w:rPr>
          </w:pPr>
          <w:hyperlink w:anchor="_Toc222652881" w:history="1">
            <w:r w:rsidRPr="00181C7D">
              <w:rPr>
                <w:rStyle w:val="Hyperlink"/>
                <w:rFonts w:eastAsia="Times New Roman"/>
                <w:noProof/>
              </w:rPr>
              <w:t>Theoretical and Practical Contributions</w:t>
            </w:r>
            <w:r>
              <w:rPr>
                <w:noProof/>
                <w:webHidden/>
              </w:rPr>
              <w:tab/>
            </w:r>
            <w:r>
              <w:rPr>
                <w:noProof/>
                <w:webHidden/>
              </w:rPr>
              <w:fldChar w:fldCharType="begin"/>
            </w:r>
            <w:r>
              <w:rPr>
                <w:noProof/>
                <w:webHidden/>
              </w:rPr>
              <w:instrText xml:space="preserve"> PAGEREF _Toc222652881 \h </w:instrText>
            </w:r>
            <w:r>
              <w:rPr>
                <w:noProof/>
                <w:webHidden/>
              </w:rPr>
            </w:r>
            <w:r>
              <w:rPr>
                <w:noProof/>
                <w:webHidden/>
              </w:rPr>
              <w:fldChar w:fldCharType="separate"/>
            </w:r>
            <w:r w:rsidR="00DD2B4E">
              <w:rPr>
                <w:noProof/>
                <w:webHidden/>
              </w:rPr>
              <w:t>244</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83" w:history="1">
            <w:r w:rsidRPr="00181C7D">
              <w:rPr>
                <w:rStyle w:val="Hyperlink"/>
                <w:rFonts w:eastAsia="Times New Roman"/>
                <w:noProof/>
              </w:rPr>
              <w:t>9.1</w:t>
            </w:r>
            <w:r>
              <w:rPr>
                <w:rFonts w:eastAsiaTheme="minorEastAsia"/>
                <w:noProof/>
              </w:rPr>
              <w:tab/>
            </w:r>
            <w:r w:rsidRPr="00181C7D">
              <w:rPr>
                <w:rStyle w:val="Hyperlink"/>
                <w:rFonts w:eastAsia="Times New Roman"/>
                <w:noProof/>
              </w:rPr>
              <w:t>Theoretical Contributions</w:t>
            </w:r>
            <w:r>
              <w:rPr>
                <w:noProof/>
                <w:webHidden/>
              </w:rPr>
              <w:tab/>
            </w:r>
            <w:r>
              <w:rPr>
                <w:noProof/>
                <w:webHidden/>
              </w:rPr>
              <w:fldChar w:fldCharType="begin"/>
            </w:r>
            <w:r>
              <w:rPr>
                <w:noProof/>
                <w:webHidden/>
              </w:rPr>
              <w:instrText xml:space="preserve"> PAGEREF _Toc222652883 \h </w:instrText>
            </w:r>
            <w:r>
              <w:rPr>
                <w:noProof/>
                <w:webHidden/>
              </w:rPr>
            </w:r>
            <w:r>
              <w:rPr>
                <w:noProof/>
                <w:webHidden/>
              </w:rPr>
              <w:fldChar w:fldCharType="separate"/>
            </w:r>
            <w:r w:rsidR="00DD2B4E">
              <w:rPr>
                <w:noProof/>
                <w:webHidden/>
              </w:rPr>
              <w:t>245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84" w:history="1">
            <w:r w:rsidRPr="00181C7D">
              <w:rPr>
                <w:rStyle w:val="Hyperlink"/>
                <w:noProof/>
                <w:rtl/>
              </w:rPr>
              <w:t>9.1.1</w:t>
            </w:r>
            <w:r>
              <w:rPr>
                <w:rFonts w:eastAsiaTheme="minorEastAsia"/>
                <w:noProof/>
              </w:rPr>
              <w:tab/>
            </w:r>
            <w:r w:rsidRPr="00181C7D">
              <w:rPr>
                <w:rStyle w:val="Hyperlink"/>
                <w:noProof/>
              </w:rPr>
              <w:t>Expanding Sovereignty Beyond the State</w:t>
            </w:r>
            <w:r>
              <w:rPr>
                <w:noProof/>
                <w:webHidden/>
              </w:rPr>
              <w:tab/>
            </w:r>
            <w:r>
              <w:rPr>
                <w:noProof/>
                <w:webHidden/>
              </w:rPr>
              <w:fldChar w:fldCharType="begin"/>
            </w:r>
            <w:r>
              <w:rPr>
                <w:noProof/>
                <w:webHidden/>
              </w:rPr>
              <w:instrText xml:space="preserve"> PAGEREF _Toc222652884 \h </w:instrText>
            </w:r>
            <w:r>
              <w:rPr>
                <w:noProof/>
                <w:webHidden/>
              </w:rPr>
            </w:r>
            <w:r>
              <w:rPr>
                <w:noProof/>
                <w:webHidden/>
              </w:rPr>
              <w:fldChar w:fldCharType="separate"/>
            </w:r>
            <w:r w:rsidR="00DD2B4E">
              <w:rPr>
                <w:noProof/>
                <w:webHidden/>
              </w:rPr>
              <w:t>245</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85" w:history="1">
            <w:r w:rsidRPr="00181C7D">
              <w:rPr>
                <w:rStyle w:val="Hyperlink"/>
                <w:noProof/>
              </w:rPr>
              <w:t>9.1.2</w:t>
            </w:r>
            <w:r>
              <w:rPr>
                <w:rFonts w:eastAsiaTheme="minorEastAsia"/>
                <w:noProof/>
              </w:rPr>
              <w:tab/>
            </w:r>
            <w:r w:rsidRPr="00181C7D">
              <w:rPr>
                <w:rStyle w:val="Hyperlink"/>
                <w:noProof/>
              </w:rPr>
              <w:t>International Relations: Corporate and Hybrid Authority</w:t>
            </w:r>
            <w:r>
              <w:rPr>
                <w:noProof/>
                <w:webHidden/>
              </w:rPr>
              <w:tab/>
            </w:r>
            <w:r>
              <w:rPr>
                <w:noProof/>
                <w:webHidden/>
              </w:rPr>
              <w:fldChar w:fldCharType="begin"/>
            </w:r>
            <w:r>
              <w:rPr>
                <w:noProof/>
                <w:webHidden/>
              </w:rPr>
              <w:instrText xml:space="preserve"> PAGEREF _Toc222652885 \h </w:instrText>
            </w:r>
            <w:r>
              <w:rPr>
                <w:noProof/>
                <w:webHidden/>
              </w:rPr>
            </w:r>
            <w:r>
              <w:rPr>
                <w:noProof/>
                <w:webHidden/>
              </w:rPr>
              <w:fldChar w:fldCharType="separate"/>
            </w:r>
            <w:r w:rsidR="00DD2B4E">
              <w:rPr>
                <w:noProof/>
                <w:webHidden/>
              </w:rPr>
              <w:t>246</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86" w:history="1">
            <w:r w:rsidRPr="00181C7D">
              <w:rPr>
                <w:rStyle w:val="Hyperlink"/>
                <w:noProof/>
                <w:rtl/>
              </w:rPr>
              <w:t>9.1.3</w:t>
            </w:r>
            <w:r>
              <w:rPr>
                <w:rFonts w:eastAsiaTheme="minorEastAsia"/>
                <w:noProof/>
              </w:rPr>
              <w:tab/>
            </w:r>
            <w:r w:rsidRPr="00181C7D">
              <w:rPr>
                <w:rStyle w:val="Hyperlink"/>
                <w:noProof/>
              </w:rPr>
              <w:t>Four-Dimensional Model of Corporate Quasi-Sovereignty</w:t>
            </w:r>
            <w:r>
              <w:rPr>
                <w:noProof/>
                <w:webHidden/>
              </w:rPr>
              <w:tab/>
            </w:r>
            <w:r>
              <w:rPr>
                <w:noProof/>
                <w:webHidden/>
              </w:rPr>
              <w:fldChar w:fldCharType="begin"/>
            </w:r>
            <w:r>
              <w:rPr>
                <w:noProof/>
                <w:webHidden/>
              </w:rPr>
              <w:instrText xml:space="preserve"> PAGEREF _Toc222652886 \h </w:instrText>
            </w:r>
            <w:r>
              <w:rPr>
                <w:noProof/>
                <w:webHidden/>
              </w:rPr>
            </w:r>
            <w:r>
              <w:rPr>
                <w:noProof/>
                <w:webHidden/>
              </w:rPr>
              <w:fldChar w:fldCharType="separate"/>
            </w:r>
            <w:r w:rsidR="00DD2B4E">
              <w:rPr>
                <w:noProof/>
                <w:webHidden/>
              </w:rPr>
              <w:t>248</w:t>
            </w:r>
            <w:r>
              <w:rPr>
                <w:noProof/>
                <w:webHidden/>
              </w:rPr>
              <w:fldChar w:fldCharType="end"/>
            </w:r>
          </w:hyperlink>
        </w:p>
        <w:p w:rsidR="00045A40" w:rsidRDefault="00045A40">
          <w:pPr>
            <w:pStyle w:val="TOC3"/>
            <w:tabs>
              <w:tab w:val="right" w:leader="dot" w:pos="9350"/>
            </w:tabs>
            <w:rPr>
              <w:rFonts w:eastAsiaTheme="minorEastAsia"/>
              <w:noProof/>
            </w:rPr>
          </w:pPr>
          <w:hyperlink w:anchor="_Toc222652887" w:history="1">
            <w:r w:rsidRPr="00181C7D">
              <w:rPr>
                <w:rStyle w:val="Hyperlink"/>
                <w:noProof/>
              </w:rPr>
              <w:t>Figure 5: The Four-Dimensional Model of Corporate Quasi-Sovereignty</w:t>
            </w:r>
            <w:r>
              <w:rPr>
                <w:noProof/>
                <w:webHidden/>
              </w:rPr>
              <w:tab/>
            </w:r>
            <w:r>
              <w:rPr>
                <w:noProof/>
                <w:webHidden/>
              </w:rPr>
              <w:fldChar w:fldCharType="begin"/>
            </w:r>
            <w:r>
              <w:rPr>
                <w:noProof/>
                <w:webHidden/>
              </w:rPr>
              <w:instrText xml:space="preserve"> PAGEREF _Toc222652887 \h </w:instrText>
            </w:r>
            <w:r>
              <w:rPr>
                <w:noProof/>
                <w:webHidden/>
              </w:rPr>
            </w:r>
            <w:r>
              <w:rPr>
                <w:noProof/>
                <w:webHidden/>
              </w:rPr>
              <w:fldChar w:fldCharType="separate"/>
            </w:r>
            <w:r w:rsidR="00DD2B4E">
              <w:rPr>
                <w:noProof/>
                <w:webHidden/>
              </w:rPr>
              <w:t>249</w:t>
            </w:r>
            <w:r>
              <w:rPr>
                <w:noProof/>
                <w:webHidden/>
              </w:rPr>
              <w:fldChar w:fldCharType="end"/>
            </w:r>
          </w:hyperlink>
        </w:p>
        <w:p w:rsidR="00045A40" w:rsidRDefault="00045A40">
          <w:pPr>
            <w:pStyle w:val="TOC3"/>
            <w:tabs>
              <w:tab w:val="right" w:leader="dot" w:pos="9350"/>
            </w:tabs>
            <w:rPr>
              <w:rFonts w:eastAsiaTheme="minorEastAsia"/>
              <w:noProof/>
            </w:rPr>
          </w:pPr>
          <w:hyperlink w:anchor="_Toc222652888" w:history="1">
            <w:r w:rsidRPr="00181C7D">
              <w:rPr>
                <w:rStyle w:val="Hyperlink"/>
                <w:noProof/>
              </w:rPr>
              <w:t>Table 1</w:t>
            </w:r>
            <w:r w:rsidRPr="00181C7D">
              <w:rPr>
                <w:rStyle w:val="Hyperlink"/>
                <w:noProof/>
                <w:rtl/>
              </w:rPr>
              <w:t>4</w:t>
            </w:r>
            <w:r w:rsidRPr="00181C7D">
              <w:rPr>
                <w:rStyle w:val="Hyperlink"/>
                <w:noProof/>
              </w:rPr>
              <w:t>: Illustrative Comparison Across the Four Dimensions</w:t>
            </w:r>
            <w:r>
              <w:rPr>
                <w:noProof/>
                <w:webHidden/>
              </w:rPr>
              <w:tab/>
            </w:r>
            <w:r>
              <w:rPr>
                <w:noProof/>
                <w:webHidden/>
              </w:rPr>
              <w:fldChar w:fldCharType="begin"/>
            </w:r>
            <w:r>
              <w:rPr>
                <w:noProof/>
                <w:webHidden/>
              </w:rPr>
              <w:instrText xml:space="preserve"> PAGEREF _Toc222652888 \h </w:instrText>
            </w:r>
            <w:r>
              <w:rPr>
                <w:noProof/>
                <w:webHidden/>
              </w:rPr>
            </w:r>
            <w:r>
              <w:rPr>
                <w:noProof/>
                <w:webHidden/>
              </w:rPr>
              <w:fldChar w:fldCharType="separate"/>
            </w:r>
            <w:r w:rsidR="00DD2B4E">
              <w:rPr>
                <w:noProof/>
                <w:webHidden/>
              </w:rPr>
              <w:t>249</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89" w:history="1">
            <w:r w:rsidRPr="00181C7D">
              <w:rPr>
                <w:rStyle w:val="Hyperlink"/>
                <w:noProof/>
                <w:rtl/>
              </w:rPr>
              <w:t>9.1.4</w:t>
            </w:r>
            <w:r>
              <w:rPr>
                <w:rFonts w:eastAsiaTheme="minorEastAsia"/>
                <w:noProof/>
              </w:rPr>
              <w:tab/>
            </w:r>
            <w:r w:rsidRPr="00181C7D">
              <w:rPr>
                <w:rStyle w:val="Hyperlink"/>
                <w:noProof/>
              </w:rPr>
              <w:t>Infrastructural Power, Democracy, and Authoritarian Synchronization</w:t>
            </w:r>
            <w:r>
              <w:rPr>
                <w:noProof/>
                <w:webHidden/>
              </w:rPr>
              <w:tab/>
            </w:r>
            <w:r>
              <w:rPr>
                <w:noProof/>
                <w:webHidden/>
              </w:rPr>
              <w:fldChar w:fldCharType="begin"/>
            </w:r>
            <w:r>
              <w:rPr>
                <w:noProof/>
                <w:webHidden/>
              </w:rPr>
              <w:instrText xml:space="preserve"> PAGEREF _Toc222652889 \h </w:instrText>
            </w:r>
            <w:r>
              <w:rPr>
                <w:noProof/>
                <w:webHidden/>
              </w:rPr>
            </w:r>
            <w:r>
              <w:rPr>
                <w:noProof/>
                <w:webHidden/>
              </w:rPr>
              <w:fldChar w:fldCharType="separate"/>
            </w:r>
            <w:r w:rsidR="00DD2B4E">
              <w:rPr>
                <w:noProof/>
                <w:webHidden/>
              </w:rPr>
              <w:t>250</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90" w:history="1">
            <w:r w:rsidRPr="00181C7D">
              <w:rPr>
                <w:rStyle w:val="Hyperlink"/>
                <w:noProof/>
                <w:rtl/>
              </w:rPr>
              <w:t>9.1.5</w:t>
            </w:r>
            <w:r>
              <w:rPr>
                <w:rFonts w:eastAsiaTheme="minorEastAsia"/>
                <w:noProof/>
              </w:rPr>
              <w:tab/>
            </w:r>
            <w:r w:rsidRPr="00181C7D">
              <w:rPr>
                <w:rStyle w:val="Hyperlink"/>
                <w:noProof/>
              </w:rPr>
              <w:t>Contribution vis-à-vis Existing Literature</w:t>
            </w:r>
            <w:r>
              <w:rPr>
                <w:noProof/>
                <w:webHidden/>
              </w:rPr>
              <w:tab/>
            </w:r>
            <w:r>
              <w:rPr>
                <w:noProof/>
                <w:webHidden/>
              </w:rPr>
              <w:fldChar w:fldCharType="begin"/>
            </w:r>
            <w:r>
              <w:rPr>
                <w:noProof/>
                <w:webHidden/>
              </w:rPr>
              <w:instrText xml:space="preserve"> PAGEREF _Toc222652890 \h </w:instrText>
            </w:r>
            <w:r>
              <w:rPr>
                <w:noProof/>
                <w:webHidden/>
              </w:rPr>
            </w:r>
            <w:r>
              <w:rPr>
                <w:noProof/>
                <w:webHidden/>
              </w:rPr>
              <w:fldChar w:fldCharType="separate"/>
            </w:r>
            <w:r w:rsidR="00DD2B4E">
              <w:rPr>
                <w:noProof/>
                <w:webHidden/>
              </w:rPr>
              <w:t>251</w:t>
            </w:r>
            <w:r>
              <w:rPr>
                <w:noProof/>
                <w:webHidden/>
              </w:rPr>
              <w:fldChar w:fldCharType="end"/>
            </w:r>
          </w:hyperlink>
        </w:p>
        <w:p w:rsidR="00045A40" w:rsidRDefault="00045A40">
          <w:pPr>
            <w:pStyle w:val="TOC3"/>
            <w:tabs>
              <w:tab w:val="left" w:pos="1320"/>
              <w:tab w:val="right" w:leader="dot" w:pos="9350"/>
            </w:tabs>
            <w:rPr>
              <w:rFonts w:eastAsiaTheme="minorEastAsia"/>
              <w:noProof/>
            </w:rPr>
          </w:pPr>
          <w:hyperlink w:anchor="_Toc222652891" w:history="1">
            <w:r w:rsidRPr="00181C7D">
              <w:rPr>
                <w:rStyle w:val="Hyperlink"/>
                <w:noProof/>
                <w:rtl/>
              </w:rPr>
              <w:t>9.1.6</w:t>
            </w:r>
            <w:r>
              <w:rPr>
                <w:rFonts w:eastAsiaTheme="minorEastAsia"/>
                <w:noProof/>
              </w:rPr>
              <w:tab/>
            </w:r>
            <w:r w:rsidRPr="00181C7D">
              <w:rPr>
                <w:rStyle w:val="Hyperlink"/>
                <w:noProof/>
              </w:rPr>
              <w:t>What This Dissertation Does Not Claim</w:t>
            </w:r>
            <w:r>
              <w:rPr>
                <w:noProof/>
                <w:webHidden/>
              </w:rPr>
              <w:tab/>
            </w:r>
            <w:r>
              <w:rPr>
                <w:noProof/>
                <w:webHidden/>
              </w:rPr>
              <w:fldChar w:fldCharType="begin"/>
            </w:r>
            <w:r>
              <w:rPr>
                <w:noProof/>
                <w:webHidden/>
              </w:rPr>
              <w:instrText xml:space="preserve"> PAGEREF _Toc222652891 \h </w:instrText>
            </w:r>
            <w:r>
              <w:rPr>
                <w:noProof/>
                <w:webHidden/>
              </w:rPr>
            </w:r>
            <w:r>
              <w:rPr>
                <w:noProof/>
                <w:webHidden/>
              </w:rPr>
              <w:fldChar w:fldCharType="separate"/>
            </w:r>
            <w:r w:rsidR="00DD2B4E">
              <w:rPr>
                <w:noProof/>
                <w:webHidden/>
              </w:rPr>
              <w:t>251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92" w:history="1">
            <w:r w:rsidRPr="00181C7D">
              <w:rPr>
                <w:rStyle w:val="Hyperlink"/>
                <w:noProof/>
              </w:rPr>
              <w:t>9.2</w:t>
            </w:r>
            <w:r>
              <w:rPr>
                <w:rFonts w:eastAsiaTheme="minorEastAsia"/>
                <w:noProof/>
              </w:rPr>
              <w:tab/>
            </w:r>
            <w:r w:rsidRPr="00181C7D">
              <w:rPr>
                <w:rStyle w:val="Hyperlink"/>
                <w:noProof/>
              </w:rPr>
              <w:t>Practical Contributions</w:t>
            </w:r>
            <w:r>
              <w:rPr>
                <w:noProof/>
                <w:webHidden/>
              </w:rPr>
              <w:tab/>
            </w:r>
            <w:r>
              <w:rPr>
                <w:noProof/>
                <w:webHidden/>
              </w:rPr>
              <w:fldChar w:fldCharType="begin"/>
            </w:r>
            <w:r>
              <w:rPr>
                <w:noProof/>
                <w:webHidden/>
              </w:rPr>
              <w:instrText xml:space="preserve"> PAGEREF _Toc222652892 \h </w:instrText>
            </w:r>
            <w:r>
              <w:rPr>
                <w:noProof/>
                <w:webHidden/>
              </w:rPr>
            </w:r>
            <w:r>
              <w:rPr>
                <w:noProof/>
                <w:webHidden/>
              </w:rPr>
              <w:fldChar w:fldCharType="separate"/>
            </w:r>
            <w:r w:rsidR="00DD2B4E">
              <w:rPr>
                <w:noProof/>
                <w:webHidden/>
              </w:rPr>
              <w:t>253</w:t>
            </w:r>
            <w:r>
              <w:rPr>
                <w:noProof/>
                <w:webHidden/>
              </w:rPr>
              <w:fldChar w:fldCharType="end"/>
            </w:r>
          </w:hyperlink>
        </w:p>
        <w:p w:rsidR="00045A40" w:rsidRDefault="00045A40">
          <w:pPr>
            <w:pStyle w:val="TOC3"/>
            <w:tabs>
              <w:tab w:val="right" w:leader="dot" w:pos="9350"/>
            </w:tabs>
            <w:rPr>
              <w:rFonts w:eastAsiaTheme="minorEastAsia"/>
              <w:noProof/>
            </w:rPr>
          </w:pPr>
          <w:hyperlink w:anchor="_Toc222652893" w:history="1">
            <w:r w:rsidRPr="00181C7D">
              <w:rPr>
                <w:rStyle w:val="Hyperlink"/>
                <w:noProof/>
              </w:rPr>
              <w:t>9.2.1 Implications for Global Governance and International Institutions</w:t>
            </w:r>
            <w:r>
              <w:rPr>
                <w:noProof/>
                <w:webHidden/>
              </w:rPr>
              <w:tab/>
            </w:r>
            <w:r>
              <w:rPr>
                <w:noProof/>
                <w:webHidden/>
              </w:rPr>
              <w:fldChar w:fldCharType="begin"/>
            </w:r>
            <w:r>
              <w:rPr>
                <w:noProof/>
                <w:webHidden/>
              </w:rPr>
              <w:instrText xml:space="preserve"> PAGEREF _Toc222652893 \h </w:instrText>
            </w:r>
            <w:r>
              <w:rPr>
                <w:noProof/>
                <w:webHidden/>
              </w:rPr>
            </w:r>
            <w:r>
              <w:rPr>
                <w:noProof/>
                <w:webHidden/>
              </w:rPr>
              <w:fldChar w:fldCharType="separate"/>
            </w:r>
            <w:r w:rsidR="00DD2B4E">
              <w:rPr>
                <w:noProof/>
                <w:webHidden/>
              </w:rPr>
              <w:t>253</w:t>
            </w:r>
            <w:r>
              <w:rPr>
                <w:noProof/>
                <w:webHidden/>
              </w:rPr>
              <w:fldChar w:fldCharType="end"/>
            </w:r>
          </w:hyperlink>
        </w:p>
        <w:p w:rsidR="00045A40" w:rsidRDefault="00045A40">
          <w:pPr>
            <w:pStyle w:val="TOC3"/>
            <w:tabs>
              <w:tab w:val="right" w:leader="dot" w:pos="9350"/>
            </w:tabs>
            <w:rPr>
              <w:rFonts w:eastAsiaTheme="minorEastAsia"/>
              <w:noProof/>
            </w:rPr>
          </w:pPr>
          <w:hyperlink w:anchor="_Toc222652894" w:history="1">
            <w:r w:rsidRPr="00181C7D">
              <w:rPr>
                <w:rStyle w:val="Hyperlink"/>
                <w:noProof/>
              </w:rPr>
              <w:t>9.2.2 Implications for States and National Regulators</w:t>
            </w:r>
            <w:r>
              <w:rPr>
                <w:noProof/>
                <w:webHidden/>
              </w:rPr>
              <w:tab/>
            </w:r>
            <w:r>
              <w:rPr>
                <w:noProof/>
                <w:webHidden/>
              </w:rPr>
              <w:fldChar w:fldCharType="begin"/>
            </w:r>
            <w:r>
              <w:rPr>
                <w:noProof/>
                <w:webHidden/>
              </w:rPr>
              <w:instrText xml:space="preserve"> PAGEREF _Toc222652894 \h </w:instrText>
            </w:r>
            <w:r>
              <w:rPr>
                <w:noProof/>
                <w:webHidden/>
              </w:rPr>
            </w:r>
            <w:r>
              <w:rPr>
                <w:noProof/>
                <w:webHidden/>
              </w:rPr>
              <w:fldChar w:fldCharType="separate"/>
            </w:r>
            <w:r w:rsidR="00DD2B4E">
              <w:rPr>
                <w:noProof/>
                <w:webHidden/>
              </w:rPr>
              <w:t>253</w:t>
            </w:r>
            <w:r>
              <w:rPr>
                <w:noProof/>
                <w:webHidden/>
              </w:rPr>
              <w:fldChar w:fldCharType="end"/>
            </w:r>
          </w:hyperlink>
        </w:p>
        <w:p w:rsidR="00045A40" w:rsidRDefault="00045A40">
          <w:pPr>
            <w:pStyle w:val="TOC3"/>
            <w:tabs>
              <w:tab w:val="right" w:leader="dot" w:pos="9350"/>
            </w:tabs>
            <w:rPr>
              <w:rFonts w:eastAsiaTheme="minorEastAsia"/>
              <w:noProof/>
            </w:rPr>
          </w:pPr>
          <w:hyperlink w:anchor="_Toc222652895" w:history="1">
            <w:r w:rsidRPr="00181C7D">
              <w:rPr>
                <w:rStyle w:val="Hyperlink"/>
                <w:noProof/>
              </w:rPr>
              <w:t>9.2.3 Implications for Civil Society and the Public Sphere</w:t>
            </w:r>
            <w:r>
              <w:rPr>
                <w:noProof/>
                <w:webHidden/>
              </w:rPr>
              <w:tab/>
            </w:r>
            <w:r>
              <w:rPr>
                <w:noProof/>
                <w:webHidden/>
              </w:rPr>
              <w:fldChar w:fldCharType="begin"/>
            </w:r>
            <w:r>
              <w:rPr>
                <w:noProof/>
                <w:webHidden/>
              </w:rPr>
              <w:instrText xml:space="preserve"> PAGEREF _Toc222652895 \h </w:instrText>
            </w:r>
            <w:r>
              <w:rPr>
                <w:noProof/>
                <w:webHidden/>
              </w:rPr>
            </w:r>
            <w:r>
              <w:rPr>
                <w:noProof/>
                <w:webHidden/>
              </w:rPr>
              <w:fldChar w:fldCharType="separate"/>
            </w:r>
            <w:r w:rsidR="00DD2B4E">
              <w:rPr>
                <w:noProof/>
                <w:webHidden/>
              </w:rPr>
              <w:t>254</w:t>
            </w:r>
            <w:r>
              <w:rPr>
                <w:noProof/>
                <w:webHidden/>
              </w:rPr>
              <w:fldChar w:fldCharType="end"/>
            </w:r>
          </w:hyperlink>
        </w:p>
        <w:p w:rsidR="00045A40" w:rsidRDefault="00045A40">
          <w:pPr>
            <w:pStyle w:val="TOC3"/>
            <w:tabs>
              <w:tab w:val="right" w:leader="dot" w:pos="9350"/>
            </w:tabs>
            <w:rPr>
              <w:rFonts w:eastAsiaTheme="minorEastAsia"/>
              <w:noProof/>
            </w:rPr>
          </w:pPr>
          <w:hyperlink w:anchor="_Toc222652896" w:history="1">
            <w:r w:rsidRPr="00181C7D">
              <w:rPr>
                <w:rStyle w:val="Hyperlink"/>
                <w:noProof/>
              </w:rPr>
              <w:t>9.2.4 Implications for Multinational Technology Firms</w:t>
            </w:r>
            <w:r>
              <w:rPr>
                <w:noProof/>
                <w:webHidden/>
              </w:rPr>
              <w:tab/>
            </w:r>
            <w:r>
              <w:rPr>
                <w:noProof/>
                <w:webHidden/>
              </w:rPr>
              <w:fldChar w:fldCharType="begin"/>
            </w:r>
            <w:r>
              <w:rPr>
                <w:noProof/>
                <w:webHidden/>
              </w:rPr>
              <w:instrText xml:space="preserve"> PAGEREF _Toc222652896 \h </w:instrText>
            </w:r>
            <w:r>
              <w:rPr>
                <w:noProof/>
                <w:webHidden/>
              </w:rPr>
            </w:r>
            <w:r>
              <w:rPr>
                <w:noProof/>
                <w:webHidden/>
              </w:rPr>
              <w:fldChar w:fldCharType="separate"/>
            </w:r>
            <w:r w:rsidR="00DD2B4E">
              <w:rPr>
                <w:noProof/>
                <w:webHidden/>
              </w:rPr>
              <w:t>255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897" w:history="1">
            <w:r w:rsidRPr="00181C7D">
              <w:rPr>
                <w:rStyle w:val="Hyperlink"/>
                <w:rFonts w:eastAsia="Times New Roman"/>
                <w:noProof/>
              </w:rPr>
              <w:t>9.3</w:t>
            </w:r>
            <w:r>
              <w:rPr>
                <w:rFonts w:eastAsiaTheme="minorEastAsia"/>
                <w:noProof/>
              </w:rPr>
              <w:tab/>
            </w:r>
            <w:r w:rsidRPr="00181C7D">
              <w:rPr>
                <w:rStyle w:val="Hyperlink"/>
                <w:rFonts w:eastAsia="Times New Roman"/>
                <w:noProof/>
              </w:rPr>
              <w:t>Integrating Theory and Practice</w:t>
            </w:r>
            <w:r>
              <w:rPr>
                <w:noProof/>
                <w:webHidden/>
              </w:rPr>
              <w:tab/>
            </w:r>
            <w:r>
              <w:rPr>
                <w:noProof/>
                <w:webHidden/>
              </w:rPr>
              <w:fldChar w:fldCharType="begin"/>
            </w:r>
            <w:r>
              <w:rPr>
                <w:noProof/>
                <w:webHidden/>
              </w:rPr>
              <w:instrText xml:space="preserve"> PAGEREF _Toc222652897 \h </w:instrText>
            </w:r>
            <w:r>
              <w:rPr>
                <w:noProof/>
                <w:webHidden/>
              </w:rPr>
            </w:r>
            <w:r>
              <w:rPr>
                <w:noProof/>
                <w:webHidden/>
              </w:rPr>
              <w:fldChar w:fldCharType="separate"/>
            </w:r>
            <w:r w:rsidR="00DD2B4E">
              <w:rPr>
                <w:noProof/>
                <w:webHidden/>
              </w:rPr>
              <w:t>255</w:t>
            </w:r>
            <w:r>
              <w:rPr>
                <w:noProof/>
                <w:webHidden/>
              </w:rPr>
              <w:fldChar w:fldCharType="end"/>
            </w:r>
          </w:hyperlink>
        </w:p>
        <w:p w:rsidR="00045A40" w:rsidRDefault="00045A40">
          <w:pPr>
            <w:pStyle w:val="TOC1"/>
            <w:tabs>
              <w:tab w:val="right" w:leader="dot" w:pos="9350"/>
            </w:tabs>
            <w:rPr>
              <w:rFonts w:eastAsiaTheme="minorEastAsia"/>
              <w:noProof/>
            </w:rPr>
          </w:pPr>
          <w:hyperlink w:anchor="_Toc222652898" w:history="1">
            <w:r w:rsidRPr="00181C7D">
              <w:rPr>
                <w:rStyle w:val="Hyperlink"/>
                <w:noProof/>
              </w:rPr>
              <w:t>Chapter 10</w:t>
            </w:r>
            <w:r>
              <w:rPr>
                <w:noProof/>
                <w:webHidden/>
              </w:rPr>
              <w:tab/>
            </w:r>
            <w:r>
              <w:rPr>
                <w:noProof/>
                <w:webHidden/>
              </w:rPr>
              <w:fldChar w:fldCharType="begin"/>
            </w:r>
            <w:r>
              <w:rPr>
                <w:noProof/>
                <w:webHidden/>
              </w:rPr>
              <w:instrText xml:space="preserve"> PAGEREF _Toc222652898 \h </w:instrText>
            </w:r>
            <w:r>
              <w:rPr>
                <w:noProof/>
                <w:webHidden/>
              </w:rPr>
            </w:r>
            <w:r>
              <w:rPr>
                <w:noProof/>
                <w:webHidden/>
              </w:rPr>
              <w:fldChar w:fldCharType="separate"/>
            </w:r>
            <w:r w:rsidR="00DD2B4E">
              <w:rPr>
                <w:noProof/>
                <w:webHidden/>
              </w:rPr>
              <w:t>257</w:t>
            </w:r>
            <w:r>
              <w:rPr>
                <w:noProof/>
                <w:webHidden/>
              </w:rPr>
              <w:fldChar w:fldCharType="end"/>
            </w:r>
          </w:hyperlink>
        </w:p>
        <w:p w:rsidR="00045A40" w:rsidRDefault="00045A40">
          <w:pPr>
            <w:pStyle w:val="TOC1"/>
            <w:tabs>
              <w:tab w:val="right" w:leader="dot" w:pos="9350"/>
            </w:tabs>
            <w:rPr>
              <w:rFonts w:eastAsiaTheme="minorEastAsia"/>
              <w:noProof/>
            </w:rPr>
          </w:pPr>
          <w:hyperlink w:anchor="_Toc222652899" w:history="1">
            <w:r w:rsidRPr="00181C7D">
              <w:rPr>
                <w:rStyle w:val="Hyperlink"/>
                <w:noProof/>
              </w:rPr>
              <w:t>Conclusion and Future Research</w:t>
            </w:r>
            <w:r>
              <w:rPr>
                <w:noProof/>
                <w:webHidden/>
              </w:rPr>
              <w:tab/>
            </w:r>
            <w:r>
              <w:rPr>
                <w:noProof/>
                <w:webHidden/>
              </w:rPr>
              <w:fldChar w:fldCharType="begin"/>
            </w:r>
            <w:r>
              <w:rPr>
                <w:noProof/>
                <w:webHidden/>
              </w:rPr>
              <w:instrText xml:space="preserve"> PAGEREF _Toc222652899 \h </w:instrText>
            </w:r>
            <w:r>
              <w:rPr>
                <w:noProof/>
                <w:webHidden/>
              </w:rPr>
            </w:r>
            <w:r>
              <w:rPr>
                <w:noProof/>
                <w:webHidden/>
              </w:rPr>
              <w:fldChar w:fldCharType="separate"/>
            </w:r>
            <w:r w:rsidR="00DD2B4E">
              <w:rPr>
                <w:noProof/>
                <w:webHidden/>
              </w:rPr>
              <w:t>257</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0" w:history="1">
            <w:r w:rsidRPr="00181C7D">
              <w:rPr>
                <w:rStyle w:val="Hyperlink"/>
                <w:noProof/>
              </w:rPr>
              <w:t>10.1</w:t>
            </w:r>
            <w:r>
              <w:rPr>
                <w:rFonts w:eastAsiaTheme="minorEastAsia"/>
                <w:noProof/>
              </w:rPr>
              <w:tab/>
            </w:r>
            <w:r w:rsidRPr="00181C7D">
              <w:rPr>
                <w:rStyle w:val="Hyperlink"/>
                <w:noProof/>
              </w:rPr>
              <w:t>Introduction</w:t>
            </w:r>
            <w:r>
              <w:rPr>
                <w:noProof/>
                <w:webHidden/>
              </w:rPr>
              <w:tab/>
            </w:r>
            <w:r>
              <w:rPr>
                <w:noProof/>
                <w:webHidden/>
              </w:rPr>
              <w:fldChar w:fldCharType="begin"/>
            </w:r>
            <w:r>
              <w:rPr>
                <w:noProof/>
                <w:webHidden/>
              </w:rPr>
              <w:instrText xml:space="preserve"> PAGEREF _Toc222652900 \h </w:instrText>
            </w:r>
            <w:r>
              <w:rPr>
                <w:noProof/>
                <w:webHidden/>
              </w:rPr>
            </w:r>
            <w:r>
              <w:rPr>
                <w:noProof/>
                <w:webHidden/>
              </w:rPr>
              <w:fldChar w:fldCharType="separate"/>
            </w:r>
            <w:r w:rsidR="00DD2B4E">
              <w:rPr>
                <w:noProof/>
                <w:webHidden/>
              </w:rPr>
              <w:t>257</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1" w:history="1">
            <w:r w:rsidRPr="00181C7D">
              <w:rPr>
                <w:rStyle w:val="Hyperlink"/>
                <w:rFonts w:eastAsia="Times New Roman"/>
                <w:noProof/>
              </w:rPr>
              <w:t>10.2</w:t>
            </w:r>
            <w:r>
              <w:rPr>
                <w:rFonts w:eastAsiaTheme="minorEastAsia"/>
                <w:noProof/>
              </w:rPr>
              <w:tab/>
            </w:r>
            <w:r w:rsidRPr="00181C7D">
              <w:rPr>
                <w:rStyle w:val="Hyperlink"/>
                <w:rFonts w:eastAsia="Times New Roman"/>
                <w:noProof/>
              </w:rPr>
              <w:t>Conceptual Closure: Rethinking Sovereignty in the Digital Age</w:t>
            </w:r>
            <w:r>
              <w:rPr>
                <w:noProof/>
                <w:webHidden/>
              </w:rPr>
              <w:tab/>
            </w:r>
            <w:r>
              <w:rPr>
                <w:noProof/>
                <w:webHidden/>
              </w:rPr>
              <w:fldChar w:fldCharType="begin"/>
            </w:r>
            <w:r>
              <w:rPr>
                <w:noProof/>
                <w:webHidden/>
              </w:rPr>
              <w:instrText xml:space="preserve"> PAGEREF _Toc222652901 \h </w:instrText>
            </w:r>
            <w:r>
              <w:rPr>
                <w:noProof/>
                <w:webHidden/>
              </w:rPr>
            </w:r>
            <w:r>
              <w:rPr>
                <w:noProof/>
                <w:webHidden/>
              </w:rPr>
              <w:fldChar w:fldCharType="separate"/>
            </w:r>
            <w:r w:rsidR="00DD2B4E">
              <w:rPr>
                <w:noProof/>
                <w:webHidden/>
              </w:rPr>
              <w:t>257</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2" w:history="1">
            <w:r w:rsidRPr="00181C7D">
              <w:rPr>
                <w:rStyle w:val="Hyperlink"/>
                <w:noProof/>
              </w:rPr>
              <w:t>10.3</w:t>
            </w:r>
            <w:r>
              <w:rPr>
                <w:rFonts w:eastAsiaTheme="minorEastAsia"/>
                <w:noProof/>
              </w:rPr>
              <w:tab/>
            </w:r>
            <w:r w:rsidRPr="00181C7D">
              <w:rPr>
                <w:rStyle w:val="Hyperlink"/>
                <w:noProof/>
              </w:rPr>
              <w:t>Revisiting the Research Questions</w:t>
            </w:r>
            <w:r>
              <w:rPr>
                <w:noProof/>
                <w:webHidden/>
              </w:rPr>
              <w:tab/>
            </w:r>
            <w:r>
              <w:rPr>
                <w:noProof/>
                <w:webHidden/>
              </w:rPr>
              <w:fldChar w:fldCharType="begin"/>
            </w:r>
            <w:r>
              <w:rPr>
                <w:noProof/>
                <w:webHidden/>
              </w:rPr>
              <w:instrText xml:space="preserve"> PAGEREF _Toc222652902 \h </w:instrText>
            </w:r>
            <w:r>
              <w:rPr>
                <w:noProof/>
                <w:webHidden/>
              </w:rPr>
            </w:r>
            <w:r>
              <w:rPr>
                <w:noProof/>
                <w:webHidden/>
              </w:rPr>
              <w:fldChar w:fldCharType="separate"/>
            </w:r>
            <w:r w:rsidR="00DD2B4E">
              <w:rPr>
                <w:noProof/>
                <w:webHidden/>
              </w:rPr>
              <w:t>258</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3" w:history="1">
            <w:r w:rsidRPr="00181C7D">
              <w:rPr>
                <w:rStyle w:val="Hyperlink"/>
                <w:noProof/>
              </w:rPr>
              <w:t>10.4</w:t>
            </w:r>
            <w:r>
              <w:rPr>
                <w:rFonts w:eastAsiaTheme="minorEastAsia"/>
                <w:noProof/>
              </w:rPr>
              <w:tab/>
            </w:r>
            <w:r w:rsidRPr="00181C7D">
              <w:rPr>
                <w:rStyle w:val="Hyperlink"/>
                <w:rFonts w:eastAsia="Times New Roman"/>
                <w:noProof/>
              </w:rPr>
              <w:t>A Singular Theoretical Insight</w:t>
            </w:r>
            <w:r>
              <w:rPr>
                <w:noProof/>
                <w:webHidden/>
              </w:rPr>
              <w:tab/>
            </w:r>
            <w:r>
              <w:rPr>
                <w:noProof/>
                <w:webHidden/>
              </w:rPr>
              <w:fldChar w:fldCharType="begin"/>
            </w:r>
            <w:r>
              <w:rPr>
                <w:noProof/>
                <w:webHidden/>
              </w:rPr>
              <w:instrText xml:space="preserve"> PAGEREF _Toc222652903 \h </w:instrText>
            </w:r>
            <w:r>
              <w:rPr>
                <w:noProof/>
                <w:webHidden/>
              </w:rPr>
            </w:r>
            <w:r>
              <w:rPr>
                <w:noProof/>
                <w:webHidden/>
              </w:rPr>
              <w:fldChar w:fldCharType="separate"/>
            </w:r>
            <w:r w:rsidR="00DD2B4E">
              <w:rPr>
                <w:noProof/>
                <w:webHidden/>
              </w:rPr>
              <w:t>260</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4" w:history="1">
            <w:r w:rsidRPr="00181C7D">
              <w:rPr>
                <w:rStyle w:val="Hyperlink"/>
                <w:noProof/>
              </w:rPr>
              <w:t>10.5</w:t>
            </w:r>
            <w:r>
              <w:rPr>
                <w:rFonts w:eastAsiaTheme="minorEastAsia"/>
                <w:noProof/>
              </w:rPr>
              <w:tab/>
            </w:r>
            <w:r w:rsidRPr="00181C7D">
              <w:rPr>
                <w:rStyle w:val="Hyperlink"/>
                <w:noProof/>
              </w:rPr>
              <w:t>Theoretical Implications</w:t>
            </w:r>
            <w:r>
              <w:rPr>
                <w:noProof/>
                <w:webHidden/>
              </w:rPr>
              <w:tab/>
            </w:r>
            <w:r>
              <w:rPr>
                <w:noProof/>
                <w:webHidden/>
              </w:rPr>
              <w:fldChar w:fldCharType="begin"/>
            </w:r>
            <w:r>
              <w:rPr>
                <w:noProof/>
                <w:webHidden/>
              </w:rPr>
              <w:instrText xml:space="preserve"> PAGEREF _Toc222652904 \h </w:instrText>
            </w:r>
            <w:r>
              <w:rPr>
                <w:noProof/>
                <w:webHidden/>
              </w:rPr>
            </w:r>
            <w:r>
              <w:rPr>
                <w:noProof/>
                <w:webHidden/>
              </w:rPr>
              <w:fldChar w:fldCharType="separate"/>
            </w:r>
            <w:r w:rsidR="00DD2B4E">
              <w:rPr>
                <w:noProof/>
                <w:webHidden/>
              </w:rPr>
              <w:t>260</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5" w:history="1">
            <w:r w:rsidRPr="00181C7D">
              <w:rPr>
                <w:rStyle w:val="Hyperlink"/>
                <w:noProof/>
              </w:rPr>
              <w:t>10.6</w:t>
            </w:r>
            <w:r>
              <w:rPr>
                <w:rFonts w:eastAsiaTheme="minorEastAsia"/>
                <w:noProof/>
              </w:rPr>
              <w:tab/>
            </w:r>
            <w:r w:rsidRPr="00181C7D">
              <w:rPr>
                <w:rStyle w:val="Hyperlink"/>
                <w:noProof/>
              </w:rPr>
              <w:t>Practical Implications</w:t>
            </w:r>
            <w:r>
              <w:rPr>
                <w:noProof/>
                <w:webHidden/>
              </w:rPr>
              <w:tab/>
            </w:r>
            <w:r>
              <w:rPr>
                <w:noProof/>
                <w:webHidden/>
              </w:rPr>
              <w:fldChar w:fldCharType="begin"/>
            </w:r>
            <w:r>
              <w:rPr>
                <w:noProof/>
                <w:webHidden/>
              </w:rPr>
              <w:instrText xml:space="preserve"> PAGEREF _Toc222652905 \h </w:instrText>
            </w:r>
            <w:r>
              <w:rPr>
                <w:noProof/>
                <w:webHidden/>
              </w:rPr>
            </w:r>
            <w:r>
              <w:rPr>
                <w:noProof/>
                <w:webHidden/>
              </w:rPr>
              <w:fldChar w:fldCharType="separate"/>
            </w:r>
            <w:r w:rsidR="00DD2B4E">
              <w:rPr>
                <w:noProof/>
                <w:webHidden/>
              </w:rPr>
              <w:t>261</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6" w:history="1">
            <w:r w:rsidRPr="00181C7D">
              <w:rPr>
                <w:rStyle w:val="Hyperlink"/>
                <w:noProof/>
              </w:rPr>
              <w:t>10.7</w:t>
            </w:r>
            <w:r>
              <w:rPr>
                <w:rFonts w:eastAsiaTheme="minorEastAsia"/>
                <w:noProof/>
              </w:rPr>
              <w:tab/>
            </w:r>
            <w:r w:rsidRPr="00181C7D">
              <w:rPr>
                <w:rStyle w:val="Hyperlink"/>
                <w:noProof/>
              </w:rPr>
              <w:t>Critical Reflection</w:t>
            </w:r>
            <w:r>
              <w:rPr>
                <w:noProof/>
                <w:webHidden/>
              </w:rPr>
              <w:tab/>
            </w:r>
            <w:r>
              <w:rPr>
                <w:noProof/>
                <w:webHidden/>
              </w:rPr>
              <w:fldChar w:fldCharType="begin"/>
            </w:r>
            <w:r>
              <w:rPr>
                <w:noProof/>
                <w:webHidden/>
              </w:rPr>
              <w:instrText xml:space="preserve"> PAGEREF _Toc222652906 \h </w:instrText>
            </w:r>
            <w:r>
              <w:rPr>
                <w:noProof/>
                <w:webHidden/>
              </w:rPr>
            </w:r>
            <w:r>
              <w:rPr>
                <w:noProof/>
                <w:webHidden/>
              </w:rPr>
              <w:fldChar w:fldCharType="separate"/>
            </w:r>
            <w:r w:rsidR="00DD2B4E">
              <w:rPr>
                <w:noProof/>
                <w:webHidden/>
              </w:rPr>
              <w:t>263</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7" w:history="1">
            <w:r w:rsidRPr="00181C7D">
              <w:rPr>
                <w:rStyle w:val="Hyperlink"/>
                <w:noProof/>
              </w:rPr>
              <w:t>10.8</w:t>
            </w:r>
            <w:r>
              <w:rPr>
                <w:rFonts w:eastAsiaTheme="minorEastAsia"/>
                <w:noProof/>
              </w:rPr>
              <w:tab/>
            </w:r>
            <w:r w:rsidRPr="00181C7D">
              <w:rPr>
                <w:rStyle w:val="Hyperlink"/>
                <w:noProof/>
              </w:rPr>
              <w:t>Directions for Future Research</w:t>
            </w:r>
            <w:r>
              <w:rPr>
                <w:noProof/>
                <w:webHidden/>
              </w:rPr>
              <w:tab/>
            </w:r>
            <w:r>
              <w:rPr>
                <w:noProof/>
                <w:webHidden/>
              </w:rPr>
              <w:fldChar w:fldCharType="begin"/>
            </w:r>
            <w:r>
              <w:rPr>
                <w:noProof/>
                <w:webHidden/>
              </w:rPr>
              <w:instrText xml:space="preserve"> PAGEREF _Toc222652907 \h </w:instrText>
            </w:r>
            <w:r>
              <w:rPr>
                <w:noProof/>
                <w:webHidden/>
              </w:rPr>
            </w:r>
            <w:r>
              <w:rPr>
                <w:noProof/>
                <w:webHidden/>
              </w:rPr>
              <w:fldChar w:fldCharType="separate"/>
            </w:r>
            <w:r w:rsidR="00DD2B4E">
              <w:rPr>
                <w:noProof/>
                <w:webHidden/>
              </w:rPr>
              <w:t>265</w:t>
            </w:r>
            <w:r>
              <w:rPr>
                <w:noProof/>
                <w:webHidden/>
              </w:rPr>
              <w:fldChar w:fldCharType="end"/>
            </w:r>
          </w:hyperlink>
        </w:p>
        <w:p w:rsidR="00045A40" w:rsidRDefault="00045A40">
          <w:pPr>
            <w:pStyle w:val="TOC2"/>
            <w:tabs>
              <w:tab w:val="left" w:pos="880"/>
              <w:tab w:val="right" w:leader="dot" w:pos="9350"/>
            </w:tabs>
            <w:rPr>
              <w:rFonts w:eastAsiaTheme="minorEastAsia"/>
              <w:noProof/>
            </w:rPr>
          </w:pPr>
          <w:hyperlink w:anchor="_Toc222652908" w:history="1">
            <w:r w:rsidRPr="00181C7D">
              <w:rPr>
                <w:rStyle w:val="Hyperlink"/>
                <w:noProof/>
              </w:rPr>
              <w:t>10.9</w:t>
            </w:r>
            <w:r>
              <w:rPr>
                <w:rFonts w:eastAsiaTheme="minorEastAsia"/>
                <w:noProof/>
              </w:rPr>
              <w:tab/>
            </w:r>
            <w:r w:rsidRPr="00181C7D">
              <w:rPr>
                <w:rStyle w:val="Hyperlink"/>
                <w:noProof/>
              </w:rPr>
              <w:t>Reframing Sovereignty in the Digital Age</w:t>
            </w:r>
            <w:r>
              <w:rPr>
                <w:noProof/>
                <w:webHidden/>
              </w:rPr>
              <w:tab/>
            </w:r>
            <w:r>
              <w:rPr>
                <w:noProof/>
                <w:webHidden/>
              </w:rPr>
              <w:fldChar w:fldCharType="begin"/>
            </w:r>
            <w:r>
              <w:rPr>
                <w:noProof/>
                <w:webHidden/>
              </w:rPr>
              <w:instrText xml:space="preserve"> PAGEREF _Toc222652908 \h </w:instrText>
            </w:r>
            <w:r>
              <w:rPr>
                <w:noProof/>
                <w:webHidden/>
              </w:rPr>
            </w:r>
            <w:r>
              <w:rPr>
                <w:noProof/>
                <w:webHidden/>
              </w:rPr>
              <w:fldChar w:fldCharType="separate"/>
            </w:r>
            <w:r w:rsidR="00DD2B4E">
              <w:rPr>
                <w:noProof/>
                <w:webHidden/>
              </w:rPr>
              <w:t>266</w:t>
            </w:r>
            <w:r>
              <w:rPr>
                <w:noProof/>
                <w:webHidden/>
              </w:rPr>
              <w:fldChar w:fldCharType="end"/>
            </w:r>
          </w:hyperlink>
        </w:p>
        <w:p w:rsidR="00045A40" w:rsidRDefault="00045A40">
          <w:pPr>
            <w:pStyle w:val="TOC2"/>
            <w:tabs>
              <w:tab w:val="left" w:pos="1100"/>
              <w:tab w:val="right" w:leader="dot" w:pos="9350"/>
            </w:tabs>
            <w:rPr>
              <w:rFonts w:eastAsiaTheme="minorEastAsia"/>
              <w:noProof/>
            </w:rPr>
          </w:pPr>
          <w:hyperlink w:anchor="_Toc222652909" w:history="1">
            <w:r w:rsidRPr="00181C7D">
              <w:rPr>
                <w:rStyle w:val="Hyperlink"/>
                <w:noProof/>
              </w:rPr>
              <w:t>10.10</w:t>
            </w:r>
            <w:r>
              <w:rPr>
                <w:rFonts w:eastAsiaTheme="minorEastAsia"/>
                <w:noProof/>
              </w:rPr>
              <w:tab/>
            </w:r>
            <w:r w:rsidRPr="00181C7D">
              <w:rPr>
                <w:rStyle w:val="Hyperlink"/>
                <w:noProof/>
              </w:rPr>
              <w:t>Emerging Frontiers: Physical AI and the Next Wave of Corporate quasi-sovereignty</w:t>
            </w:r>
            <w:r>
              <w:rPr>
                <w:noProof/>
                <w:webHidden/>
              </w:rPr>
              <w:tab/>
            </w:r>
            <w:r>
              <w:rPr>
                <w:noProof/>
                <w:webHidden/>
              </w:rPr>
              <w:fldChar w:fldCharType="begin"/>
            </w:r>
            <w:r>
              <w:rPr>
                <w:noProof/>
                <w:webHidden/>
              </w:rPr>
              <w:instrText xml:space="preserve"> PAGEREF _Toc222652909 \h </w:instrText>
            </w:r>
            <w:r>
              <w:rPr>
                <w:noProof/>
                <w:webHidden/>
              </w:rPr>
            </w:r>
            <w:r>
              <w:rPr>
                <w:noProof/>
                <w:webHidden/>
              </w:rPr>
              <w:fldChar w:fldCharType="separate"/>
            </w:r>
            <w:r w:rsidR="00DD2B4E">
              <w:rPr>
                <w:noProof/>
                <w:webHidden/>
              </w:rPr>
              <w:t>267</w:t>
            </w:r>
            <w:r>
              <w:rPr>
                <w:noProof/>
                <w:webHidden/>
              </w:rPr>
              <w:fldChar w:fldCharType="end"/>
            </w:r>
          </w:hyperlink>
        </w:p>
        <w:p w:rsidR="00045A40" w:rsidRDefault="00045A40">
          <w:pPr>
            <w:pStyle w:val="TOC2"/>
            <w:tabs>
              <w:tab w:val="right" w:leader="dot" w:pos="9350"/>
            </w:tabs>
            <w:rPr>
              <w:rFonts w:eastAsiaTheme="minorEastAsia"/>
              <w:noProof/>
            </w:rPr>
          </w:pPr>
          <w:hyperlink w:anchor="_Toc222652910" w:history="1">
            <w:r w:rsidRPr="00181C7D">
              <w:rPr>
                <w:rStyle w:val="Hyperlink"/>
                <w:noProof/>
              </w:rPr>
              <w:t>10.11 Closing Reflection</w:t>
            </w:r>
            <w:r>
              <w:rPr>
                <w:noProof/>
                <w:webHidden/>
              </w:rPr>
              <w:tab/>
            </w:r>
            <w:r>
              <w:rPr>
                <w:noProof/>
                <w:webHidden/>
              </w:rPr>
              <w:fldChar w:fldCharType="begin"/>
            </w:r>
            <w:r>
              <w:rPr>
                <w:noProof/>
                <w:webHidden/>
              </w:rPr>
              <w:instrText xml:space="preserve"> PAGEREF _Toc222652910 \h </w:instrText>
            </w:r>
            <w:r>
              <w:rPr>
                <w:noProof/>
                <w:webHidden/>
              </w:rPr>
            </w:r>
            <w:r>
              <w:rPr>
                <w:noProof/>
                <w:webHidden/>
              </w:rPr>
              <w:fldChar w:fldCharType="separate"/>
            </w:r>
            <w:r w:rsidR="00DD2B4E">
              <w:rPr>
                <w:noProof/>
                <w:webHidden/>
              </w:rPr>
              <w:t>269</w:t>
            </w:r>
            <w:r>
              <w:rPr>
                <w:noProof/>
                <w:webHidden/>
              </w:rPr>
              <w:fldChar w:fldCharType="end"/>
            </w:r>
          </w:hyperlink>
        </w:p>
        <w:p w:rsidR="00045A40" w:rsidRDefault="00045A40">
          <w:pPr>
            <w:pStyle w:val="TOC2"/>
            <w:tabs>
              <w:tab w:val="right" w:leader="dot" w:pos="9350"/>
            </w:tabs>
            <w:rPr>
              <w:rFonts w:eastAsiaTheme="minorEastAsia"/>
              <w:noProof/>
            </w:rPr>
          </w:pPr>
          <w:hyperlink w:anchor="_Toc222652911" w:history="1">
            <w:r w:rsidRPr="00181C7D">
              <w:rPr>
                <w:rStyle w:val="Hyperlink"/>
                <w:noProof/>
              </w:rPr>
              <w:t>Reference List (A-Z)</w:t>
            </w:r>
            <w:r>
              <w:rPr>
                <w:noProof/>
                <w:webHidden/>
              </w:rPr>
              <w:tab/>
            </w:r>
            <w:r>
              <w:rPr>
                <w:noProof/>
                <w:webHidden/>
              </w:rPr>
              <w:fldChar w:fldCharType="begin"/>
            </w:r>
            <w:r>
              <w:rPr>
                <w:noProof/>
                <w:webHidden/>
              </w:rPr>
              <w:instrText xml:space="preserve"> PAGEREF _Toc222652911 \h </w:instrText>
            </w:r>
            <w:r>
              <w:rPr>
                <w:noProof/>
                <w:webHidden/>
              </w:rPr>
            </w:r>
            <w:r>
              <w:rPr>
                <w:noProof/>
                <w:webHidden/>
              </w:rPr>
              <w:fldChar w:fldCharType="separate"/>
            </w:r>
            <w:r w:rsidR="00DD2B4E">
              <w:rPr>
                <w:noProof/>
                <w:webHidden/>
              </w:rPr>
              <w:t>271</w:t>
            </w:r>
            <w:r>
              <w:rPr>
                <w:noProof/>
                <w:webHidden/>
              </w:rPr>
              <w:fldChar w:fldCharType="end"/>
            </w:r>
          </w:hyperlink>
        </w:p>
        <w:p w:rsidR="00816B26" w:rsidRPr="0044370F" w:rsidRDefault="00816B26">
          <w:pPr>
            <w:rPr>
              <w:rtl/>
              <w:cs/>
            </w:rPr>
          </w:pPr>
          <w:r w:rsidRPr="0044370F">
            <w:rPr>
              <w:b/>
              <w:bCs/>
              <w:lang w:val="he-IL"/>
            </w:rPr>
            <w:fldChar w:fldCharType="end"/>
          </w:r>
        </w:p>
      </w:sdtContent>
    </w:sdt>
    <w:p w:rsidR="00D624E8" w:rsidRPr="0044370F" w:rsidRDefault="00D624E8">
      <w:r w:rsidRPr="0044370F">
        <w:br w:type="page"/>
      </w:r>
    </w:p>
    <w:p w:rsidR="00D624E8" w:rsidRPr="0044370F" w:rsidRDefault="00D624E8" w:rsidP="006D666E">
      <w:pPr>
        <w:pStyle w:val="2"/>
      </w:pPr>
      <w:bookmarkStart w:id="4" w:name="_Toc215662230"/>
      <w:bookmarkStart w:id="5" w:name="_Toc222652691"/>
      <w:r w:rsidRPr="0044370F">
        <w:lastRenderedPageBreak/>
        <w:t>LIST OF TABLES</w:t>
      </w:r>
      <w:bookmarkEnd w:id="4"/>
      <w:bookmarkEnd w:id="5"/>
    </w:p>
    <w:p w:rsidR="00DD72BB" w:rsidRPr="0044370F" w:rsidRDefault="00DD72BB" w:rsidP="00DD72BB"/>
    <w:tbl>
      <w:tblPr>
        <w:tblStyle w:val="5"/>
        <w:tblW w:w="9351" w:type="dxa"/>
        <w:tblLook w:val="04A0" w:firstRow="1" w:lastRow="0" w:firstColumn="1" w:lastColumn="0" w:noHBand="0" w:noVBand="1"/>
      </w:tblPr>
      <w:tblGrid>
        <w:gridCol w:w="1980"/>
        <w:gridCol w:w="6520"/>
        <w:gridCol w:w="851"/>
      </w:tblGrid>
      <w:tr w:rsidR="007431AE" w:rsidRPr="0044370F" w:rsidTr="00DD72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sz w:val="24"/>
                <w:szCs w:val="24"/>
              </w:rPr>
            </w:pPr>
            <w:r w:rsidRPr="0044370F">
              <w:rPr>
                <w:rFonts w:cstheme="minorHAnsi"/>
                <w:sz w:val="24"/>
                <w:szCs w:val="24"/>
              </w:rPr>
              <w:t>TABLE NUMBER</w:t>
            </w:r>
          </w:p>
        </w:tc>
        <w:tc>
          <w:tcPr>
            <w:tcW w:w="6520" w:type="dxa"/>
            <w:shd w:val="clear" w:color="auto" w:fill="ACB9CA" w:themeFill="text2" w:themeFillTint="66"/>
          </w:tcPr>
          <w:p w:rsidR="003119A6" w:rsidRPr="0044370F" w:rsidRDefault="003119A6" w:rsidP="00051764">
            <w:pPr>
              <w:cnfStyle w:val="100000000000" w:firstRow="1" w:lastRow="0" w:firstColumn="0" w:lastColumn="0" w:oddVBand="0" w:evenVBand="0" w:oddHBand="0" w:evenHBand="0" w:firstRowFirstColumn="0" w:firstRowLastColumn="0" w:lastRowFirstColumn="0" w:lastRowLastColumn="0"/>
              <w:rPr>
                <w:sz w:val="24"/>
                <w:szCs w:val="24"/>
              </w:rPr>
            </w:pPr>
            <w:r w:rsidRPr="0044370F">
              <w:rPr>
                <w:sz w:val="24"/>
                <w:szCs w:val="24"/>
              </w:rPr>
              <w:t>SUBJECT</w:t>
            </w:r>
          </w:p>
          <w:p w:rsidR="007431AE" w:rsidRPr="0044370F" w:rsidRDefault="007431AE" w:rsidP="00051764">
            <w:pPr>
              <w:cnfStyle w:val="100000000000" w:firstRow="1" w:lastRow="0" w:firstColumn="0" w:lastColumn="0" w:oddVBand="0" w:evenVBand="0" w:oddHBand="0" w:evenHBand="0" w:firstRowFirstColumn="0" w:firstRowLastColumn="0" w:lastRowFirstColumn="0" w:lastRowLastColumn="0"/>
              <w:rPr>
                <w:sz w:val="24"/>
                <w:szCs w:val="24"/>
              </w:rPr>
            </w:pPr>
          </w:p>
        </w:tc>
        <w:tc>
          <w:tcPr>
            <w:tcW w:w="851" w:type="dxa"/>
            <w:shd w:val="clear" w:color="auto" w:fill="ACB9CA" w:themeFill="text2" w:themeFillTint="66"/>
          </w:tcPr>
          <w:p w:rsidR="007431AE" w:rsidRPr="0044370F" w:rsidRDefault="007431AE" w:rsidP="00051764">
            <w:pPr>
              <w:cnfStyle w:val="100000000000" w:firstRow="1" w:lastRow="0" w:firstColumn="0" w:lastColumn="0" w:oddVBand="0" w:evenVBand="0" w:oddHBand="0" w:evenHBand="0" w:firstRowFirstColumn="0" w:firstRowLastColumn="0" w:lastRowFirstColumn="0" w:lastRowLastColumn="0"/>
              <w:rPr>
                <w:sz w:val="24"/>
                <w:szCs w:val="24"/>
              </w:rPr>
            </w:pPr>
            <w:r w:rsidRPr="0044370F">
              <w:rPr>
                <w:sz w:val="24"/>
                <w:szCs w:val="24"/>
              </w:rPr>
              <w:t xml:space="preserve">PAGE </w:t>
            </w:r>
          </w:p>
        </w:tc>
      </w:tr>
      <w:tr w:rsidR="007431AE" w:rsidRPr="0044370F" w:rsidTr="00DD7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sz w:val="24"/>
                <w:szCs w:val="24"/>
              </w:rPr>
            </w:pPr>
            <w:r w:rsidRPr="0044370F">
              <w:rPr>
                <w:rFonts w:cstheme="minorHAnsi"/>
                <w:sz w:val="24"/>
                <w:szCs w:val="24"/>
              </w:rPr>
              <w:t>TABLE 1</w:t>
            </w:r>
          </w:p>
        </w:tc>
        <w:tc>
          <w:tcPr>
            <w:tcW w:w="6520" w:type="dxa"/>
          </w:tcPr>
          <w:p w:rsidR="007431AE" w:rsidRPr="0044370F" w:rsidRDefault="009E2790" w:rsidP="00051764">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cstheme="minorHAnsi"/>
                <w:sz w:val="24"/>
                <w:szCs w:val="24"/>
              </w:rPr>
              <w:t>Distinguishing Sovereignty, Authority, and Governance</w:t>
            </w:r>
          </w:p>
        </w:tc>
        <w:tc>
          <w:tcPr>
            <w:tcW w:w="851" w:type="dxa"/>
          </w:tcPr>
          <w:p w:rsidR="007431AE" w:rsidRPr="0044370F" w:rsidRDefault="00455D9D" w:rsidP="00051764">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78</w:t>
            </w:r>
          </w:p>
        </w:tc>
      </w:tr>
      <w:tr w:rsidR="007431AE" w:rsidRPr="0044370F" w:rsidTr="00DD72BB">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sz w:val="24"/>
                <w:szCs w:val="24"/>
              </w:rPr>
            </w:pPr>
            <w:r w:rsidRPr="0044370F">
              <w:rPr>
                <w:rFonts w:cstheme="minorHAnsi"/>
                <w:sz w:val="24"/>
                <w:szCs w:val="24"/>
              </w:rPr>
              <w:t>TABLE 2</w:t>
            </w:r>
          </w:p>
        </w:tc>
        <w:tc>
          <w:tcPr>
            <w:tcW w:w="6520" w:type="dxa"/>
          </w:tcPr>
          <w:p w:rsidR="007431AE" w:rsidRPr="0044370F" w:rsidRDefault="009E2790" w:rsidP="00051764">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Fonts w:cstheme="minorHAnsi"/>
                <w:sz w:val="24"/>
                <w:szCs w:val="24"/>
              </w:rPr>
              <w:t>Asymmetric Disciplinary Contributions to the Four Dimensions of Corporate Quasi-Sovereignty</w:t>
            </w:r>
          </w:p>
        </w:tc>
        <w:tc>
          <w:tcPr>
            <w:tcW w:w="851" w:type="dxa"/>
          </w:tcPr>
          <w:p w:rsidR="007431AE" w:rsidRPr="0044370F" w:rsidRDefault="00455D9D" w:rsidP="00051764">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85</w:t>
            </w:r>
          </w:p>
        </w:tc>
      </w:tr>
      <w:tr w:rsidR="007431AE" w:rsidRPr="0044370F" w:rsidTr="00DD7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sz w:val="24"/>
                <w:szCs w:val="24"/>
              </w:rPr>
            </w:pPr>
            <w:r w:rsidRPr="0044370F">
              <w:rPr>
                <w:rFonts w:cstheme="minorHAnsi"/>
                <w:sz w:val="24"/>
                <w:szCs w:val="24"/>
              </w:rPr>
              <w:t>TABLE 3</w:t>
            </w:r>
          </w:p>
        </w:tc>
        <w:tc>
          <w:tcPr>
            <w:tcW w:w="6520" w:type="dxa"/>
          </w:tcPr>
          <w:p w:rsidR="007431AE" w:rsidRPr="0044370F" w:rsidRDefault="00DD72BB" w:rsidP="00051764">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eastAsia="Times New Roman" w:cstheme="minorHAnsi"/>
                <w:sz w:val="24"/>
                <w:szCs w:val="24"/>
              </w:rPr>
              <w:t>Theoretical Foundations of the Four-Dimensional Corporate Quasi-Sovereignty Framework</w:t>
            </w:r>
          </w:p>
        </w:tc>
        <w:tc>
          <w:tcPr>
            <w:tcW w:w="851" w:type="dxa"/>
          </w:tcPr>
          <w:p w:rsidR="007431AE" w:rsidRPr="0044370F" w:rsidRDefault="00455D9D" w:rsidP="00051764">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86</w:t>
            </w:r>
          </w:p>
        </w:tc>
      </w:tr>
      <w:tr w:rsidR="007431AE" w:rsidRPr="0044370F" w:rsidTr="00DD72BB">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sz w:val="24"/>
                <w:szCs w:val="24"/>
              </w:rPr>
            </w:pPr>
            <w:r w:rsidRPr="0044370F">
              <w:rPr>
                <w:rFonts w:cstheme="minorHAnsi"/>
                <w:sz w:val="24"/>
                <w:szCs w:val="24"/>
              </w:rPr>
              <w:t>TABLE 4</w:t>
            </w:r>
          </w:p>
        </w:tc>
        <w:tc>
          <w:tcPr>
            <w:tcW w:w="6520" w:type="dxa"/>
          </w:tcPr>
          <w:p w:rsidR="007431AE" w:rsidRPr="0044370F" w:rsidRDefault="00DD72BB" w:rsidP="00051764">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Fonts w:cstheme="minorHAnsi"/>
                <w:sz w:val="24"/>
                <w:szCs w:val="24"/>
              </w:rPr>
              <w:t xml:space="preserve">Asymmetric </w:t>
            </w:r>
            <w:r w:rsidRPr="0044370F">
              <w:rPr>
                <w:rStyle w:val="a4"/>
                <w:rFonts w:cstheme="minorHAnsi"/>
                <w:b w:val="0"/>
                <w:bCs w:val="0"/>
                <w:sz w:val="24"/>
                <w:szCs w:val="24"/>
              </w:rPr>
              <w:t>Disciplinary Contributions to the Four Dimensions of Corporate Quasi-Sovereignty</w:t>
            </w:r>
          </w:p>
        </w:tc>
        <w:tc>
          <w:tcPr>
            <w:tcW w:w="851" w:type="dxa"/>
          </w:tcPr>
          <w:p w:rsidR="007431AE" w:rsidRPr="0044370F" w:rsidRDefault="00455D9D" w:rsidP="00051764">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94</w:t>
            </w:r>
          </w:p>
        </w:tc>
      </w:tr>
      <w:tr w:rsidR="007431AE" w:rsidRPr="0044370F" w:rsidTr="00DD7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sz w:val="24"/>
                <w:szCs w:val="24"/>
              </w:rPr>
            </w:pPr>
            <w:r w:rsidRPr="0044370F">
              <w:rPr>
                <w:rFonts w:cstheme="minorHAnsi"/>
                <w:sz w:val="24"/>
                <w:szCs w:val="24"/>
              </w:rPr>
              <w:t>TABLE 5</w:t>
            </w:r>
          </w:p>
        </w:tc>
        <w:tc>
          <w:tcPr>
            <w:tcW w:w="6520" w:type="dxa"/>
          </w:tcPr>
          <w:p w:rsidR="007431AE" w:rsidRPr="0044370F" w:rsidRDefault="00DD72BB" w:rsidP="00051764">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cstheme="minorHAnsi"/>
                <w:sz w:val="24"/>
                <w:szCs w:val="24"/>
              </w:rPr>
              <w:t>Illustrative Structure of the Analytical Codebook</w:t>
            </w:r>
          </w:p>
        </w:tc>
        <w:tc>
          <w:tcPr>
            <w:tcW w:w="851" w:type="dxa"/>
          </w:tcPr>
          <w:p w:rsidR="007431AE" w:rsidRPr="0044370F" w:rsidRDefault="00455D9D" w:rsidP="00051764">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104</w:t>
            </w:r>
          </w:p>
        </w:tc>
      </w:tr>
      <w:tr w:rsidR="007431AE" w:rsidRPr="0044370F" w:rsidTr="00DD72BB">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rFonts w:cstheme="minorHAnsi"/>
                <w:sz w:val="24"/>
                <w:szCs w:val="24"/>
              </w:rPr>
            </w:pPr>
            <w:r w:rsidRPr="0044370F">
              <w:rPr>
                <w:rFonts w:cstheme="minorHAnsi"/>
                <w:sz w:val="24"/>
                <w:szCs w:val="24"/>
              </w:rPr>
              <w:t>TABLE 6</w:t>
            </w:r>
          </w:p>
        </w:tc>
        <w:tc>
          <w:tcPr>
            <w:tcW w:w="6520" w:type="dxa"/>
          </w:tcPr>
          <w:p w:rsidR="007431AE" w:rsidRPr="0044370F" w:rsidRDefault="00DD72BB" w:rsidP="00051764">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Style w:val="a4"/>
                <w:rFonts w:eastAsiaTheme="majorEastAsia" w:cstheme="minorHAnsi"/>
                <w:b w:val="0"/>
                <w:bCs w:val="0"/>
                <w:sz w:val="24"/>
                <w:szCs w:val="24"/>
              </w:rPr>
              <w:t>Documentary Source Coverage Across Cases</w:t>
            </w:r>
          </w:p>
        </w:tc>
        <w:tc>
          <w:tcPr>
            <w:tcW w:w="851" w:type="dxa"/>
          </w:tcPr>
          <w:p w:rsidR="007431AE" w:rsidRPr="0044370F" w:rsidRDefault="00455D9D" w:rsidP="00051764">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104</w:t>
            </w:r>
          </w:p>
        </w:tc>
      </w:tr>
      <w:tr w:rsidR="007431AE" w:rsidRPr="0044370F" w:rsidTr="00DD7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rFonts w:cstheme="minorHAnsi"/>
                <w:sz w:val="24"/>
                <w:szCs w:val="24"/>
              </w:rPr>
            </w:pPr>
            <w:r w:rsidRPr="0044370F">
              <w:rPr>
                <w:rFonts w:cstheme="minorHAnsi"/>
                <w:sz w:val="24"/>
                <w:szCs w:val="24"/>
              </w:rPr>
              <w:t xml:space="preserve">TABLE 7 </w:t>
            </w:r>
          </w:p>
        </w:tc>
        <w:tc>
          <w:tcPr>
            <w:tcW w:w="6520" w:type="dxa"/>
          </w:tcPr>
          <w:p w:rsidR="007431AE" w:rsidRPr="0044370F" w:rsidRDefault="00DD72BB" w:rsidP="00051764">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cstheme="minorHAnsi"/>
                <w:sz w:val="24"/>
                <w:szCs w:val="24"/>
              </w:rPr>
              <w:t>Comparative Configurations of Corporate Quasi-Sovereignty</w:t>
            </w:r>
          </w:p>
        </w:tc>
        <w:tc>
          <w:tcPr>
            <w:tcW w:w="851" w:type="dxa"/>
          </w:tcPr>
          <w:p w:rsidR="007431AE" w:rsidRPr="0044370F" w:rsidRDefault="00455D9D" w:rsidP="00051764">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140</w:t>
            </w:r>
          </w:p>
        </w:tc>
      </w:tr>
      <w:tr w:rsidR="007431AE" w:rsidRPr="0044370F" w:rsidTr="00DD72BB">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rFonts w:cstheme="minorHAnsi"/>
                <w:sz w:val="24"/>
                <w:szCs w:val="24"/>
              </w:rPr>
            </w:pPr>
            <w:r w:rsidRPr="0044370F">
              <w:rPr>
                <w:rFonts w:cstheme="minorHAnsi"/>
                <w:sz w:val="24"/>
                <w:szCs w:val="24"/>
              </w:rPr>
              <w:t>TABLE 8</w:t>
            </w:r>
          </w:p>
        </w:tc>
        <w:tc>
          <w:tcPr>
            <w:tcW w:w="6520" w:type="dxa"/>
          </w:tcPr>
          <w:p w:rsidR="007431AE" w:rsidRPr="0044370F" w:rsidRDefault="00DD72BB" w:rsidP="00051764">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Style w:val="a4"/>
                <w:rFonts w:cstheme="minorHAnsi"/>
                <w:b w:val="0"/>
                <w:bCs w:val="0"/>
                <w:sz w:val="24"/>
                <w:szCs w:val="24"/>
              </w:rPr>
              <w:t>Application of the Four-Dimensional Framework to Meta Platforms</w:t>
            </w:r>
          </w:p>
        </w:tc>
        <w:tc>
          <w:tcPr>
            <w:tcW w:w="851" w:type="dxa"/>
          </w:tcPr>
          <w:p w:rsidR="007431AE" w:rsidRPr="0044370F" w:rsidRDefault="00455D9D" w:rsidP="00051764">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146</w:t>
            </w:r>
          </w:p>
        </w:tc>
      </w:tr>
      <w:tr w:rsidR="007431AE" w:rsidRPr="0044370F" w:rsidTr="00DD7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rFonts w:cstheme="minorHAnsi"/>
                <w:sz w:val="24"/>
                <w:szCs w:val="24"/>
              </w:rPr>
            </w:pPr>
            <w:r w:rsidRPr="0044370F">
              <w:rPr>
                <w:rFonts w:cstheme="minorHAnsi"/>
                <w:sz w:val="24"/>
                <w:szCs w:val="24"/>
              </w:rPr>
              <w:t>TABLE 9</w:t>
            </w:r>
          </w:p>
        </w:tc>
        <w:tc>
          <w:tcPr>
            <w:tcW w:w="6520" w:type="dxa"/>
          </w:tcPr>
          <w:p w:rsidR="007431AE" w:rsidRPr="0044370F" w:rsidRDefault="00DD72BB" w:rsidP="00051764">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Style w:val="a4"/>
                <w:rFonts w:cstheme="minorHAnsi"/>
                <w:b w:val="0"/>
                <w:bCs w:val="0"/>
                <w:sz w:val="24"/>
                <w:szCs w:val="24"/>
              </w:rPr>
              <w:t>Application of the Four-Dimensional Framework to Huawei Technologies</w:t>
            </w:r>
          </w:p>
        </w:tc>
        <w:tc>
          <w:tcPr>
            <w:tcW w:w="851" w:type="dxa"/>
          </w:tcPr>
          <w:p w:rsidR="007431AE" w:rsidRPr="0044370F" w:rsidRDefault="00455D9D" w:rsidP="00051764">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184</w:t>
            </w:r>
          </w:p>
        </w:tc>
      </w:tr>
      <w:tr w:rsidR="007431AE" w:rsidRPr="0044370F" w:rsidTr="00DD72BB">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051764">
            <w:pPr>
              <w:rPr>
                <w:rFonts w:cstheme="minorHAnsi"/>
                <w:sz w:val="24"/>
                <w:szCs w:val="24"/>
              </w:rPr>
            </w:pPr>
            <w:r w:rsidRPr="0044370F">
              <w:rPr>
                <w:rFonts w:cstheme="minorHAnsi"/>
                <w:sz w:val="24"/>
                <w:szCs w:val="24"/>
              </w:rPr>
              <w:t>TABLE 10</w:t>
            </w:r>
          </w:p>
        </w:tc>
        <w:tc>
          <w:tcPr>
            <w:tcW w:w="6520" w:type="dxa"/>
          </w:tcPr>
          <w:p w:rsidR="007431AE" w:rsidRPr="0044370F" w:rsidRDefault="00DD72BB" w:rsidP="00051764">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Style w:val="a4"/>
                <w:rFonts w:eastAsiaTheme="majorEastAsia" w:cstheme="minorHAnsi"/>
                <w:b w:val="0"/>
                <w:bCs w:val="0"/>
                <w:sz w:val="24"/>
                <w:szCs w:val="24"/>
              </w:rPr>
              <w:t>Application of the Four-Dimensional Framework to SAP SE</w:t>
            </w:r>
          </w:p>
        </w:tc>
        <w:tc>
          <w:tcPr>
            <w:tcW w:w="851" w:type="dxa"/>
          </w:tcPr>
          <w:p w:rsidR="007431AE" w:rsidRPr="0044370F" w:rsidRDefault="00455D9D" w:rsidP="00051764">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187</w:t>
            </w:r>
          </w:p>
        </w:tc>
      </w:tr>
      <w:tr w:rsidR="007431AE" w:rsidRPr="0044370F" w:rsidTr="00DD7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7431AE">
            <w:pPr>
              <w:rPr>
                <w:rFonts w:cstheme="minorHAnsi"/>
                <w:sz w:val="24"/>
                <w:szCs w:val="24"/>
              </w:rPr>
            </w:pPr>
            <w:r w:rsidRPr="0044370F">
              <w:rPr>
                <w:rFonts w:cstheme="minorHAnsi"/>
                <w:sz w:val="24"/>
                <w:szCs w:val="24"/>
              </w:rPr>
              <w:t>TABLE 11</w:t>
            </w:r>
          </w:p>
        </w:tc>
        <w:tc>
          <w:tcPr>
            <w:tcW w:w="6520" w:type="dxa"/>
          </w:tcPr>
          <w:p w:rsidR="007431AE" w:rsidRPr="0044370F" w:rsidRDefault="00DD72BB" w:rsidP="007431A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cstheme="minorHAnsi"/>
                <w:sz w:val="24"/>
                <w:szCs w:val="24"/>
              </w:rPr>
              <w:t>Operationalization of Corporate Quasi-Sovereignty</w:t>
            </w:r>
          </w:p>
        </w:tc>
        <w:tc>
          <w:tcPr>
            <w:tcW w:w="851" w:type="dxa"/>
          </w:tcPr>
          <w:p w:rsidR="007431AE" w:rsidRPr="0044370F" w:rsidRDefault="00455D9D" w:rsidP="007431AE">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210</w:t>
            </w:r>
          </w:p>
        </w:tc>
      </w:tr>
      <w:tr w:rsidR="007431AE" w:rsidRPr="0044370F" w:rsidTr="00DD72BB">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7431AE">
            <w:pPr>
              <w:rPr>
                <w:rFonts w:cstheme="minorHAnsi"/>
                <w:sz w:val="24"/>
                <w:szCs w:val="24"/>
              </w:rPr>
            </w:pPr>
            <w:r w:rsidRPr="0044370F">
              <w:rPr>
                <w:rFonts w:cstheme="minorHAnsi"/>
                <w:sz w:val="24"/>
                <w:szCs w:val="24"/>
              </w:rPr>
              <w:t>TABLE 12</w:t>
            </w:r>
          </w:p>
        </w:tc>
        <w:tc>
          <w:tcPr>
            <w:tcW w:w="6520" w:type="dxa"/>
          </w:tcPr>
          <w:p w:rsidR="007431AE" w:rsidRPr="0044370F" w:rsidRDefault="00DD72BB" w:rsidP="007431AE">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Style w:val="a4"/>
                <w:rFonts w:cstheme="minorHAnsi"/>
                <w:b w:val="0"/>
                <w:bCs w:val="0"/>
                <w:sz w:val="24"/>
                <w:szCs w:val="24"/>
              </w:rPr>
              <w:t>Comparative Forms of Sovereignty Across Meta, Huawei, and SAP</w:t>
            </w:r>
          </w:p>
        </w:tc>
        <w:tc>
          <w:tcPr>
            <w:tcW w:w="851" w:type="dxa"/>
          </w:tcPr>
          <w:p w:rsidR="007431AE" w:rsidRPr="0044370F" w:rsidRDefault="00455D9D" w:rsidP="007431AE">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227</w:t>
            </w:r>
          </w:p>
        </w:tc>
      </w:tr>
      <w:tr w:rsidR="007431AE" w:rsidRPr="0044370F" w:rsidTr="00DD72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7431AE" w:rsidRPr="0044370F" w:rsidRDefault="007431AE" w:rsidP="007431AE">
            <w:pPr>
              <w:rPr>
                <w:rFonts w:cstheme="minorHAnsi"/>
                <w:sz w:val="24"/>
                <w:szCs w:val="24"/>
              </w:rPr>
            </w:pPr>
            <w:r w:rsidRPr="0044370F">
              <w:rPr>
                <w:rFonts w:cstheme="minorHAnsi"/>
                <w:sz w:val="24"/>
                <w:szCs w:val="24"/>
              </w:rPr>
              <w:t>TABLE 13</w:t>
            </w:r>
          </w:p>
        </w:tc>
        <w:tc>
          <w:tcPr>
            <w:tcW w:w="6520" w:type="dxa"/>
          </w:tcPr>
          <w:p w:rsidR="007431AE" w:rsidRPr="0044370F" w:rsidRDefault="00DD72BB" w:rsidP="007431A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Style w:val="a4"/>
                <w:rFonts w:cstheme="minorHAnsi"/>
                <w:b w:val="0"/>
                <w:bCs w:val="0"/>
                <w:sz w:val="24"/>
                <w:szCs w:val="24"/>
              </w:rPr>
              <w:t>Competing Sovereignty Models in the Digital Age</w:t>
            </w:r>
          </w:p>
        </w:tc>
        <w:tc>
          <w:tcPr>
            <w:tcW w:w="851" w:type="dxa"/>
          </w:tcPr>
          <w:p w:rsidR="007431AE" w:rsidRPr="0044370F" w:rsidRDefault="00455D9D" w:rsidP="007431AE">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235</w:t>
            </w:r>
          </w:p>
        </w:tc>
      </w:tr>
      <w:tr w:rsidR="00DD72BB" w:rsidRPr="0044370F" w:rsidTr="00DD72BB">
        <w:tc>
          <w:tcPr>
            <w:cnfStyle w:val="001000000000" w:firstRow="0" w:lastRow="0" w:firstColumn="1" w:lastColumn="0" w:oddVBand="0" w:evenVBand="0" w:oddHBand="0" w:evenHBand="0" w:firstRowFirstColumn="0" w:firstRowLastColumn="0" w:lastRowFirstColumn="0" w:lastRowLastColumn="0"/>
            <w:tcW w:w="1980" w:type="dxa"/>
            <w:shd w:val="clear" w:color="auto" w:fill="8496B0" w:themeFill="text2" w:themeFillTint="99"/>
          </w:tcPr>
          <w:p w:rsidR="00DD72BB" w:rsidRPr="0044370F" w:rsidRDefault="00DD72BB" w:rsidP="007431AE">
            <w:pPr>
              <w:rPr>
                <w:rFonts w:cstheme="minorHAnsi"/>
                <w:sz w:val="24"/>
                <w:szCs w:val="24"/>
              </w:rPr>
            </w:pPr>
            <w:r w:rsidRPr="0044370F">
              <w:rPr>
                <w:rFonts w:cstheme="minorHAnsi"/>
                <w:sz w:val="24"/>
                <w:szCs w:val="24"/>
              </w:rPr>
              <w:t>TABLE 14</w:t>
            </w:r>
          </w:p>
        </w:tc>
        <w:tc>
          <w:tcPr>
            <w:tcW w:w="6520" w:type="dxa"/>
          </w:tcPr>
          <w:p w:rsidR="00DD72BB" w:rsidRPr="0044370F" w:rsidRDefault="00DD72BB" w:rsidP="007431AE">
            <w:pPr>
              <w:cnfStyle w:val="000000000000" w:firstRow="0" w:lastRow="0" w:firstColumn="0" w:lastColumn="0" w:oddVBand="0" w:evenVBand="0" w:oddHBand="0" w:evenHBand="0" w:firstRowFirstColumn="0" w:firstRowLastColumn="0" w:lastRowFirstColumn="0" w:lastRowLastColumn="0"/>
              <w:rPr>
                <w:rStyle w:val="a4"/>
                <w:rFonts w:cstheme="minorHAnsi"/>
                <w:b w:val="0"/>
                <w:bCs w:val="0"/>
                <w:sz w:val="24"/>
                <w:szCs w:val="24"/>
              </w:rPr>
            </w:pPr>
            <w:r w:rsidRPr="0044370F">
              <w:rPr>
                <w:rFonts w:eastAsia="Times New Roman" w:cstheme="minorHAnsi"/>
                <w:sz w:val="24"/>
                <w:szCs w:val="24"/>
              </w:rPr>
              <w:t>Illustrative Comparison Across the Four Dimensions</w:t>
            </w:r>
          </w:p>
        </w:tc>
        <w:tc>
          <w:tcPr>
            <w:tcW w:w="851" w:type="dxa"/>
          </w:tcPr>
          <w:p w:rsidR="00DD72BB" w:rsidRPr="0044370F" w:rsidRDefault="00455D9D" w:rsidP="007431AE">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250</w:t>
            </w:r>
          </w:p>
        </w:tc>
      </w:tr>
    </w:tbl>
    <w:p w:rsidR="00D624E8" w:rsidRPr="0044370F" w:rsidRDefault="00D624E8">
      <w:r w:rsidRPr="0044370F">
        <w:br w:type="page"/>
      </w:r>
    </w:p>
    <w:p w:rsidR="00D624E8" w:rsidRPr="0044370F" w:rsidRDefault="00D624E8" w:rsidP="006D666E">
      <w:pPr>
        <w:pStyle w:val="2"/>
      </w:pPr>
      <w:bookmarkStart w:id="6" w:name="_Toc158725092"/>
      <w:bookmarkStart w:id="7" w:name="_Toc203852124"/>
      <w:bookmarkStart w:id="8" w:name="_Toc215662231"/>
      <w:bookmarkStart w:id="9" w:name="_Toc222652692"/>
      <w:r w:rsidRPr="0044370F">
        <w:lastRenderedPageBreak/>
        <w:t>LIST OF FIGURES</w:t>
      </w:r>
      <w:bookmarkEnd w:id="6"/>
      <w:bookmarkEnd w:id="7"/>
      <w:bookmarkEnd w:id="8"/>
      <w:bookmarkEnd w:id="9"/>
    </w:p>
    <w:p w:rsidR="00D624E8" w:rsidRPr="0044370F" w:rsidRDefault="00D624E8" w:rsidP="00D624E8"/>
    <w:tbl>
      <w:tblPr>
        <w:tblStyle w:val="5"/>
        <w:tblW w:w="9351" w:type="dxa"/>
        <w:tblLook w:val="04A0" w:firstRow="1" w:lastRow="0" w:firstColumn="1" w:lastColumn="0" w:noHBand="0" w:noVBand="1"/>
      </w:tblPr>
      <w:tblGrid>
        <w:gridCol w:w="1980"/>
        <w:gridCol w:w="6520"/>
        <w:gridCol w:w="851"/>
      </w:tblGrid>
      <w:tr w:rsidR="007431AE" w:rsidRPr="0044370F" w:rsidTr="009A5B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538135" w:themeFill="accent6" w:themeFillShade="BF"/>
          </w:tcPr>
          <w:p w:rsidR="007431AE" w:rsidRPr="0044370F" w:rsidRDefault="007431AE" w:rsidP="007431AE">
            <w:pPr>
              <w:rPr>
                <w:sz w:val="24"/>
                <w:szCs w:val="24"/>
              </w:rPr>
            </w:pPr>
            <w:r w:rsidRPr="0044370F">
              <w:rPr>
                <w:rFonts w:cstheme="minorHAnsi"/>
                <w:sz w:val="24"/>
                <w:szCs w:val="24"/>
              </w:rPr>
              <w:t>FIGURE NUMBER</w:t>
            </w:r>
          </w:p>
        </w:tc>
        <w:tc>
          <w:tcPr>
            <w:tcW w:w="6520" w:type="dxa"/>
            <w:shd w:val="clear" w:color="auto" w:fill="A8D08D" w:themeFill="accent6" w:themeFillTint="99"/>
          </w:tcPr>
          <w:p w:rsidR="007431AE" w:rsidRPr="0044370F" w:rsidRDefault="003119A6" w:rsidP="007431AE">
            <w:pPr>
              <w:cnfStyle w:val="100000000000" w:firstRow="1" w:lastRow="0" w:firstColumn="0" w:lastColumn="0" w:oddVBand="0" w:evenVBand="0" w:oddHBand="0" w:evenHBand="0" w:firstRowFirstColumn="0" w:firstRowLastColumn="0" w:lastRowFirstColumn="0" w:lastRowLastColumn="0"/>
              <w:rPr>
                <w:sz w:val="24"/>
                <w:szCs w:val="24"/>
              </w:rPr>
            </w:pPr>
            <w:r w:rsidRPr="0044370F">
              <w:rPr>
                <w:sz w:val="24"/>
                <w:szCs w:val="24"/>
              </w:rPr>
              <w:t xml:space="preserve">SUBJECT </w:t>
            </w:r>
          </w:p>
        </w:tc>
        <w:tc>
          <w:tcPr>
            <w:tcW w:w="851" w:type="dxa"/>
            <w:shd w:val="clear" w:color="auto" w:fill="A8D08D" w:themeFill="accent6" w:themeFillTint="99"/>
          </w:tcPr>
          <w:p w:rsidR="007431AE" w:rsidRPr="0044370F" w:rsidRDefault="007431AE" w:rsidP="007431AE">
            <w:pPr>
              <w:cnfStyle w:val="100000000000" w:firstRow="1" w:lastRow="0" w:firstColumn="0" w:lastColumn="0" w:oddVBand="0" w:evenVBand="0" w:oddHBand="0" w:evenHBand="0" w:firstRowFirstColumn="0" w:firstRowLastColumn="0" w:lastRowFirstColumn="0" w:lastRowLastColumn="0"/>
              <w:rPr>
                <w:sz w:val="24"/>
                <w:szCs w:val="24"/>
              </w:rPr>
            </w:pPr>
            <w:r w:rsidRPr="0044370F">
              <w:rPr>
                <w:sz w:val="24"/>
                <w:szCs w:val="24"/>
              </w:rPr>
              <w:t xml:space="preserve">PAGE </w:t>
            </w:r>
          </w:p>
        </w:tc>
      </w:tr>
      <w:tr w:rsidR="007431AE" w:rsidRPr="0044370F" w:rsidTr="009A5B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538135" w:themeFill="accent6" w:themeFillShade="BF"/>
          </w:tcPr>
          <w:p w:rsidR="007431AE" w:rsidRPr="0044370F" w:rsidRDefault="007431AE" w:rsidP="007431AE">
            <w:pPr>
              <w:rPr>
                <w:sz w:val="24"/>
                <w:szCs w:val="24"/>
              </w:rPr>
            </w:pPr>
            <w:r w:rsidRPr="0044370F">
              <w:rPr>
                <w:rFonts w:cstheme="minorHAnsi"/>
                <w:sz w:val="24"/>
                <w:szCs w:val="24"/>
              </w:rPr>
              <w:t>FIGURE 1</w:t>
            </w:r>
          </w:p>
        </w:tc>
        <w:tc>
          <w:tcPr>
            <w:tcW w:w="6520" w:type="dxa"/>
          </w:tcPr>
          <w:p w:rsidR="007431AE" w:rsidRPr="0044370F" w:rsidRDefault="009A5BE8" w:rsidP="007431A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cstheme="minorHAnsi"/>
                <w:sz w:val="24"/>
                <w:szCs w:val="24"/>
              </w:rPr>
              <w:t xml:space="preserve">Evolution of socio-political authority </w:t>
            </w:r>
          </w:p>
        </w:tc>
        <w:tc>
          <w:tcPr>
            <w:tcW w:w="851" w:type="dxa"/>
          </w:tcPr>
          <w:p w:rsidR="007431AE" w:rsidRPr="0044370F" w:rsidRDefault="00455D9D" w:rsidP="007431AE">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30</w:t>
            </w:r>
          </w:p>
        </w:tc>
      </w:tr>
      <w:tr w:rsidR="007431AE" w:rsidRPr="0044370F" w:rsidTr="009A5BE8">
        <w:tc>
          <w:tcPr>
            <w:cnfStyle w:val="001000000000" w:firstRow="0" w:lastRow="0" w:firstColumn="1" w:lastColumn="0" w:oddVBand="0" w:evenVBand="0" w:oddHBand="0" w:evenHBand="0" w:firstRowFirstColumn="0" w:firstRowLastColumn="0" w:lastRowFirstColumn="0" w:lastRowLastColumn="0"/>
            <w:tcW w:w="1980" w:type="dxa"/>
            <w:shd w:val="clear" w:color="auto" w:fill="538135" w:themeFill="accent6" w:themeFillShade="BF"/>
          </w:tcPr>
          <w:p w:rsidR="007431AE" w:rsidRPr="0044370F" w:rsidRDefault="007431AE" w:rsidP="007431AE">
            <w:pPr>
              <w:rPr>
                <w:sz w:val="24"/>
                <w:szCs w:val="24"/>
              </w:rPr>
            </w:pPr>
            <w:r w:rsidRPr="0044370F">
              <w:rPr>
                <w:rFonts w:cstheme="minorHAnsi"/>
                <w:sz w:val="24"/>
                <w:szCs w:val="24"/>
              </w:rPr>
              <w:t>FIGURE 2</w:t>
            </w:r>
          </w:p>
        </w:tc>
        <w:tc>
          <w:tcPr>
            <w:tcW w:w="6520" w:type="dxa"/>
          </w:tcPr>
          <w:p w:rsidR="007431AE" w:rsidRPr="0044370F" w:rsidRDefault="009A5BE8" w:rsidP="007431AE">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Fonts w:cstheme="minorHAnsi"/>
                <w:sz w:val="24"/>
                <w:szCs w:val="24"/>
              </w:rPr>
              <w:t xml:space="preserve">Four-Dimensional model integrating concepts </w:t>
            </w:r>
          </w:p>
        </w:tc>
        <w:tc>
          <w:tcPr>
            <w:tcW w:w="851" w:type="dxa"/>
          </w:tcPr>
          <w:p w:rsidR="007431AE" w:rsidRPr="0044370F" w:rsidRDefault="00455D9D" w:rsidP="007431AE">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95</w:t>
            </w:r>
          </w:p>
        </w:tc>
      </w:tr>
      <w:tr w:rsidR="007431AE" w:rsidRPr="0044370F" w:rsidTr="009A5B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538135" w:themeFill="accent6" w:themeFillShade="BF"/>
          </w:tcPr>
          <w:p w:rsidR="007431AE" w:rsidRPr="0044370F" w:rsidRDefault="007431AE" w:rsidP="007431AE">
            <w:pPr>
              <w:rPr>
                <w:sz w:val="24"/>
                <w:szCs w:val="24"/>
              </w:rPr>
            </w:pPr>
            <w:r w:rsidRPr="0044370F">
              <w:rPr>
                <w:rFonts w:cstheme="minorHAnsi"/>
                <w:sz w:val="24"/>
                <w:szCs w:val="24"/>
              </w:rPr>
              <w:t>FIGURE 3</w:t>
            </w:r>
          </w:p>
        </w:tc>
        <w:tc>
          <w:tcPr>
            <w:tcW w:w="6520" w:type="dxa"/>
          </w:tcPr>
          <w:p w:rsidR="007431AE" w:rsidRPr="0044370F" w:rsidRDefault="009A5BE8" w:rsidP="007431AE">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cstheme="minorHAnsi"/>
                <w:sz w:val="24"/>
                <w:szCs w:val="24"/>
              </w:rPr>
              <w:t>Three Trajectories of Corporate Quasi-Sovereignty</w:t>
            </w:r>
          </w:p>
        </w:tc>
        <w:tc>
          <w:tcPr>
            <w:tcW w:w="851" w:type="dxa"/>
          </w:tcPr>
          <w:p w:rsidR="007431AE" w:rsidRPr="0044370F" w:rsidRDefault="00455D9D" w:rsidP="007431AE">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135</w:t>
            </w:r>
          </w:p>
        </w:tc>
      </w:tr>
      <w:tr w:rsidR="007431AE" w:rsidRPr="0044370F" w:rsidTr="009A5BE8">
        <w:tc>
          <w:tcPr>
            <w:cnfStyle w:val="001000000000" w:firstRow="0" w:lastRow="0" w:firstColumn="1" w:lastColumn="0" w:oddVBand="0" w:evenVBand="0" w:oddHBand="0" w:evenHBand="0" w:firstRowFirstColumn="0" w:firstRowLastColumn="0" w:lastRowFirstColumn="0" w:lastRowLastColumn="0"/>
            <w:tcW w:w="1980" w:type="dxa"/>
            <w:shd w:val="clear" w:color="auto" w:fill="538135" w:themeFill="accent6" w:themeFillShade="BF"/>
          </w:tcPr>
          <w:p w:rsidR="007431AE" w:rsidRPr="0044370F" w:rsidRDefault="007431AE" w:rsidP="007431AE">
            <w:pPr>
              <w:rPr>
                <w:sz w:val="24"/>
                <w:szCs w:val="24"/>
              </w:rPr>
            </w:pPr>
            <w:r w:rsidRPr="0044370F">
              <w:rPr>
                <w:rFonts w:cstheme="minorHAnsi"/>
                <w:sz w:val="24"/>
                <w:szCs w:val="24"/>
              </w:rPr>
              <w:t>FIGURE 4</w:t>
            </w:r>
          </w:p>
        </w:tc>
        <w:tc>
          <w:tcPr>
            <w:tcW w:w="6520" w:type="dxa"/>
          </w:tcPr>
          <w:p w:rsidR="007431AE" w:rsidRPr="0044370F" w:rsidRDefault="009A5BE8" w:rsidP="009A5BE8">
            <w:pPr>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44370F">
              <w:rPr>
                <w:rFonts w:cstheme="minorHAnsi"/>
                <w:sz w:val="24"/>
                <w:szCs w:val="24"/>
              </w:rPr>
              <w:t xml:space="preserve">Venn Diagram of Corporate Quasi-Sovereignty </w:t>
            </w:r>
          </w:p>
        </w:tc>
        <w:tc>
          <w:tcPr>
            <w:tcW w:w="851" w:type="dxa"/>
          </w:tcPr>
          <w:p w:rsidR="007431AE" w:rsidRPr="0044370F" w:rsidRDefault="00455D9D" w:rsidP="007431AE">
            <w:pPr>
              <w:cnfStyle w:val="000000000000" w:firstRow="0" w:lastRow="0" w:firstColumn="0" w:lastColumn="0" w:oddVBand="0" w:evenVBand="0" w:oddHBand="0" w:evenHBand="0" w:firstRowFirstColumn="0" w:firstRowLastColumn="0" w:lastRowFirstColumn="0" w:lastRowLastColumn="0"/>
              <w:rPr>
                <w:sz w:val="24"/>
                <w:szCs w:val="24"/>
                <w:lang w:val="en-US"/>
              </w:rPr>
            </w:pPr>
            <w:r>
              <w:rPr>
                <w:sz w:val="24"/>
                <w:szCs w:val="24"/>
                <w:lang w:val="en-US"/>
              </w:rPr>
              <w:t>211</w:t>
            </w:r>
          </w:p>
        </w:tc>
      </w:tr>
      <w:tr w:rsidR="009C6102" w:rsidRPr="0044370F" w:rsidTr="009A5B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538135" w:themeFill="accent6" w:themeFillShade="BF"/>
          </w:tcPr>
          <w:p w:rsidR="009C6102" w:rsidRPr="0044370F" w:rsidRDefault="009C6102" w:rsidP="009C6102">
            <w:pPr>
              <w:rPr>
                <w:sz w:val="24"/>
                <w:szCs w:val="24"/>
                <w:lang w:val="en-US"/>
              </w:rPr>
            </w:pPr>
            <w:r w:rsidRPr="0044370F">
              <w:rPr>
                <w:rFonts w:cstheme="minorHAnsi"/>
                <w:sz w:val="24"/>
                <w:szCs w:val="24"/>
              </w:rPr>
              <w:t xml:space="preserve">FIGURE </w:t>
            </w:r>
            <w:r w:rsidRPr="0044370F">
              <w:rPr>
                <w:rFonts w:cstheme="minorHAnsi"/>
                <w:sz w:val="24"/>
                <w:szCs w:val="24"/>
                <w:lang w:val="en-US"/>
              </w:rPr>
              <w:t>5</w:t>
            </w:r>
          </w:p>
        </w:tc>
        <w:tc>
          <w:tcPr>
            <w:tcW w:w="6520" w:type="dxa"/>
          </w:tcPr>
          <w:p w:rsidR="009C6102" w:rsidRPr="0044370F" w:rsidRDefault="006B3084" w:rsidP="009C6102">
            <w:pPr>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44370F">
              <w:rPr>
                <w:rFonts w:cstheme="minorHAnsi"/>
                <w:sz w:val="24"/>
                <w:szCs w:val="24"/>
              </w:rPr>
              <w:t>The Four-Dimensional Model of Corporate Quasi-Sovereignty</w:t>
            </w:r>
          </w:p>
        </w:tc>
        <w:tc>
          <w:tcPr>
            <w:tcW w:w="851" w:type="dxa"/>
          </w:tcPr>
          <w:p w:rsidR="009C6102" w:rsidRPr="0044370F" w:rsidRDefault="00455D9D" w:rsidP="009C6102">
            <w:pPr>
              <w:cnfStyle w:val="000000100000" w:firstRow="0" w:lastRow="0" w:firstColumn="0" w:lastColumn="0" w:oddVBand="0" w:evenVBand="0" w:oddHBand="1" w:evenHBand="0" w:firstRowFirstColumn="0" w:firstRowLastColumn="0" w:lastRowFirstColumn="0" w:lastRowLastColumn="0"/>
              <w:rPr>
                <w:sz w:val="24"/>
                <w:szCs w:val="24"/>
                <w:lang w:val="en-US"/>
              </w:rPr>
            </w:pPr>
            <w:r>
              <w:rPr>
                <w:sz w:val="24"/>
                <w:szCs w:val="24"/>
                <w:lang w:val="en-US"/>
              </w:rPr>
              <w:t>250</w:t>
            </w:r>
          </w:p>
        </w:tc>
      </w:tr>
    </w:tbl>
    <w:p w:rsidR="00D624E8" w:rsidRPr="0044370F" w:rsidRDefault="00D624E8">
      <w:r w:rsidRPr="0044370F">
        <w:br w:type="page"/>
      </w:r>
    </w:p>
    <w:p w:rsidR="00D624E8" w:rsidRPr="0044370F" w:rsidRDefault="00D624E8" w:rsidP="006D666E">
      <w:pPr>
        <w:pStyle w:val="2"/>
        <w:rPr>
          <w:rFonts w:eastAsia="Times New Roman"/>
        </w:rPr>
      </w:pPr>
      <w:bookmarkStart w:id="10" w:name="_Toc222652693"/>
      <w:r w:rsidRPr="0044370F">
        <w:rPr>
          <w:rFonts w:eastAsia="Times New Roman"/>
        </w:rPr>
        <w:lastRenderedPageBreak/>
        <w:t>Dedication</w:t>
      </w:r>
      <w:bookmarkEnd w:id="10"/>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dissertation is dedicated to my parents,</w:t>
      </w:r>
      <w:r w:rsidRPr="0044370F">
        <w:rPr>
          <w:rFonts w:ascii="Times New Roman" w:eastAsia="Times New Roman" w:hAnsi="Times New Roman" w:cs="Times New Roman" w:hint="cs"/>
          <w:sz w:val="24"/>
          <w:szCs w:val="24"/>
          <w:rtl/>
        </w:rPr>
        <w:t xml:space="preserve"> </w:t>
      </w:r>
      <w:r w:rsidRPr="0044370F">
        <w:rPr>
          <w:rFonts w:ascii="Times New Roman" w:eastAsia="Times New Roman" w:hAnsi="Times New Roman" w:cs="Times New Roman"/>
          <w:sz w:val="24"/>
          <w:szCs w:val="24"/>
        </w:rPr>
        <w:t>who instilled in me a deep love of learning and an enduring curiosity about the world.</w:t>
      </w: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From an early age, they encouraged me to ask questions, to read, to think independently, and to see education not merely as a path to achievement, but as a way to enrich life itself. Their belief in the value of knowledge shaped who I am, long before this research ever began.</w:t>
      </w:r>
    </w:p>
    <w:p w:rsidR="00D624E8" w:rsidRPr="0044370F" w:rsidRDefault="00D624E8" w:rsidP="00D624E8">
      <w:pPr>
        <w:pStyle w:val="NormalWeb"/>
        <w:rPr>
          <w:b/>
          <w:bCs/>
        </w:rPr>
      </w:pPr>
      <w:r w:rsidRPr="0044370F">
        <w:rPr>
          <w:rStyle w:val="a4"/>
          <w:b w:val="0"/>
          <w:bCs w:val="0"/>
        </w:rPr>
        <w:t>Their absence is deeply felt, and I regret that they cannot witness this milestone, share its meaning, or know how profoundly their encouragement continues to guide me.</w:t>
      </w: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work stands as a quiet testament to their influence, their values, and the intellectual generosity they gave me. </w:t>
      </w: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Everything I have learned along the way carries their imprint.</w:t>
      </w:r>
    </w:p>
    <w:p w:rsidR="00D624E8" w:rsidRPr="0044370F" w:rsidRDefault="00D624E8">
      <w:r w:rsidRPr="0044370F">
        <w:br w:type="page"/>
      </w:r>
    </w:p>
    <w:p w:rsidR="00D624E8" w:rsidRPr="0044370F" w:rsidRDefault="0060194B" w:rsidP="006D666E">
      <w:pPr>
        <w:pStyle w:val="2"/>
        <w:rPr>
          <w:rFonts w:eastAsia="Times New Roman"/>
        </w:rPr>
      </w:pPr>
      <w:bookmarkStart w:id="11" w:name="_Toc222652694"/>
      <w:r w:rsidRPr="0044370F">
        <w:rPr>
          <w:rFonts w:eastAsia="Times New Roman"/>
        </w:rPr>
        <w:lastRenderedPageBreak/>
        <w:t xml:space="preserve">Personal Note and </w:t>
      </w:r>
      <w:r w:rsidR="00D624E8" w:rsidRPr="0044370F">
        <w:rPr>
          <w:rFonts w:eastAsia="Times New Roman"/>
        </w:rPr>
        <w:t>Acknowledgements</w:t>
      </w:r>
      <w:bookmarkEnd w:id="11"/>
    </w:p>
    <w:p w:rsidR="006108F7" w:rsidRPr="0044370F" w:rsidRDefault="006108F7" w:rsidP="00A25B3E">
      <w:pPr>
        <w:pStyle w:val="NormalWeb"/>
        <w:spacing w:line="360" w:lineRule="auto"/>
        <w:jc w:val="both"/>
      </w:pPr>
      <w:r w:rsidRPr="0044370F">
        <w:t>As I reach the final stage of this dissertation, I reflect not only on my research journey but also on the broader forces shaping the world today. The subject of this work</w:t>
      </w:r>
      <w:r w:rsidR="00A25B3E" w:rsidRPr="0044370F">
        <w:rPr>
          <w:rtl/>
        </w:rPr>
        <w:t>,</w:t>
      </w:r>
      <w:r w:rsidRPr="0044370F">
        <w:rPr>
          <w:rFonts w:hint="cs"/>
          <w:rtl/>
        </w:rPr>
        <w:t xml:space="preserve"> </w:t>
      </w:r>
      <w:r w:rsidRPr="0044370F">
        <w:t>sovereignty, technology, and the shifting architectures of global power, is not merely an academic question for me. It represents an urgent inquiry into the conditions of human life in the twenty-first century.</w:t>
      </w:r>
    </w:p>
    <w:p w:rsidR="006108F7" w:rsidRPr="0044370F" w:rsidRDefault="006108F7" w:rsidP="006108F7">
      <w:pPr>
        <w:pStyle w:val="NormalWeb"/>
        <w:spacing w:line="360" w:lineRule="auto"/>
        <w:jc w:val="both"/>
      </w:pPr>
      <w:r w:rsidRPr="0044370F">
        <w:t>This research examines systems of control, flows of capital, and infrastructures that shape who prospers and who is marginalized. It seeks to understand why, despite unprecedented technological possibilities, societies continue to grapple with inequality, fragmentation, and the concentration of power. Writing about power inevitably raises questions of responsibility. Examining sovereignty requires attention to the fragile bonds that hold societies together and the fractures that emerge as those bonds are strained by economic and technological change.</w:t>
      </w:r>
    </w:p>
    <w:p w:rsidR="006108F7" w:rsidRPr="0044370F" w:rsidRDefault="006108F7" w:rsidP="006108F7">
      <w:pPr>
        <w:pStyle w:val="NormalWeb"/>
        <w:spacing w:line="360" w:lineRule="auto"/>
        <w:jc w:val="both"/>
      </w:pPr>
      <w:r w:rsidRPr="0044370F">
        <w:t>As the research progressed, it became clear that this project was not an abstract intellectual exercise. Rather, it was an effort to understand the world we are constructing, one in which the divide between those who control digital infrastructures and those who inhabit them continues to widen. While technology was once imagined as a great equalizer, it increasingly amplifies asymmetries in access, autonomy, and agency.</w:t>
      </w:r>
    </w:p>
    <w:p w:rsidR="006108F7" w:rsidRPr="0044370F" w:rsidRDefault="006108F7" w:rsidP="006108F7">
      <w:pPr>
        <w:pStyle w:val="NormalWeb"/>
        <w:spacing w:line="360" w:lineRule="auto"/>
        <w:jc w:val="both"/>
      </w:pPr>
      <w:r w:rsidRPr="0044370F">
        <w:t xml:space="preserve">Historically, power has always been tied to control over foundational resources: land, labor, capital, </w:t>
      </w:r>
      <w:r w:rsidR="00A25B3E" w:rsidRPr="0044370F">
        <w:t xml:space="preserve">and </w:t>
      </w:r>
      <w:r w:rsidRPr="0044370F">
        <w:t xml:space="preserve">industry. In the present era, data, infrastructure, and computation have become the new means of production. While the tools have changed, the underlying logic of power has not. </w:t>
      </w:r>
    </w:p>
    <w:p w:rsidR="006108F7" w:rsidRPr="0044370F" w:rsidRDefault="006108F7" w:rsidP="00A25B3E">
      <w:pPr>
        <w:pStyle w:val="NormalWeb"/>
        <w:spacing w:line="360" w:lineRule="auto"/>
        <w:jc w:val="both"/>
      </w:pPr>
      <w:r w:rsidRPr="0044370F">
        <w:t xml:space="preserve">Tracing the evolution of sovereignty from feudal estates to cloud servers and platform economies, I repeatedly </w:t>
      </w:r>
      <w:r w:rsidR="00A25B3E" w:rsidRPr="0044370F">
        <w:t>realized</w:t>
      </w:r>
      <w:r w:rsidRPr="0044370F">
        <w:t xml:space="preserve"> that we are reenacting familiar structures of domination through new technological forms.</w:t>
      </w:r>
    </w:p>
    <w:p w:rsidR="006108F7" w:rsidRPr="0044370F" w:rsidRDefault="006108F7" w:rsidP="006108F7">
      <w:pPr>
        <w:pStyle w:val="NormalWeb"/>
        <w:spacing w:line="360" w:lineRule="auto"/>
        <w:jc w:val="both"/>
      </w:pPr>
      <w:r w:rsidRPr="0044370F">
        <w:t xml:space="preserve">If this dissertation carries emotional weight, it stems from that realization. </w:t>
      </w:r>
    </w:p>
    <w:p w:rsidR="006108F7" w:rsidRPr="0044370F" w:rsidRDefault="006108F7" w:rsidP="006108F7">
      <w:pPr>
        <w:pStyle w:val="NormalWeb"/>
        <w:spacing w:line="360" w:lineRule="auto"/>
        <w:jc w:val="both"/>
      </w:pPr>
      <w:r w:rsidRPr="0044370F">
        <w:t xml:space="preserve">Technologies that once promised liberation now risk functioning as instruments of control. Networks that once promised connection can generate new forms of dependency and exclusion. Corporations that once symbolized innovation increasingly shape political, social, and economic </w:t>
      </w:r>
      <w:r w:rsidRPr="0044370F">
        <w:lastRenderedPageBreak/>
        <w:t>realities with limited oversight. These tensions motivated the research, guided the analysis, and sustained the work through long periods of reading, writing, and reflection.</w:t>
      </w:r>
    </w:p>
    <w:p w:rsidR="006108F7" w:rsidRPr="0044370F" w:rsidRDefault="006108F7" w:rsidP="006108F7">
      <w:pPr>
        <w:pStyle w:val="NormalWeb"/>
        <w:spacing w:line="360" w:lineRule="auto"/>
        <w:jc w:val="both"/>
      </w:pPr>
      <w:r w:rsidRPr="0044370F">
        <w:t>My deepest gratitude goes first to my supervisor, Professor James Punch.</w:t>
      </w:r>
    </w:p>
    <w:p w:rsidR="006108F7" w:rsidRPr="0044370F" w:rsidRDefault="006108F7" w:rsidP="00A25B3E">
      <w:pPr>
        <w:pStyle w:val="NormalWeb"/>
        <w:spacing w:line="360" w:lineRule="auto"/>
        <w:jc w:val="both"/>
      </w:pPr>
      <w:r w:rsidRPr="0044370F">
        <w:t xml:space="preserve">James, your guidance was foundational. You consistently challenged my assumptions, encouraged intellectual rigor, and supported the </w:t>
      </w:r>
      <w:r w:rsidR="00A25B3E" w:rsidRPr="0044370F">
        <w:t>project's ambition,</w:t>
      </w:r>
      <w:r w:rsidRPr="0044370F">
        <w:t xml:space="preserve"> even when I doubted myself. Your mentorship </w:t>
      </w:r>
      <w:r w:rsidR="00A25B3E" w:rsidRPr="0044370F">
        <w:t>has shaped not only this dissertation but also my understanding of what constitutes meaningful scholarship</w:t>
      </w:r>
      <w:r w:rsidRPr="0044370F">
        <w:t>.</w:t>
      </w:r>
    </w:p>
    <w:p w:rsidR="006108F7" w:rsidRPr="0044370F" w:rsidRDefault="006108F7" w:rsidP="006108F7">
      <w:pPr>
        <w:pStyle w:val="NormalWeb"/>
        <w:spacing w:line="360" w:lineRule="auto"/>
        <w:jc w:val="both"/>
      </w:pPr>
      <w:r w:rsidRPr="0044370F">
        <w:t>I am also grateful to the faculty and staff of the Swiss School of Business Research, whose commitment to academic independence and interdisciplinary inquiry created the conditions for this work to develop. The program’s ethos encouraged me to move across disciplinary boundaries and to connect political theory, international relations, technology studies, and sociology in a coherent analytical framework.</w:t>
      </w:r>
    </w:p>
    <w:p w:rsidR="006108F7" w:rsidRPr="0044370F" w:rsidRDefault="006108F7" w:rsidP="006108F7">
      <w:pPr>
        <w:pStyle w:val="NormalWeb"/>
        <w:spacing w:line="360" w:lineRule="auto"/>
        <w:jc w:val="both"/>
      </w:pPr>
      <w:r w:rsidRPr="0044370F">
        <w:t>To my family, I owe more than words can convey. Your patience, support, and faith sustained me throughout moments of exhaustion and uncertainty. Although research of this scope can be isolating, I was never alone. Every chapter reflects your encouragement, grounding presence, and belief in the importance of this work.</w:t>
      </w:r>
    </w:p>
    <w:p w:rsidR="006108F7" w:rsidRPr="0044370F" w:rsidRDefault="006108F7" w:rsidP="00104D9D">
      <w:pPr>
        <w:pStyle w:val="NormalWeb"/>
        <w:spacing w:line="360" w:lineRule="auto"/>
        <w:jc w:val="both"/>
      </w:pPr>
      <w:r w:rsidRPr="0044370F">
        <w:t>I also wish to than</w:t>
      </w:r>
      <w:r w:rsidR="00E61C5E" w:rsidRPr="0044370F">
        <w:t xml:space="preserve">k my dear friend </w:t>
      </w:r>
      <w:proofErr w:type="spellStart"/>
      <w:r w:rsidR="00E61C5E" w:rsidRPr="0044370F">
        <w:t>Tali</w:t>
      </w:r>
      <w:proofErr w:type="spellEnd"/>
      <w:r w:rsidR="00E61C5E" w:rsidRPr="0044370F">
        <w:t xml:space="preserve"> Grossman. </w:t>
      </w:r>
      <w:r w:rsidR="00A25B3E" w:rsidRPr="0044370F">
        <w:t xml:space="preserve">Being around </w:t>
      </w:r>
      <w:r w:rsidR="00104D9D" w:rsidRPr="0044370F">
        <w:t>you</w:t>
      </w:r>
      <w:r w:rsidR="00A25B3E" w:rsidRPr="0044370F">
        <w:t xml:space="preserve"> brought a sense of clarity and uplift, a refreshing reminder that even demanding periods can be navigated</w:t>
      </w:r>
      <w:r w:rsidR="00E61C5E" w:rsidRPr="0044370F">
        <w:t xml:space="preserve"> with warmth and grace. </w:t>
      </w:r>
      <w:r w:rsidR="00104D9D" w:rsidRPr="0044370F">
        <w:t>Your</w:t>
      </w:r>
      <w:r w:rsidR="00E61C5E" w:rsidRPr="0044370F">
        <w:t xml:space="preserve"> approach to life is quietly infectious. </w:t>
      </w:r>
      <w:r w:rsidR="00104D9D" w:rsidRPr="0044370F">
        <w:t>You have</w:t>
      </w:r>
      <w:r w:rsidR="00E61C5E" w:rsidRPr="0044370F">
        <w:t xml:space="preserve"> rare ability to make things feel lighter, brighter, and more hopeful than the circumstances themselves. In moments of fatigue or doubt, </w:t>
      </w:r>
      <w:r w:rsidR="00104D9D" w:rsidRPr="0044370F">
        <w:t>your</w:t>
      </w:r>
      <w:r w:rsidR="00E61C5E" w:rsidRPr="0044370F">
        <w:t xml:space="preserve"> spirit gently reframed the experience, reminding me of the value of optimism, movement, and joy.</w:t>
      </w:r>
    </w:p>
    <w:p w:rsidR="006108F7" w:rsidRPr="0044370F" w:rsidRDefault="006108F7" w:rsidP="006108F7">
      <w:pPr>
        <w:pStyle w:val="NormalWeb"/>
        <w:spacing w:line="360" w:lineRule="auto"/>
        <w:jc w:val="both"/>
      </w:pPr>
      <w:r w:rsidRPr="0044370F">
        <w:t xml:space="preserve">Completing this dissertation has been both an intellectual and personal journey. I am proud of the work accomplished, mindful of its limits, and grateful to those who made it possible. </w:t>
      </w:r>
    </w:p>
    <w:p w:rsidR="00D624E8" w:rsidRPr="0044370F" w:rsidRDefault="006108F7" w:rsidP="00A25B3E">
      <w:pPr>
        <w:pStyle w:val="NormalWeb"/>
        <w:spacing w:line="360" w:lineRule="auto"/>
        <w:jc w:val="both"/>
      </w:pPr>
      <w:r w:rsidRPr="0044370F">
        <w:t>This work exists because you believed in the significance of its questions, and in me.</w:t>
      </w:r>
      <w:r w:rsidR="00D624E8" w:rsidRPr="0044370F">
        <w:br w:type="page"/>
      </w:r>
    </w:p>
    <w:p w:rsidR="00D624E8" w:rsidRPr="0044370F" w:rsidRDefault="00D624E8" w:rsidP="006D666E">
      <w:pPr>
        <w:pStyle w:val="2"/>
        <w:rPr>
          <w:rFonts w:eastAsia="Times New Roman"/>
          <w:rtl/>
        </w:rPr>
      </w:pPr>
      <w:bookmarkStart w:id="12" w:name="_Toc222652695"/>
      <w:r w:rsidRPr="0044370F">
        <w:rPr>
          <w:rFonts w:eastAsia="Times New Roman"/>
        </w:rPr>
        <w:lastRenderedPageBreak/>
        <w:t>List of Abbreviations and Acronyms</w:t>
      </w:r>
      <w:bookmarkEnd w:id="12"/>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AI</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Artificial Intelligence</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ANT</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Actor-Network Theory</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API</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Application Programming Interface</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AWS</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Amazon Web Services</w:t>
      </w:r>
    </w:p>
    <w:p w:rsidR="00EE48F1"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BA</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Business Administration</w:t>
      </w:r>
    </w:p>
    <w:p w:rsidR="00EE48F1" w:rsidRPr="0044370F" w:rsidRDefault="00EE48F1" w:rsidP="00EE48F1">
      <w:pPr>
        <w:spacing w:after="0" w:line="240" w:lineRule="auto"/>
      </w:pPr>
      <w:r w:rsidRPr="0044370F">
        <w:rPr>
          <w:rFonts w:ascii="Times New Roman" w:eastAsia="Times New Roman" w:hAnsi="Times New Roman" w:cs="Times New Roman"/>
          <w:b/>
          <w:bCs/>
          <w:sz w:val="24"/>
          <w:szCs w:val="24"/>
        </w:rPr>
        <w:t>BRI</w:t>
      </w:r>
      <w:r w:rsidRPr="0044370F">
        <w:rPr>
          <w:b/>
        </w:rPr>
        <w:t xml:space="preserve"> </w:t>
      </w:r>
      <w:r w:rsidRPr="0044370F">
        <w:rPr>
          <w:rFonts w:asciiTheme="majorBidi" w:hAnsiTheme="majorBidi" w:cstheme="majorBidi"/>
          <w:bCs/>
          <w:sz w:val="24"/>
          <w:szCs w:val="24"/>
        </w:rPr>
        <w:t xml:space="preserve">- </w:t>
      </w:r>
      <w:r w:rsidRPr="0044370F">
        <w:rPr>
          <w:rFonts w:asciiTheme="majorBidi" w:hAnsiTheme="majorBidi" w:cstheme="majorBidi"/>
          <w:sz w:val="24"/>
          <w:szCs w:val="24"/>
        </w:rPr>
        <w:t>Belt and Road Initiative</w:t>
      </w:r>
    </w:p>
    <w:p w:rsidR="00D624E8"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BRICS</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Brazil, Russia, India, China, South Africa</w:t>
      </w:r>
    </w:p>
    <w:p w:rsidR="00EE48F1" w:rsidRPr="0044370F" w:rsidRDefault="00EE48F1" w:rsidP="00EE48F1">
      <w:pPr>
        <w:spacing w:after="0" w:line="240" w:lineRule="auto"/>
        <w:rPr>
          <w:rFonts w:ascii="Times New Roman" w:eastAsia="Times New Roman" w:hAnsi="Times New Roman" w:cs="Times New Roman"/>
          <w:sz w:val="24"/>
          <w:szCs w:val="24"/>
        </w:rPr>
      </w:pPr>
    </w:p>
    <w:p w:rsidR="00EE48F1"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CCP</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Chinese Communist Party</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CDN</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Content Delivery Network</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CEO</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Chief Executive Officer</w:t>
      </w:r>
    </w:p>
    <w:p w:rsidR="00EE48F1" w:rsidRPr="0044370F" w:rsidRDefault="00EE48F1" w:rsidP="00EE48F1">
      <w:pPr>
        <w:spacing w:after="0"/>
        <w:rPr>
          <w:rFonts w:asciiTheme="majorBidi" w:hAnsiTheme="majorBidi" w:cstheme="majorBidi"/>
          <w:sz w:val="24"/>
          <w:szCs w:val="24"/>
        </w:rPr>
      </w:pPr>
      <w:r w:rsidRPr="0044370F">
        <w:rPr>
          <w:rFonts w:asciiTheme="majorBidi" w:hAnsiTheme="majorBidi" w:cstheme="majorBidi"/>
          <w:b/>
          <w:sz w:val="24"/>
          <w:szCs w:val="24"/>
        </w:rPr>
        <w:t xml:space="preserve">CFO - </w:t>
      </w:r>
      <w:r w:rsidRPr="0044370F">
        <w:rPr>
          <w:rFonts w:asciiTheme="majorBidi" w:hAnsiTheme="majorBidi" w:cstheme="majorBidi"/>
          <w:sz w:val="24"/>
          <w:szCs w:val="24"/>
        </w:rPr>
        <w:t>Chief Financial Officer</w:t>
      </w:r>
    </w:p>
    <w:p w:rsidR="00EE48F1" w:rsidRPr="0044370F" w:rsidRDefault="00EE48F1" w:rsidP="00EE48F1">
      <w:pPr>
        <w:spacing w:after="0"/>
        <w:rPr>
          <w:rFonts w:asciiTheme="majorBidi" w:hAnsiTheme="majorBidi" w:cstheme="majorBidi"/>
          <w:sz w:val="24"/>
          <w:szCs w:val="24"/>
        </w:rPr>
      </w:pPr>
      <w:r w:rsidRPr="0044370F">
        <w:rPr>
          <w:rFonts w:asciiTheme="majorBidi" w:hAnsiTheme="majorBidi" w:cstheme="majorBidi"/>
          <w:b/>
          <w:sz w:val="24"/>
          <w:szCs w:val="24"/>
        </w:rPr>
        <w:t xml:space="preserve">CNY - </w:t>
      </w:r>
      <w:r w:rsidRPr="0044370F">
        <w:rPr>
          <w:rFonts w:asciiTheme="majorBidi" w:hAnsiTheme="majorBidi" w:cstheme="majorBidi"/>
          <w:sz w:val="24"/>
          <w:szCs w:val="24"/>
        </w:rPr>
        <w:t>Chinese Yuan (</w:t>
      </w:r>
      <w:proofErr w:type="spellStart"/>
      <w:r w:rsidRPr="0044370F">
        <w:rPr>
          <w:rFonts w:asciiTheme="majorBidi" w:hAnsiTheme="majorBidi" w:cstheme="majorBidi"/>
          <w:sz w:val="24"/>
          <w:szCs w:val="24"/>
        </w:rPr>
        <w:t>Renminbi</w:t>
      </w:r>
      <w:proofErr w:type="spellEnd"/>
      <w:r w:rsidRPr="0044370F">
        <w:rPr>
          <w:rFonts w:asciiTheme="majorBidi" w:hAnsiTheme="majorBidi" w:cstheme="majorBidi"/>
          <w:sz w:val="24"/>
          <w:szCs w:val="24"/>
        </w:rPr>
        <w:t>)</w:t>
      </w:r>
    </w:p>
    <w:p w:rsidR="00EE48F1" w:rsidRPr="0044370F" w:rsidRDefault="00EE48F1" w:rsidP="00EE48F1">
      <w:pPr>
        <w:spacing w:after="0"/>
        <w:rPr>
          <w:rFonts w:asciiTheme="majorBidi" w:hAnsiTheme="majorBidi" w:cstheme="majorBidi"/>
          <w:sz w:val="24"/>
          <w:szCs w:val="24"/>
        </w:rPr>
      </w:pPr>
      <w:r w:rsidRPr="0044370F">
        <w:rPr>
          <w:rFonts w:asciiTheme="majorBidi" w:hAnsiTheme="majorBidi" w:cstheme="majorBidi"/>
          <w:b/>
          <w:sz w:val="24"/>
          <w:szCs w:val="24"/>
        </w:rPr>
        <w:t xml:space="preserve">COVID-19 - </w:t>
      </w:r>
      <w:r w:rsidRPr="0044370F">
        <w:rPr>
          <w:rFonts w:asciiTheme="majorBidi" w:hAnsiTheme="majorBidi" w:cstheme="majorBidi"/>
          <w:sz w:val="24"/>
          <w:szCs w:val="24"/>
        </w:rPr>
        <w:t>Coronavirus Disease 2019</w:t>
      </w:r>
    </w:p>
    <w:p w:rsidR="00EE48F1" w:rsidRPr="0044370F" w:rsidRDefault="00EE48F1" w:rsidP="00EE48F1">
      <w:pPr>
        <w:spacing w:after="0"/>
        <w:rPr>
          <w:rFonts w:asciiTheme="majorBidi" w:hAnsiTheme="majorBidi" w:cstheme="majorBidi"/>
          <w:sz w:val="24"/>
          <w:szCs w:val="24"/>
        </w:rPr>
      </w:pPr>
      <w:r w:rsidRPr="0044370F">
        <w:rPr>
          <w:rFonts w:asciiTheme="majorBidi" w:hAnsiTheme="majorBidi" w:cstheme="majorBidi"/>
          <w:b/>
          <w:sz w:val="24"/>
          <w:szCs w:val="24"/>
        </w:rPr>
        <w:t xml:space="preserve">CPA - </w:t>
      </w:r>
      <w:r w:rsidRPr="0044370F">
        <w:rPr>
          <w:rFonts w:asciiTheme="majorBidi" w:hAnsiTheme="majorBidi" w:cstheme="majorBidi"/>
          <w:sz w:val="24"/>
          <w:szCs w:val="24"/>
        </w:rPr>
        <w:t>Corporate Political Activity</w:t>
      </w: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CSR</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Corporate Social Responsibility</w:t>
      </w: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DMA</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Digital Markets Act (European Union)</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DSA</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Digital Services Act (European Union)</w:t>
      </w:r>
    </w:p>
    <w:p w:rsidR="00EE48F1"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ERP</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Enterprise Resource Planning</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ESG</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Environmental, Social, and Governance</w:t>
      </w:r>
    </w:p>
    <w:p w:rsidR="00D624E8"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EU</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European Union</w:t>
      </w:r>
    </w:p>
    <w:p w:rsidR="00EE48F1" w:rsidRPr="0044370F" w:rsidRDefault="00EE48F1" w:rsidP="00EE48F1">
      <w:pPr>
        <w:spacing w:after="0" w:line="240" w:lineRule="auto"/>
        <w:rPr>
          <w:rFonts w:ascii="Times New Roman" w:eastAsia="Times New Roman" w:hAnsi="Times New Roman" w:cs="Times New Roman"/>
          <w:sz w:val="24"/>
          <w:szCs w:val="24"/>
        </w:rPr>
      </w:pPr>
    </w:p>
    <w:p w:rsidR="00EE48F1" w:rsidRPr="0044370F" w:rsidRDefault="00EE48F1" w:rsidP="00EE48F1">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GAIA-X </w:t>
      </w:r>
      <w:r w:rsidRPr="0044370F">
        <w:rPr>
          <w:rFonts w:ascii="Times New Roman" w:eastAsia="Times New Roman" w:hAnsi="Times New Roman" w:cs="Times New Roman"/>
          <w:sz w:val="24"/>
          <w:szCs w:val="24"/>
        </w:rPr>
        <w:t>- European federated data infrastructure initiative</w:t>
      </w:r>
    </w:p>
    <w:p w:rsidR="00D624E8"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 xml:space="preserve">GDPR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General Data Protection Regulation (European Union)</w:t>
      </w:r>
      <w:r w:rsidRPr="0044370F">
        <w:rPr>
          <w:rFonts w:ascii="Times New Roman" w:eastAsia="Times New Roman" w:hAnsi="Times New Roman" w:cs="Times New Roman"/>
          <w:b/>
          <w:bCs/>
          <w:sz w:val="24"/>
          <w:szCs w:val="24"/>
        </w:rPr>
        <w:br/>
        <w:t xml:space="preserve">GIFCT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Global Internet Forum to Counter Terrorism</w:t>
      </w:r>
    </w:p>
    <w:p w:rsidR="00EE48F1" w:rsidRPr="0044370F" w:rsidRDefault="00EE48F1" w:rsidP="00EE48F1">
      <w:pPr>
        <w:spacing w:after="0" w:line="240" w:lineRule="auto"/>
        <w:rPr>
          <w:rFonts w:ascii="Times New Roman" w:eastAsia="Times New Roman" w:hAnsi="Times New Roman" w:cs="Times New Roman"/>
          <w:b/>
          <w:bCs/>
          <w:sz w:val="24"/>
          <w:szCs w:val="24"/>
        </w:rPr>
      </w:pPr>
    </w:p>
    <w:p w:rsidR="00D624E8" w:rsidRPr="0044370F" w:rsidRDefault="00D624E8" w:rsidP="00EE48F1">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HR </w:t>
      </w:r>
      <w:r w:rsidRPr="0044370F">
        <w:rPr>
          <w:rFonts w:ascii="Times New Roman" w:eastAsia="Times New Roman" w:hAnsi="Times New Roman" w:cs="Times New Roman" w:hint="cs"/>
          <w:b/>
          <w:bCs/>
          <w:sz w:val="24"/>
          <w:szCs w:val="24"/>
          <w:rtl/>
        </w:rPr>
        <w:t>-</w:t>
      </w:r>
      <w:r w:rsidRPr="0044370F">
        <w:rPr>
          <w:rFonts w:ascii="Times New Roman" w:eastAsia="Times New Roman" w:hAnsi="Times New Roman" w:cs="Times New Roman"/>
          <w:b/>
          <w:bCs/>
          <w:sz w:val="24"/>
          <w:szCs w:val="24"/>
        </w:rPr>
        <w:t xml:space="preserve"> Human Resources</w:t>
      </w:r>
    </w:p>
    <w:p w:rsidR="00EE48F1" w:rsidRPr="0044370F" w:rsidRDefault="00EE48F1" w:rsidP="00EE48F1">
      <w:pPr>
        <w:spacing w:after="0" w:line="240" w:lineRule="auto"/>
        <w:rPr>
          <w:rFonts w:ascii="Times New Roman" w:eastAsia="Times New Roman" w:hAnsi="Times New Roman" w:cs="Times New Roman"/>
          <w:b/>
          <w:bCs/>
          <w:sz w:val="24"/>
          <w:szCs w:val="24"/>
        </w:rPr>
      </w:pPr>
    </w:p>
    <w:p w:rsidR="00EE48F1" w:rsidRPr="0044370F" w:rsidRDefault="00D624E8" w:rsidP="00EE48F1">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ICANN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Internet Corporation for Assigned Names and Numbers</w:t>
      </w:r>
    </w:p>
    <w:p w:rsidR="00EE48F1" w:rsidRPr="0044370F" w:rsidRDefault="00EE48F1" w:rsidP="00EE48F1">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ICT </w:t>
      </w:r>
      <w:r w:rsidRPr="0044370F">
        <w:rPr>
          <w:rFonts w:ascii="Times New Roman" w:eastAsia="Times New Roman" w:hAnsi="Times New Roman" w:cs="Times New Roman"/>
          <w:sz w:val="24"/>
          <w:szCs w:val="24"/>
        </w:rPr>
        <w:t>- Information and Communication Technology</w:t>
      </w:r>
    </w:p>
    <w:p w:rsidR="00EE48F1" w:rsidRPr="0044370F" w:rsidRDefault="00D624E8" w:rsidP="00EE48F1">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IDSA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International Data Spaces Association</w:t>
      </w:r>
    </w:p>
    <w:p w:rsidR="00EE48F1" w:rsidRPr="0044370F" w:rsidRDefault="00EE48F1" w:rsidP="00EE48F1">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IEEE </w:t>
      </w:r>
      <w:r w:rsidRPr="0044370F">
        <w:rPr>
          <w:rFonts w:ascii="Times New Roman" w:eastAsia="Times New Roman" w:hAnsi="Times New Roman" w:cs="Times New Roman"/>
          <w:sz w:val="24"/>
          <w:szCs w:val="24"/>
        </w:rPr>
        <w:t>- Institute of Electrical and Electronics Engineers</w:t>
      </w:r>
    </w:p>
    <w:p w:rsidR="00D624E8"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 xml:space="preserve">IGF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Internet Governance Forum</w:t>
      </w:r>
      <w:r w:rsidRPr="0044370F">
        <w:rPr>
          <w:rFonts w:ascii="Times New Roman" w:eastAsia="Times New Roman" w:hAnsi="Times New Roman" w:cs="Times New Roman"/>
          <w:b/>
          <w:bCs/>
          <w:sz w:val="24"/>
          <w:szCs w:val="24"/>
        </w:rPr>
        <w:br/>
        <w:t xml:space="preserve">IPE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International Political Economy</w:t>
      </w:r>
      <w:r w:rsidRPr="0044370F">
        <w:rPr>
          <w:rFonts w:ascii="Times New Roman" w:eastAsia="Times New Roman" w:hAnsi="Times New Roman" w:cs="Times New Roman"/>
          <w:b/>
          <w:bCs/>
          <w:sz w:val="24"/>
          <w:szCs w:val="24"/>
        </w:rPr>
        <w:br/>
        <w:t xml:space="preserve">IP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Intellectual Property</w:t>
      </w:r>
      <w:r w:rsidRPr="0044370F">
        <w:rPr>
          <w:rFonts w:ascii="Times New Roman" w:eastAsia="Times New Roman" w:hAnsi="Times New Roman" w:cs="Times New Roman"/>
          <w:b/>
          <w:bCs/>
          <w:sz w:val="24"/>
          <w:szCs w:val="24"/>
        </w:rPr>
        <w:br/>
        <w:t xml:space="preserve">IR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International Relations</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ISO</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International Organization for Standardization</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ITU</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International Telecommunication Union</w:t>
      </w:r>
    </w:p>
    <w:p w:rsidR="00EE48F1" w:rsidRPr="0044370F" w:rsidRDefault="00EE48F1" w:rsidP="00EE48F1">
      <w:pPr>
        <w:spacing w:after="0" w:line="240" w:lineRule="auto"/>
        <w:rPr>
          <w:rFonts w:ascii="Times New Roman" w:eastAsia="Times New Roman" w:hAnsi="Times New Roman" w:cs="Times New Roman"/>
          <w:sz w:val="24"/>
          <w:szCs w:val="24"/>
        </w:rPr>
      </w:pP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LOR</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Liability of Origin</w:t>
      </w:r>
    </w:p>
    <w:p w:rsidR="00EE48F1" w:rsidRPr="0044370F" w:rsidRDefault="00EE48F1" w:rsidP="00EE48F1">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NATO </w:t>
      </w:r>
      <w:r w:rsidRPr="0044370F">
        <w:rPr>
          <w:rFonts w:ascii="Times New Roman" w:eastAsia="Times New Roman" w:hAnsi="Times New Roman" w:cs="Times New Roman"/>
          <w:sz w:val="24"/>
          <w:szCs w:val="24"/>
        </w:rPr>
        <w:t>- North Atlantic Treaty Organization</w:t>
      </w:r>
    </w:p>
    <w:p w:rsidR="00D624E8" w:rsidRPr="0044370F" w:rsidRDefault="00D624E8" w:rsidP="00EE48F1">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 xml:space="preserve">NGO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Non-Governmental Organization</w:t>
      </w:r>
    </w:p>
    <w:p w:rsidR="00EE48F1" w:rsidRPr="0044370F" w:rsidRDefault="00EE48F1" w:rsidP="00EE48F1">
      <w:pPr>
        <w:spacing w:after="0" w:line="240" w:lineRule="auto"/>
        <w:rPr>
          <w:rFonts w:ascii="Times New Roman" w:eastAsia="Times New Roman" w:hAnsi="Times New Roman" w:cs="Times New Roman"/>
          <w:sz w:val="24"/>
          <w:szCs w:val="24"/>
        </w:rPr>
      </w:pPr>
    </w:p>
    <w:p w:rsidR="00EE48F1" w:rsidRPr="0044370F" w:rsidRDefault="00EE48F1" w:rsidP="00EE48F1">
      <w:pPr>
        <w:rPr>
          <w:rFonts w:asciiTheme="majorBidi" w:hAnsiTheme="majorBidi" w:cstheme="majorBidi"/>
          <w:sz w:val="24"/>
          <w:szCs w:val="24"/>
        </w:rPr>
      </w:pPr>
      <w:r w:rsidRPr="0044370F">
        <w:rPr>
          <w:rFonts w:asciiTheme="majorBidi" w:hAnsiTheme="majorBidi" w:cstheme="majorBidi"/>
          <w:b/>
          <w:sz w:val="24"/>
          <w:szCs w:val="24"/>
        </w:rPr>
        <w:t xml:space="preserve">OECD </w:t>
      </w:r>
      <w:r w:rsidRPr="0044370F">
        <w:rPr>
          <w:rFonts w:asciiTheme="majorBidi" w:hAnsiTheme="majorBidi" w:cstheme="majorBidi"/>
          <w:bCs/>
          <w:sz w:val="24"/>
          <w:szCs w:val="24"/>
        </w:rPr>
        <w:t>-</w:t>
      </w:r>
      <w:r w:rsidRPr="0044370F">
        <w:rPr>
          <w:rFonts w:asciiTheme="majorBidi" w:hAnsiTheme="majorBidi" w:cstheme="majorBidi"/>
          <w:b/>
          <w:sz w:val="24"/>
          <w:szCs w:val="24"/>
        </w:rPr>
        <w:t xml:space="preserve"> </w:t>
      </w:r>
      <w:proofErr w:type="spellStart"/>
      <w:r w:rsidRPr="0044370F">
        <w:rPr>
          <w:rFonts w:asciiTheme="majorBidi" w:hAnsiTheme="majorBidi" w:cstheme="majorBidi"/>
          <w:sz w:val="24"/>
          <w:szCs w:val="24"/>
        </w:rPr>
        <w:t>Organisation</w:t>
      </w:r>
      <w:proofErr w:type="spellEnd"/>
      <w:r w:rsidRPr="0044370F">
        <w:rPr>
          <w:rFonts w:asciiTheme="majorBidi" w:hAnsiTheme="majorBidi" w:cstheme="majorBidi"/>
          <w:sz w:val="24"/>
          <w:szCs w:val="24"/>
        </w:rPr>
        <w:t xml:space="preserve"> for Economic Co-operation and Development</w:t>
      </w:r>
    </w:p>
    <w:p w:rsidR="00DD2173" w:rsidRPr="0044370F" w:rsidRDefault="00D624E8" w:rsidP="00DD2173">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 xml:space="preserve">PLA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People’s Liberation Army (China)</w:t>
      </w:r>
    </w:p>
    <w:p w:rsidR="00DD2173" w:rsidRPr="0044370F" w:rsidRDefault="00DD2173" w:rsidP="00DD2173">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 xml:space="preserve">PPP </w:t>
      </w:r>
      <w:r w:rsidRPr="0044370F">
        <w:rPr>
          <w:rFonts w:ascii="Times New Roman" w:eastAsia="Times New Roman" w:hAnsi="Times New Roman" w:cs="Times New Roman"/>
          <w:sz w:val="24"/>
          <w:szCs w:val="24"/>
        </w:rPr>
        <w:t>- Public-Private Partnership</w:t>
      </w:r>
    </w:p>
    <w:p w:rsidR="00D624E8" w:rsidRPr="0044370F" w:rsidRDefault="00D624E8" w:rsidP="00DD2173">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 xml:space="preserve">PR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Public Relations</w:t>
      </w:r>
    </w:p>
    <w:p w:rsidR="00DD2173" w:rsidRPr="0044370F" w:rsidRDefault="00DD2173" w:rsidP="00DD2173">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PRC </w:t>
      </w:r>
      <w:r w:rsidRPr="0044370F">
        <w:rPr>
          <w:rFonts w:ascii="Times New Roman" w:eastAsia="Times New Roman" w:hAnsi="Times New Roman" w:cs="Times New Roman"/>
          <w:sz w:val="24"/>
          <w:szCs w:val="24"/>
        </w:rPr>
        <w:t>- People’s Republic of China</w:t>
      </w: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R&amp;D</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Research and Development</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RBV</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Resource-Based View</w:t>
      </w:r>
    </w:p>
    <w:p w:rsidR="00D624E8" w:rsidRPr="0044370F" w:rsidRDefault="00D624E8" w:rsidP="00DD2173">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SAP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Systems, Applications, and Products in Data Processing</w:t>
      </w:r>
    </w:p>
    <w:p w:rsidR="00D624E8" w:rsidRPr="0044370F" w:rsidRDefault="00D624E8" w:rsidP="00DD2173">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SDK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Software Development Kit</w:t>
      </w:r>
      <w:r w:rsidRPr="0044370F">
        <w:rPr>
          <w:rFonts w:ascii="Times New Roman" w:eastAsia="Times New Roman" w:hAnsi="Times New Roman" w:cs="Times New Roman"/>
          <w:b/>
          <w:bCs/>
          <w:sz w:val="24"/>
          <w:szCs w:val="24"/>
        </w:rPr>
        <w:br/>
        <w:t xml:space="preserve">SE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w:t>
      </w:r>
      <w:proofErr w:type="spellStart"/>
      <w:r w:rsidRPr="0044370F">
        <w:rPr>
          <w:rFonts w:ascii="Times New Roman" w:eastAsia="Times New Roman" w:hAnsi="Times New Roman" w:cs="Times New Roman"/>
          <w:sz w:val="24"/>
          <w:szCs w:val="24"/>
        </w:rPr>
        <w:t>Societas</w:t>
      </w:r>
      <w:proofErr w:type="spellEnd"/>
      <w:r w:rsidRPr="0044370F">
        <w:rPr>
          <w:rFonts w:ascii="Times New Roman" w:eastAsia="Times New Roman" w:hAnsi="Times New Roman" w:cs="Times New Roman"/>
          <w:sz w:val="24"/>
          <w:szCs w:val="24"/>
        </w:rPr>
        <w:t xml:space="preserve"> </w:t>
      </w:r>
      <w:proofErr w:type="spellStart"/>
      <w:r w:rsidRPr="0044370F">
        <w:rPr>
          <w:rFonts w:ascii="Times New Roman" w:eastAsia="Times New Roman" w:hAnsi="Times New Roman" w:cs="Times New Roman"/>
          <w:sz w:val="24"/>
          <w:szCs w:val="24"/>
        </w:rPr>
        <w:t>Europaea</w:t>
      </w:r>
      <w:proofErr w:type="spellEnd"/>
    </w:p>
    <w:p w:rsidR="00D624E8" w:rsidRPr="0044370F" w:rsidRDefault="00D624E8" w:rsidP="00DD2173">
      <w:pPr>
        <w:spacing w:after="0" w:line="240" w:lineRule="auto"/>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t xml:space="preserve">STS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Science and Technology Studies</w:t>
      </w:r>
    </w:p>
    <w:p w:rsidR="00DD2173" w:rsidRPr="0044370F" w:rsidRDefault="00DD2173" w:rsidP="00DD2173">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 xml:space="preserve">TSMC </w:t>
      </w:r>
      <w:r w:rsidRPr="0044370F">
        <w:rPr>
          <w:rFonts w:ascii="Times New Roman" w:eastAsia="Times New Roman" w:hAnsi="Times New Roman" w:cs="Times New Roman"/>
          <w:sz w:val="24"/>
          <w:szCs w:val="24"/>
        </w:rPr>
        <w:t>- Taiwan Semiconductor Manufacturing Company</w:t>
      </w:r>
    </w:p>
    <w:p w:rsidR="00DD2173" w:rsidRPr="0044370F" w:rsidRDefault="00DD2173" w:rsidP="00DD2173">
      <w:pPr>
        <w:spacing w:after="0" w:line="240" w:lineRule="auto"/>
        <w:rPr>
          <w:rFonts w:ascii="Times New Roman" w:eastAsia="Times New Roman" w:hAnsi="Times New Roman" w:cs="Times New Roman"/>
          <w:b/>
          <w:bCs/>
          <w:sz w:val="24"/>
          <w:szCs w:val="24"/>
        </w:rPr>
      </w:pPr>
    </w:p>
    <w:p w:rsidR="00DD2173" w:rsidRPr="0044370F" w:rsidRDefault="00DD2173" w:rsidP="00DD2173">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UK</w:t>
      </w:r>
      <w:r w:rsidRPr="0044370F">
        <w:rPr>
          <w:rFonts w:ascii="Times New Roman" w:eastAsia="Times New Roman" w:hAnsi="Times New Roman" w:cs="Times New Roman"/>
          <w:sz w:val="24"/>
          <w:szCs w:val="24"/>
        </w:rPr>
        <w:t xml:space="preserve"> - United Kingdom</w:t>
      </w:r>
    </w:p>
    <w:p w:rsidR="00D624E8" w:rsidRPr="0044370F" w:rsidRDefault="00D624E8" w:rsidP="00DD2173">
      <w:pPr>
        <w:spacing w:after="0"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UN</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United Nations</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UNGC</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United Nations Global Compact</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US / U.S.</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United States</w:t>
      </w:r>
    </w:p>
    <w:p w:rsidR="00DD2173" w:rsidRPr="0044370F" w:rsidRDefault="00DD2173" w:rsidP="00DD2173">
      <w:pPr>
        <w:spacing w:after="0" w:line="240" w:lineRule="auto"/>
        <w:rPr>
          <w:rFonts w:ascii="Times New Roman" w:eastAsia="Times New Roman" w:hAnsi="Times New Roman" w:cs="Times New Roman"/>
          <w:sz w:val="24"/>
          <w:szCs w:val="24"/>
        </w:rPr>
      </w:pP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WEF</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World Economic Forum</w:t>
      </w:r>
      <w:r w:rsidRPr="0044370F">
        <w:rPr>
          <w:rFonts w:ascii="Times New Roman" w:eastAsia="Times New Roman" w:hAnsi="Times New Roman" w:cs="Times New Roman"/>
          <w:sz w:val="24"/>
          <w:szCs w:val="24"/>
        </w:rPr>
        <w:br/>
      </w:r>
      <w:r w:rsidRPr="0044370F">
        <w:rPr>
          <w:rFonts w:ascii="Times New Roman" w:eastAsia="Times New Roman" w:hAnsi="Times New Roman" w:cs="Times New Roman"/>
          <w:b/>
          <w:bCs/>
          <w:sz w:val="24"/>
          <w:szCs w:val="24"/>
        </w:rPr>
        <w:t>WTO</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World Trade Organization</w:t>
      </w:r>
    </w:p>
    <w:p w:rsidR="00D624E8" w:rsidRPr="0044370F" w:rsidRDefault="00D624E8" w:rsidP="00D624E8">
      <w:pPr>
        <w:spacing w:before="100"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b/>
          <w:bCs/>
          <w:sz w:val="24"/>
          <w:szCs w:val="24"/>
        </w:rPr>
        <w:t>5G</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 xml:space="preserve"> Fifth Generation Mobile Network Technology</w:t>
      </w:r>
    </w:p>
    <w:p w:rsidR="00D624E8" w:rsidRPr="0044370F" w:rsidRDefault="00D624E8" w:rsidP="00D624E8">
      <w:pPr>
        <w:spacing w:after="0" w:line="240" w:lineRule="auto"/>
        <w:rPr>
          <w:rFonts w:ascii="Times New Roman" w:eastAsia="Times New Roman" w:hAnsi="Times New Roman" w:cs="Times New Roman"/>
          <w:sz w:val="24"/>
          <w:szCs w:val="24"/>
        </w:rPr>
      </w:pPr>
    </w:p>
    <w:p w:rsidR="00D624E8" w:rsidRPr="0044370F" w:rsidRDefault="00D624E8" w:rsidP="00D624E8"/>
    <w:p w:rsidR="00D624E8" w:rsidRPr="0044370F" w:rsidRDefault="00D624E8">
      <w:pPr>
        <w:rPr>
          <w:rFonts w:asciiTheme="majorBidi" w:hAnsiTheme="majorBidi" w:cstheme="majorBidi"/>
        </w:rPr>
      </w:pPr>
      <w:r w:rsidRPr="0044370F">
        <w:rPr>
          <w:rFonts w:asciiTheme="majorBidi" w:hAnsiTheme="majorBidi" w:cstheme="majorBidi"/>
        </w:rPr>
        <w:br w:type="page"/>
      </w:r>
    </w:p>
    <w:p w:rsidR="00DD2173" w:rsidRPr="0044370F" w:rsidRDefault="00DD2173" w:rsidP="006D666E">
      <w:pPr>
        <w:pStyle w:val="2"/>
      </w:pPr>
      <w:bookmarkStart w:id="13" w:name="_Toc222652696"/>
      <w:r w:rsidRPr="0044370F">
        <w:lastRenderedPageBreak/>
        <w:t>Glossary: Key Terms and Concepts</w:t>
      </w:r>
      <w:bookmarkEnd w:id="13"/>
    </w:p>
    <w:p w:rsidR="00DD2173" w:rsidRPr="0044370F" w:rsidRDefault="00DD2173" w:rsidP="00DD2173">
      <w:pPr>
        <w:rPr>
          <w:rFonts w:asciiTheme="majorBidi" w:hAnsiTheme="majorBidi" w:cstheme="majorBidi"/>
        </w:rPr>
      </w:pP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Actor-Network Theory (ANT): </w:t>
      </w:r>
      <w:r w:rsidRPr="0044370F">
        <w:rPr>
          <w:rFonts w:asciiTheme="majorBidi" w:hAnsiTheme="majorBidi" w:cstheme="majorBidi"/>
          <w:sz w:val="24"/>
          <w:szCs w:val="24"/>
        </w:rPr>
        <w:t>An STS approach that treats technologies, institutions, and human actors as part of networks that jointly produce social order and governance effects.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Algorithmic governance: </w:t>
      </w:r>
      <w:r w:rsidRPr="0044370F">
        <w:rPr>
          <w:rFonts w:asciiTheme="majorBidi" w:hAnsiTheme="majorBidi" w:cstheme="majorBidi"/>
          <w:sz w:val="24"/>
          <w:szCs w:val="24"/>
        </w:rPr>
        <w:t>Rule-setting and behavioral steering enacted through algorithmic systems (e.g., ranking, recommendation, enforcement) rather than through formal law.</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Boundary conditions: </w:t>
      </w:r>
      <w:r w:rsidRPr="0044370F">
        <w:rPr>
          <w:rFonts w:asciiTheme="majorBidi" w:hAnsiTheme="majorBidi" w:cstheme="majorBidi"/>
          <w:sz w:val="24"/>
          <w:szCs w:val="24"/>
        </w:rPr>
        <w:t>Scope limitations that specify when the framework applies, including threshold criteria for quasi-sovereignty and disqualifiers that prevent overgeneralization.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Codebook: </w:t>
      </w:r>
      <w:r w:rsidRPr="0044370F">
        <w:rPr>
          <w:rFonts w:asciiTheme="majorBidi" w:hAnsiTheme="majorBidi" w:cstheme="majorBidi"/>
          <w:sz w:val="24"/>
          <w:szCs w:val="24"/>
        </w:rPr>
        <w:t>A structured list of codes and definitions used to ensure consistency in qualitative analysis across the dissertation’s document corpus.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Comparative case study design: </w:t>
      </w:r>
      <w:r w:rsidRPr="0044370F">
        <w:rPr>
          <w:rFonts w:asciiTheme="majorBidi" w:hAnsiTheme="majorBidi" w:cstheme="majorBidi"/>
          <w:sz w:val="24"/>
          <w:szCs w:val="24"/>
        </w:rPr>
        <w:t>A research design that analyzes multiple cases to identify patterns of variation and common mechanisms, supporting theory-building and typology construction.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Compliance architecture: </w:t>
      </w:r>
      <w:r w:rsidRPr="0044370F">
        <w:rPr>
          <w:rFonts w:asciiTheme="majorBidi" w:hAnsiTheme="majorBidi" w:cstheme="majorBidi"/>
          <w:sz w:val="24"/>
          <w:szCs w:val="24"/>
        </w:rPr>
        <w:t>Technical and organizational systems (workflows, routing, access controls, reporting) built to operationalize legal and regulatory requirements across jurisdictions.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Content moderation: </w:t>
      </w:r>
      <w:r w:rsidRPr="0044370F">
        <w:rPr>
          <w:rFonts w:asciiTheme="majorBidi" w:hAnsiTheme="majorBidi" w:cstheme="majorBidi"/>
          <w:sz w:val="24"/>
          <w:szCs w:val="24"/>
        </w:rPr>
        <w:t>The policies and practices through which platforms classify, rank, remove, or restrict content and accounts, functioning as a form of population-scale rule enforcement.</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Corporate citizenship: </w:t>
      </w:r>
      <w:r w:rsidRPr="0044370F">
        <w:rPr>
          <w:rFonts w:asciiTheme="majorBidi" w:hAnsiTheme="majorBidi" w:cstheme="majorBidi"/>
          <w:sz w:val="24"/>
          <w:szCs w:val="24"/>
        </w:rPr>
        <w:t>A business-studies concept framing corporations as social and political actors with rights and responsibilities within communities and governance arrangements.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Corporate political activity (CPA): </w:t>
      </w:r>
      <w:r w:rsidRPr="0044370F">
        <w:rPr>
          <w:rFonts w:asciiTheme="majorBidi" w:hAnsiTheme="majorBidi" w:cstheme="majorBidi"/>
          <w:sz w:val="24"/>
          <w:szCs w:val="24"/>
        </w:rPr>
        <w:t>Corporate efforts to influence public policy from “outside” government (lobbying, advocacy, coalition building, litigation, and political finance).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Corporate quasi-sovereignty: </w:t>
      </w:r>
      <w:r w:rsidRPr="0044370F">
        <w:rPr>
          <w:rFonts w:asciiTheme="majorBidi" w:hAnsiTheme="majorBidi" w:cstheme="majorBidi"/>
          <w:sz w:val="24"/>
          <w:szCs w:val="24"/>
        </w:rPr>
        <w:t>A domain-specific, non-territorial form of authority in which a corporation performs governance functions (rule-setting, enforcement, infrastructural control) that generate durable dependencies and constrain the autonomy of other actors without formal legal sovereignty.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Critical infrastructure: </w:t>
      </w:r>
      <w:r w:rsidRPr="0044370F">
        <w:rPr>
          <w:rFonts w:asciiTheme="majorBidi" w:hAnsiTheme="majorBidi" w:cstheme="majorBidi"/>
          <w:sz w:val="24"/>
          <w:szCs w:val="24"/>
        </w:rPr>
        <w:t>Systems whose disruption would produce broad societal harm (e.g., telecom networks, cloud services, identity layers, payment rails, enterprise back-ends).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Data localization: </w:t>
      </w:r>
      <w:r w:rsidRPr="0044370F">
        <w:rPr>
          <w:rFonts w:asciiTheme="majorBidi" w:hAnsiTheme="majorBidi" w:cstheme="majorBidi"/>
          <w:sz w:val="24"/>
          <w:szCs w:val="24"/>
        </w:rPr>
        <w:t>Policies or practices requiring data to be stored, processed, or routed within a specific jurisdiction, often framed as security or sovereignty measures.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Data sovereignty: </w:t>
      </w:r>
      <w:r w:rsidRPr="0044370F">
        <w:rPr>
          <w:rFonts w:asciiTheme="majorBidi" w:hAnsiTheme="majorBidi" w:cstheme="majorBidi"/>
          <w:sz w:val="24"/>
          <w:szCs w:val="24"/>
        </w:rPr>
        <w:t>Claims that data should be subject to the laws and governance authority of a particular state or polity; often operationalized via localization, access, and security rules.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Digital capitalism: </w:t>
      </w:r>
      <w:r w:rsidRPr="0044370F">
        <w:rPr>
          <w:rFonts w:asciiTheme="majorBidi" w:hAnsiTheme="majorBidi" w:cstheme="majorBidi"/>
          <w:sz w:val="24"/>
          <w:szCs w:val="24"/>
        </w:rPr>
        <w:t>A phase of capitalism in which data, platforms, cloud infrastructures, and algorithmic systems become central means of production and coordination.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lastRenderedPageBreak/>
        <w:t xml:space="preserve">Digital governance: </w:t>
      </w:r>
      <w:r w:rsidRPr="0044370F">
        <w:rPr>
          <w:rFonts w:asciiTheme="majorBidi" w:hAnsiTheme="majorBidi" w:cstheme="majorBidi"/>
          <w:sz w:val="24"/>
          <w:szCs w:val="24"/>
        </w:rPr>
        <w:t>Institutional, legal, and socio-technical arrangements that shape how digital systems are built, controlled, and regulated across borders.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Digital Markets Act (DMA): </w:t>
      </w:r>
      <w:r w:rsidRPr="0044370F">
        <w:rPr>
          <w:rFonts w:asciiTheme="majorBidi" w:hAnsiTheme="majorBidi" w:cstheme="majorBidi"/>
          <w:sz w:val="24"/>
          <w:szCs w:val="24"/>
        </w:rPr>
        <w:t>An EU competition and market regulation instrument targeting “gatekeeper” platforms to reduce lock-in and promote contestability.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Digital Services Act (DSA): </w:t>
      </w:r>
      <w:r w:rsidRPr="0044370F">
        <w:rPr>
          <w:rFonts w:asciiTheme="majorBidi" w:hAnsiTheme="majorBidi" w:cstheme="majorBidi"/>
          <w:sz w:val="24"/>
          <w:szCs w:val="24"/>
        </w:rPr>
        <w:t>An EU regulatory framework addressing platform responsibilities, transparency, and systemic risk management in online services.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Digital Silk Road: </w:t>
      </w:r>
      <w:r w:rsidRPr="0044370F">
        <w:rPr>
          <w:rFonts w:asciiTheme="majorBidi" w:hAnsiTheme="majorBidi" w:cstheme="majorBidi"/>
          <w:sz w:val="24"/>
          <w:szCs w:val="24"/>
        </w:rPr>
        <w:t>A strand of China’s Belt and Road Initiative focused on digital infrastructure and connectivity projects, relevant for analyzing Huawei’s transnational embeddedness and dependency effects.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Digital sovereignty: </w:t>
      </w:r>
      <w:r w:rsidRPr="0044370F">
        <w:rPr>
          <w:rFonts w:asciiTheme="majorBidi" w:hAnsiTheme="majorBidi" w:cstheme="majorBidi"/>
          <w:sz w:val="24"/>
          <w:szCs w:val="24"/>
        </w:rPr>
        <w:t>The capacity of a state or political community to govern digital infrastructures, data, and platforms within its jurisdiction and strategic interests.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Discursive platform governance: </w:t>
      </w:r>
      <w:r w:rsidRPr="0044370F">
        <w:rPr>
          <w:rFonts w:asciiTheme="majorBidi" w:hAnsiTheme="majorBidi" w:cstheme="majorBidi"/>
          <w:sz w:val="24"/>
          <w:szCs w:val="24"/>
        </w:rPr>
        <w:t>A trajectory of quasi-sovereignty characterized by authority exercised through control of public discourse (visibility, speech rules, content policy) and legitimacy contests around platform rulemaking.</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Disqualifying conditions: </w:t>
      </w:r>
      <w:r w:rsidRPr="0044370F">
        <w:rPr>
          <w:rFonts w:asciiTheme="majorBidi" w:hAnsiTheme="majorBidi" w:cstheme="majorBidi"/>
          <w:sz w:val="24"/>
          <w:szCs w:val="24"/>
        </w:rPr>
        <w:t>Conditions under which corporate power remains competitive or episodic (e.g., low switching costs, substitutable markets), indicating that quasi-sovereign classification is not warranted.</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Document corpus: </w:t>
      </w:r>
      <w:r w:rsidRPr="0044370F">
        <w:rPr>
          <w:rFonts w:asciiTheme="majorBidi" w:hAnsiTheme="majorBidi" w:cstheme="majorBidi"/>
          <w:sz w:val="24"/>
          <w:szCs w:val="24"/>
        </w:rPr>
        <w:t>The bounded set of texts used for analysis (corporate reports, policy documents, regulatory materials, media coverage, and scholarly analysis) for each case study.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Embedded hierarchy: </w:t>
      </w:r>
      <w:r w:rsidRPr="0044370F">
        <w:rPr>
          <w:rFonts w:asciiTheme="majorBidi" w:hAnsiTheme="majorBidi" w:cstheme="majorBidi"/>
          <w:sz w:val="24"/>
          <w:szCs w:val="24"/>
        </w:rPr>
        <w:t>A condition in which authority is distributed across overlapping state and non-state arrangements, producing layered governance rather than exclusive territorial control.</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Empirical indicators: </w:t>
      </w:r>
      <w:r w:rsidRPr="0044370F">
        <w:rPr>
          <w:rFonts w:asciiTheme="majorBidi" w:hAnsiTheme="majorBidi" w:cstheme="majorBidi"/>
          <w:sz w:val="24"/>
          <w:szCs w:val="24"/>
        </w:rPr>
        <w:t>Observable signals used to operationalize each dimension of the framework (e.g., asset concentration, standards participation, oversight mechanisms, access controls).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Enterprise resource planning (ERP): </w:t>
      </w:r>
      <w:r w:rsidRPr="0044370F">
        <w:rPr>
          <w:rFonts w:asciiTheme="majorBidi" w:hAnsiTheme="majorBidi" w:cstheme="majorBidi"/>
          <w:sz w:val="24"/>
          <w:szCs w:val="24"/>
        </w:rPr>
        <w:t>Integrated enterprise software systems that standardize and automate organizational processes; treated here as a key site of infrastructural dependence and governance-by-design.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Exit costs / switching costs: </w:t>
      </w:r>
      <w:r w:rsidRPr="0044370F">
        <w:rPr>
          <w:rFonts w:asciiTheme="majorBidi" w:hAnsiTheme="majorBidi" w:cstheme="majorBidi"/>
          <w:sz w:val="24"/>
          <w:szCs w:val="24"/>
        </w:rPr>
        <w:t>Economic, technical, or organizational burdens that make it difficult to leave a platform, vendor, standard, or infrastructure, thereby stabilizing dependence.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Foundation models: </w:t>
      </w:r>
      <w:r w:rsidRPr="0044370F">
        <w:rPr>
          <w:rFonts w:asciiTheme="majorBidi" w:hAnsiTheme="majorBidi" w:cstheme="majorBidi"/>
          <w:sz w:val="24"/>
          <w:szCs w:val="24"/>
        </w:rPr>
        <w:t>Large-scale AI models trained on extensive datasets and compute resources that become infrastructural inputs for downstream applications and services.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Four-dimensional framework: </w:t>
      </w:r>
      <w:r w:rsidRPr="0044370F">
        <w:rPr>
          <w:rFonts w:asciiTheme="majorBidi" w:hAnsiTheme="majorBidi" w:cstheme="majorBidi"/>
          <w:sz w:val="24"/>
          <w:szCs w:val="24"/>
        </w:rPr>
        <w:t>The dissertation’s integrated model of corporate quasi-sovereignty combining strategic resource control, structural embeddedness, normative legitimacy, and infrastructural power.</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GAIA-X: </w:t>
      </w:r>
      <w:r w:rsidRPr="0044370F">
        <w:rPr>
          <w:rFonts w:asciiTheme="majorBidi" w:hAnsiTheme="majorBidi" w:cstheme="majorBidi"/>
          <w:sz w:val="24"/>
          <w:szCs w:val="24"/>
        </w:rPr>
        <w:t>An EU-linked initiative aimed at strengthening European cloud and data sovereignty by developing federated standards and governance frameworks.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lastRenderedPageBreak/>
        <w:t xml:space="preserve">General Data Protection Regulation (GDPR): </w:t>
      </w:r>
      <w:r w:rsidRPr="0044370F">
        <w:rPr>
          <w:rFonts w:asciiTheme="majorBidi" w:hAnsiTheme="majorBidi" w:cstheme="majorBidi"/>
          <w:sz w:val="24"/>
          <w:szCs w:val="24"/>
        </w:rPr>
        <w:t>The European Union’s privacy and data protection regulation, frequently invoked as a benchmark of state capacity to constrain corporate data practices.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Geopolitically entangled infrastructural power: </w:t>
      </w:r>
      <w:r w:rsidRPr="0044370F">
        <w:rPr>
          <w:rFonts w:asciiTheme="majorBidi" w:hAnsiTheme="majorBidi" w:cstheme="majorBidi"/>
          <w:sz w:val="24"/>
          <w:szCs w:val="24"/>
        </w:rPr>
        <w:t>A trajectory of quasi-sovereignty in which corporate infrastructural centrality becomes a focal point of security politics, alliance contestation, and state-corporate interdependence.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Governance capacity: </w:t>
      </w:r>
      <w:r w:rsidRPr="0044370F">
        <w:rPr>
          <w:rFonts w:asciiTheme="majorBidi" w:hAnsiTheme="majorBidi" w:cstheme="majorBidi"/>
          <w:sz w:val="24"/>
          <w:szCs w:val="24"/>
        </w:rPr>
        <w:t>A corporation’s ability to set, enforce, and legitimate rules that structure behavior and institutional processes at scale.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Governmentality: </w:t>
      </w:r>
      <w:r w:rsidRPr="0044370F">
        <w:rPr>
          <w:rFonts w:asciiTheme="majorBidi" w:hAnsiTheme="majorBidi" w:cstheme="majorBidi"/>
          <w:sz w:val="24"/>
          <w:szCs w:val="24"/>
        </w:rPr>
        <w:t xml:space="preserve">A </w:t>
      </w:r>
      <w:proofErr w:type="spellStart"/>
      <w:r w:rsidRPr="0044370F">
        <w:rPr>
          <w:rFonts w:asciiTheme="majorBidi" w:hAnsiTheme="majorBidi" w:cstheme="majorBidi"/>
          <w:sz w:val="24"/>
          <w:szCs w:val="24"/>
        </w:rPr>
        <w:t>Foucauldian</w:t>
      </w:r>
      <w:proofErr w:type="spellEnd"/>
      <w:r w:rsidRPr="0044370F">
        <w:rPr>
          <w:rFonts w:asciiTheme="majorBidi" w:hAnsiTheme="majorBidi" w:cstheme="majorBidi"/>
          <w:sz w:val="24"/>
          <w:szCs w:val="24"/>
        </w:rPr>
        <w:t xml:space="preserve"> concept describing how power operates through techniques, knowledge, and administrative systems that shape populations and conduct.</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Hegemony: </w:t>
      </w:r>
      <w:r w:rsidRPr="0044370F">
        <w:rPr>
          <w:rFonts w:asciiTheme="majorBidi" w:hAnsiTheme="majorBidi" w:cstheme="majorBidi"/>
          <w:sz w:val="24"/>
          <w:szCs w:val="24"/>
        </w:rPr>
        <w:t>A configuration in which domination is stabilized through consent, norms, and narratives (e.g., innovation or safety frames) rather than coercion alone.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Hybrid authority: </w:t>
      </w:r>
      <w:r w:rsidRPr="0044370F">
        <w:rPr>
          <w:rFonts w:asciiTheme="majorBidi" w:hAnsiTheme="majorBidi" w:cstheme="majorBidi"/>
          <w:sz w:val="24"/>
          <w:szCs w:val="24"/>
        </w:rPr>
        <w:t>Overlapping and interdependent forms of rule-making involving states, corporations, and transnational institutions, producing shared or fragmented sovereignty.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Identity layer: </w:t>
      </w:r>
      <w:r w:rsidRPr="0044370F">
        <w:rPr>
          <w:rFonts w:asciiTheme="majorBidi" w:hAnsiTheme="majorBidi" w:cstheme="majorBidi"/>
          <w:sz w:val="24"/>
          <w:szCs w:val="24"/>
        </w:rPr>
        <w:t>Infrastructure that enables authentication and user identification across services (e.g., platform logins), creating gatekeeping power and cross-ecosystem dependence.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Infrastructural dependence: </w:t>
      </w:r>
      <w:r w:rsidRPr="0044370F">
        <w:rPr>
          <w:rFonts w:asciiTheme="majorBidi" w:hAnsiTheme="majorBidi" w:cstheme="majorBidi"/>
          <w:sz w:val="24"/>
          <w:szCs w:val="24"/>
        </w:rPr>
        <w:t>Asymmetric reliance on corporate platforms, standards, or system layers that become difficult to replace and essential for institutional or societal functioning.</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Infrastructural power: </w:t>
      </w:r>
      <w:r w:rsidRPr="0044370F">
        <w:rPr>
          <w:rFonts w:asciiTheme="majorBidi" w:hAnsiTheme="majorBidi" w:cstheme="majorBidi"/>
          <w:sz w:val="24"/>
          <w:szCs w:val="24"/>
        </w:rPr>
        <w:t>The capacity to govern through technological architectures (platform design, protocols, standards, APIs, access controls) that structure participation, prioritization, and exclusion.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Input legitimacy: </w:t>
      </w:r>
      <w:r w:rsidRPr="0044370F">
        <w:rPr>
          <w:rFonts w:asciiTheme="majorBidi" w:hAnsiTheme="majorBidi" w:cstheme="majorBidi"/>
          <w:sz w:val="24"/>
          <w:szCs w:val="24"/>
        </w:rPr>
        <w:t>Legitimacy claims grounded in sources of authority (expertise, transparency commitments, stakeholder participation) rather than in formal constitutional mandate.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Institutional embeddedness / Structural embeddedness: </w:t>
      </w:r>
      <w:r w:rsidRPr="0044370F">
        <w:rPr>
          <w:rFonts w:asciiTheme="majorBidi" w:hAnsiTheme="majorBidi" w:cstheme="majorBidi"/>
          <w:sz w:val="24"/>
          <w:szCs w:val="24"/>
        </w:rPr>
        <w:t>The degree to which a firm is integrated into regulatory, procurement, standards, and governance systems in ways that shape institutional architectures and dependencies.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Institutional entrepreneurship: </w:t>
      </w:r>
      <w:r w:rsidRPr="0044370F">
        <w:rPr>
          <w:rFonts w:asciiTheme="majorBidi" w:hAnsiTheme="majorBidi" w:cstheme="majorBidi"/>
          <w:sz w:val="24"/>
          <w:szCs w:val="24"/>
        </w:rPr>
        <w:t>Strategic efforts by powerful actors to reshape regulatory, normative, and technical institutions to align with their interests.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Institutionalized standards-based governance: </w:t>
      </w:r>
      <w:r w:rsidRPr="0044370F">
        <w:rPr>
          <w:rFonts w:asciiTheme="majorBidi" w:hAnsiTheme="majorBidi" w:cstheme="majorBidi"/>
          <w:sz w:val="24"/>
          <w:szCs w:val="24"/>
        </w:rPr>
        <w:t>A trajectory of quasi-sovereignty in which authority is stabilized through standards, procurement ecosystems, and compliance-oriented institutional integration.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Interoperability: </w:t>
      </w:r>
      <w:r w:rsidRPr="0044370F">
        <w:rPr>
          <w:rFonts w:asciiTheme="majorBidi" w:hAnsiTheme="majorBidi" w:cstheme="majorBidi"/>
          <w:sz w:val="24"/>
          <w:szCs w:val="24"/>
        </w:rPr>
        <w:t>The ability of systems and services to connect and work together; treated as a governance lever that can reduce lock-in and constrain private infrastructural gatekeeping.</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Jurisdictional fragmentation: </w:t>
      </w:r>
      <w:r w:rsidRPr="0044370F">
        <w:rPr>
          <w:rFonts w:asciiTheme="majorBidi" w:hAnsiTheme="majorBidi" w:cstheme="majorBidi"/>
          <w:sz w:val="24"/>
          <w:szCs w:val="24"/>
        </w:rPr>
        <w:t>Divergence of legal regimes and geopolitical blocs that increases cross-border complexity and enables corporations to implement quasi-jurisdictional rules via technical systems.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lastRenderedPageBreak/>
        <w:t xml:space="preserve">Legitimacy (normative legitimacy): </w:t>
      </w:r>
      <w:r w:rsidRPr="0044370F">
        <w:rPr>
          <w:rFonts w:asciiTheme="majorBidi" w:hAnsiTheme="majorBidi" w:cstheme="majorBidi"/>
          <w:sz w:val="24"/>
          <w:szCs w:val="24"/>
        </w:rPr>
        <w:t>The processes and justifications through which corporate authority is presented as appropriate, responsible, and rule-bound (often via rights language, transparency, audits, or oversight bodies).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Lock-in: </w:t>
      </w:r>
      <w:r w:rsidRPr="0044370F">
        <w:rPr>
          <w:rFonts w:asciiTheme="majorBidi" w:hAnsiTheme="majorBidi" w:cstheme="majorBidi"/>
          <w:sz w:val="24"/>
          <w:szCs w:val="24"/>
        </w:rPr>
        <w:t>Durable dependence produced by technical integration, data and workflow coupling, contractual constraints, and network effects that raise exit costs.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Meta Oversight Board: </w:t>
      </w:r>
      <w:r w:rsidRPr="0044370F">
        <w:rPr>
          <w:rFonts w:asciiTheme="majorBidi" w:hAnsiTheme="majorBidi" w:cstheme="majorBidi"/>
          <w:sz w:val="24"/>
          <w:szCs w:val="24"/>
        </w:rPr>
        <w:t>A corporate-created adjudicatory body intended to review certain content decisions and enhance legitimacy through quasi-judicial procedural forms.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Multi-stakeholder governance: </w:t>
      </w:r>
      <w:r w:rsidRPr="0044370F">
        <w:rPr>
          <w:rFonts w:asciiTheme="majorBidi" w:hAnsiTheme="majorBidi" w:cstheme="majorBidi"/>
          <w:sz w:val="24"/>
          <w:szCs w:val="24"/>
        </w:rPr>
        <w:t>Governance arrangements that include states, corporations, and civil society in standard-setting or rule-making processes, often used to legitimize private authority.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Network power: </w:t>
      </w:r>
      <w:r w:rsidRPr="0044370F">
        <w:rPr>
          <w:rFonts w:asciiTheme="majorBidi" w:hAnsiTheme="majorBidi" w:cstheme="majorBidi"/>
          <w:sz w:val="24"/>
          <w:szCs w:val="24"/>
        </w:rPr>
        <w:t>Influence derived from occupying central nodes in economic, informational, or infrastructural networks, enabling leverage through interdependence.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New IP: </w:t>
      </w:r>
      <w:r w:rsidRPr="0044370F">
        <w:rPr>
          <w:rFonts w:asciiTheme="majorBidi" w:hAnsiTheme="majorBidi" w:cstheme="majorBidi"/>
          <w:sz w:val="24"/>
          <w:szCs w:val="24"/>
        </w:rPr>
        <w:t>A contested proposal for a new internet protocol architecture associated with debates about sovereignty, governance, and control over network infrastructure.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Non-territorial authority: </w:t>
      </w:r>
      <w:r w:rsidRPr="0044370F">
        <w:rPr>
          <w:rFonts w:asciiTheme="majorBidi" w:hAnsiTheme="majorBidi" w:cstheme="majorBidi"/>
          <w:sz w:val="24"/>
          <w:szCs w:val="24"/>
        </w:rPr>
        <w:t>Authority exercised through infrastructures and systems that operate across borders without controlling land or holding formal jurisdiction.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Normative legitimacy: </w:t>
      </w:r>
      <w:r w:rsidRPr="0044370F">
        <w:rPr>
          <w:rFonts w:asciiTheme="majorBidi" w:hAnsiTheme="majorBidi" w:cstheme="majorBidi"/>
          <w:sz w:val="24"/>
          <w:szCs w:val="24"/>
        </w:rPr>
        <w:t>The justificatory narratives and institutional practices through which corporations seek acceptance for governance-like authority (e.g., rights language, safety claims, oversight mechanisms).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Output legitimacy: </w:t>
      </w:r>
      <w:r w:rsidRPr="0044370F">
        <w:rPr>
          <w:rFonts w:asciiTheme="majorBidi" w:hAnsiTheme="majorBidi" w:cstheme="majorBidi"/>
          <w:sz w:val="24"/>
          <w:szCs w:val="24"/>
        </w:rPr>
        <w:t>Legitimacy assessed through perceived outcomes (e.g., reduced harm, improved trust, effective governance performance).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Path dependency: </w:t>
      </w:r>
      <w:r w:rsidRPr="0044370F">
        <w:rPr>
          <w:rFonts w:asciiTheme="majorBidi" w:hAnsiTheme="majorBidi" w:cstheme="majorBidi"/>
          <w:sz w:val="24"/>
          <w:szCs w:val="24"/>
        </w:rPr>
        <w:t>Self-reinforcing dynamics (technical standards, workflows, procurement, investments) that make institutional change costly and stabilize dependence.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Physical AI: </w:t>
      </w:r>
      <w:r w:rsidRPr="0044370F">
        <w:rPr>
          <w:rFonts w:asciiTheme="majorBidi" w:hAnsiTheme="majorBidi" w:cstheme="majorBidi"/>
          <w:sz w:val="24"/>
          <w:szCs w:val="24"/>
        </w:rPr>
        <w:t>AI systems embedded in robotics and autonomous machines that operate in physical environments, extending infrastructural control into material production and logistics.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Platform governance: </w:t>
      </w:r>
      <w:r w:rsidRPr="0044370F">
        <w:rPr>
          <w:rFonts w:asciiTheme="majorBidi" w:hAnsiTheme="majorBidi" w:cstheme="majorBidi"/>
          <w:sz w:val="24"/>
          <w:szCs w:val="24"/>
        </w:rPr>
        <w:t>The rules, enforcement practices, and institutional mechanisms through which platforms regulate users, developers, and ecosystem participants.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Platform sovereignty: </w:t>
      </w:r>
      <w:r w:rsidRPr="0044370F">
        <w:rPr>
          <w:rFonts w:asciiTheme="majorBidi" w:hAnsiTheme="majorBidi" w:cstheme="majorBidi"/>
          <w:sz w:val="24"/>
          <w:szCs w:val="24"/>
        </w:rPr>
        <w:t>Claims or practices through which platforms act as rule-makers within their domains (e.g., defining participation criteria, speech rules, market access).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Political CSR: </w:t>
      </w:r>
      <w:r w:rsidRPr="0044370F">
        <w:rPr>
          <w:rFonts w:asciiTheme="majorBidi" w:hAnsiTheme="majorBidi" w:cstheme="majorBidi"/>
          <w:sz w:val="24"/>
          <w:szCs w:val="24"/>
        </w:rPr>
        <w:t>A framework emphasizing firms’ direct involvement in governance and provision of public goods, especially where state capacity is fragmented or weak.</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Private authority: </w:t>
      </w:r>
      <w:r w:rsidRPr="0044370F">
        <w:rPr>
          <w:rFonts w:asciiTheme="majorBidi" w:hAnsiTheme="majorBidi" w:cstheme="majorBidi"/>
          <w:sz w:val="24"/>
          <w:szCs w:val="24"/>
        </w:rPr>
        <w:t>Rule-making and enforcement performed by non-state actors that shapes behavior and institutional outcomes beyond market exchange.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Procedural legitimacy: </w:t>
      </w:r>
      <w:r w:rsidRPr="0044370F">
        <w:rPr>
          <w:rFonts w:asciiTheme="majorBidi" w:hAnsiTheme="majorBidi" w:cstheme="majorBidi"/>
          <w:sz w:val="24"/>
          <w:szCs w:val="24"/>
        </w:rPr>
        <w:t>Legitimacy associated with fairness, consistency, due process, and accountability of decision-making procedures.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lastRenderedPageBreak/>
        <w:t xml:space="preserve">Process tracing: </w:t>
      </w:r>
      <w:r w:rsidRPr="0044370F">
        <w:rPr>
          <w:rFonts w:asciiTheme="majorBidi" w:hAnsiTheme="majorBidi" w:cstheme="majorBidi"/>
          <w:sz w:val="24"/>
          <w:szCs w:val="24"/>
        </w:rPr>
        <w:t>A within-case method used to link causal mechanisms and sequences to observed outcomes, often through detailed document analysis.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Productive power: </w:t>
      </w:r>
      <w:r w:rsidRPr="0044370F">
        <w:rPr>
          <w:rFonts w:asciiTheme="majorBidi" w:hAnsiTheme="majorBidi" w:cstheme="majorBidi"/>
          <w:sz w:val="24"/>
          <w:szCs w:val="24"/>
        </w:rPr>
        <w:t>Power exercised through shaping knowledge, discourse, and meaning (e.g., curation, framing, and epistemic infrastructures).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Public-private partnerships (PPPs): </w:t>
      </w:r>
      <w:r w:rsidRPr="0044370F">
        <w:rPr>
          <w:rFonts w:asciiTheme="majorBidi" w:hAnsiTheme="majorBidi" w:cstheme="majorBidi"/>
          <w:sz w:val="24"/>
          <w:szCs w:val="24"/>
        </w:rPr>
        <w:t>Formal collaborations between state agencies and firms that can embed corporations into governance and procurement systems, reinforcing structural embeddedness.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Qualitative coding: </w:t>
      </w:r>
      <w:r w:rsidRPr="0044370F">
        <w:rPr>
          <w:rFonts w:asciiTheme="majorBidi" w:hAnsiTheme="majorBidi" w:cstheme="majorBidi"/>
          <w:sz w:val="24"/>
          <w:szCs w:val="24"/>
        </w:rPr>
        <w:t>Systematic tagging and categorization of text data to identify themes and patterns across documents, enabling comparative analysis across cases.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Quasi-judicial mechanisms: </w:t>
      </w:r>
      <w:r w:rsidRPr="0044370F">
        <w:rPr>
          <w:rFonts w:asciiTheme="majorBidi" w:hAnsiTheme="majorBidi" w:cstheme="majorBidi"/>
          <w:sz w:val="24"/>
          <w:szCs w:val="24"/>
        </w:rPr>
        <w:t>Corporate-created adjudicatory bodies or processes (e.g., oversight boards) that mimic legal review to stabilize legitimacy.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Quasi-jurisdictional rules: </w:t>
      </w:r>
      <w:r w:rsidRPr="0044370F">
        <w:rPr>
          <w:rFonts w:asciiTheme="majorBidi" w:hAnsiTheme="majorBidi" w:cstheme="majorBidi"/>
          <w:sz w:val="24"/>
          <w:szCs w:val="24"/>
        </w:rPr>
        <w:t>Rules implemented through technical systems and compliance architectures that function like jurisdictional governance without formal legislative authority.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Resource-based view (RBV): </w:t>
      </w:r>
      <w:r w:rsidRPr="0044370F">
        <w:rPr>
          <w:rFonts w:asciiTheme="majorBidi" w:hAnsiTheme="majorBidi" w:cstheme="majorBidi"/>
          <w:sz w:val="24"/>
          <w:szCs w:val="24"/>
        </w:rPr>
        <w:t>A management theory emphasizing how control over valuable, rare, inimitable, and non-substitutable resources enables sustained advantage and, here, governance capacity.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Rule-making / rule-setting: </w:t>
      </w:r>
      <w:r w:rsidRPr="0044370F">
        <w:rPr>
          <w:rFonts w:asciiTheme="majorBidi" w:hAnsiTheme="majorBidi" w:cstheme="majorBidi"/>
          <w:sz w:val="24"/>
          <w:szCs w:val="24"/>
        </w:rPr>
        <w:t>The creation and enforcement of binding or effectively binding rules (technical, contractual, procedural) that structure participation and conduct.</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Science and Technology Studies (STS): </w:t>
      </w:r>
      <w:r w:rsidRPr="0044370F">
        <w:rPr>
          <w:rFonts w:asciiTheme="majorBidi" w:hAnsiTheme="majorBidi" w:cstheme="majorBidi"/>
          <w:sz w:val="24"/>
          <w:szCs w:val="24"/>
        </w:rPr>
        <w:t>An interdisciplinary field examining how scientific and technological systems embed values, distribute power, and shape governance through socio-technical arrangements.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Standards-setting: </w:t>
      </w:r>
      <w:r w:rsidRPr="0044370F">
        <w:rPr>
          <w:rFonts w:asciiTheme="majorBidi" w:hAnsiTheme="majorBidi" w:cstheme="majorBidi"/>
          <w:sz w:val="24"/>
          <w:szCs w:val="24"/>
        </w:rPr>
        <w:t>Processes through which technical and organizational standards are defined, often via transnational bodies, shaping interoperability, market structure, and governance authority.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Strategic resource control: </w:t>
      </w:r>
      <w:r w:rsidRPr="0044370F">
        <w:rPr>
          <w:rFonts w:asciiTheme="majorBidi" w:hAnsiTheme="majorBidi" w:cstheme="majorBidi"/>
          <w:sz w:val="24"/>
          <w:szCs w:val="24"/>
        </w:rPr>
        <w:t>Control over critical assets (data, compute, user base, infrastructure, IP, identity systems) that enables corporate governance capacity and sovereignty-like effects.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Structural embeddedness: </w:t>
      </w:r>
      <w:r w:rsidRPr="0044370F">
        <w:rPr>
          <w:rFonts w:asciiTheme="majorBidi" w:hAnsiTheme="majorBidi" w:cstheme="majorBidi"/>
          <w:sz w:val="24"/>
          <w:szCs w:val="24"/>
        </w:rPr>
        <w:t>A corporation’s macro-level integration into political-economic and institutional systems (e.g., supply chains, standards bodies, procurement, regulatory access) that stabilizes authority and dependence.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Structural power (Susan Strange): </w:t>
      </w:r>
      <w:r w:rsidRPr="0044370F">
        <w:rPr>
          <w:rFonts w:asciiTheme="majorBidi" w:hAnsiTheme="majorBidi" w:cstheme="majorBidi"/>
          <w:sz w:val="24"/>
          <w:szCs w:val="24"/>
        </w:rPr>
        <w:t>The power to shape the frameworks within which others operate, setting the “rules of the game” across domains such as finance, production, security, and knowledge.</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Surveillance capitalism: </w:t>
      </w:r>
      <w:r w:rsidRPr="0044370F">
        <w:rPr>
          <w:rFonts w:asciiTheme="majorBidi" w:hAnsiTheme="majorBidi" w:cstheme="majorBidi"/>
          <w:sz w:val="24"/>
          <w:szCs w:val="24"/>
        </w:rPr>
        <w:t>A critique of business models that monetize behavioral data extraction and prediction, contributing to asymmetric informational and governance power.</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Systemic dependence: </w:t>
      </w:r>
      <w:r w:rsidRPr="0044370F">
        <w:rPr>
          <w:rFonts w:asciiTheme="majorBidi" w:hAnsiTheme="majorBidi" w:cstheme="majorBidi"/>
          <w:sz w:val="24"/>
          <w:szCs w:val="24"/>
        </w:rPr>
        <w:t>Dependence that is broad, durable, and socially consequential, such that disruption generates wide institutional or societal costs.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lastRenderedPageBreak/>
        <w:t xml:space="preserve">Techno-blocs: </w:t>
      </w:r>
      <w:r w:rsidRPr="0044370F">
        <w:rPr>
          <w:rFonts w:asciiTheme="majorBidi" w:hAnsiTheme="majorBidi" w:cstheme="majorBidi"/>
          <w:sz w:val="24"/>
          <w:szCs w:val="24"/>
        </w:rPr>
        <w:t>Geopolitically aligned clusters of standards, supply chains, and regulatory regimes that shape corporate strategies and jurisdictional constraints.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Terms of Service (</w:t>
      </w:r>
      <w:proofErr w:type="spellStart"/>
      <w:r w:rsidRPr="0044370F">
        <w:rPr>
          <w:rFonts w:asciiTheme="majorBidi" w:hAnsiTheme="majorBidi" w:cstheme="majorBidi"/>
          <w:b/>
          <w:sz w:val="24"/>
          <w:szCs w:val="24"/>
        </w:rPr>
        <w:t>ToS</w:t>
      </w:r>
      <w:proofErr w:type="spellEnd"/>
      <w:r w:rsidRPr="0044370F">
        <w:rPr>
          <w:rFonts w:asciiTheme="majorBidi" w:hAnsiTheme="majorBidi" w:cstheme="majorBidi"/>
          <w:b/>
          <w:sz w:val="24"/>
          <w:szCs w:val="24"/>
        </w:rPr>
        <w:t xml:space="preserve">): </w:t>
      </w:r>
      <w:r w:rsidRPr="0044370F">
        <w:rPr>
          <w:rFonts w:asciiTheme="majorBidi" w:hAnsiTheme="majorBidi" w:cstheme="majorBidi"/>
          <w:sz w:val="24"/>
          <w:szCs w:val="24"/>
        </w:rPr>
        <w:t>Contractual platform rules that function as private law governing speech, access, and behavior within digital ecosystems.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Threshold conditions: </w:t>
      </w:r>
      <w:r w:rsidRPr="0044370F">
        <w:rPr>
          <w:rFonts w:asciiTheme="majorBidi" w:hAnsiTheme="majorBidi" w:cstheme="majorBidi"/>
          <w:sz w:val="24"/>
          <w:szCs w:val="24"/>
        </w:rPr>
        <w:t>Configurational criteria indicating when corporate power crosses into quasi-sovereign authority (rule-setting at scale, infrastructural centrality, durable dependence, embeddedness, and legitimacy production).</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Triangulation: </w:t>
      </w:r>
      <w:r w:rsidRPr="0044370F">
        <w:rPr>
          <w:rFonts w:asciiTheme="majorBidi" w:hAnsiTheme="majorBidi" w:cstheme="majorBidi"/>
          <w:sz w:val="24"/>
          <w:szCs w:val="24"/>
        </w:rPr>
        <w:t>A research strategy that strengthens validity by corroborating findings across multiple source types (corporate documents, policy texts, media, and academic analysis).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Weaponized interdependence: </w:t>
      </w:r>
      <w:r w:rsidRPr="0044370F">
        <w:rPr>
          <w:rFonts w:asciiTheme="majorBidi" w:hAnsiTheme="majorBidi" w:cstheme="majorBidi"/>
          <w:sz w:val="24"/>
          <w:szCs w:val="24"/>
        </w:rPr>
        <w:t>A political-economy concept describing how control over network hubs can be used for coercion or leverage in global systems.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West failure: </w:t>
      </w:r>
      <w:r w:rsidRPr="0044370F">
        <w:rPr>
          <w:rFonts w:asciiTheme="majorBidi" w:hAnsiTheme="majorBidi" w:cstheme="majorBidi"/>
          <w:sz w:val="24"/>
          <w:szCs w:val="24"/>
        </w:rPr>
        <w:t>A critique (associated with Susan Strange) that Westphalian states often fail to govern global issues as power diffuses to non-state actors and markets.</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Westphalian sovereignty: </w:t>
      </w:r>
      <w:r w:rsidRPr="0044370F">
        <w:rPr>
          <w:rFonts w:asciiTheme="majorBidi" w:hAnsiTheme="majorBidi" w:cstheme="majorBidi"/>
          <w:sz w:val="24"/>
          <w:szCs w:val="24"/>
        </w:rPr>
        <w:t>A state-centric model emphasizing territorial jurisdiction and supreme authority within borders, used here as a contrast to non-territorial corporate authority.</w:t>
      </w:r>
    </w:p>
    <w:p w:rsidR="00DD2173" w:rsidRPr="0044370F" w:rsidRDefault="00DD2173" w:rsidP="00DD2173">
      <w:pPr>
        <w:rPr>
          <w:rFonts w:asciiTheme="majorBidi" w:hAnsiTheme="majorBidi" w:cstheme="majorBidi"/>
          <w:sz w:val="24"/>
          <w:szCs w:val="24"/>
        </w:rPr>
      </w:pPr>
      <w:r w:rsidRPr="0044370F">
        <w:rPr>
          <w:rFonts w:asciiTheme="majorBidi" w:hAnsiTheme="majorBidi" w:cstheme="majorBidi"/>
          <w:b/>
          <w:sz w:val="24"/>
          <w:szCs w:val="24"/>
        </w:rPr>
        <w:t xml:space="preserve">World-systems theory: </w:t>
      </w:r>
      <w:r w:rsidRPr="0044370F">
        <w:rPr>
          <w:rFonts w:asciiTheme="majorBidi" w:hAnsiTheme="majorBidi" w:cstheme="majorBidi"/>
          <w:sz w:val="24"/>
          <w:szCs w:val="24"/>
        </w:rPr>
        <w:t xml:space="preserve">A macro-historical approach (e.g., </w:t>
      </w:r>
      <w:proofErr w:type="spellStart"/>
      <w:r w:rsidRPr="0044370F">
        <w:rPr>
          <w:rFonts w:asciiTheme="majorBidi" w:hAnsiTheme="majorBidi" w:cstheme="majorBidi"/>
          <w:sz w:val="24"/>
          <w:szCs w:val="24"/>
        </w:rPr>
        <w:t>Wallerstein</w:t>
      </w:r>
      <w:proofErr w:type="spellEnd"/>
      <w:r w:rsidRPr="0044370F">
        <w:rPr>
          <w:rFonts w:asciiTheme="majorBidi" w:hAnsiTheme="majorBidi" w:cstheme="majorBidi"/>
          <w:sz w:val="24"/>
          <w:szCs w:val="24"/>
        </w:rPr>
        <w:t>) emphasizing core–periphery structures; used to interpret how digital firms can function as “core” institutions in global capitalism.</w:t>
      </w:r>
    </w:p>
    <w:p w:rsidR="00DD2173" w:rsidRPr="0044370F" w:rsidRDefault="00DD2173">
      <w:pPr>
        <w:rPr>
          <w:rFonts w:asciiTheme="majorBidi" w:eastAsia="Times New Roman" w:hAnsiTheme="majorBidi" w:cstheme="majorBidi"/>
          <w:b/>
          <w:bCs/>
          <w:kern w:val="36"/>
          <w:sz w:val="36"/>
          <w:szCs w:val="36"/>
          <w:lang w:eastAsia="en-IL"/>
        </w:rPr>
      </w:pPr>
      <w:r w:rsidRPr="0044370F">
        <w:rPr>
          <w:rFonts w:asciiTheme="majorBidi" w:eastAsia="Times New Roman" w:hAnsiTheme="majorBidi" w:cstheme="majorBidi"/>
          <w:b/>
          <w:bCs/>
          <w:kern w:val="36"/>
          <w:sz w:val="36"/>
          <w:szCs w:val="36"/>
          <w:lang w:eastAsia="en-IL"/>
        </w:rPr>
        <w:br w:type="page"/>
      </w:r>
    </w:p>
    <w:p w:rsidR="0060194B" w:rsidRPr="0044370F" w:rsidRDefault="0060194B" w:rsidP="006D666E">
      <w:pPr>
        <w:pStyle w:val="1"/>
        <w:rPr>
          <w:rFonts w:eastAsia="Times New Roman"/>
          <w:b w:val="0"/>
          <w:lang w:eastAsia="en-IL"/>
        </w:rPr>
      </w:pPr>
      <w:bookmarkStart w:id="14" w:name="_Toc222652697"/>
      <w:r w:rsidRPr="0044370F">
        <w:rPr>
          <w:rFonts w:eastAsia="Times New Roman"/>
          <w:lang w:eastAsia="en-IL"/>
        </w:rPr>
        <w:lastRenderedPageBreak/>
        <w:t>Chapter 1</w:t>
      </w:r>
      <w:bookmarkEnd w:id="14"/>
    </w:p>
    <w:p w:rsidR="0060194B" w:rsidRPr="0044370F" w:rsidRDefault="0060194B" w:rsidP="006D666E">
      <w:pPr>
        <w:pStyle w:val="1"/>
        <w:rPr>
          <w:rFonts w:eastAsia="Times New Roman"/>
          <w:b w:val="0"/>
          <w:lang w:eastAsia="en-IL"/>
        </w:rPr>
      </w:pPr>
      <w:bookmarkStart w:id="15" w:name="_Toc222652698"/>
      <w:r w:rsidRPr="0044370F">
        <w:rPr>
          <w:rFonts w:eastAsia="Times New Roman"/>
          <w:lang w:eastAsia="en-IL"/>
        </w:rPr>
        <w:t>Introduction</w:t>
      </w:r>
      <w:bookmarkEnd w:id="15"/>
      <w:r w:rsidRPr="0044370F">
        <w:rPr>
          <w:rFonts w:eastAsia="Times New Roman"/>
          <w:lang w:eastAsia="en-IL"/>
        </w:rPr>
        <w:t xml:space="preserve"> </w:t>
      </w:r>
    </w:p>
    <w:p w:rsidR="0060194B" w:rsidRPr="0044370F" w:rsidRDefault="0060194B" w:rsidP="006D666E">
      <w:pPr>
        <w:pStyle w:val="2"/>
        <w:rPr>
          <w:rFonts w:eastAsia="Times New Roman"/>
          <w:lang w:eastAsia="en-IL"/>
        </w:rPr>
      </w:pPr>
      <w:bookmarkStart w:id="16" w:name="_Toc222652699"/>
      <w:r w:rsidRPr="0044370F">
        <w:rPr>
          <w:rFonts w:eastAsia="Times New Roman"/>
          <w:lang w:eastAsia="en-IL"/>
        </w:rPr>
        <w:t>1.1</w:t>
      </w:r>
      <w:r w:rsidRPr="0044370F">
        <w:rPr>
          <w:rFonts w:eastAsia="Times New Roman"/>
          <w:lang w:eastAsia="en-IL"/>
        </w:rPr>
        <w:tab/>
        <w:t>Evolution of Socio-Political Authority: From Ancient Cities to Nation-States</w:t>
      </w:r>
      <w:bookmarkEnd w:id="16"/>
      <w:r w:rsidRPr="0044370F">
        <w:rPr>
          <w:rFonts w:eastAsia="Times New Roman"/>
          <w:lang w:eastAsia="en-IL"/>
        </w:rPr>
        <w:t xml:space="preserve"> </w:t>
      </w:r>
    </w:p>
    <w:p w:rsidR="0060194B" w:rsidRPr="0044370F" w:rsidRDefault="0060194B" w:rsidP="0060194B">
      <w:pPr>
        <w:spacing w:before="100" w:beforeAutospacing="1" w:after="100" w:afterAutospacing="1" w:line="360" w:lineRule="auto"/>
        <w:jc w:val="both"/>
        <w:rPr>
          <w:rFonts w:ascii="Times New Roman" w:eastAsia="Times New Roman" w:hAnsi="Times New Roman" w:cstheme="majorBidi"/>
          <w:sz w:val="24"/>
          <w:szCs w:val="24"/>
          <w:lang w:eastAsia="en-IL"/>
        </w:rPr>
      </w:pPr>
      <w:r w:rsidRPr="0044370F">
        <w:rPr>
          <w:rFonts w:asciiTheme="majorBidi" w:eastAsia="Times New Roman" w:hAnsiTheme="majorBidi" w:cstheme="majorBidi"/>
          <w:sz w:val="24"/>
          <w:szCs w:val="24"/>
          <w:lang w:eastAsia="en-IL"/>
        </w:rPr>
        <w:t>During the golden age of the ancient polis</w:t>
      </w:r>
      <w:r w:rsidRPr="0044370F">
        <w:rPr>
          <w:rStyle w:val="a8"/>
          <w:rFonts w:asciiTheme="majorBidi" w:eastAsia="Times New Roman" w:hAnsiTheme="majorBidi" w:cstheme="majorBidi"/>
          <w:sz w:val="24"/>
          <w:szCs w:val="24"/>
          <w:lang w:eastAsia="en-IL"/>
        </w:rPr>
        <w:footnoteReference w:id="1"/>
      </w:r>
      <w:r w:rsidRPr="0044370F">
        <w:rPr>
          <w:rFonts w:asciiTheme="majorBidi" w:eastAsia="Times New Roman" w:hAnsiTheme="majorBidi" w:cstheme="majorBidi"/>
          <w:sz w:val="24"/>
          <w:szCs w:val="24"/>
          <w:lang w:eastAsia="en-IL"/>
        </w:rPr>
        <w:t>, Athenians convened in the agora to discuss and enact laws, an early practice of collective sovereignty that granted political authority directly to the populace. Classical Greek city-states</w:t>
      </w:r>
      <w:r w:rsidRPr="0044370F">
        <w:rPr>
          <w:rStyle w:val="a8"/>
          <w:rFonts w:asciiTheme="majorBidi" w:eastAsia="Times New Roman" w:hAnsiTheme="majorBidi" w:cstheme="majorBidi"/>
          <w:sz w:val="24"/>
          <w:szCs w:val="24"/>
          <w:lang w:eastAsia="en-IL"/>
        </w:rPr>
        <w:footnoteReference w:id="2"/>
      </w:r>
      <w:r w:rsidRPr="0044370F">
        <w:rPr>
          <w:rFonts w:asciiTheme="majorBidi" w:eastAsia="Times New Roman" w:hAnsiTheme="majorBidi" w:cstheme="majorBidi"/>
          <w:sz w:val="24"/>
          <w:szCs w:val="24"/>
          <w:lang w:eastAsia="en-IL"/>
        </w:rPr>
        <w:t xml:space="preserve"> like Athens and Sparta were fiercely independent; indeed, </w:t>
      </w:r>
      <w:r w:rsidRPr="0044370F">
        <w:rPr>
          <w:rFonts w:asciiTheme="majorBidi" w:eastAsia="Times New Roman" w:hAnsiTheme="majorBidi" w:cstheme="majorBidi"/>
          <w:i/>
          <w:iCs/>
          <w:sz w:val="24"/>
          <w:szCs w:val="24"/>
          <w:lang w:eastAsia="en-IL"/>
        </w:rPr>
        <w:t>“freedom was defined as the right and ability of every city to govern itself</w:t>
      </w:r>
      <w:r w:rsidRPr="0044370F">
        <w:rPr>
          <w:rStyle w:val="a8"/>
          <w:rFonts w:asciiTheme="majorBidi" w:eastAsia="Times New Roman" w:hAnsiTheme="majorBidi" w:cstheme="majorBidi"/>
          <w:i/>
          <w:iCs/>
          <w:sz w:val="24"/>
          <w:szCs w:val="24"/>
          <w:lang w:eastAsia="en-IL"/>
        </w:rPr>
        <w:footnoteReference w:id="3"/>
      </w:r>
      <w:r w:rsidRPr="0044370F">
        <w:rPr>
          <w:rFonts w:asciiTheme="majorBidi" w:eastAsia="Times New Roman" w:hAnsiTheme="majorBidi" w:cstheme="majorBidi"/>
          <w:i/>
          <w:iCs/>
          <w:sz w:val="24"/>
          <w:szCs w:val="24"/>
          <w:lang w:eastAsia="en-IL"/>
        </w:rPr>
        <w:t>,”</w:t>
      </w:r>
      <w:r w:rsidRPr="0044370F">
        <w:rPr>
          <w:rFonts w:asciiTheme="majorBidi" w:eastAsia="Times New Roman" w:hAnsiTheme="majorBidi" w:cstheme="majorBidi"/>
          <w:sz w:val="24"/>
          <w:szCs w:val="24"/>
          <w:lang w:eastAsia="en-IL"/>
        </w:rPr>
        <w:t xml:space="preserve"> with each polis theoretically capable of absolute self-rule. </w:t>
      </w:r>
    </w:p>
    <w:p w:rsidR="0060194B" w:rsidRPr="0044370F" w:rsidRDefault="0060194B" w:rsidP="0060194B">
      <w:pPr>
        <w:spacing w:before="100" w:beforeAutospacing="1" w:after="100" w:afterAutospacing="1" w:line="360" w:lineRule="auto"/>
        <w:jc w:val="both"/>
        <w:rPr>
          <w:rFonts w:ascii="Times New Roman" w:hAnsi="Times New Roman" w:cstheme="majorBidi"/>
          <w:sz w:val="24"/>
          <w:szCs w:val="24"/>
        </w:rPr>
      </w:pPr>
      <w:r w:rsidRPr="0044370F">
        <w:rPr>
          <w:rFonts w:asciiTheme="majorBidi" w:eastAsia="Times New Roman" w:hAnsiTheme="majorBidi" w:cstheme="majorBidi"/>
          <w:sz w:val="24"/>
          <w:szCs w:val="24"/>
          <w:lang w:eastAsia="en-IL"/>
        </w:rPr>
        <w:t xml:space="preserve">A different type of political structure was emerging in the far western region of Athens. </w:t>
      </w:r>
      <w:r w:rsidRPr="0044370F">
        <w:rPr>
          <w:rFonts w:asciiTheme="majorBidi" w:hAnsiTheme="majorBidi" w:cstheme="majorBidi"/>
          <w:sz w:val="24"/>
          <w:szCs w:val="24"/>
        </w:rPr>
        <w:t>Originating as a modest kingdom along the banks of the Tiber River, Rome</w:t>
      </w:r>
      <w:r w:rsidRPr="0044370F">
        <w:rPr>
          <w:rStyle w:val="a8"/>
          <w:rFonts w:asciiTheme="majorBidi" w:hAnsiTheme="majorBidi" w:cstheme="majorBidi"/>
          <w:sz w:val="24"/>
          <w:szCs w:val="24"/>
        </w:rPr>
        <w:footnoteReference w:id="4"/>
      </w:r>
      <w:r w:rsidRPr="0044370F">
        <w:rPr>
          <w:rFonts w:asciiTheme="majorBidi" w:hAnsiTheme="majorBidi" w:cstheme="majorBidi"/>
          <w:sz w:val="24"/>
          <w:szCs w:val="24"/>
        </w:rPr>
        <w:t xml:space="preserve"> evolved into a powerful republic and, ultimately, an empire encompassing much of the Mediterranean world. Throughout this transformation, Romans laid the foundations for enduring legal and administrative systems whose influence persists across millennia. Beginning with the Twelve Tables</w:t>
      </w:r>
      <w:r w:rsidRPr="0044370F">
        <w:rPr>
          <w:rStyle w:val="a8"/>
          <w:rFonts w:asciiTheme="majorBidi" w:hAnsiTheme="majorBidi" w:cstheme="majorBidi"/>
          <w:sz w:val="24"/>
          <w:szCs w:val="24"/>
        </w:rPr>
        <w:footnoteReference w:id="5"/>
      </w:r>
      <w:r w:rsidRPr="0044370F">
        <w:rPr>
          <w:rFonts w:asciiTheme="majorBidi" w:hAnsiTheme="majorBidi" w:cstheme="majorBidi"/>
          <w:sz w:val="24"/>
          <w:szCs w:val="24"/>
        </w:rPr>
        <w:t>, the Romans codified laws. They developed a sophisticated republican bureaucracy that introduced enduring concepts such as due process and the rights of citizenship, principles that continue to underpin many modern legal traditions.</w:t>
      </w: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For its time, the Roman Empire's concept of citizenship</w:t>
      </w:r>
      <w:r w:rsidRPr="0044370F">
        <w:rPr>
          <w:rStyle w:val="a8"/>
          <w:rFonts w:ascii="Times New Roman" w:eastAsia="Times New Roman" w:hAnsi="Times New Roman" w:cs="Times New Roman"/>
          <w:sz w:val="24"/>
          <w:szCs w:val="24"/>
        </w:rPr>
        <w:footnoteReference w:id="6"/>
      </w:r>
      <w:r w:rsidRPr="0044370F">
        <w:rPr>
          <w:rFonts w:ascii="Times New Roman" w:eastAsia="Times New Roman" w:hAnsi="Times New Roman" w:cs="Times New Roman"/>
          <w:sz w:val="24"/>
          <w:szCs w:val="24"/>
        </w:rPr>
        <w:t xml:space="preserve">, which provided legal rights and protections across a diverse empire, was groundbreaking. Even when Rome shifted from republic </w:t>
      </w:r>
      <w:r w:rsidRPr="0044370F">
        <w:rPr>
          <w:rFonts w:ascii="Times New Roman" w:eastAsia="Times New Roman" w:hAnsi="Times New Roman" w:cs="Times New Roman"/>
          <w:sz w:val="24"/>
          <w:szCs w:val="24"/>
        </w:rPr>
        <w:lastRenderedPageBreak/>
        <w:t>to imperial power, it retained a concept of legal order beyond any one ruler’s whim, an idea that significantly affected Western political theory.</w:t>
      </w:r>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heme="majorBidi" w:eastAsia="Times New Roman" w:hAnsiTheme="majorBidi" w:cstheme="majorBidi"/>
          <w:sz w:val="24"/>
          <w:szCs w:val="24"/>
          <w:lang w:eastAsia="en-IL"/>
        </w:rPr>
        <w:t xml:space="preserve">In the Middle East, the early </w:t>
      </w:r>
      <w:r w:rsidRPr="0044370F">
        <w:rPr>
          <w:rFonts w:asciiTheme="majorBidi" w:eastAsia="Times New Roman" w:hAnsiTheme="majorBidi" w:cstheme="majorBidi"/>
          <w:b/>
          <w:bCs/>
          <w:sz w:val="24"/>
          <w:szCs w:val="24"/>
          <w:lang w:eastAsia="en-IL"/>
        </w:rPr>
        <w:t>Islamic Caliphates</w:t>
      </w:r>
      <w:r w:rsidRPr="0044370F">
        <w:rPr>
          <w:rStyle w:val="a8"/>
          <w:rFonts w:asciiTheme="majorBidi" w:eastAsia="Times New Roman" w:hAnsiTheme="majorBidi" w:cstheme="majorBidi"/>
          <w:b/>
          <w:bCs/>
          <w:sz w:val="24"/>
          <w:szCs w:val="24"/>
          <w:lang w:eastAsia="en-IL"/>
        </w:rPr>
        <w:footnoteReference w:id="7"/>
      </w:r>
      <w:r w:rsidRPr="0044370F">
        <w:rPr>
          <w:rFonts w:asciiTheme="majorBidi" w:eastAsia="Times New Roman" w:hAnsiTheme="majorBidi" w:cstheme="majorBidi"/>
          <w:sz w:val="24"/>
          <w:szCs w:val="24"/>
          <w:lang w:eastAsia="en-IL"/>
        </w:rPr>
        <w:t xml:space="preserve"> demonstrated yet another fusion of political and spiritual authority. The Caliphate was a "religious-political entity that included the Muslim community and the territories under its control" following the demise of the Prophet Muhammad. The caliphs (meaning “successors”) who governed these empires asserted both temporal control over lands ranging from Spain through North Africa to Persia and, frequently, spiritual leadership, acting as guardians of the Islamic community. The Caliphate model represented a form of quasi-theocratic sovereignty: governance was justified by religion</w:t>
      </w:r>
      <w:r w:rsidRPr="0044370F">
        <w:rPr>
          <w:rStyle w:val="a8"/>
          <w:rFonts w:asciiTheme="majorBidi" w:eastAsia="Times New Roman" w:hAnsiTheme="majorBidi" w:cstheme="majorBidi"/>
          <w:sz w:val="24"/>
          <w:szCs w:val="24"/>
          <w:lang w:eastAsia="en-IL"/>
        </w:rPr>
        <w:footnoteReference w:id="8"/>
      </w:r>
      <w:r w:rsidRPr="0044370F">
        <w:rPr>
          <w:rFonts w:asciiTheme="majorBidi" w:eastAsia="Times New Roman" w:hAnsiTheme="majorBidi" w:cstheme="majorBidi"/>
          <w:sz w:val="24"/>
          <w:szCs w:val="24"/>
          <w:lang w:eastAsia="en-IL"/>
        </w:rPr>
        <w:t xml:space="preserve"> and implemented through an imperial authority, illustrating that ultimate power could derive from spiritual leadership as much as from military or economic dominance. </w:t>
      </w:r>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heme="majorBidi" w:eastAsia="Times New Roman" w:hAnsiTheme="majorBidi" w:cstheme="majorBidi"/>
          <w:sz w:val="24"/>
          <w:szCs w:val="24"/>
          <w:lang w:eastAsia="en-IL"/>
        </w:rPr>
        <w:t>During the medieval era, political power globally was dispersed and frequently intersected. In Europe, for instance, authority was shared among feudal lords, monarchs, and the dominant presence of the Catholic Church. A Holy Roman</w:t>
      </w:r>
      <w:r w:rsidRPr="0044370F">
        <w:rPr>
          <w:rStyle w:val="a8"/>
          <w:rFonts w:asciiTheme="majorBidi" w:eastAsia="Times New Roman" w:hAnsiTheme="majorBidi" w:cstheme="majorBidi"/>
          <w:sz w:val="24"/>
          <w:szCs w:val="24"/>
          <w:lang w:eastAsia="en-IL"/>
        </w:rPr>
        <w:footnoteReference w:id="9"/>
      </w:r>
      <w:r w:rsidRPr="0044370F">
        <w:rPr>
          <w:rFonts w:asciiTheme="majorBidi" w:eastAsia="Times New Roman" w:hAnsiTheme="majorBidi" w:cstheme="majorBidi"/>
          <w:sz w:val="24"/>
          <w:szCs w:val="24"/>
          <w:lang w:eastAsia="en-IL"/>
        </w:rPr>
        <w:t xml:space="preserve"> Emperor could assert authority over Christendom in title, while actual power splintered into regional principalities, prompting Voltaire to cynically remark that the Holy Roman Empire was neither holy, nor Roman, nor genuinely an empire</w:t>
      </w:r>
      <w:r w:rsidRPr="0044370F">
        <w:rPr>
          <w:rStyle w:val="a8"/>
          <w:rFonts w:asciiTheme="majorBidi" w:eastAsia="Times New Roman" w:hAnsiTheme="majorBidi" w:cstheme="majorBidi"/>
          <w:sz w:val="24"/>
          <w:szCs w:val="24"/>
          <w:lang w:eastAsia="en-IL"/>
        </w:rPr>
        <w:footnoteReference w:id="10"/>
      </w:r>
      <w:r w:rsidRPr="0044370F">
        <w:rPr>
          <w:rFonts w:asciiTheme="majorBidi" w:eastAsia="Times New Roman" w:hAnsiTheme="majorBidi" w:cstheme="majorBidi"/>
          <w:sz w:val="24"/>
          <w:szCs w:val="24"/>
          <w:lang w:eastAsia="en-IL"/>
        </w:rPr>
        <w:t xml:space="preserve">. In essence, a neo-medieval structure of governance emerged: the religious figure (the Pope) could confront monarchs, and various sovereign powers competed within the same territory. </w:t>
      </w:r>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heme="majorBidi" w:eastAsia="Times New Roman" w:hAnsiTheme="majorBidi" w:cstheme="majorBidi"/>
          <w:sz w:val="24"/>
          <w:szCs w:val="24"/>
          <w:lang w:eastAsia="en-IL"/>
        </w:rPr>
        <w:t xml:space="preserve">A dramatic shift began in early modern Europe. After centuries of religious wars and imperial contests, the </w:t>
      </w:r>
      <w:r w:rsidRPr="0044370F">
        <w:rPr>
          <w:rFonts w:asciiTheme="majorBidi" w:eastAsia="Times New Roman" w:hAnsiTheme="majorBidi" w:cstheme="majorBidi"/>
          <w:b/>
          <w:bCs/>
          <w:sz w:val="24"/>
          <w:szCs w:val="24"/>
          <w:lang w:eastAsia="en-IL"/>
        </w:rPr>
        <w:t>Treaty of Westphalia</w:t>
      </w:r>
      <w:r w:rsidRPr="0044370F">
        <w:rPr>
          <w:rStyle w:val="a8"/>
          <w:rFonts w:asciiTheme="majorBidi" w:eastAsia="Times New Roman" w:hAnsiTheme="majorBidi" w:cstheme="majorBidi"/>
          <w:b/>
          <w:bCs/>
          <w:sz w:val="24"/>
          <w:szCs w:val="24"/>
          <w:lang w:eastAsia="en-IL"/>
        </w:rPr>
        <w:footnoteReference w:id="11"/>
      </w:r>
      <w:r w:rsidRPr="0044370F">
        <w:rPr>
          <w:rFonts w:asciiTheme="majorBidi" w:eastAsia="Times New Roman" w:hAnsiTheme="majorBidi" w:cstheme="majorBidi"/>
          <w:sz w:val="24"/>
          <w:szCs w:val="24"/>
          <w:lang w:eastAsia="en-IL"/>
        </w:rPr>
        <w:t xml:space="preserve"> in 1648 marked a turning point in the conception of political </w:t>
      </w:r>
      <w:r w:rsidRPr="0044370F">
        <w:rPr>
          <w:rFonts w:asciiTheme="majorBidi" w:eastAsia="Times New Roman" w:hAnsiTheme="majorBidi" w:cstheme="majorBidi"/>
          <w:sz w:val="24"/>
          <w:szCs w:val="24"/>
          <w:lang w:eastAsia="en-IL"/>
        </w:rPr>
        <w:lastRenderedPageBreak/>
        <w:t>authority. The Peace of Westphalia</w:t>
      </w:r>
      <w:r w:rsidRPr="0044370F">
        <w:rPr>
          <w:rStyle w:val="a8"/>
          <w:rFonts w:asciiTheme="majorBidi" w:eastAsia="Times New Roman" w:hAnsiTheme="majorBidi" w:cstheme="majorBidi"/>
          <w:sz w:val="24"/>
          <w:szCs w:val="24"/>
          <w:lang w:eastAsia="en-IL"/>
        </w:rPr>
        <w:footnoteReference w:id="12"/>
      </w:r>
      <w:r w:rsidRPr="0044370F">
        <w:rPr>
          <w:rFonts w:asciiTheme="majorBidi" w:eastAsia="Times New Roman" w:hAnsiTheme="majorBidi" w:cstheme="majorBidi"/>
          <w:sz w:val="24"/>
          <w:szCs w:val="24"/>
          <w:lang w:eastAsia="en-IL"/>
        </w:rPr>
        <w:t xml:space="preserve"> ended the devastating Thirty Years’ War and, in its settlement, </w:t>
      </w:r>
      <w:r w:rsidRPr="0044370F">
        <w:rPr>
          <w:rFonts w:asciiTheme="majorBidi" w:eastAsia="Times New Roman" w:hAnsiTheme="majorBidi" w:cstheme="majorBidi"/>
          <w:i/>
          <w:iCs/>
          <w:sz w:val="24"/>
          <w:szCs w:val="24"/>
          <w:lang w:eastAsia="en-IL"/>
        </w:rPr>
        <w:t>“established the principle of sovereignty, where states recognized each other’s independence and territorial integrity.”</w:t>
      </w:r>
      <w:r w:rsidRPr="0044370F">
        <w:rPr>
          <w:rFonts w:asciiTheme="majorBidi" w:eastAsia="Times New Roman" w:hAnsiTheme="majorBidi" w:cstheme="majorBidi"/>
          <w:sz w:val="24"/>
          <w:szCs w:val="24"/>
          <w:lang w:eastAsia="en-IL"/>
        </w:rPr>
        <w:t xml:space="preserve"> No longer would popes or emperors claim universal authority over Christendom; instead, each prince or national ruler was affirmed as the supreme authority </w:t>
      </w:r>
      <w:r w:rsidRPr="0044370F">
        <w:rPr>
          <w:rFonts w:asciiTheme="majorBidi" w:eastAsia="Times New Roman" w:hAnsiTheme="majorBidi" w:cstheme="majorBidi"/>
          <w:b/>
          <w:bCs/>
          <w:sz w:val="24"/>
          <w:szCs w:val="24"/>
          <w:lang w:eastAsia="en-IL"/>
        </w:rPr>
        <w:t>within his own territory</w:t>
      </w:r>
      <w:r w:rsidRPr="0044370F">
        <w:rPr>
          <w:rFonts w:asciiTheme="majorBidi" w:eastAsia="Times New Roman" w:hAnsiTheme="majorBidi" w:cstheme="majorBidi"/>
          <w:sz w:val="24"/>
          <w:szCs w:val="24"/>
          <w:lang w:eastAsia="en-IL"/>
        </w:rPr>
        <w:t>, and external powers (in theory) agreed not to interfere in other states’ domestic affairs. This Westphalian settlement</w:t>
      </w:r>
      <w:r w:rsidRPr="0044370F">
        <w:rPr>
          <w:rStyle w:val="a8"/>
          <w:rFonts w:asciiTheme="majorBidi" w:eastAsia="Times New Roman" w:hAnsiTheme="majorBidi" w:cstheme="majorBidi"/>
          <w:sz w:val="24"/>
          <w:szCs w:val="24"/>
          <w:lang w:eastAsia="en-IL"/>
        </w:rPr>
        <w:footnoteReference w:id="13"/>
      </w:r>
      <w:r w:rsidRPr="0044370F">
        <w:rPr>
          <w:rFonts w:asciiTheme="majorBidi" w:eastAsia="Times New Roman" w:hAnsiTheme="majorBidi" w:cstheme="majorBidi"/>
          <w:sz w:val="24"/>
          <w:szCs w:val="24"/>
          <w:lang w:eastAsia="en-IL"/>
        </w:rPr>
        <w:t xml:space="preserve"> crystallized the idea of the </w:t>
      </w:r>
      <w:r w:rsidRPr="0044370F">
        <w:rPr>
          <w:rFonts w:asciiTheme="majorBidi" w:eastAsia="Times New Roman" w:hAnsiTheme="majorBidi" w:cstheme="majorBidi"/>
          <w:b/>
          <w:bCs/>
          <w:sz w:val="24"/>
          <w:szCs w:val="24"/>
          <w:lang w:eastAsia="en-IL"/>
        </w:rPr>
        <w:t>modern sovereign state</w:t>
      </w:r>
      <w:r w:rsidRPr="0044370F">
        <w:rPr>
          <w:rFonts w:asciiTheme="majorBidi" w:eastAsia="Times New Roman" w:hAnsiTheme="majorBidi" w:cstheme="majorBidi"/>
          <w:sz w:val="24"/>
          <w:szCs w:val="24"/>
          <w:lang w:eastAsia="en-IL"/>
        </w:rPr>
        <w:t xml:space="preserve">, a political unit with defined borders, a single recognized government, and no higher authority above it. Over the ensuing centuries, this model spread worldwide (through both imitation and colonial imposition), giving rise to the </w:t>
      </w:r>
      <w:r w:rsidRPr="0044370F">
        <w:rPr>
          <w:rFonts w:asciiTheme="majorBidi" w:eastAsia="Times New Roman" w:hAnsiTheme="majorBidi" w:cstheme="majorBidi"/>
          <w:b/>
          <w:bCs/>
          <w:sz w:val="24"/>
          <w:szCs w:val="24"/>
          <w:lang w:eastAsia="en-IL"/>
        </w:rPr>
        <w:t>international system of nation-states</w:t>
      </w:r>
      <w:r w:rsidRPr="0044370F">
        <w:rPr>
          <w:rFonts w:asciiTheme="majorBidi" w:eastAsia="Times New Roman" w:hAnsiTheme="majorBidi" w:cstheme="majorBidi"/>
          <w:sz w:val="24"/>
          <w:szCs w:val="24"/>
          <w:lang w:eastAsia="en-IL"/>
        </w:rPr>
        <w:t xml:space="preserve"> that we know today. States began to consolidate power internally, developing standing armies, centralized bureaucracies, and loyal national publics, while externally, they treated one another as formally equal sovereigns under nascent international law. By the 19th and 20th centuries, the Westphalian nation-state had become nearly synonymous with political authority itself, the ultimate arbiter of law, security, and welfare within its territory.</w:t>
      </w:r>
    </w:p>
    <w:p w:rsidR="0060194B" w:rsidRPr="0044370F" w:rsidRDefault="0060194B" w:rsidP="0060194B">
      <w:pPr>
        <w:spacing w:before="100" w:beforeAutospacing="1" w:after="100" w:afterAutospacing="1" w:line="360" w:lineRule="auto"/>
        <w:jc w:val="both"/>
        <w:rPr>
          <w:rFonts w:ascii="Times New Roman" w:eastAsia="Times New Roman" w:hAnsi="Times New Roman" w:cstheme="majorBidi"/>
          <w:sz w:val="24"/>
          <w:szCs w:val="24"/>
          <w:lang w:eastAsia="en-IL"/>
        </w:rPr>
      </w:pPr>
      <w:r w:rsidRPr="0044370F">
        <w:rPr>
          <w:rFonts w:asciiTheme="majorBidi" w:eastAsia="Times New Roman" w:hAnsiTheme="majorBidi" w:cstheme="majorBidi"/>
          <w:sz w:val="24"/>
          <w:szCs w:val="24"/>
          <w:lang w:eastAsia="en-IL"/>
        </w:rPr>
        <w:t>Yet, even at its zenith, the sovereignty of states</w:t>
      </w:r>
      <w:r w:rsidRPr="0044370F">
        <w:rPr>
          <w:rStyle w:val="a8"/>
          <w:rFonts w:asciiTheme="majorBidi" w:eastAsia="Times New Roman" w:hAnsiTheme="majorBidi" w:cstheme="majorBidi"/>
          <w:sz w:val="24"/>
          <w:szCs w:val="24"/>
          <w:lang w:eastAsia="en-IL"/>
        </w:rPr>
        <w:footnoteReference w:id="14"/>
      </w:r>
      <w:r w:rsidRPr="0044370F">
        <w:rPr>
          <w:rFonts w:asciiTheme="majorBidi" w:eastAsia="Times New Roman" w:hAnsiTheme="majorBidi" w:cstheme="majorBidi"/>
          <w:sz w:val="24"/>
          <w:szCs w:val="24"/>
          <w:lang w:eastAsia="en-IL"/>
        </w:rPr>
        <w:t xml:space="preserve"> was not absolute in practice. History provides many examples of norms and boundaries of sovereignty being bent or violated. As Stephen Krasner</w:t>
      </w:r>
      <w:r w:rsidRPr="0044370F">
        <w:rPr>
          <w:rStyle w:val="a8"/>
          <w:rFonts w:asciiTheme="majorBidi" w:eastAsia="Times New Roman" w:hAnsiTheme="majorBidi" w:cstheme="majorBidi"/>
          <w:sz w:val="24"/>
          <w:szCs w:val="24"/>
          <w:lang w:eastAsia="en-IL"/>
        </w:rPr>
        <w:footnoteReference w:id="15"/>
      </w:r>
      <w:r w:rsidRPr="0044370F">
        <w:rPr>
          <w:rFonts w:asciiTheme="majorBidi" w:eastAsia="Times New Roman" w:hAnsiTheme="majorBidi" w:cstheme="majorBidi"/>
          <w:sz w:val="24"/>
          <w:szCs w:val="24"/>
          <w:lang w:eastAsia="en-IL"/>
        </w:rPr>
        <w:t xml:space="preserve"> famously argues, state sovereignty</w:t>
      </w:r>
      <w:r w:rsidRPr="0044370F">
        <w:rPr>
          <w:rStyle w:val="a8"/>
          <w:rFonts w:asciiTheme="majorBidi" w:eastAsia="Times New Roman" w:hAnsiTheme="majorBidi" w:cstheme="majorBidi"/>
          <w:sz w:val="24"/>
          <w:szCs w:val="24"/>
          <w:lang w:eastAsia="en-IL"/>
        </w:rPr>
        <w:footnoteReference w:id="16"/>
      </w:r>
      <w:r w:rsidRPr="0044370F">
        <w:rPr>
          <w:rFonts w:asciiTheme="majorBidi" w:eastAsia="Times New Roman" w:hAnsiTheme="majorBidi" w:cstheme="majorBidi"/>
          <w:sz w:val="24"/>
          <w:szCs w:val="24"/>
          <w:lang w:eastAsia="en-IL"/>
        </w:rPr>
        <w:t xml:space="preserve"> has often been an </w:t>
      </w:r>
      <w:r w:rsidRPr="0044370F">
        <w:rPr>
          <w:rFonts w:asciiTheme="majorBidi" w:eastAsia="Times New Roman" w:hAnsiTheme="majorBidi" w:cstheme="majorBidi"/>
          <w:b/>
          <w:bCs/>
          <w:sz w:val="24"/>
          <w:szCs w:val="24"/>
          <w:lang w:eastAsia="en-IL"/>
        </w:rPr>
        <w:t>“organized hypocrisy”</w:t>
      </w:r>
      <w:r w:rsidRPr="0044370F">
        <w:rPr>
          <w:rFonts w:asciiTheme="majorBidi" w:eastAsia="Times New Roman" w:hAnsiTheme="majorBidi" w:cstheme="majorBidi"/>
          <w:sz w:val="24"/>
          <w:szCs w:val="24"/>
          <w:lang w:eastAsia="en-IL"/>
        </w:rPr>
        <w:t xml:space="preserve">: a set of norms honored in theory but breached when interests demand. Powerful empires interfered in the affairs of weaker states; colonialism subordinated the sovereignty of much of the world; and international agreements began to place limits on what states could do. </w:t>
      </w:r>
      <w:r w:rsidRPr="0044370F">
        <w:rPr>
          <w:rFonts w:asciiTheme="majorBidi" w:eastAsia="Times New Roman" w:hAnsiTheme="majorBidi" w:cstheme="majorBidi"/>
          <w:b/>
          <w:bCs/>
          <w:sz w:val="24"/>
          <w:szCs w:val="24"/>
          <w:lang w:eastAsia="en-IL"/>
        </w:rPr>
        <w:t>Krasner</w:t>
      </w:r>
      <w:r w:rsidRPr="0044370F">
        <w:rPr>
          <w:rFonts w:asciiTheme="majorBidi" w:eastAsia="Times New Roman" w:hAnsiTheme="majorBidi" w:cstheme="majorBidi"/>
          <w:sz w:val="24"/>
          <w:szCs w:val="24"/>
          <w:lang w:eastAsia="en-IL"/>
        </w:rPr>
        <w:t xml:space="preserve"> notes that rulers have always been driven by a desire to maintain power more than by abstract principles, and states have </w:t>
      </w:r>
      <w:r w:rsidRPr="0044370F">
        <w:rPr>
          <w:rFonts w:asciiTheme="majorBidi" w:eastAsia="Times New Roman" w:hAnsiTheme="majorBidi" w:cstheme="majorBidi"/>
          <w:i/>
          <w:iCs/>
          <w:sz w:val="24"/>
          <w:szCs w:val="24"/>
          <w:lang w:eastAsia="en-IL"/>
        </w:rPr>
        <w:t>“never been as sovereign as some have supposed,”</w:t>
      </w:r>
      <w:r w:rsidRPr="0044370F">
        <w:rPr>
          <w:rFonts w:asciiTheme="majorBidi" w:eastAsia="Times New Roman" w:hAnsiTheme="majorBidi" w:cstheme="majorBidi"/>
          <w:sz w:val="24"/>
          <w:szCs w:val="24"/>
          <w:lang w:eastAsia="en-IL"/>
        </w:rPr>
        <w:t xml:space="preserve"> frequently violating the non-interference norm when convenient. The Westphalian ideal, while shaping our mental map of geopolitics, has </w:t>
      </w:r>
      <w:r w:rsidRPr="0044370F">
        <w:rPr>
          <w:rFonts w:asciiTheme="majorBidi" w:eastAsia="Times New Roman" w:hAnsiTheme="majorBidi" w:cstheme="majorBidi"/>
          <w:sz w:val="24"/>
          <w:szCs w:val="24"/>
          <w:lang w:eastAsia="en-IL"/>
        </w:rPr>
        <w:lastRenderedPageBreak/>
        <w:t xml:space="preserve">continually been tested by realities such as </w:t>
      </w:r>
      <w:r w:rsidRPr="0044370F">
        <w:rPr>
          <w:rFonts w:asciiTheme="majorBidi" w:eastAsia="Times New Roman" w:hAnsiTheme="majorBidi" w:cstheme="majorBidi"/>
          <w:b/>
          <w:bCs/>
          <w:sz w:val="24"/>
          <w:szCs w:val="24"/>
          <w:lang w:eastAsia="en-IL"/>
        </w:rPr>
        <w:t>global trade</w:t>
      </w:r>
      <w:r w:rsidRPr="0044370F">
        <w:rPr>
          <w:rFonts w:asciiTheme="majorBidi" w:eastAsia="Times New Roman" w:hAnsiTheme="majorBidi" w:cstheme="majorBidi"/>
          <w:sz w:val="24"/>
          <w:szCs w:val="24"/>
          <w:lang w:eastAsia="en-IL"/>
        </w:rPr>
        <w:t xml:space="preserve">, </w:t>
      </w:r>
      <w:r w:rsidRPr="0044370F">
        <w:rPr>
          <w:rFonts w:asciiTheme="majorBidi" w:eastAsia="Times New Roman" w:hAnsiTheme="majorBidi" w:cstheme="majorBidi"/>
          <w:b/>
          <w:bCs/>
          <w:sz w:val="24"/>
          <w:szCs w:val="24"/>
          <w:lang w:eastAsia="en-IL"/>
        </w:rPr>
        <w:t>religious movements</w:t>
      </w:r>
      <w:r w:rsidRPr="0044370F">
        <w:rPr>
          <w:rFonts w:asciiTheme="majorBidi" w:eastAsia="Times New Roman" w:hAnsiTheme="majorBidi" w:cstheme="majorBidi"/>
          <w:sz w:val="24"/>
          <w:szCs w:val="24"/>
          <w:lang w:eastAsia="en-IL"/>
        </w:rPr>
        <w:t xml:space="preserve">, </w:t>
      </w:r>
      <w:r w:rsidRPr="0044370F">
        <w:rPr>
          <w:rFonts w:asciiTheme="majorBidi" w:eastAsia="Times New Roman" w:hAnsiTheme="majorBidi" w:cstheme="majorBidi"/>
          <w:b/>
          <w:bCs/>
          <w:sz w:val="24"/>
          <w:szCs w:val="24"/>
          <w:lang w:eastAsia="en-IL"/>
        </w:rPr>
        <w:t>warfare</w:t>
      </w:r>
      <w:r w:rsidRPr="0044370F">
        <w:rPr>
          <w:rFonts w:asciiTheme="majorBidi" w:eastAsia="Times New Roman" w:hAnsiTheme="majorBidi" w:cstheme="majorBidi"/>
          <w:sz w:val="24"/>
          <w:szCs w:val="24"/>
          <w:lang w:eastAsia="en-IL"/>
        </w:rPr>
        <w:t xml:space="preserve">, and </w:t>
      </w:r>
      <w:r w:rsidRPr="0044370F">
        <w:rPr>
          <w:rFonts w:asciiTheme="majorBidi" w:eastAsia="Times New Roman" w:hAnsiTheme="majorBidi" w:cstheme="majorBidi"/>
          <w:b/>
          <w:bCs/>
          <w:sz w:val="24"/>
          <w:szCs w:val="24"/>
          <w:lang w:eastAsia="en-IL"/>
        </w:rPr>
        <w:t>international law</w:t>
      </w:r>
      <w:r w:rsidRPr="0044370F">
        <w:rPr>
          <w:rStyle w:val="a8"/>
          <w:rFonts w:asciiTheme="majorBidi" w:eastAsia="Times New Roman" w:hAnsiTheme="majorBidi" w:cstheme="majorBidi"/>
          <w:b/>
          <w:bCs/>
          <w:sz w:val="24"/>
          <w:szCs w:val="24"/>
          <w:lang w:eastAsia="en-IL"/>
        </w:rPr>
        <w:footnoteReference w:id="17"/>
      </w:r>
      <w:r w:rsidRPr="0044370F">
        <w:rPr>
          <w:rFonts w:asciiTheme="majorBidi" w:eastAsia="Times New Roman" w:hAnsiTheme="majorBidi" w:cstheme="majorBidi"/>
          <w:sz w:val="24"/>
          <w:szCs w:val="24"/>
          <w:lang w:eastAsia="en-IL"/>
        </w:rPr>
        <w:t>.</w:t>
      </w:r>
    </w:p>
    <w:p w:rsidR="0060194B" w:rsidRPr="0044370F" w:rsidRDefault="0060194B" w:rsidP="0060194B">
      <w:pPr>
        <w:spacing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This historical overview underscores that transformations in political authority have not followed a linear or teleological trajectory. Instead, shifts between communal, imperial, religious, and state-centered forms of authority have repeatedly emerged in response to technological change, economic reorganization, and institutional breakdown.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Crucially, these shifts do not represent a cumulative progression toward a single dominant form of authority, but rather a recurring pattern of consolidation and fragmentation shaped by changing material, technological, and institutional conditions.</w:t>
      </w: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jc w:val="both"/>
        <w:rPr>
          <w:sz w:val="24"/>
          <w:szCs w:val="24"/>
        </w:rPr>
      </w:pPr>
    </w:p>
    <w:p w:rsidR="00D806B6" w:rsidRPr="0044370F" w:rsidRDefault="00D806B6" w:rsidP="00D806B6">
      <w:pPr>
        <w:pStyle w:val="3"/>
        <w:rPr>
          <w:rFonts w:asciiTheme="minorHAnsi" w:eastAsiaTheme="minorHAnsi" w:hAnsiTheme="minorHAnsi" w:cstheme="minorBidi"/>
        </w:rPr>
      </w:pPr>
      <w:bookmarkStart w:id="17" w:name="_Toc222652700"/>
      <w:r w:rsidRPr="0044370F">
        <w:lastRenderedPageBreak/>
        <w:t>Figure 1: Evolution of socio-political authority</w:t>
      </w:r>
      <w:bookmarkEnd w:id="17"/>
      <w:r w:rsidRPr="0044370F">
        <w:t xml:space="preserve"> </w:t>
      </w:r>
    </w:p>
    <w:p w:rsidR="0060194B" w:rsidRPr="0044370F" w:rsidRDefault="0060194B" w:rsidP="0060194B">
      <w:pPr>
        <w:spacing w:line="360" w:lineRule="auto"/>
        <w:jc w:val="both"/>
        <w:rPr>
          <w:rFonts w:asciiTheme="majorBidi" w:hAnsiTheme="majorBidi" w:cstheme="majorBidi"/>
          <w:sz w:val="24"/>
          <w:szCs w:val="24"/>
        </w:rPr>
      </w:pPr>
      <w:r w:rsidRPr="0044370F">
        <w:rPr>
          <w:rFonts w:ascii="Times New Roman" w:eastAsia="Times New Roman" w:hAnsi="Times New Roman" w:cs="Times New Roman"/>
          <w:sz w:val="24"/>
          <w:szCs w:val="24"/>
        </w:rPr>
        <w:t>The current emergence of corporate quasi-sovereignty should be viewed not as a deviation from a stable Westphalian system but as an element of a recurring pattern in which authority is reshaped as existing governance frameworks fail to correspond to material and technological realities.</w:t>
      </w:r>
      <w:r w:rsidR="00D806B6" w:rsidRPr="0044370F">
        <w:rPr>
          <w:rFonts w:ascii="Times New Roman" w:eastAsia="Times New Roman" w:hAnsi="Times New Roman" w:cstheme="majorBidi"/>
          <w:noProof/>
          <w:sz w:val="24"/>
          <w:szCs w:val="24"/>
        </w:rPr>
        <w:drawing>
          <wp:anchor distT="0" distB="0" distL="114300" distR="114300" simplePos="0" relativeHeight="251659264" behindDoc="0" locked="0" layoutInCell="1" allowOverlap="1" wp14:anchorId="7E53AB26" wp14:editId="6AD9C0F8">
            <wp:simplePos x="0" y="0"/>
            <wp:positionH relativeFrom="page">
              <wp:align>left</wp:align>
            </wp:positionH>
            <wp:positionV relativeFrom="paragraph">
              <wp:posOffset>0</wp:posOffset>
            </wp:positionV>
            <wp:extent cx="7702571" cy="4332605"/>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Figure 1– Evolution of Socio-Political Authority (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02571" cy="4332605"/>
                    </a:xfrm>
                    <a:prstGeom prst="rect">
                      <a:avLst/>
                    </a:prstGeom>
                  </pic:spPr>
                </pic:pic>
              </a:graphicData>
            </a:graphic>
            <wp14:sizeRelH relativeFrom="margin">
              <wp14:pctWidth>0</wp14:pctWidth>
            </wp14:sizeRelH>
            <wp14:sizeRelV relativeFrom="margin">
              <wp14:pctHeight>0</wp14:pctHeight>
            </wp14:sizeRelV>
          </wp:anchor>
        </w:drawing>
      </w:r>
      <w:r w:rsidRPr="0044370F">
        <w:rPr>
          <w:rFonts w:ascii="Times New Roman" w:eastAsia="Times New Roman" w:hAnsi="Times New Roman" w:cs="Times New Roman" w:hint="cs"/>
          <w:sz w:val="24"/>
          <w:szCs w:val="24"/>
          <w:rtl/>
        </w:rPr>
        <w:t xml:space="preserve"> </w:t>
      </w:r>
      <w:r w:rsidRPr="0044370F">
        <w:rPr>
          <w:rFonts w:ascii="Times New Roman" w:eastAsia="Times New Roman" w:hAnsi="Times New Roman" w:cs="Times New Roman"/>
          <w:sz w:val="24"/>
          <w:szCs w:val="24"/>
        </w:rPr>
        <w:t xml:space="preserve">The figure illustrates the non-linear historical </w:t>
      </w:r>
      <w:r w:rsidRPr="0044370F">
        <w:rPr>
          <w:rFonts w:asciiTheme="majorBidi" w:eastAsia="Times New Roman" w:hAnsiTheme="majorBidi" w:cstheme="majorBidi"/>
          <w:sz w:val="24"/>
          <w:szCs w:val="24"/>
        </w:rPr>
        <w:t xml:space="preserve">transformation of political authority, from communal self-rule to contemporary forms of corporate quasi-sovereignty. The final, open-ended stage reflects the indeterminate and contested nature of future configurations of authority, emphasizing that the trajectory of sovereignty remains unresolved rather than predetermined. </w:t>
      </w:r>
      <w:r w:rsidRPr="0044370F">
        <w:rPr>
          <w:rFonts w:asciiTheme="majorBidi" w:hAnsiTheme="majorBidi" w:cstheme="majorBidi"/>
          <w:sz w:val="24"/>
          <w:szCs w:val="24"/>
        </w:rPr>
        <w:t>Corporate quasi-sovereignty is depicted here not as a definitive endpoint, but as an analytically identifiable configuration that emerges under specific technological and institutional conditions, and remains subject to contestation, reversal, or transformation.</w:t>
      </w:r>
    </w:p>
    <w:p w:rsidR="00816B26" w:rsidRPr="0044370F" w:rsidRDefault="00816B26" w:rsidP="0060194B">
      <w:pPr>
        <w:spacing w:line="360" w:lineRule="auto"/>
        <w:jc w:val="both"/>
        <w:rPr>
          <w:rFonts w:asciiTheme="majorBidi" w:hAnsiTheme="majorBidi" w:cstheme="majorBidi"/>
          <w:sz w:val="24"/>
          <w:szCs w:val="24"/>
        </w:rPr>
      </w:pPr>
    </w:p>
    <w:p w:rsidR="00816B26" w:rsidRPr="0044370F" w:rsidRDefault="00816B26" w:rsidP="0060194B">
      <w:pPr>
        <w:spacing w:line="360" w:lineRule="auto"/>
        <w:jc w:val="both"/>
        <w:rPr>
          <w:rFonts w:asciiTheme="majorBidi" w:hAnsiTheme="majorBidi" w:cstheme="majorBidi"/>
          <w:sz w:val="24"/>
          <w:szCs w:val="24"/>
        </w:rPr>
      </w:pPr>
    </w:p>
    <w:p w:rsidR="0060194B" w:rsidRPr="0044370F" w:rsidRDefault="0060194B" w:rsidP="006D666E">
      <w:pPr>
        <w:pStyle w:val="2"/>
        <w:rPr>
          <w:rFonts w:eastAsia="Times New Roman"/>
        </w:rPr>
      </w:pPr>
      <w:bookmarkStart w:id="18" w:name="_Toc222652701"/>
      <w:r w:rsidRPr="0044370F">
        <w:rPr>
          <w:rFonts w:eastAsia="Times New Roman"/>
        </w:rPr>
        <w:lastRenderedPageBreak/>
        <w:t>1.2</w:t>
      </w:r>
      <w:r w:rsidRPr="0044370F">
        <w:rPr>
          <w:rFonts w:eastAsia="Times New Roman"/>
        </w:rPr>
        <w:tab/>
        <w:t>Bridging the Historical Trajectory to the Contemporary Problem</w:t>
      </w:r>
      <w:bookmarkEnd w:id="18"/>
    </w:p>
    <w:p w:rsidR="00816B26" w:rsidRPr="0044370F" w:rsidRDefault="00816B26" w:rsidP="00816B26"/>
    <w:p w:rsidR="0060194B" w:rsidRPr="0044370F" w:rsidRDefault="0060194B" w:rsidP="0060194B">
      <w:pPr>
        <w:spacing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brief historical overview illustrates that political authority has never been static or singular. From ancient city-states to empires and religious polities to the contemporary Westphalian nation-state, sovereignty has undergone numerous reconfigurations in response to changing social, technological, and economic circumstances. The Westphalian model was a historical settlement rather than an unchangeable concept, even if it grew to dominate contemporary political philosophy. Crucially, past eras of non-state, overlapping, and diffuse authority serve as a reminder that the state has not always been the only or even the main center of government. In light of this, the current growth of multinational technology companies can be interpreted as a new stage in a longer historical pattern of authority redistribution rather than as an unprecedented anomaly. This raises important issues regarding the exercise, contestation, and legitimization of sovereignty in the digital age.</w:t>
      </w:r>
    </w:p>
    <w:p w:rsidR="0060194B" w:rsidRPr="0044370F" w:rsidRDefault="0060194B" w:rsidP="0060194B">
      <w:pPr>
        <w:spacing w:before="100" w:beforeAutospacing="1" w:after="100" w:afterAutospacing="1" w:line="360" w:lineRule="auto"/>
        <w:jc w:val="both"/>
        <w:rPr>
          <w:rFonts w:ascii="Times New Roman" w:eastAsia="Times New Roman" w:hAnsi="Times New Roman" w:cstheme="majorBidi"/>
          <w:sz w:val="24"/>
          <w:szCs w:val="24"/>
          <w:lang w:eastAsia="en-IL"/>
        </w:rPr>
      </w:pPr>
      <w:r w:rsidRPr="0044370F">
        <w:rPr>
          <w:rFonts w:asciiTheme="majorBidi" w:eastAsia="Times New Roman" w:hAnsiTheme="majorBidi" w:cstheme="majorBidi"/>
          <w:sz w:val="24"/>
          <w:szCs w:val="24"/>
          <w:lang w:eastAsia="en-IL"/>
        </w:rPr>
        <w:t xml:space="preserve">In our contemporary era, new challenges have emerged that call back to earlier patterns of diffuse and overlapping authority. The rise of </w:t>
      </w:r>
      <w:r w:rsidRPr="0044370F">
        <w:rPr>
          <w:rFonts w:asciiTheme="majorBidi" w:eastAsia="Times New Roman" w:hAnsiTheme="majorBidi" w:cstheme="majorBidi"/>
          <w:b/>
          <w:bCs/>
          <w:sz w:val="24"/>
          <w:szCs w:val="24"/>
          <w:lang w:eastAsia="en-IL"/>
        </w:rPr>
        <w:t>multinational technology corporations</w:t>
      </w:r>
      <w:r w:rsidRPr="0044370F">
        <w:rPr>
          <w:rStyle w:val="a8"/>
          <w:rFonts w:asciiTheme="majorBidi" w:eastAsia="Times New Roman" w:hAnsiTheme="majorBidi" w:cstheme="majorBidi"/>
          <w:b/>
          <w:bCs/>
          <w:sz w:val="24"/>
          <w:szCs w:val="24"/>
          <w:lang w:eastAsia="en-IL"/>
        </w:rPr>
        <w:footnoteReference w:id="18"/>
      </w:r>
      <w:r w:rsidRPr="0044370F">
        <w:rPr>
          <w:rFonts w:asciiTheme="majorBidi" w:eastAsia="Times New Roman" w:hAnsiTheme="majorBidi" w:cstheme="majorBidi"/>
          <w:sz w:val="24"/>
          <w:szCs w:val="24"/>
          <w:lang w:eastAsia="en-IL"/>
        </w:rPr>
        <w:t>, whose platforms connect billions of people across borders, raises the question of whether we are witnessing a partial return to a more complex sovereignty, reminiscent of pre-Westphalian times, when non-state entities (such as cities, religious institutions, or trading companies) held significant power. The global digital domain created by these corporations does not map neatly onto the Westphalian system of nation-states</w:t>
      </w:r>
      <w:r w:rsidRPr="0044370F">
        <w:rPr>
          <w:rStyle w:val="a8"/>
          <w:rFonts w:asciiTheme="majorBidi" w:eastAsia="Times New Roman" w:hAnsiTheme="majorBidi" w:cstheme="majorBidi"/>
          <w:sz w:val="24"/>
          <w:szCs w:val="24"/>
          <w:lang w:eastAsia="en-IL"/>
        </w:rPr>
        <w:footnoteReference w:id="19"/>
      </w:r>
      <w:r w:rsidRPr="0044370F">
        <w:rPr>
          <w:rFonts w:asciiTheme="majorBidi" w:eastAsia="Times New Roman" w:hAnsiTheme="majorBidi" w:cstheme="majorBidi"/>
          <w:sz w:val="24"/>
          <w:szCs w:val="24"/>
          <w:lang w:eastAsia="en-IL"/>
        </w:rPr>
        <w:t xml:space="preserve">. </w:t>
      </w:r>
      <w:r w:rsidRPr="0044370F">
        <w:rPr>
          <w:rFonts w:asciiTheme="majorBidi" w:eastAsia="Times New Roman" w:hAnsiTheme="majorBidi" w:cstheme="majorBidi"/>
          <w:b/>
          <w:bCs/>
          <w:sz w:val="24"/>
          <w:szCs w:val="24"/>
          <w:lang w:eastAsia="en-IL"/>
        </w:rPr>
        <w:t>Cyberspace</w:t>
      </w:r>
      <w:r w:rsidRPr="0044370F">
        <w:rPr>
          <w:rFonts w:asciiTheme="majorBidi" w:eastAsia="Times New Roman" w:hAnsiTheme="majorBidi" w:cstheme="majorBidi"/>
          <w:sz w:val="24"/>
          <w:szCs w:val="24"/>
          <w:lang w:eastAsia="en-IL"/>
        </w:rPr>
        <w:t xml:space="preserve"> is a realm where data flows, and online communities often ignore territorial boundaries; the companies that control this space can sometimes rival states in their governance capacity. As we stand in the 21st century, the centuries-long trajectory from the </w:t>
      </w:r>
      <w:r w:rsidRPr="0044370F">
        <w:rPr>
          <w:rFonts w:asciiTheme="majorBidi" w:eastAsia="Times New Roman" w:hAnsiTheme="majorBidi" w:cstheme="majorBidi"/>
          <w:b/>
          <w:bCs/>
          <w:sz w:val="24"/>
          <w:szCs w:val="24"/>
          <w:lang w:eastAsia="en-IL"/>
        </w:rPr>
        <w:lastRenderedPageBreak/>
        <w:t>agora of Athens</w:t>
      </w:r>
      <w:r w:rsidRPr="0044370F">
        <w:rPr>
          <w:rFonts w:asciiTheme="majorBidi" w:eastAsia="Times New Roman" w:hAnsiTheme="majorBidi" w:cstheme="majorBidi"/>
          <w:sz w:val="24"/>
          <w:szCs w:val="24"/>
          <w:lang w:eastAsia="en-IL"/>
        </w:rPr>
        <w:t xml:space="preserve"> to the </w:t>
      </w:r>
      <w:r w:rsidRPr="0044370F">
        <w:rPr>
          <w:rFonts w:asciiTheme="majorBidi" w:eastAsia="Times New Roman" w:hAnsiTheme="majorBidi" w:cstheme="majorBidi"/>
          <w:b/>
          <w:bCs/>
          <w:sz w:val="24"/>
          <w:szCs w:val="24"/>
          <w:lang w:eastAsia="en-IL"/>
        </w:rPr>
        <w:t>General</w:t>
      </w:r>
      <w:r w:rsidRPr="0044370F">
        <w:rPr>
          <w:rStyle w:val="a8"/>
          <w:rFonts w:asciiTheme="majorBidi" w:eastAsia="Times New Roman" w:hAnsiTheme="majorBidi" w:cstheme="majorBidi"/>
          <w:b/>
          <w:bCs/>
          <w:sz w:val="24"/>
          <w:szCs w:val="24"/>
          <w:lang w:eastAsia="en-IL"/>
        </w:rPr>
        <w:footnoteReference w:id="20"/>
      </w:r>
      <w:r w:rsidRPr="0044370F">
        <w:rPr>
          <w:rFonts w:asciiTheme="majorBidi" w:eastAsia="Times New Roman" w:hAnsiTheme="majorBidi" w:cstheme="majorBidi"/>
          <w:b/>
          <w:bCs/>
          <w:sz w:val="24"/>
          <w:szCs w:val="24"/>
          <w:lang w:eastAsia="en-IL"/>
        </w:rPr>
        <w:t xml:space="preserve"> Assembly of the United Nations</w:t>
      </w:r>
      <w:r w:rsidRPr="0044370F">
        <w:rPr>
          <w:rFonts w:asciiTheme="majorBidi" w:eastAsia="Times New Roman" w:hAnsiTheme="majorBidi" w:cstheme="majorBidi"/>
          <w:sz w:val="24"/>
          <w:szCs w:val="24"/>
          <w:lang w:eastAsia="en-IL"/>
        </w:rPr>
        <w:t xml:space="preserve"> faces an inflection point: might the likes of Google, Amazon, Meta, Apple, and </w:t>
      </w:r>
      <w:proofErr w:type="spellStart"/>
      <w:r w:rsidRPr="0044370F">
        <w:rPr>
          <w:rFonts w:asciiTheme="majorBidi" w:eastAsia="Times New Roman" w:hAnsiTheme="majorBidi" w:cstheme="majorBidi"/>
          <w:sz w:val="24"/>
          <w:szCs w:val="24"/>
          <w:lang w:eastAsia="en-IL"/>
        </w:rPr>
        <w:t>Tencent</w:t>
      </w:r>
      <w:proofErr w:type="spellEnd"/>
      <w:r w:rsidRPr="0044370F">
        <w:rPr>
          <w:rFonts w:asciiTheme="majorBidi" w:eastAsia="Times New Roman" w:hAnsiTheme="majorBidi" w:cstheme="majorBidi"/>
          <w:sz w:val="24"/>
          <w:szCs w:val="24"/>
          <w:lang w:eastAsia="en-IL"/>
        </w:rPr>
        <w:t xml:space="preserve"> be evolving into </w:t>
      </w:r>
      <w:r w:rsidR="00960581" w:rsidRPr="0044370F">
        <w:rPr>
          <w:rFonts w:asciiTheme="majorBidi" w:eastAsia="Times New Roman" w:hAnsiTheme="majorBidi" w:cstheme="majorBidi"/>
          <w:b/>
          <w:bCs/>
          <w:sz w:val="24"/>
          <w:szCs w:val="24"/>
          <w:lang w:eastAsia="en-IL"/>
        </w:rPr>
        <w:t>quasi-sovereign authority</w:t>
      </w:r>
      <w:r w:rsidRPr="0044370F">
        <w:rPr>
          <w:rFonts w:asciiTheme="majorBidi" w:eastAsia="Times New Roman" w:hAnsiTheme="majorBidi" w:cstheme="majorBidi"/>
          <w:sz w:val="24"/>
          <w:szCs w:val="24"/>
          <w:lang w:eastAsia="en-IL"/>
        </w:rPr>
        <w:t xml:space="preserve"> on the world stage</w:t>
      </w:r>
      <w:r w:rsidRPr="0044370F">
        <w:rPr>
          <w:rStyle w:val="a8"/>
          <w:rFonts w:asciiTheme="majorBidi" w:eastAsia="Times New Roman" w:hAnsiTheme="majorBidi" w:cstheme="majorBidi"/>
          <w:sz w:val="24"/>
          <w:szCs w:val="24"/>
          <w:lang w:eastAsia="en-IL"/>
        </w:rPr>
        <w:footnoteReference w:id="21"/>
      </w:r>
      <w:r w:rsidRPr="0044370F">
        <w:rPr>
          <w:rFonts w:asciiTheme="majorBidi" w:eastAsia="Times New Roman" w:hAnsiTheme="majorBidi" w:cstheme="majorBidi"/>
          <w:sz w:val="24"/>
          <w:szCs w:val="24"/>
          <w:lang w:eastAsia="en-IL"/>
        </w:rPr>
        <w: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While these dynamics echo earlier periods of non-state authority, contemporary technology corporations differ from pre-modern analogues in several critical respects: the </w:t>
      </w:r>
      <w:r w:rsidRPr="0044370F">
        <w:rPr>
          <w:rFonts w:ascii="Times New Roman" w:eastAsia="Times New Roman" w:hAnsi="Times New Roman" w:cs="Times New Roman"/>
          <w:b/>
          <w:bCs/>
          <w:sz w:val="24"/>
          <w:szCs w:val="24"/>
        </w:rPr>
        <w:t>scale</w:t>
      </w:r>
      <w:r w:rsidRPr="0044370F">
        <w:rPr>
          <w:rFonts w:ascii="Times New Roman" w:eastAsia="Times New Roman" w:hAnsi="Times New Roman" w:cs="Times New Roman"/>
          <w:sz w:val="24"/>
          <w:szCs w:val="24"/>
        </w:rPr>
        <w:t xml:space="preserve"> at which they operate, the </w:t>
      </w:r>
      <w:r w:rsidRPr="0044370F">
        <w:rPr>
          <w:rFonts w:ascii="Times New Roman" w:eastAsia="Times New Roman" w:hAnsi="Times New Roman" w:cs="Times New Roman"/>
          <w:b/>
          <w:bCs/>
          <w:sz w:val="24"/>
          <w:szCs w:val="24"/>
        </w:rPr>
        <w:t>speed</w:t>
      </w:r>
      <w:r w:rsidRPr="0044370F">
        <w:rPr>
          <w:rFonts w:ascii="Times New Roman" w:eastAsia="Times New Roman" w:hAnsi="Times New Roman" w:cs="Times New Roman"/>
          <w:sz w:val="24"/>
          <w:szCs w:val="24"/>
        </w:rPr>
        <w:t xml:space="preserve"> at which authority is exercised, and the </w:t>
      </w:r>
      <w:r w:rsidRPr="0044370F">
        <w:rPr>
          <w:rFonts w:ascii="Times New Roman" w:eastAsia="Times New Roman" w:hAnsi="Times New Roman" w:cs="Times New Roman"/>
          <w:b/>
          <w:bCs/>
          <w:sz w:val="24"/>
          <w:szCs w:val="24"/>
        </w:rPr>
        <w:t>degree</w:t>
      </w:r>
      <w:r w:rsidRPr="0044370F">
        <w:rPr>
          <w:rFonts w:ascii="Times New Roman" w:eastAsia="Times New Roman" w:hAnsi="Times New Roman" w:cs="Times New Roman"/>
          <w:sz w:val="24"/>
          <w:szCs w:val="24"/>
        </w:rPr>
        <w:t xml:space="preserve"> to which governance is mediated through technical infrastructures rather than direct coercion or territorial control.</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Digital platforms govern through algorithms, standards, and network architectures that generate systemic dependence across borders, creating forms of authority that are both diffuse and deeply embedded in everyday social and economic life.</w:t>
      </w:r>
    </w:p>
    <w:p w:rsidR="0060194B" w:rsidRPr="0044370F" w:rsidRDefault="0060194B" w:rsidP="0060194B">
      <w:pPr>
        <w:pStyle w:val="NormalWeb"/>
        <w:spacing w:line="360" w:lineRule="auto"/>
        <w:jc w:val="both"/>
        <w:rPr>
          <w:i/>
          <w:iCs/>
        </w:rPr>
      </w:pPr>
      <w:r w:rsidRPr="0044370F">
        <w:rPr>
          <w:rStyle w:val="a5"/>
          <w:rFonts w:eastAsiaTheme="majorEastAsia"/>
        </w:rPr>
        <w:t>This comparison is not intended as a historical analogy, but as an analytical device that highlights recurring structural conditions under which non-state actors acquire governance capacity beyond formal political institutions.</w:t>
      </w:r>
    </w:p>
    <w:p w:rsidR="0060194B" w:rsidRPr="0044370F" w:rsidRDefault="0060194B" w:rsidP="0060194B">
      <w:pPr>
        <w:spacing w:before="100" w:beforeAutospacing="1" w:after="100" w:afterAutospacing="1" w:line="360" w:lineRule="auto"/>
        <w:jc w:val="both"/>
        <w:outlineLvl w:val="1"/>
        <w:rPr>
          <w:rFonts w:asciiTheme="majorBidi" w:eastAsia="Times New Roman" w:hAnsiTheme="majorBidi" w:cstheme="majorBidi"/>
          <w:sz w:val="24"/>
          <w:szCs w:val="24"/>
          <w:lang w:eastAsia="en-IL"/>
        </w:rPr>
      </w:pPr>
      <w:bookmarkStart w:id="19" w:name="_Toc222314003"/>
      <w:bookmarkStart w:id="20" w:name="_Toc222314222"/>
      <w:bookmarkStart w:id="21" w:name="_Toc222315780"/>
      <w:bookmarkStart w:id="22" w:name="_Toc222652702"/>
      <w:r w:rsidRPr="0044370F">
        <w:rPr>
          <w:rFonts w:asciiTheme="majorBidi" w:eastAsia="Times New Roman" w:hAnsiTheme="majorBidi" w:cstheme="majorBidi"/>
          <w:sz w:val="24"/>
          <w:szCs w:val="24"/>
          <w:lang w:eastAsia="en-IL"/>
        </w:rPr>
        <w:t>This chapter prepares for exploring that exact possibility. It started with a historical overview, covering city-states and empires to nation-states, to demonstrate how the center of socio-political power has changed over time. Bearing this historical perspective in mind, we now focus on the current research examining how closely modern tech giants function like sovereign entities. The upcoming sections will shift to a more formal academic style to detail the research question, theoretical framework, justification, importance, and organization of this dissertation. Ultimately, it will position the research within contemporary discussions regarding digital sovereignty, global governance, and the evolving power dynamics of the digital era.</w:t>
      </w:r>
      <w:bookmarkEnd w:id="19"/>
      <w:bookmarkEnd w:id="20"/>
      <w:bookmarkEnd w:id="21"/>
      <w:bookmarkEnd w:id="22"/>
    </w:p>
    <w:p w:rsidR="0060194B" w:rsidRPr="0044370F" w:rsidRDefault="0060194B" w:rsidP="006D666E">
      <w:pPr>
        <w:pStyle w:val="2"/>
        <w:rPr>
          <w:rFonts w:eastAsia="Times New Roman"/>
          <w:lang w:eastAsia="en-IL"/>
        </w:rPr>
      </w:pPr>
      <w:bookmarkStart w:id="23" w:name="_Toc222652703"/>
      <w:r w:rsidRPr="0044370F">
        <w:rPr>
          <w:rFonts w:eastAsia="Times New Roman"/>
          <w:lang w:eastAsia="en-IL"/>
        </w:rPr>
        <w:lastRenderedPageBreak/>
        <w:t>1.3</w:t>
      </w:r>
      <w:r w:rsidRPr="0044370F">
        <w:rPr>
          <w:rFonts w:eastAsia="Times New Roman"/>
          <w:lang w:eastAsia="en-IL"/>
        </w:rPr>
        <w:tab/>
        <w:t>Central Research Question</w:t>
      </w:r>
      <w:bookmarkEnd w:id="23"/>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heme="majorBidi" w:eastAsia="Times New Roman" w:hAnsiTheme="majorBidi" w:cstheme="majorBidi"/>
          <w:sz w:val="24"/>
          <w:szCs w:val="24"/>
          <w:lang w:eastAsia="en-IL"/>
        </w:rPr>
        <w:t>The central question guiding this dissertation is:</w:t>
      </w:r>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heme="majorBidi" w:eastAsia="Times New Roman" w:hAnsiTheme="majorBidi" w:cstheme="majorBidi"/>
          <w:b/>
          <w:bCs/>
          <w:sz w:val="24"/>
          <w:szCs w:val="24"/>
          <w:lang w:eastAsia="en-IL"/>
        </w:rPr>
        <w:t>To what extent do multinational technology corporations operate as quasi-sovereign geopolitical actors in the contemporary world?</w:t>
      </w:r>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heme="majorBidi" w:eastAsia="Times New Roman" w:hAnsiTheme="majorBidi" w:cstheme="majorBidi"/>
          <w:sz w:val="24"/>
          <w:szCs w:val="24"/>
          <w:lang w:eastAsia="en-IL"/>
        </w:rPr>
        <w:t xml:space="preserve">In other words, the research asks </w:t>
      </w:r>
      <w:r w:rsidRPr="0044370F">
        <w:rPr>
          <w:rFonts w:asciiTheme="majorBidi" w:eastAsia="Times New Roman" w:hAnsiTheme="majorBidi" w:cstheme="majorBidi"/>
          <w:b/>
          <w:bCs/>
          <w:sz w:val="24"/>
          <w:szCs w:val="24"/>
          <w:lang w:eastAsia="en-IL"/>
        </w:rPr>
        <w:t>how and in what ways</w:t>
      </w:r>
      <w:r w:rsidRPr="0044370F">
        <w:rPr>
          <w:rFonts w:asciiTheme="majorBidi" w:eastAsia="Times New Roman" w:hAnsiTheme="majorBidi" w:cstheme="majorBidi"/>
          <w:sz w:val="24"/>
          <w:szCs w:val="24"/>
          <w:lang w:eastAsia="en-IL"/>
        </w:rPr>
        <w:t xml:space="preserve"> today’s large tech companies (such as global social media platforms, search engines, e-commerce and cloud providers, etc.) resemble sovereign states in their power and behavior, and where the limits of this comparison lie. </w:t>
      </w:r>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rtl/>
          <w:lang w:eastAsia="en-IL"/>
        </w:rPr>
      </w:pPr>
      <w:r w:rsidRPr="0044370F">
        <w:rPr>
          <w:rFonts w:asciiTheme="majorBidi" w:eastAsia="Times New Roman" w:hAnsiTheme="majorBidi" w:cstheme="majorBidi"/>
          <w:sz w:val="24"/>
          <w:szCs w:val="24"/>
          <w:lang w:eastAsia="en-IL"/>
        </w:rPr>
        <w:t xml:space="preserve">This question arises from observable phenomena: technology corporations increasingly provide services and rules that millions rely on, perform functions that affect citizens globally, and sometimes conflict with or negotiate with nation-states as if they were geopolitical players.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research question does not ask whether technology corporations replace the state, nor whether sovereignty is transferred from public to private actors. Rather, it asks how specific forms of authority, traditionally associated with sovereignty, are functionally exercised by corporate actors under contemporary technological and institutional conditions.</w:t>
      </w:r>
    </w:p>
    <w:p w:rsidR="0060194B" w:rsidRPr="0044370F" w:rsidRDefault="0060194B" w:rsidP="0060194B">
      <w:pPr>
        <w:spacing w:before="100" w:beforeAutospacing="1" w:after="100" w:afterAutospacing="1" w:line="360" w:lineRule="auto"/>
        <w:jc w:val="both"/>
        <w:rPr>
          <w:rFonts w:ascii="Times New Roman" w:eastAsia="Times New Roman" w:hAnsi="Times New Roman" w:cstheme="majorBidi"/>
          <w:sz w:val="24"/>
          <w:szCs w:val="24"/>
          <w:lang w:eastAsia="en-IL"/>
        </w:rPr>
      </w:pPr>
      <w:r w:rsidRPr="0044370F">
        <w:rPr>
          <w:rFonts w:asciiTheme="majorBidi" w:eastAsia="Times New Roman" w:hAnsiTheme="majorBidi" w:cstheme="majorBidi"/>
          <w:sz w:val="24"/>
          <w:szCs w:val="24"/>
          <w:lang w:eastAsia="en-IL"/>
        </w:rPr>
        <w:t xml:space="preserve">By </w:t>
      </w:r>
      <w:r w:rsidRPr="0044370F">
        <w:rPr>
          <w:rFonts w:asciiTheme="majorBidi" w:eastAsia="Times New Roman" w:hAnsiTheme="majorBidi" w:cstheme="majorBidi"/>
          <w:b/>
          <w:bCs/>
          <w:sz w:val="24"/>
          <w:szCs w:val="24"/>
          <w:lang w:eastAsia="en-IL"/>
        </w:rPr>
        <w:t>“quasi-sovereign,”</w:t>
      </w:r>
      <w:r w:rsidRPr="0044370F">
        <w:rPr>
          <w:rFonts w:asciiTheme="majorBidi" w:eastAsia="Times New Roman" w:hAnsiTheme="majorBidi" w:cstheme="majorBidi"/>
          <w:sz w:val="24"/>
          <w:szCs w:val="24"/>
          <w:lang w:eastAsia="en-IL"/>
        </w:rPr>
        <w:t xml:space="preserve"> we mean that these firms may not possess formal statehood or territorial control. Still, they exhibit </w:t>
      </w:r>
      <w:r w:rsidRPr="0044370F">
        <w:rPr>
          <w:rFonts w:asciiTheme="majorBidi" w:eastAsia="Times New Roman" w:hAnsiTheme="majorBidi" w:cstheme="majorBidi"/>
          <w:b/>
          <w:bCs/>
          <w:sz w:val="24"/>
          <w:szCs w:val="24"/>
          <w:lang w:eastAsia="en-IL"/>
        </w:rPr>
        <w:t>state-like qualities</w:t>
      </w:r>
      <w:r w:rsidRPr="0044370F">
        <w:rPr>
          <w:rFonts w:asciiTheme="majorBidi" w:eastAsia="Times New Roman" w:hAnsiTheme="majorBidi" w:cstheme="majorBidi"/>
          <w:sz w:val="24"/>
          <w:szCs w:val="24"/>
          <w:lang w:eastAsia="en-IL"/>
        </w:rPr>
        <w:t>, for example, setting rules that govern human activity (much as laws do), controlling critical infrastructure, managing vast resources, impacting security and public discourse, and even engaging diplomatically with governments.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question is addressed through a comparative analysis of multinational technology corporations operating across distinct sectors and geopolitical contexts.</w:t>
      </w:r>
    </w:p>
    <w:p w:rsidR="0060194B" w:rsidRPr="0044370F" w:rsidRDefault="0060194B" w:rsidP="0060194B">
      <w:pPr>
        <w:pStyle w:val="NormalWeb"/>
        <w:spacing w:line="360" w:lineRule="auto"/>
        <w:jc w:val="both"/>
        <w:rPr>
          <w:i/>
          <w:iCs/>
        </w:rPr>
      </w:pPr>
      <w:r w:rsidRPr="0044370F">
        <w:rPr>
          <w:rStyle w:val="a5"/>
          <w:rFonts w:eastAsiaTheme="majorEastAsia"/>
          <w:i w:val="0"/>
          <w:iCs w:val="0"/>
        </w:rPr>
        <w:t>The comparative design allows the study to examine how quasi-sovereign authority manifests across different technological sectors and geopolitical contexts, rather than treating corporate power as a uniform phenomenon.</w:t>
      </w:r>
    </w:p>
    <w:p w:rsidR="0060194B" w:rsidRPr="0044370F" w:rsidRDefault="0060194B" w:rsidP="006D666E">
      <w:pPr>
        <w:pStyle w:val="2"/>
        <w:rPr>
          <w:rFonts w:eastAsia="Times New Roman"/>
        </w:rPr>
      </w:pPr>
      <w:bookmarkStart w:id="24" w:name="_Toc222652704"/>
      <w:r w:rsidRPr="0044370F">
        <w:rPr>
          <w:rFonts w:eastAsia="Times New Roman"/>
        </w:rPr>
        <w:lastRenderedPageBreak/>
        <w:t>1.4</w:t>
      </w:r>
      <w:r w:rsidRPr="0044370F">
        <w:rPr>
          <w:rFonts w:eastAsia="Times New Roman"/>
        </w:rPr>
        <w:tab/>
        <w:t>Clarifying the Limits of the Quasi-Sovereignty Analogy</w:t>
      </w:r>
      <w:bookmarkEnd w:id="24"/>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this dissertation adopts the concept of quasi-sovereignty to analyze the growing authority of multinational technology corporations, it does not claim that such firms are equivalent to sovereign states. Technology corporations lack several foundational attributes of statehood, including territorial sovereignty, a monopoly over the legitimate use of physical force, and formal recognition under international law. They do not levy taxes, conscript citizens, or participate in treaty-making as equal subjects of international law. The quasi-sovereign framing employed here is therefore not intended to assert equivalence, but to capture functional resemblances between corporate authority and certain sovereign practices.</w:t>
      </w:r>
    </w:p>
    <w:p w:rsidR="0060194B" w:rsidRPr="0044370F" w:rsidRDefault="0060194B" w:rsidP="0060194B">
      <w:pPr>
        <w:pStyle w:val="NormalWeb"/>
        <w:spacing w:line="360" w:lineRule="auto"/>
        <w:jc w:val="both"/>
        <w:rPr>
          <w:i/>
          <w:iCs/>
        </w:rPr>
      </w:pPr>
      <w:r w:rsidRPr="0044370F">
        <w:rPr>
          <w:rStyle w:val="a5"/>
          <w:rFonts w:eastAsiaTheme="majorEastAsia"/>
          <w:i w:val="0"/>
          <w:iCs w:val="0"/>
        </w:rPr>
        <w:t>For analytical clarity, this dissertation identifies corporate quasi-sovereignty through the presence of several core characteristics:</w:t>
      </w:r>
    </w:p>
    <w:p w:rsidR="0060194B" w:rsidRPr="0044370F" w:rsidRDefault="0060194B" w:rsidP="0060194B">
      <w:pPr>
        <w:pStyle w:val="NormalWeb"/>
        <w:numPr>
          <w:ilvl w:val="0"/>
          <w:numId w:val="1"/>
        </w:numPr>
        <w:spacing w:line="360" w:lineRule="auto"/>
        <w:jc w:val="both"/>
        <w:rPr>
          <w:i/>
          <w:iCs/>
        </w:rPr>
      </w:pPr>
      <w:r w:rsidRPr="0044370F">
        <w:rPr>
          <w:rStyle w:val="a5"/>
          <w:rFonts w:eastAsiaTheme="majorEastAsia"/>
          <w:i w:val="0"/>
          <w:iCs w:val="0"/>
        </w:rPr>
        <w:t>control over critical infrastructures or systems upon which others depend;</w:t>
      </w:r>
    </w:p>
    <w:p w:rsidR="0060194B" w:rsidRPr="0044370F" w:rsidRDefault="0060194B" w:rsidP="0060194B">
      <w:pPr>
        <w:pStyle w:val="NormalWeb"/>
        <w:numPr>
          <w:ilvl w:val="0"/>
          <w:numId w:val="1"/>
        </w:numPr>
        <w:spacing w:line="360" w:lineRule="auto"/>
        <w:jc w:val="both"/>
        <w:rPr>
          <w:i/>
          <w:iCs/>
        </w:rPr>
      </w:pPr>
      <w:r w:rsidRPr="0044370F">
        <w:rPr>
          <w:rStyle w:val="a5"/>
          <w:rFonts w:eastAsiaTheme="majorEastAsia"/>
          <w:i w:val="0"/>
          <w:iCs w:val="0"/>
        </w:rPr>
        <w:t>capacity to set and enforce rules that shape behavior at scale;</w:t>
      </w:r>
    </w:p>
    <w:p w:rsidR="0060194B" w:rsidRPr="0044370F" w:rsidRDefault="0060194B" w:rsidP="0060194B">
      <w:pPr>
        <w:pStyle w:val="NormalWeb"/>
        <w:numPr>
          <w:ilvl w:val="0"/>
          <w:numId w:val="1"/>
        </w:numPr>
        <w:spacing w:line="360" w:lineRule="auto"/>
        <w:jc w:val="both"/>
        <w:rPr>
          <w:i/>
          <w:iCs/>
        </w:rPr>
      </w:pPr>
      <w:r w:rsidRPr="0044370F">
        <w:rPr>
          <w:rStyle w:val="a5"/>
          <w:rFonts w:eastAsiaTheme="majorEastAsia"/>
          <w:i w:val="0"/>
          <w:iCs w:val="0"/>
        </w:rPr>
        <w:t>cross-border effects that constrain state and organizational autonomy;</w:t>
      </w:r>
    </w:p>
    <w:p w:rsidR="0060194B" w:rsidRPr="0044370F" w:rsidRDefault="0060194B" w:rsidP="0060194B">
      <w:pPr>
        <w:pStyle w:val="NormalWeb"/>
        <w:numPr>
          <w:ilvl w:val="0"/>
          <w:numId w:val="1"/>
        </w:numPr>
        <w:spacing w:line="360" w:lineRule="auto"/>
        <w:jc w:val="both"/>
        <w:rPr>
          <w:i/>
          <w:iCs/>
        </w:rPr>
      </w:pPr>
      <w:r w:rsidRPr="0044370F">
        <w:rPr>
          <w:rStyle w:val="a5"/>
          <w:rFonts w:eastAsiaTheme="majorEastAsia"/>
          <w:i w:val="0"/>
          <w:iCs w:val="0"/>
        </w:rPr>
        <w:t>forms of legitimacy or acceptance that stabilize authority over time.</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Quasi-sovereignty, as used here, is relational rather than inherent.</w:t>
      </w:r>
    </w:p>
    <w:p w:rsidR="0060194B" w:rsidRPr="0044370F" w:rsidRDefault="0060194B" w:rsidP="0060194B">
      <w:pPr>
        <w:pStyle w:val="NormalWeb"/>
        <w:spacing w:line="360" w:lineRule="auto"/>
        <w:jc w:val="both"/>
        <w:rPr>
          <w:i/>
          <w:iCs/>
        </w:rPr>
      </w:pPr>
      <w:r w:rsidRPr="0044370F">
        <w:rPr>
          <w:rStyle w:val="a5"/>
          <w:rFonts w:eastAsiaTheme="majorEastAsia"/>
          <w:i w:val="0"/>
          <w:iCs w:val="0"/>
        </w:rPr>
        <w:t>It does not arise from formal status, but from the interaction between corporate capabilities, technological infrastructures, and institutional contexts.</w:t>
      </w:r>
    </w:p>
    <w:p w:rsidR="0060194B" w:rsidRPr="0044370F" w:rsidRDefault="0060194B" w:rsidP="0060194B">
      <w:pPr>
        <w:pStyle w:val="NormalWeb"/>
        <w:spacing w:line="360" w:lineRule="auto"/>
        <w:jc w:val="both"/>
        <w:rPr>
          <w:i/>
          <w:iCs/>
        </w:rPr>
      </w:pPr>
      <w:r w:rsidRPr="0044370F">
        <w:rPr>
          <w:rStyle w:val="a5"/>
          <w:rFonts w:eastAsiaTheme="majorEastAsia"/>
          <w:i w:val="0"/>
          <w:iCs w:val="0"/>
        </w:rPr>
        <w:t>It is analytically distinct from regulatory capture, market dominance, private governance, or supranational authority, each of which may constitute elements of power without crossing the threshold into sovereignty-like authority.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analytical value of the quasi-sovereignty concept lies precisely in the asymmetry between formal sovereignty and practical authority. Multinational technology corporations increasingly perform governance functions traditionally associated with states, including rule-setting, control over critical infrastructures, and regulation of populations at scale. Yet they do so without being embedded in the institutional constraints, accountability mechanisms, or legitimacy frameworks </w:t>
      </w:r>
      <w:r w:rsidRPr="0044370F">
        <w:rPr>
          <w:rFonts w:ascii="Times New Roman" w:eastAsia="Times New Roman" w:hAnsi="Times New Roman" w:cs="Times New Roman"/>
          <w:sz w:val="24"/>
          <w:szCs w:val="24"/>
        </w:rPr>
        <w:lastRenderedPageBreak/>
        <w:t>that bind public authorities. This gap between power and formal sovereignty constitutes a central tension of contemporary global governance and provides the core motivation for the present analysis.</w:t>
      </w:r>
    </w:p>
    <w:p w:rsidR="0060194B" w:rsidRPr="0044370F" w:rsidRDefault="0060194B" w:rsidP="0060194B">
      <w:pPr>
        <w:pStyle w:val="NormalWeb"/>
        <w:spacing w:line="360" w:lineRule="auto"/>
        <w:jc w:val="both"/>
        <w:rPr>
          <w:i/>
          <w:iCs/>
        </w:rPr>
      </w:pPr>
      <w:r w:rsidRPr="0044370F">
        <w:rPr>
          <w:rStyle w:val="a5"/>
          <w:rFonts w:eastAsiaTheme="majorEastAsia"/>
          <w:i w:val="0"/>
          <w:iCs w:val="0"/>
        </w:rPr>
        <w:t xml:space="preserve">Throughout the dissertation, a clear analytical distinction is maintained between </w:t>
      </w:r>
      <w:r w:rsidRPr="0044370F">
        <w:rPr>
          <w:rStyle w:val="a5"/>
          <w:rFonts w:eastAsiaTheme="majorEastAsia"/>
          <w:b/>
          <w:bCs/>
          <w:i w:val="0"/>
          <w:iCs w:val="0"/>
        </w:rPr>
        <w:t>sovereignty</w:t>
      </w:r>
      <w:r w:rsidRPr="0044370F">
        <w:rPr>
          <w:rStyle w:val="a5"/>
          <w:rFonts w:eastAsiaTheme="majorEastAsia"/>
          <w:i w:val="0"/>
          <w:iCs w:val="0"/>
        </w:rPr>
        <w:t xml:space="preserve"> as a principle of ultimate authority, </w:t>
      </w:r>
      <w:r w:rsidRPr="0044370F">
        <w:rPr>
          <w:rStyle w:val="a5"/>
          <w:rFonts w:eastAsiaTheme="majorEastAsia"/>
          <w:b/>
          <w:bCs/>
          <w:i w:val="0"/>
          <w:iCs w:val="0"/>
        </w:rPr>
        <w:t>authority</w:t>
      </w:r>
      <w:r w:rsidRPr="0044370F">
        <w:rPr>
          <w:rStyle w:val="a5"/>
          <w:rFonts w:eastAsiaTheme="majorEastAsia"/>
          <w:i w:val="0"/>
          <w:iCs w:val="0"/>
        </w:rPr>
        <w:t xml:space="preserve"> as the capacity to shape outcomes within specific domains, and </w:t>
      </w:r>
      <w:r w:rsidRPr="0044370F">
        <w:rPr>
          <w:rStyle w:val="a5"/>
          <w:rFonts w:eastAsiaTheme="majorEastAsia"/>
          <w:b/>
          <w:bCs/>
          <w:i w:val="0"/>
          <w:iCs w:val="0"/>
        </w:rPr>
        <w:t>governance</w:t>
      </w:r>
      <w:r w:rsidRPr="0044370F">
        <w:rPr>
          <w:rStyle w:val="a5"/>
          <w:rFonts w:eastAsiaTheme="majorEastAsia"/>
          <w:i w:val="0"/>
          <w:iCs w:val="0"/>
        </w:rPr>
        <w:t xml:space="preserve"> as the mechanisms through which such capacities are exercised.</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Accordingly, this study treats corporate quasi-sovereignty as an empirical and analytical question rather than as a normative claim. It seeks to examine how and under what conditions technology corporations move beyond economic coordination and enter domains of authority that shape political order and geopolitical outcomes. The analysis focuses on identifying which elements of sovereign authority, such as rule-making capacity, infrastructural control, and population-scale governance, are exercised by corporate actors, and how these capacities interact with state power in areas such as data governance, content moderation, and digital security.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clarifying these boundaries from the outset, the chapter establishes a focused research agenda that avoids conceptual overreach while remaining attentive to empirical transformation. The dissertation situates this inquiry at the intersection of international relations, political economy, and technology studies, while grounding the analysis in business administration. Multinational technology corporations are examined not only as political actors but as organizational and strategic entities whose governance roles emerge through corporate structures, business models, and transnational operations.</w:t>
      </w:r>
    </w:p>
    <w:p w:rsidR="0060194B" w:rsidRPr="0044370F" w:rsidRDefault="0060194B" w:rsidP="006D666E">
      <w:pPr>
        <w:pStyle w:val="3"/>
      </w:pPr>
      <w:bookmarkStart w:id="25" w:name="_Toc222652705"/>
      <w:r w:rsidRPr="0044370F">
        <w:t>1.4.1</w:t>
      </w:r>
      <w:r w:rsidRPr="0044370F">
        <w:tab/>
        <w:t>Conceptual Foundation and Theoretical Framework</w:t>
      </w:r>
      <w:bookmarkEnd w:id="25"/>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Understanding how multinational technology corporations can function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 xml:space="preserve"> requires a conceptual framework that bridges classical theories of sovereignty with contemporary forms of non-state authority</w:t>
      </w:r>
      <w:r w:rsidRPr="0044370F">
        <w:rPr>
          <w:rStyle w:val="a8"/>
          <w:rFonts w:ascii="Times New Roman" w:eastAsia="Times New Roman" w:hAnsi="Times New Roman" w:cs="Times New Roman"/>
          <w:sz w:val="24"/>
          <w:szCs w:val="24"/>
        </w:rPr>
        <w:footnoteReference w:id="22"/>
      </w:r>
      <w:r w:rsidRPr="0044370F">
        <w:rPr>
          <w:rFonts w:ascii="Times New Roman" w:eastAsia="Times New Roman" w:hAnsi="Times New Roman" w:cs="Times New Roman"/>
          <w:sz w:val="24"/>
          <w:szCs w:val="24"/>
        </w:rPr>
        <w:t xml:space="preserve">. Traditional state-centric approaches in international relations and political theory provide essential foundations for thinking about authority, </w:t>
      </w:r>
      <w:r w:rsidRPr="0044370F">
        <w:rPr>
          <w:rFonts w:ascii="Times New Roman" w:eastAsia="Times New Roman" w:hAnsi="Times New Roman" w:cs="Times New Roman"/>
          <w:sz w:val="24"/>
          <w:szCs w:val="24"/>
        </w:rPr>
        <w:lastRenderedPageBreak/>
        <w:t>legitimacy, and governance. Yet, they were not developed to account for corporate actors exercising power through digital infrastructures, platforms, and socio-technical systems.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dissertation, therefore, adopts a theoretically plural and integrative orientation. It draws primarily on international relations to conceptualize sovereignty and global order, on political economy to situate corporate power within broader structural and institutional dynamics, and on science and technology studies to illuminate how authority is embedded and enacted through technical architectures. Rather than treating these perspectives as competing explanations, the study mobilizes them as complementary analytical resources that together allow for a more precise understanding of how authority is produced, exercised, and contested in the digital age.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conceptual foundation established here does not seek to redefine sovereignty in abstract terms, nor to replicate existing theoretical debates. Instead, it provides an analytical basis for examining functional transformations in authority as they unfold in practice. By integrating insights from these traditions, the dissertation prepares the ground for a hybrid analytical framework developed in Chapter 3, which systematically examines how quasi-sovereign corporate power emerges at the intersection of political, economic, and technological processes.</w:t>
      </w:r>
    </w:p>
    <w:p w:rsidR="00A25B3E" w:rsidRPr="0044370F" w:rsidRDefault="00A25B3E" w:rsidP="00A25B3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section</w:t>
      </w:r>
      <w:r w:rsidRPr="0044370F">
        <w:rPr>
          <w:rFonts w:asciiTheme="majorBidi" w:hAnsiTheme="majorBidi" w:cstheme="majorBidi"/>
          <w:sz w:val="24"/>
          <w:szCs w:val="24"/>
        </w:rPr>
        <w:t xml:space="preserve">, therefore, </w:t>
      </w:r>
      <w:r w:rsidRPr="0044370F">
        <w:rPr>
          <w:rFonts w:ascii="Times New Roman" w:eastAsia="Times New Roman" w:hAnsi="Times New Roman" w:cs="Times New Roman"/>
          <w:sz w:val="24"/>
          <w:szCs w:val="24"/>
        </w:rPr>
        <w:t>develops the dissertation's conceptual foundation by drawing on three complementary theoretical traditions, each addressing a different dimension of authority.</w:t>
      </w:r>
    </w:p>
    <w:p w:rsidR="0060194B" w:rsidRPr="0044370F" w:rsidRDefault="0060194B" w:rsidP="006D666E">
      <w:pPr>
        <w:pStyle w:val="3"/>
      </w:pPr>
      <w:bookmarkStart w:id="26" w:name="_Toc222652706"/>
      <w:r w:rsidRPr="0044370F">
        <w:t>1.4.2</w:t>
      </w:r>
      <w:r w:rsidRPr="0044370F">
        <w:tab/>
      </w:r>
      <w:r w:rsidRPr="0044370F">
        <w:tab/>
        <w:t>Stephen D. Krasner: Sovereignty as a Contested and Fragmented Practice</w:t>
      </w:r>
      <w:bookmarkEnd w:id="26"/>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Stephen D. Krasner</w:t>
      </w:r>
      <w:r w:rsidRPr="0044370F">
        <w:rPr>
          <w:rStyle w:val="a8"/>
          <w:rFonts w:ascii="Times New Roman" w:eastAsia="Times New Roman" w:hAnsi="Times New Roman" w:cs="Times New Roman"/>
          <w:sz w:val="24"/>
          <w:szCs w:val="24"/>
        </w:rPr>
        <w:footnoteReference w:id="23"/>
      </w:r>
      <w:r w:rsidRPr="0044370F">
        <w:rPr>
          <w:rFonts w:ascii="Times New Roman" w:eastAsia="Times New Roman" w:hAnsi="Times New Roman" w:cs="Times New Roman"/>
          <w:sz w:val="24"/>
          <w:szCs w:val="24"/>
        </w:rPr>
        <w:t>’s work on sovereignty provides a critical conceptual foundation for this dissertation by challenging the assumption that sovereignty operates as a fixed, absolute, or consistently enforced principle. Through his influential notion of sovereignty as “organized hypocrisy,” Krasner demonstrates that even states, traditionally regarded as the exclusive holders of sovereign authority, frequently violate, reinterpret, or strategically suspend sovereignty norms when doing so serves their interests. Sovereignty, in this view, is less a coherent legal reality than a set of norms applied selectively and unevenly across contexts.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Krasner’s distinction between multiple dimensions of sovereignty, domestic, Westphalian, international legal, and interdependence sovereignty, further underscores the fragmented and layered nature of authority in the international system. This analytical framework</w:t>
      </w:r>
      <w:r w:rsidRPr="0044370F">
        <w:rPr>
          <w:rStyle w:val="a8"/>
          <w:rFonts w:ascii="Times New Roman" w:eastAsia="Times New Roman" w:hAnsi="Times New Roman" w:cs="Times New Roman"/>
          <w:sz w:val="24"/>
          <w:szCs w:val="24"/>
        </w:rPr>
        <w:footnoteReference w:id="24"/>
      </w:r>
      <w:r w:rsidRPr="0044370F">
        <w:rPr>
          <w:rFonts w:ascii="Times New Roman" w:eastAsia="Times New Roman" w:hAnsi="Times New Roman" w:cs="Times New Roman"/>
          <w:sz w:val="24"/>
          <w:szCs w:val="24"/>
        </w:rPr>
        <w:t xml:space="preserve"> reveals that sovereignty is not exercised uniformly, nor is it fully contained within territorial borders. Instead, authority often emerges through control over flows, dependencies, and cross-border interactions, particularly in areas such as finance, communication, and regulation.</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perspective is especially valuable for examining multinational technology corporations. Although such firms lack formal statehood and international legal sovereignty, they increasingly exercise forms of domestic and interdependence authority through digital platforms, infrastructural control, and transnational networks. Krasner’s framework thus opens conceptual space for analyzing how non-state actors can operate within, exploit, or bypass the structural gaps of the Westphalian order. Rather than framing corporate quasi-sovereignty as a radical departure from established norms, this approach situates it as an extension of longstanding tensions and inconsistencies within the sovereignty system itself.</w:t>
      </w:r>
    </w:p>
    <w:p w:rsidR="0060194B" w:rsidRPr="0044370F" w:rsidRDefault="0060194B" w:rsidP="006D666E">
      <w:pPr>
        <w:pStyle w:val="3"/>
      </w:pPr>
      <w:bookmarkStart w:id="27" w:name="_Toc222652707"/>
      <w:r w:rsidRPr="0044370F">
        <w:t>1.4.3</w:t>
      </w:r>
      <w:r w:rsidRPr="0044370F">
        <w:tab/>
        <w:t>Michel Foucault: Power Beyond Sovereignty and the Governance of Conduct</w:t>
      </w:r>
      <w:bookmarkEnd w:id="27"/>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Krasner examines sovereignty primarily at the level of states and international norms, Michel Foucault</w:t>
      </w:r>
      <w:r w:rsidRPr="0044370F">
        <w:rPr>
          <w:rStyle w:val="a8"/>
          <w:rFonts w:ascii="Times New Roman" w:eastAsia="Times New Roman" w:hAnsi="Times New Roman" w:cs="Times New Roman"/>
          <w:sz w:val="24"/>
          <w:szCs w:val="24"/>
        </w:rPr>
        <w:footnoteReference w:id="25"/>
      </w:r>
      <w:r w:rsidRPr="0044370F">
        <w:rPr>
          <w:rFonts w:ascii="Times New Roman" w:eastAsia="Times New Roman" w:hAnsi="Times New Roman" w:cs="Times New Roman"/>
          <w:sz w:val="24"/>
          <w:szCs w:val="24"/>
        </w:rPr>
        <w:t xml:space="preserve"> offers a complementary perspective by shifting attention from sovereignty as formal command to power as the governance of conduct. Through his concepts of power/knowledge and governmentality, Foucault demonstrates that authority is often exercised through dispersed, routine, and frequently imperceptible mechanisms rather than through explicit legal commands or coercive force. Power, in this view, operates through norms, expertise, classification, monitoring, and the shaping of what is considered acceptable, visible, or true.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perspective is particularly relevant to digital environments, where governance is implemented not by sovereign decree but by technical design. Algorithmic systems, platform architectures, and </w:t>
      </w:r>
      <w:r w:rsidRPr="0044370F">
        <w:rPr>
          <w:rFonts w:ascii="Times New Roman" w:eastAsia="Times New Roman" w:hAnsi="Times New Roman" w:cs="Times New Roman"/>
          <w:sz w:val="24"/>
          <w:szCs w:val="24"/>
        </w:rPr>
        <w:lastRenderedPageBreak/>
        <w:t>content moderation practices regulate behavior, structure visibility, and guide user conduct at scale. Foucault’s work enables this dissertation to conceptualize technology corporations as governing entities embedded in everyday life, exercising authority over speech, attention, and behavior even in the absence of formal political legitimacy.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Applied to multinational technology corporations</w:t>
      </w:r>
      <w:r w:rsidRPr="0044370F">
        <w:rPr>
          <w:rStyle w:val="a8"/>
          <w:rFonts w:ascii="Times New Roman" w:eastAsia="Times New Roman" w:hAnsi="Times New Roman" w:cs="Times New Roman"/>
          <w:sz w:val="24"/>
          <w:szCs w:val="24"/>
        </w:rPr>
        <w:footnoteReference w:id="26"/>
      </w:r>
      <w:r w:rsidRPr="0044370F">
        <w:rPr>
          <w:rFonts w:ascii="Times New Roman" w:eastAsia="Times New Roman" w:hAnsi="Times New Roman" w:cs="Times New Roman"/>
          <w:sz w:val="24"/>
          <w:szCs w:val="24"/>
        </w:rPr>
        <w:t>, Foucault’s insights suggest that corporate power functions through normative and algorithmic governance rather than through formal sovereignty. Platforms such as Meta govern speech through community standards and algorithmic curation, producing forms of self-regulation in which users internalize rules and adjust behavior accordingly. This mode of control resembles Foucault’s notion of disciplinary power more closely than classical images of sovereign command.</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foregrounding these micro-mechanisms of governance, Foucault bridges the gap between sovereignty as a legal concept and governance as a lived socio-technical practice. His work complements the macro-level analysis of sovereignty by illuminating how authority is enacted, stabilized, and normalized through everyday technological systems</w:t>
      </w:r>
      <w:r w:rsidRPr="0044370F">
        <w:rPr>
          <w:rStyle w:val="a8"/>
          <w:rFonts w:ascii="Times New Roman" w:eastAsia="Times New Roman" w:hAnsi="Times New Roman" w:cs="Times New Roman"/>
          <w:sz w:val="24"/>
          <w:szCs w:val="24"/>
        </w:rPr>
        <w:footnoteReference w:id="27"/>
      </w:r>
      <w:r w:rsidRPr="0044370F">
        <w:rPr>
          <w:rFonts w:ascii="Times New Roman" w:eastAsia="Times New Roman" w:hAnsi="Times New Roman" w:cs="Times New Roman"/>
          <w:sz w:val="24"/>
          <w:szCs w:val="24"/>
        </w:rPr>
        <w:t>. In doing so, it provides a crucial conceptual link between political authority and the infrastructural and algorithmic forms of power that characterize the digital age.</w:t>
      </w:r>
    </w:p>
    <w:p w:rsidR="0060194B" w:rsidRPr="0044370F" w:rsidRDefault="0060194B" w:rsidP="006D666E">
      <w:pPr>
        <w:pStyle w:val="3"/>
      </w:pPr>
      <w:bookmarkStart w:id="28" w:name="_Toc222652708"/>
      <w:r w:rsidRPr="0044370F">
        <w:t>1.4.4</w:t>
      </w:r>
      <w:r w:rsidRPr="0044370F">
        <w:tab/>
      </w:r>
      <w:r w:rsidRPr="0044370F">
        <w:tab/>
        <w:t xml:space="preserve">Bruno </w:t>
      </w:r>
      <w:proofErr w:type="spellStart"/>
      <w:r w:rsidRPr="0044370F">
        <w:t>Latour</w:t>
      </w:r>
      <w:proofErr w:type="spellEnd"/>
      <w:r w:rsidRPr="0044370F">
        <w:t xml:space="preserve"> and Actor-Network Theory: Socio-Technical Assemblages of Authority</w:t>
      </w:r>
      <w:bookmarkEnd w:id="28"/>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Bruno </w:t>
      </w:r>
      <w:proofErr w:type="spellStart"/>
      <w:r w:rsidRPr="0044370F">
        <w:rPr>
          <w:rFonts w:ascii="Times New Roman" w:eastAsia="Times New Roman" w:hAnsi="Times New Roman" w:cs="Times New Roman"/>
          <w:sz w:val="24"/>
          <w:szCs w:val="24"/>
        </w:rPr>
        <w:t>Latour’s</w:t>
      </w:r>
      <w:proofErr w:type="spellEnd"/>
      <w:r w:rsidRPr="0044370F">
        <w:rPr>
          <w:rFonts w:ascii="Times New Roman" w:eastAsia="Times New Roman" w:hAnsi="Times New Roman" w:cs="Times New Roman"/>
          <w:sz w:val="24"/>
          <w:szCs w:val="24"/>
        </w:rPr>
        <w:t xml:space="preserve"> Actor-Network Theory</w:t>
      </w:r>
      <w:r w:rsidRPr="0044370F">
        <w:rPr>
          <w:rStyle w:val="a8"/>
          <w:rFonts w:ascii="Times New Roman" w:eastAsia="Times New Roman" w:hAnsi="Times New Roman" w:cs="Times New Roman"/>
          <w:sz w:val="24"/>
          <w:szCs w:val="24"/>
        </w:rPr>
        <w:footnoteReference w:id="28"/>
      </w:r>
      <w:r w:rsidRPr="0044370F">
        <w:rPr>
          <w:rFonts w:ascii="Times New Roman" w:eastAsia="Times New Roman" w:hAnsi="Times New Roman" w:cs="Times New Roman"/>
          <w:sz w:val="24"/>
          <w:szCs w:val="24"/>
        </w:rPr>
        <w:t xml:space="preserve"> (ANT) further extends the analysis of corporate power by challenging the conventional separation between human actors, institutions, and technological systems</w:t>
      </w:r>
      <w:r w:rsidRPr="0044370F">
        <w:rPr>
          <w:rStyle w:val="a8"/>
          <w:rFonts w:ascii="Times New Roman" w:eastAsia="Times New Roman" w:hAnsi="Times New Roman" w:cs="Times New Roman"/>
          <w:sz w:val="24"/>
          <w:szCs w:val="24"/>
        </w:rPr>
        <w:footnoteReference w:id="29"/>
      </w:r>
      <w:r w:rsidRPr="0044370F">
        <w:rPr>
          <w:rFonts w:ascii="Times New Roman" w:eastAsia="Times New Roman" w:hAnsi="Times New Roman" w:cs="Times New Roman"/>
          <w:sz w:val="24"/>
          <w:szCs w:val="24"/>
        </w:rPr>
        <w:t xml:space="preserve">. From an ANT perspective, authority is not located exclusively in formal leadership, </w:t>
      </w:r>
      <w:r w:rsidRPr="0044370F">
        <w:rPr>
          <w:rFonts w:ascii="Times New Roman" w:eastAsia="Times New Roman" w:hAnsi="Times New Roman" w:cs="Times New Roman"/>
          <w:sz w:val="24"/>
          <w:szCs w:val="24"/>
        </w:rPr>
        <w:lastRenderedPageBreak/>
        <w:t xml:space="preserve">legal status, or institutional position. Rather, it emerges as an effect of networks composed of both human and non-human </w:t>
      </w:r>
      <w:proofErr w:type="spellStart"/>
      <w:r w:rsidRPr="0044370F">
        <w:rPr>
          <w:rFonts w:ascii="Times New Roman" w:eastAsia="Times New Roman" w:hAnsi="Times New Roman" w:cs="Times New Roman"/>
          <w:sz w:val="24"/>
          <w:szCs w:val="24"/>
        </w:rPr>
        <w:t>actants</w:t>
      </w:r>
      <w:proofErr w:type="spellEnd"/>
      <w:r w:rsidRPr="0044370F">
        <w:rPr>
          <w:rFonts w:ascii="Times New Roman" w:eastAsia="Times New Roman" w:hAnsi="Times New Roman" w:cs="Times New Roman"/>
          <w:sz w:val="24"/>
          <w:szCs w:val="24"/>
        </w:rPr>
        <w:t>, including algorithms, interfaces, infrastructures, standards, and material devices</w:t>
      </w:r>
      <w:r w:rsidRPr="0044370F">
        <w:rPr>
          <w:rStyle w:val="a8"/>
          <w:rFonts w:ascii="Times New Roman" w:eastAsia="Times New Roman" w:hAnsi="Times New Roman" w:cs="Times New Roman"/>
          <w:sz w:val="24"/>
          <w:szCs w:val="24"/>
        </w:rPr>
        <w:footnoteReference w:id="30"/>
      </w:r>
      <w:r w:rsidRPr="0044370F">
        <w:rPr>
          <w:rFonts w:ascii="Times New Roman" w:eastAsia="Times New Roman" w:hAnsi="Times New Roman" w:cs="Times New Roman"/>
          <w:sz w:val="24"/>
          <w:szCs w:val="24"/>
        </w:rPr>
        <w:t>. Power, in this view, is continuously produced and stabilized through socio-technical assemblages that enable rule-making, enforcement, and behavioral coordination.</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perspective is particularly valuable for analyzing multinational technology corporations, whose governance capacity is enacted not only through strategic decisions or normative claims, but through the operation of platforms, recommendation systems, data architectures, and global infrastructures. </w:t>
      </w:r>
      <w:proofErr w:type="spellStart"/>
      <w:r w:rsidRPr="0044370F">
        <w:rPr>
          <w:rFonts w:ascii="Times New Roman" w:eastAsia="Times New Roman" w:hAnsi="Times New Roman" w:cs="Times New Roman"/>
          <w:sz w:val="24"/>
          <w:szCs w:val="24"/>
        </w:rPr>
        <w:t>Latour’s</w:t>
      </w:r>
      <w:proofErr w:type="spellEnd"/>
      <w:r w:rsidRPr="0044370F">
        <w:rPr>
          <w:rFonts w:ascii="Times New Roman" w:eastAsia="Times New Roman" w:hAnsi="Times New Roman" w:cs="Times New Roman"/>
          <w:sz w:val="24"/>
          <w:szCs w:val="24"/>
        </w:rPr>
        <w:t xml:space="preserve"> framework allows the dissertation to examine how sovereignty-like authority becomes durable and scalable precisely because it is embedded in technical systems that appear neutral, automated, or inevitable. By foregrounding the role of non-human actors, ANT reveals how corporate governance is often exercised indirectly, through design choices and infrastructural dependencies rather than through explicit political intervention.</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For this dissertation, ANT functions primarily as a methodological and analytical sensibility rather than as a comprehensive social theory. It supports an examination of technology corporations as networks</w:t>
      </w:r>
      <w:r w:rsidRPr="0044370F">
        <w:rPr>
          <w:rStyle w:val="a8"/>
          <w:rFonts w:ascii="Times New Roman" w:eastAsia="Times New Roman" w:hAnsi="Times New Roman" w:cs="Times New Roman"/>
          <w:sz w:val="24"/>
          <w:szCs w:val="24"/>
        </w:rPr>
        <w:footnoteReference w:id="31"/>
      </w:r>
      <w:r w:rsidRPr="0044370F">
        <w:rPr>
          <w:rFonts w:ascii="Times New Roman" w:eastAsia="Times New Roman" w:hAnsi="Times New Roman" w:cs="Times New Roman"/>
          <w:sz w:val="24"/>
          <w:szCs w:val="24"/>
        </w:rPr>
        <w:t xml:space="preserve"> in which human decisions and technical artifacts jointly produce authority. This approach broadens the concept of agency beyond intentional action, showing how algorithms, standards, and platform architectures shape outcomes, structure behavior, and sustain corporate power across borders.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By highlighting the sociotechnical nature of authority</w:t>
      </w:r>
      <w:r w:rsidRPr="0044370F">
        <w:rPr>
          <w:rStyle w:val="a8"/>
          <w:rFonts w:ascii="Times New Roman" w:eastAsia="Times New Roman" w:hAnsi="Times New Roman" w:cs="Times New Roman"/>
          <w:sz w:val="24"/>
          <w:szCs w:val="24"/>
        </w:rPr>
        <w:footnoteReference w:id="32"/>
      </w:r>
      <w:r w:rsidRPr="0044370F">
        <w:rPr>
          <w:rFonts w:ascii="Times New Roman" w:eastAsia="Times New Roman" w:hAnsi="Times New Roman" w:cs="Times New Roman"/>
          <w:sz w:val="24"/>
          <w:szCs w:val="24"/>
        </w:rPr>
        <w:t xml:space="preserve">, </w:t>
      </w:r>
      <w:proofErr w:type="spellStart"/>
      <w:r w:rsidRPr="0044370F">
        <w:rPr>
          <w:rFonts w:ascii="Times New Roman" w:eastAsia="Times New Roman" w:hAnsi="Times New Roman" w:cs="Times New Roman"/>
          <w:sz w:val="24"/>
          <w:szCs w:val="24"/>
        </w:rPr>
        <w:t>Latour’s</w:t>
      </w:r>
      <w:proofErr w:type="spellEnd"/>
      <w:r w:rsidRPr="0044370F">
        <w:rPr>
          <w:rFonts w:ascii="Times New Roman" w:eastAsia="Times New Roman" w:hAnsi="Times New Roman" w:cs="Times New Roman"/>
          <w:sz w:val="24"/>
          <w:szCs w:val="24"/>
        </w:rPr>
        <w:t xml:space="preserve"> work complements both the macro-level analysis of sovereignty and the micro-level focus on governance of conduct. It provides an essential conceptual bridge between political authority and infrastructural power, </w:t>
      </w:r>
      <w:r w:rsidRPr="0044370F">
        <w:rPr>
          <w:rFonts w:ascii="Times New Roman" w:eastAsia="Times New Roman" w:hAnsi="Times New Roman" w:cs="Times New Roman"/>
          <w:sz w:val="24"/>
          <w:szCs w:val="24"/>
        </w:rPr>
        <w:lastRenderedPageBreak/>
        <w:t>preparing the ground for the hybrid analytical framework developed in Chapter 3, which examines the dynamics of corporate quasi-sovereignty in a systematic and empirically grounded manner.</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the dissertation draws extensively on international relations, political economy, and science and technology studies, it is situated within the field of business administration, examining multinational technology corporations as organizational and strategic actors whose structures enable the exercise of authority.</w:t>
      </w:r>
    </w:p>
    <w:p w:rsidR="0060194B" w:rsidRPr="0044370F" w:rsidRDefault="0060194B" w:rsidP="006D666E">
      <w:pPr>
        <w:pStyle w:val="3"/>
        <w:rPr>
          <w:lang w:eastAsia="en-IL"/>
        </w:rPr>
      </w:pPr>
      <w:bookmarkStart w:id="29" w:name="_Toc222652709"/>
      <w:r w:rsidRPr="0044370F">
        <w:rPr>
          <w:lang w:eastAsia="en-IL"/>
        </w:rPr>
        <w:t>1.4.5</w:t>
      </w:r>
      <w:r w:rsidRPr="0044370F">
        <w:rPr>
          <w:lang w:eastAsia="en-IL"/>
        </w:rPr>
        <w:tab/>
        <w:t>Other Relevant Theoretical Perspectives</w:t>
      </w:r>
      <w:bookmarkEnd w:id="29"/>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Beyond the core theoretical anchors discussed above, this dissertation is informed by a broader body of scholarship examining non-state authority, global governance, and the diffusion of power beyond the nation-state. In international relations, the literature on private authority provides an important contextual backdrop. Scholars such as Cutler, </w:t>
      </w:r>
      <w:proofErr w:type="spellStart"/>
      <w:r w:rsidRPr="0044370F">
        <w:rPr>
          <w:rFonts w:ascii="Times New Roman" w:eastAsia="Times New Roman" w:hAnsi="Times New Roman" w:cs="Times New Roman"/>
          <w:sz w:val="24"/>
          <w:szCs w:val="24"/>
        </w:rPr>
        <w:t>Haufler</w:t>
      </w:r>
      <w:proofErr w:type="spellEnd"/>
      <w:r w:rsidRPr="0044370F">
        <w:rPr>
          <w:rFonts w:ascii="Times New Roman" w:eastAsia="Times New Roman" w:hAnsi="Times New Roman" w:cs="Times New Roman"/>
          <w:sz w:val="24"/>
          <w:szCs w:val="24"/>
        </w:rPr>
        <w:t>, and Porter</w:t>
      </w:r>
      <w:r w:rsidRPr="0044370F">
        <w:rPr>
          <w:rStyle w:val="a8"/>
          <w:rFonts w:ascii="Times New Roman" w:eastAsia="Times New Roman" w:hAnsi="Times New Roman" w:cs="Times New Roman"/>
          <w:sz w:val="24"/>
          <w:szCs w:val="24"/>
        </w:rPr>
        <w:footnoteReference w:id="33"/>
      </w:r>
      <w:r w:rsidRPr="0044370F">
        <w:rPr>
          <w:rFonts w:ascii="Times New Roman" w:eastAsia="Times New Roman" w:hAnsi="Times New Roman" w:cs="Times New Roman"/>
          <w:sz w:val="24"/>
          <w:szCs w:val="24"/>
        </w:rPr>
        <w:t xml:space="preserve">, as well as Hall and </w:t>
      </w:r>
      <w:proofErr w:type="spellStart"/>
      <w:r w:rsidRPr="0044370F">
        <w:rPr>
          <w:rFonts w:ascii="Times New Roman" w:eastAsia="Times New Roman" w:hAnsi="Times New Roman" w:cs="Times New Roman"/>
          <w:sz w:val="24"/>
          <w:szCs w:val="24"/>
        </w:rPr>
        <w:t>Biersteker</w:t>
      </w:r>
      <w:proofErr w:type="spellEnd"/>
      <w:r w:rsidRPr="0044370F">
        <w:rPr>
          <w:rStyle w:val="a8"/>
          <w:rFonts w:ascii="Times New Roman" w:eastAsia="Times New Roman" w:hAnsi="Times New Roman" w:cs="Times New Roman"/>
          <w:sz w:val="24"/>
          <w:szCs w:val="24"/>
        </w:rPr>
        <w:footnoteReference w:id="34"/>
      </w:r>
      <w:r w:rsidRPr="0044370F">
        <w:rPr>
          <w:rFonts w:ascii="Times New Roman" w:eastAsia="Times New Roman" w:hAnsi="Times New Roman" w:cs="Times New Roman"/>
          <w:sz w:val="24"/>
          <w:szCs w:val="24"/>
        </w:rPr>
        <w:t>, have demonstrated that non-state actors, including corporations, financial institutions, and transnational organizations, have long participated in governance functions traditionally associated with states. These studies underscore that sovereignty has historically been more fragmented and contested than classical state-centric models suggest</w:t>
      </w:r>
      <w:r w:rsidRPr="0044370F">
        <w:rPr>
          <w:rStyle w:val="a8"/>
          <w:rFonts w:ascii="Times New Roman" w:eastAsia="Times New Roman" w:hAnsi="Times New Roman" w:cs="Times New Roman"/>
          <w:sz w:val="24"/>
          <w:szCs w:val="24"/>
        </w:rPr>
        <w:footnoteReference w:id="35"/>
      </w:r>
      <w:r w:rsidRPr="0044370F">
        <w:rPr>
          <w:rFonts w:ascii="Times New Roman" w:eastAsia="Times New Roman" w:hAnsi="Times New Roman" w:cs="Times New Roman"/>
          <w:sz w:val="24"/>
          <w:szCs w:val="24"/>
        </w:rPr>
        <w:t>.</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Relatedly, theories of global governance and networked authority help situate contemporary technology corporations within wider transformations of political order. Concepts such as neo-medievalism, associated with Hedley Bull</w:t>
      </w:r>
      <w:r w:rsidRPr="0044370F">
        <w:rPr>
          <w:rStyle w:val="a8"/>
          <w:rFonts w:ascii="Times New Roman" w:eastAsia="Times New Roman" w:hAnsi="Times New Roman" w:cs="Times New Roman"/>
          <w:sz w:val="24"/>
          <w:szCs w:val="24"/>
        </w:rPr>
        <w:footnoteReference w:id="36"/>
      </w:r>
      <w:r w:rsidRPr="0044370F">
        <w:rPr>
          <w:rFonts w:ascii="Times New Roman" w:eastAsia="Times New Roman" w:hAnsi="Times New Roman" w:cs="Times New Roman"/>
          <w:sz w:val="24"/>
          <w:szCs w:val="24"/>
        </w:rPr>
        <w:t>, describe a world in which overlapping and intersecting authorities, state, supranational, subnational, and private, replace the hierarchical logic of the Westphalian system. While developed in an earlier historical context, this perspective resonates with current dynamics in which digital platforms and transnational networks increasingly share governance functions with states.</w:t>
      </w:r>
    </w:p>
    <w:p w:rsidR="0060194B" w:rsidRPr="0044370F" w:rsidRDefault="0060194B" w:rsidP="00EA719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Insights from network-oriented theories of power further reinforce this view. Manuel Castells’</w:t>
      </w:r>
      <w:r w:rsidRPr="0044370F">
        <w:rPr>
          <w:rStyle w:val="a8"/>
          <w:rFonts w:ascii="Times New Roman" w:eastAsia="Times New Roman" w:hAnsi="Times New Roman" w:cs="Times New Roman"/>
          <w:sz w:val="24"/>
          <w:szCs w:val="24"/>
        </w:rPr>
        <w:footnoteReference w:id="37"/>
      </w:r>
      <w:r w:rsidRPr="0044370F">
        <w:rPr>
          <w:rFonts w:ascii="Times New Roman" w:eastAsia="Times New Roman" w:hAnsi="Times New Roman" w:cs="Times New Roman"/>
          <w:sz w:val="24"/>
          <w:szCs w:val="24"/>
        </w:rPr>
        <w:t xml:space="preserve"> notion of the “network society” emphasizes that power in the information age is exercised through networks of communication, finance, and information rather than solely through territorial institutions. Similarly, Susan Strange</w:t>
      </w:r>
      <w:r w:rsidRPr="0044370F">
        <w:rPr>
          <w:rStyle w:val="a8"/>
          <w:rFonts w:ascii="Times New Roman" w:eastAsia="Times New Roman" w:hAnsi="Times New Roman" w:cs="Times New Roman"/>
          <w:sz w:val="24"/>
          <w:szCs w:val="24"/>
        </w:rPr>
        <w:footnoteReference w:id="38"/>
      </w:r>
      <w:r w:rsidRPr="0044370F">
        <w:rPr>
          <w:rFonts w:ascii="Times New Roman" w:eastAsia="Times New Roman" w:hAnsi="Times New Roman" w:cs="Times New Roman"/>
          <w:sz w:val="24"/>
          <w:szCs w:val="24"/>
        </w:rPr>
        <w:t>’s concept of structural power, the ability to shape the frameworks within which others operate, provides a crucial lens for understanding how corporations influence global outcomes by setting standards, architectures, and rules that condition economic and social life. This dissertation extends these insights to the digital domain, where technology platforms increasingly structure core aspects of public and private activity.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Together, these perspectives reinforce the study's central premise: that the authority exercised by multinational technology corporations is neither historically unprecedented nor analytically reducible to market power alone</w:t>
      </w:r>
      <w:r w:rsidRPr="0044370F">
        <w:rPr>
          <w:rStyle w:val="a8"/>
          <w:rFonts w:ascii="Times New Roman" w:eastAsia="Times New Roman" w:hAnsi="Times New Roman" w:cs="Times New Roman"/>
          <w:sz w:val="24"/>
          <w:szCs w:val="24"/>
        </w:rPr>
        <w:footnoteReference w:id="39"/>
      </w:r>
      <w:r w:rsidRPr="0044370F">
        <w:rPr>
          <w:rFonts w:ascii="Times New Roman" w:eastAsia="Times New Roman" w:hAnsi="Times New Roman" w:cs="Times New Roman"/>
          <w:sz w:val="24"/>
          <w:szCs w:val="24"/>
        </w:rPr>
        <w:t xml:space="preserve">. Instead, it reflects a broader transformation in how governance and authority are organized in the contemporary global order. This conceptual grounding ensures that the analysis of technology corporations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 xml:space="preserve"> is situated within established theoretical debates, while remaining attentive to the distinctive features of digital infrastructures and transnational corporate power</w:t>
      </w:r>
      <w:r w:rsidRPr="0044370F">
        <w:rPr>
          <w:rStyle w:val="a8"/>
          <w:rFonts w:ascii="Times New Roman" w:eastAsia="Times New Roman" w:hAnsi="Times New Roman" w:cs="Times New Roman"/>
          <w:sz w:val="24"/>
          <w:szCs w:val="24"/>
        </w:rPr>
        <w:footnoteReference w:id="40"/>
      </w:r>
      <w:r w:rsidRPr="0044370F">
        <w:rPr>
          <w:rFonts w:ascii="Times New Roman" w:eastAsia="Times New Roman" w:hAnsi="Times New Roman" w:cs="Times New Roman"/>
          <w:sz w:val="24"/>
          <w:szCs w:val="24"/>
        </w:rPr>
        <w:t>.</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Political theory is engaged in this chapter indirectly through international relations and political economy, where concepts such as sovereignty, legitimacy, and authority are theorized in relation to institutional order rather than abstract normative models.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Taken together, these perspectives establish that authority in the international system has long been fragmented, negotiated, and exercised through multiple institutional forms. This theoretical synthesis provides the groundwork for the hybrid analytical framework developed in Chapter 3, </w:t>
      </w:r>
      <w:r w:rsidRPr="0044370F">
        <w:rPr>
          <w:rFonts w:ascii="Times New Roman" w:eastAsia="Times New Roman" w:hAnsi="Times New Roman" w:cs="Times New Roman"/>
          <w:sz w:val="24"/>
          <w:szCs w:val="24"/>
        </w:rPr>
        <w:lastRenderedPageBreak/>
        <w:t>which operationalizes corporate quasi-sovereignty as a multidimensional and empirically observable phenomenon.</w:t>
      </w:r>
    </w:p>
    <w:p w:rsidR="0060194B" w:rsidRPr="0044370F" w:rsidRDefault="0060194B" w:rsidP="006D666E">
      <w:pPr>
        <w:pStyle w:val="2"/>
        <w:rPr>
          <w:rFonts w:eastAsia="Times New Roman"/>
          <w:rtl/>
          <w:lang w:eastAsia="en-IL"/>
        </w:rPr>
      </w:pPr>
      <w:bookmarkStart w:id="30" w:name="_Toc222652710"/>
      <w:r w:rsidRPr="0044370F">
        <w:rPr>
          <w:rFonts w:eastAsia="Times New Roman"/>
          <w:lang w:eastAsia="en-IL"/>
        </w:rPr>
        <w:t>1.5</w:t>
      </w:r>
      <w:r w:rsidRPr="0044370F">
        <w:rPr>
          <w:rFonts w:eastAsia="Times New Roman"/>
          <w:lang w:eastAsia="en-IL"/>
        </w:rPr>
        <w:tab/>
        <w:t>Rationale for the Study</w:t>
      </w:r>
      <w:bookmarkEnd w:id="30"/>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study is motivated by a growing disjunction between rapid real-world developments in the digital economy and the conceptual tools available for understanding sovereignty and geopolitical power. Multinational technology corporations increasingly operate at scales and across domains, economic, political, and infrastructural, that were once closely associated with sovereign states. While states remain central actors in international politics, they now coexist with corporate organizations that control critical infrastructures, set rules, and govern populations across national borders</w:t>
      </w:r>
      <w:r w:rsidRPr="0044370F">
        <w:rPr>
          <w:rStyle w:val="a8"/>
          <w:rFonts w:ascii="Times New Roman" w:eastAsia="Times New Roman" w:hAnsi="Times New Roman" w:cs="Times New Roman"/>
          <w:sz w:val="24"/>
          <w:szCs w:val="24"/>
        </w:rPr>
        <w:footnoteReference w:id="41"/>
      </w:r>
      <w:r w:rsidRPr="0044370F">
        <w:rPr>
          <w:rFonts w:ascii="Times New Roman" w:eastAsia="Times New Roman" w:hAnsi="Times New Roman" w:cs="Times New Roman"/>
          <w:sz w:val="24"/>
          <w:szCs w:val="24"/>
        </w:rPr>
        <w:t>. Existing theoretical frameworks, however, continue to treat corporations primarily as market actors or regulatory objects, leaving significant aspects of contemporary authority analytically underexplored.</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From a business administration perspective, this study examines multinational technology corporations as strategic and organizational actors whose business models, platform architectures, and resource configurations enable the exercise of authority beyond market coordination. Network effects, platform economics, control over intangible assets, and transnational organizational structures are treated not merely as sources of competitive advantage, but as mechanisms through which governance capacity emerges.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urgency of this inquiry is underscored by empirical developments in which corporate decisions regarding content moderation, data governance, algorithmic visibility, and access to digital infrastructure have direct geopolitical implications. Leading technology platforms mediate global political discourse, economic activity, and social interaction at a scale exceeding that of most </w:t>
      </w:r>
      <w:r w:rsidRPr="0044370F">
        <w:rPr>
          <w:rFonts w:ascii="Times New Roman" w:eastAsia="Times New Roman" w:hAnsi="Times New Roman" w:cs="Times New Roman"/>
          <w:sz w:val="24"/>
          <w:szCs w:val="24"/>
        </w:rPr>
        <w:lastRenderedPageBreak/>
        <w:t>nation-states</w:t>
      </w:r>
      <w:r w:rsidRPr="0044370F">
        <w:rPr>
          <w:rStyle w:val="a8"/>
          <w:rFonts w:ascii="Times New Roman" w:eastAsia="Times New Roman" w:hAnsi="Times New Roman" w:cs="Times New Roman"/>
          <w:sz w:val="24"/>
          <w:szCs w:val="24"/>
        </w:rPr>
        <w:footnoteReference w:id="42"/>
      </w:r>
      <w:r w:rsidRPr="0044370F">
        <w:rPr>
          <w:rFonts w:ascii="Times New Roman" w:eastAsia="Times New Roman" w:hAnsi="Times New Roman" w:cs="Times New Roman"/>
          <w:sz w:val="24"/>
          <w:szCs w:val="24"/>
        </w:rPr>
        <w:t>. Through negotiations with governments, management of cross-border infrastructures, and provision of essential connectivity in times of crisis, technology corporations increasingly exercise forms of power that resemble sovereign functions, often without the institutional constraints or accountability mechanisms that bind public authorities.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dynamics blur the conventional boundaries between political authority and market power. The infrastructural reach, financial capacity, and regulatory influence of large technology firms enable forms of leverage that cannot be adequately captured when such actors are analyzed solely through the lenses of market dominance or platform governance. As a result, critical risks, such as democratic deficits, accountability gaps, and asymmetrical power relations between corporations, states, and citizens, remain insufficiently theorized.</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rationale for this dissertation, therefore, lies in the need to systematically examine whether, how, and under what conditions multinational technology corporations can be understood as quasi-sovereign geopolitical actors</w:t>
      </w:r>
      <w:r w:rsidRPr="0044370F">
        <w:rPr>
          <w:rStyle w:val="a8"/>
          <w:rFonts w:ascii="Times New Roman" w:eastAsia="Times New Roman" w:hAnsi="Times New Roman" w:cs="Times New Roman"/>
          <w:sz w:val="24"/>
          <w:szCs w:val="24"/>
        </w:rPr>
        <w:footnoteReference w:id="43"/>
      </w:r>
      <w:r w:rsidRPr="0044370F">
        <w:rPr>
          <w:rFonts w:ascii="Times New Roman" w:eastAsia="Times New Roman" w:hAnsi="Times New Roman" w:cs="Times New Roman"/>
          <w:sz w:val="24"/>
          <w:szCs w:val="24"/>
        </w:rPr>
        <w:t>. By conceptualizing corporate power through the lens of sovereignty rather than exclusively through economic or technological frameworks, the study seeks to clarify the nature, scope, and limits of contemporary non-state authority</w:t>
      </w:r>
      <w:r w:rsidRPr="0044370F">
        <w:rPr>
          <w:rStyle w:val="a8"/>
          <w:rFonts w:ascii="Times New Roman" w:eastAsia="Times New Roman" w:hAnsi="Times New Roman" w:cs="Times New Roman"/>
          <w:sz w:val="24"/>
          <w:szCs w:val="24"/>
        </w:rPr>
        <w:footnoteReference w:id="44"/>
      </w:r>
      <w:r w:rsidRPr="0044370F">
        <w:rPr>
          <w:rFonts w:ascii="Times New Roman" w:eastAsia="Times New Roman" w:hAnsi="Times New Roman" w:cs="Times New Roman"/>
          <w:sz w:val="24"/>
          <w:szCs w:val="24"/>
        </w:rPr>
        <w:t xml:space="preserve">. In doing so, it addresses a central theoretical challenge in political economy and international relations, while </w:t>
      </w:r>
      <w:r w:rsidRPr="0044370F">
        <w:rPr>
          <w:rFonts w:ascii="Times New Roman" w:eastAsia="Times New Roman" w:hAnsi="Times New Roman" w:cs="Times New Roman"/>
          <w:sz w:val="24"/>
          <w:szCs w:val="24"/>
        </w:rPr>
        <w:lastRenderedPageBreak/>
        <w:t>also engaging with a pressing practical problem confronting policymakers and societies seeking to govern digital power in an increasingly interconnected world</w:t>
      </w:r>
      <w:r w:rsidRPr="0044370F">
        <w:rPr>
          <w:rStyle w:val="a8"/>
          <w:rFonts w:ascii="Times New Roman" w:eastAsia="Times New Roman" w:hAnsi="Times New Roman" w:cs="Times New Roman"/>
          <w:sz w:val="24"/>
          <w:szCs w:val="24"/>
        </w:rPr>
        <w:footnoteReference w:id="45"/>
      </w:r>
      <w:r w:rsidRPr="0044370F">
        <w:rPr>
          <w:rFonts w:ascii="Times New Roman" w:eastAsia="Times New Roman" w:hAnsi="Times New Roman" w:cs="Times New Roman"/>
          <w:sz w:val="24"/>
          <w:szCs w:val="24"/>
        </w:rPr>
        <w:t>.</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 xml:space="preserve">The significance of this thesis lies not only in identifying the expanding influence of multinational technology corporations but also in offering a new </w:t>
      </w:r>
      <w:r w:rsidRPr="0044370F">
        <w:rPr>
          <w:rStyle w:val="a5"/>
          <w:rFonts w:eastAsiaTheme="majorEastAsia"/>
          <w:b/>
          <w:bCs/>
          <w:i w:val="0"/>
          <w:iCs w:val="0"/>
        </w:rPr>
        <w:t>analytical language</w:t>
      </w:r>
      <w:r w:rsidRPr="0044370F">
        <w:rPr>
          <w:rStyle w:val="a5"/>
          <w:rFonts w:eastAsiaTheme="majorEastAsia"/>
          <w:i w:val="0"/>
          <w:iCs w:val="0"/>
        </w:rPr>
        <w:t xml:space="preserve"> for understanding this influence. </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 xml:space="preserve">Existing approaches tend to frame corporate power either as a market phenomenon or as a governance challenge, thereby obscuring how corporations increasingly perform functions historically associated with sovereign authority. </w:t>
      </w:r>
    </w:p>
    <w:p w:rsidR="0060194B" w:rsidRPr="0044370F" w:rsidRDefault="0060194B" w:rsidP="00F6046C">
      <w:pPr>
        <w:pStyle w:val="NormalWeb"/>
        <w:spacing w:line="360" w:lineRule="auto"/>
        <w:jc w:val="both"/>
        <w:rPr>
          <w:i/>
          <w:iCs/>
        </w:rPr>
      </w:pPr>
      <w:r w:rsidRPr="0044370F">
        <w:rPr>
          <w:rStyle w:val="a5"/>
          <w:rFonts w:eastAsiaTheme="majorEastAsia"/>
          <w:i w:val="0"/>
          <w:iCs w:val="0"/>
        </w:rPr>
        <w:t>By introducing the concept of corporate quasi-sovereignty, this dissertation advances a framework that captures how authority is constructed, stabilized, and exercised across organizational, infrastructural, normative, and geopolitical domains. This reframing enables a more precise understanding of contemporary power relations. It provides the conceptual foundation for analyzing corporate actors as consequential participants in the global political order rather than as peripheral or exceptional cases.</w:t>
      </w:r>
    </w:p>
    <w:p w:rsidR="0060194B" w:rsidRPr="0044370F" w:rsidRDefault="0060194B" w:rsidP="006D666E">
      <w:pPr>
        <w:pStyle w:val="2"/>
        <w:rPr>
          <w:rFonts w:eastAsia="Times New Roman"/>
          <w:lang w:eastAsia="en-IL"/>
        </w:rPr>
      </w:pPr>
      <w:bookmarkStart w:id="31" w:name="_Toc222652711"/>
      <w:r w:rsidRPr="0044370F">
        <w:rPr>
          <w:rFonts w:eastAsia="Times New Roman"/>
          <w:lang w:eastAsia="en-IL"/>
        </w:rPr>
        <w:t>1.6</w:t>
      </w:r>
      <w:r w:rsidRPr="0044370F">
        <w:rPr>
          <w:rFonts w:eastAsia="Times New Roman"/>
          <w:lang w:eastAsia="en-IL"/>
        </w:rPr>
        <w:tab/>
        <w:t>Significance of the Research (Academic &amp; Practical)</w:t>
      </w:r>
      <w:bookmarkEnd w:id="31"/>
    </w:p>
    <w:p w:rsidR="006D666E" w:rsidRPr="0044370F" w:rsidRDefault="006D666E" w:rsidP="006D666E">
      <w:pPr>
        <w:rPr>
          <w:rtl/>
          <w:lang w:eastAsia="en-IL"/>
        </w:rPr>
      </w:pP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dissertation advances a new understanding of authority, power, and sovereignty in the digital age, which significantly advances academic studies. The study questions the state-centric presumptions that still rule international relations and political economy by looking at multinational technology companies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 It also expands on current discussions about private authority and global governance</w:t>
      </w:r>
      <w:r w:rsidRPr="0044370F">
        <w:rPr>
          <w:rStyle w:val="a8"/>
          <w:rFonts w:ascii="Times New Roman" w:eastAsia="Times New Roman" w:hAnsi="Times New Roman" w:cs="Times New Roman"/>
          <w:sz w:val="24"/>
          <w:szCs w:val="24"/>
        </w:rPr>
        <w:footnoteReference w:id="46"/>
      </w:r>
      <w:r w:rsidRPr="0044370F">
        <w:rPr>
          <w:rFonts w:ascii="Times New Roman" w:eastAsia="Times New Roman" w:hAnsi="Times New Roman" w:cs="Times New Roman"/>
          <w:sz w:val="24"/>
          <w:szCs w:val="24"/>
        </w:rPr>
        <w:t xml:space="preserve">. Rather than treating technology firms primarily as market actors or regulatory subjects, the research reframes them as entities that </w:t>
      </w:r>
      <w:r w:rsidRPr="0044370F">
        <w:rPr>
          <w:rFonts w:ascii="Times New Roman" w:eastAsia="Times New Roman" w:hAnsi="Times New Roman" w:cs="Times New Roman"/>
          <w:sz w:val="24"/>
          <w:szCs w:val="24"/>
        </w:rPr>
        <w:lastRenderedPageBreak/>
        <w:t>exercise governance-like functions</w:t>
      </w:r>
      <w:r w:rsidRPr="0044370F">
        <w:rPr>
          <w:rStyle w:val="a8"/>
          <w:rFonts w:ascii="Times New Roman" w:eastAsia="Times New Roman" w:hAnsi="Times New Roman" w:cs="Times New Roman"/>
          <w:sz w:val="24"/>
          <w:szCs w:val="24"/>
        </w:rPr>
        <w:footnoteReference w:id="47"/>
      </w:r>
      <w:r w:rsidRPr="0044370F">
        <w:rPr>
          <w:rFonts w:ascii="Times New Roman" w:eastAsia="Times New Roman" w:hAnsi="Times New Roman" w:cs="Times New Roman"/>
          <w:sz w:val="24"/>
          <w:szCs w:val="24"/>
        </w:rPr>
        <w:t xml:space="preserve"> across economic, infrastructural, normative, and geopolitical domains. This shift enables a more precise analysis of how authority is constructed, exercised, and contested beyond the formal boundaries of the state</w:t>
      </w:r>
      <w:r w:rsidRPr="0044370F">
        <w:rPr>
          <w:rStyle w:val="a8"/>
          <w:rFonts w:ascii="Times New Roman" w:eastAsia="Times New Roman" w:hAnsi="Times New Roman" w:cs="Times New Roman"/>
          <w:sz w:val="24"/>
          <w:szCs w:val="24"/>
        </w:rPr>
        <w:footnoteReference w:id="48"/>
      </w:r>
      <w:r w:rsidRPr="0044370F">
        <w:rPr>
          <w:rFonts w:ascii="Times New Roman" w:eastAsia="Times New Roman" w:hAnsi="Times New Roman" w:cs="Times New Roman"/>
          <w:sz w:val="24"/>
          <w:szCs w:val="24"/>
        </w:rPr>
        <w:t>.</w:t>
      </w: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dissertation makes three main contributions to academia. In order to show how sovereignty functions as a fragmented and relational practice rather than a fixed legal status, it first advances sovereignty theory by applying and modifying classical principles, such as those expressed by Krasner, to modern non-state actors. Second, it addresses the fragmentation that permeates much of the current literature on platform power, digital governance, and corporate influence by combining ideas from political economy, international relations, and science and technology studies into a cohesive analytical framework</w:t>
      </w:r>
      <w:r w:rsidRPr="0044370F">
        <w:rPr>
          <w:rStyle w:val="a8"/>
          <w:rFonts w:ascii="Times New Roman" w:eastAsia="Times New Roman" w:hAnsi="Times New Roman" w:cs="Times New Roman"/>
          <w:sz w:val="24"/>
          <w:szCs w:val="24"/>
        </w:rPr>
        <w:footnoteReference w:id="49"/>
      </w:r>
      <w:r w:rsidRPr="0044370F">
        <w:rPr>
          <w:rFonts w:ascii="Times New Roman" w:eastAsia="Times New Roman" w:hAnsi="Times New Roman" w:cs="Times New Roman"/>
          <w:sz w:val="24"/>
          <w:szCs w:val="24"/>
        </w:rPr>
        <w:t>. Third, the paper provides empirically supported insights into how various forms of technology businesses, consumer-facing platforms, infrastructure providers, and enterprise software enterprises exhibit unique configurations of quasi-sovereign authority through comparative case analysis.</w:t>
      </w: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research has significant practical implications in addition to its scholarly value. The question of how to regulate technology companies that operate internationally and whose governance choices impact democratic processes, economic stability, and national security is one that policymakers from several jurisdictions are debating. The study emphasizes the need for coordinated global governance and highlights the shortcomings of strictly national or sector-specific regulatory approaches by treating these companies as quasi-sovereign entities. Additionally, it makes clear the dangers of corporate quasi-sovereignty, including the concentration of control over vital digital infrastructure, democratic deficiencies, and accountability gaps.</w:t>
      </w: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Therefore, the conclusions of this dissertation are pertinent not only to academics but also to regulators, international organizations, members of civil society, and business professionals who are attempting to negotiate the changing power dynamics of the digital age. The research contributes to better-informed discussions about digital sovereignty, global governance, and the preservation of public values by offering a rigorous analytical framework for understanding corporate authority in a setting where private, non-state actors are increasingly exercising governance.</w:t>
      </w:r>
    </w:p>
    <w:p w:rsidR="0060194B" w:rsidRPr="0044370F" w:rsidRDefault="0060194B" w:rsidP="006D666E">
      <w:pPr>
        <w:pStyle w:val="2"/>
        <w:rPr>
          <w:rFonts w:eastAsia="Times New Roman"/>
          <w:lang w:eastAsia="en-IL"/>
        </w:rPr>
      </w:pPr>
      <w:bookmarkStart w:id="32" w:name="_Toc222652712"/>
      <w:r w:rsidRPr="0044370F">
        <w:rPr>
          <w:rFonts w:eastAsia="Times New Roman"/>
          <w:lang w:eastAsia="en-IL"/>
        </w:rPr>
        <w:t>1.7</w:t>
      </w:r>
      <w:r w:rsidRPr="0044370F">
        <w:rPr>
          <w:rFonts w:eastAsia="Times New Roman"/>
          <w:lang w:eastAsia="en-IL"/>
        </w:rPr>
        <w:tab/>
        <w:t>Structure of the Dissertation</w:t>
      </w:r>
      <w:bookmarkEnd w:id="32"/>
    </w:p>
    <w:p w:rsidR="00ED5A0F" w:rsidRPr="0044370F" w:rsidRDefault="0060194B" w:rsidP="00ED5A0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Methodologically, the dissertation adopts a qualitative, interpretive research approach grounded in document-based comparative analysis. The study is informed by a constructivist understanding of authority as relational and context-dependent, and it focuses on three cases: Meta, Huawei, and SAP, selected to capture variation across sectoral roles, geopolitical alignment, and modes of corporate-state interaction. It is organized from conceptual underpinnings to empirical analysis and theoretical synthesis to further its main thesis. </w:t>
      </w:r>
    </w:p>
    <w:p w:rsidR="0060194B" w:rsidRPr="0044370F" w:rsidRDefault="0060194B" w:rsidP="00ED5A0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Chapter 1 presents the research problem, places it in a theoretical and historical framework, and explains the main research question, justification, and importance of the study. It lays out the conceptual frameworks that are used to analyze this phenomenon and establishes the central thesis that multinational technology companies are increasingly acting as quasi-sovereign geopolitical actors. </w:t>
      </w:r>
      <w:r w:rsidRPr="0044370F">
        <w:rPr>
          <w:rFonts w:ascii="Times New Roman" w:eastAsia="Times New Roman" w:hAnsi="Times New Roman" w:cs="Times New Roman"/>
          <w:sz w:val="24"/>
          <w:szCs w:val="24"/>
        </w:rPr>
        <w:br/>
        <w:t>An interdisciplinary survey of the literature is presented in Chapter 2, including references to business studies, political economy, international relations, and science and technology studies. This chapter identifies significant conceptual, empirical, and methodological gaps in the body of research on corporate power, digital governance, and sovereignty, motivating the need for an integrated analytical framework.</w:t>
      </w:r>
    </w:p>
    <w:p w:rsidR="003119A6"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dissertation's hybrid theoretical framework is developed in Chapter 3. Four analytical dimensions, strategic resource control, structural embeddedness, normative legitimacy, and infrastructural power, are used to conceive corporate quasi-sovereignty as a multifaceted and relational type of power. Additionally, the chapter defines the analytical standards that direct the empirical inquiry and describes the logic of comparison. </w:t>
      </w:r>
    </w:p>
    <w:p w:rsidR="0060194B" w:rsidRPr="0044370F" w:rsidRDefault="0060194B" w:rsidP="0060194B">
      <w:pPr>
        <w:spacing w:after="0" w:line="360" w:lineRule="auto"/>
        <w:jc w:val="both"/>
        <w:rPr>
          <w:rFonts w:ascii="Times New Roman" w:eastAsia="Times New Roman" w:hAnsi="Times New Roman" w:cs="Times New Roman"/>
          <w:sz w:val="24"/>
          <w:szCs w:val="24"/>
        </w:rPr>
      </w:pP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research strategy and methodology are presented in Chapter 4. It describes the dissertation's qualitative, document-based, comparative case-study approach, explains how the cases were selected, and outlines the data-gathering, coding, and analytical techniques used to operationalize the four-dimensional framework. This chapter provides the methodological link between theory and empirical analysis.</w:t>
      </w:r>
    </w:p>
    <w:p w:rsidR="0060194B" w:rsidRPr="0044370F" w:rsidRDefault="0060194B" w:rsidP="0060194B">
      <w:pPr>
        <w:spacing w:after="0" w:line="360" w:lineRule="auto"/>
        <w:jc w:val="both"/>
        <w:rPr>
          <w:rFonts w:ascii="Times New Roman" w:eastAsia="Times New Roman" w:hAnsi="Times New Roman" w:cs="Times New Roman"/>
          <w:sz w:val="24"/>
          <w:szCs w:val="24"/>
        </w:rPr>
      </w:pP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dissertation's empirical core is found in chapters 5, 6, and 7. An extensive case study of a multinational technology company, Meta Platforms, Huawei Technologies, and SAP SE, respectively, is covered in each chapter. These chapters examine how quasi-sovereign authority is created, used, justified, and challenged across various institutional, technological, and geopolitical contexts, using the same analytical paradigm. </w:t>
      </w: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br/>
        <w:t>The three case studies are compared and synthesized in Chapter 8. This chapter explores broader theoretical insights into the configurations of corporate quasi-sovereignty. It identifies patterns of convergence and divergence by methodically comparing Meta, Huawei, and SAP across four analytical dimensions. It evaluates the consequences of these discoveries for the changing global order and places them within discussions of distributed, contextual, and hybrid sovereignty.</w:t>
      </w:r>
    </w:p>
    <w:p w:rsidR="0060194B" w:rsidRPr="0044370F" w:rsidRDefault="0060194B" w:rsidP="0060194B">
      <w:pPr>
        <w:spacing w:after="0" w:line="360" w:lineRule="auto"/>
        <w:jc w:val="both"/>
        <w:rPr>
          <w:rFonts w:ascii="Times New Roman" w:eastAsia="Times New Roman" w:hAnsi="Times New Roman" w:cs="Times New Roman"/>
          <w:sz w:val="24"/>
          <w:szCs w:val="24"/>
        </w:rPr>
      </w:pP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contributions of the dissertation, both theoretical and practical, are presented in Chapter 9. This chapter details the study's impacts on political economy, science and technology studies, and international relations theory, while also exploring the effects of corporate quasi-sovereignty on governments, civil society, multinational technology corporations, and global governance.</w:t>
      </w:r>
    </w:p>
    <w:p w:rsidR="0060194B" w:rsidRPr="0044370F" w:rsidRDefault="0060194B" w:rsidP="0060194B">
      <w:pPr>
        <w:spacing w:after="0" w:line="360" w:lineRule="auto"/>
        <w:jc w:val="both"/>
        <w:rPr>
          <w:rFonts w:ascii="Times New Roman" w:eastAsia="Times New Roman" w:hAnsi="Times New Roman" w:cs="Times New Roman"/>
          <w:sz w:val="24"/>
          <w:szCs w:val="24"/>
        </w:rPr>
      </w:pPr>
    </w:p>
    <w:p w:rsidR="0060194B" w:rsidRPr="0044370F" w:rsidRDefault="0060194B" w:rsidP="0060194B">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Chapter 10 summarizes the dissertation, thoroughly examines its limitations, re-evaluates the research questions based on the findings, and suggests directions for future research. It considers the broader evolution of authority and sovereignty in the era of digital technology. It places the dissertation's conclusions within the context of emerging technological and geopolitical developments, such as the ascent of physical AI and the increasing power of corporate infrastructure.</w:t>
      </w:r>
    </w:p>
    <w:p w:rsidR="0060194B" w:rsidRPr="0044370F" w:rsidRDefault="0060194B" w:rsidP="0060194B">
      <w:pPr>
        <w:pStyle w:val="NormalWeb"/>
        <w:spacing w:line="360" w:lineRule="auto"/>
        <w:jc w:val="both"/>
        <w:rPr>
          <w:i/>
          <w:iCs/>
          <w:rtl/>
        </w:rPr>
      </w:pPr>
      <w:r w:rsidRPr="0044370F">
        <w:rPr>
          <w:rStyle w:val="a5"/>
          <w:rFonts w:eastAsiaTheme="majorEastAsia"/>
          <w:i w:val="0"/>
          <w:iCs w:val="0"/>
        </w:rPr>
        <w:lastRenderedPageBreak/>
        <w:t>This structure ensures a cumulative analytical progression, in which conceptual development, empirical analysis, and theoretical synthesis are tightly integrated across the dissertation.</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Although the dissertation engages extensively with international relations, political economy, and technology studies, it is situated within the field of business administration, with multinational corporations examined as organizational, strategic, and governance actors.</w:t>
      </w:r>
    </w:p>
    <w:p w:rsidR="0060194B" w:rsidRPr="0044370F" w:rsidRDefault="0060194B" w:rsidP="0060194B">
      <w:pPr>
        <w:spacing w:after="0" w:line="360" w:lineRule="auto"/>
        <w:jc w:val="both"/>
        <w:rPr>
          <w:rFonts w:asciiTheme="majorBidi" w:hAnsiTheme="majorBidi" w:cstheme="majorBidi"/>
          <w:sz w:val="24"/>
          <w:szCs w:val="24"/>
        </w:rPr>
      </w:pPr>
    </w:p>
    <w:p w:rsidR="0060194B" w:rsidRPr="0044370F" w:rsidRDefault="0060194B">
      <w:r w:rsidRPr="0044370F">
        <w:br w:type="page"/>
      </w:r>
    </w:p>
    <w:p w:rsidR="0060194B" w:rsidRPr="0044370F" w:rsidRDefault="0060194B" w:rsidP="006D666E">
      <w:pPr>
        <w:pStyle w:val="1"/>
        <w:rPr>
          <w:rFonts w:eastAsia="Times New Roman"/>
          <w:rtl/>
        </w:rPr>
      </w:pPr>
      <w:bookmarkStart w:id="33" w:name="_Toc222652713"/>
      <w:r w:rsidRPr="0044370F">
        <w:rPr>
          <w:rFonts w:eastAsia="Times New Roman"/>
        </w:rPr>
        <w:lastRenderedPageBreak/>
        <w:t>Chapter 2</w:t>
      </w:r>
      <w:bookmarkEnd w:id="33"/>
    </w:p>
    <w:p w:rsidR="0060194B" w:rsidRPr="0044370F" w:rsidRDefault="0060194B" w:rsidP="006D666E">
      <w:pPr>
        <w:pStyle w:val="1"/>
        <w:rPr>
          <w:rFonts w:eastAsia="Times New Roman"/>
        </w:rPr>
      </w:pPr>
      <w:bookmarkStart w:id="34" w:name="_Toc222652714"/>
      <w:r w:rsidRPr="0044370F">
        <w:rPr>
          <w:rFonts w:eastAsia="Times New Roman"/>
        </w:rPr>
        <w:t>Interdisciplinary Literature Review and Theoretical Foundations</w:t>
      </w:r>
      <w:bookmarkEnd w:id="34"/>
    </w:p>
    <w:p w:rsidR="006D666E" w:rsidRPr="0044370F" w:rsidRDefault="006D666E" w:rsidP="006D666E"/>
    <w:p w:rsidR="0060194B" w:rsidRPr="0044370F" w:rsidRDefault="0060194B" w:rsidP="006D666E">
      <w:pPr>
        <w:pStyle w:val="2"/>
        <w:rPr>
          <w:rFonts w:eastAsia="Times New Roman"/>
        </w:rPr>
      </w:pPr>
      <w:bookmarkStart w:id="35" w:name="_Toc222652715"/>
      <w:r w:rsidRPr="0044370F">
        <w:rPr>
          <w:rFonts w:eastAsia="Times New Roman"/>
        </w:rPr>
        <w:t>2.1 Introduction to the Literature Review</w:t>
      </w:r>
      <w:bookmarkEnd w:id="35"/>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purpose of this chapter is to situate the present study within existing knowledge across several relevant fields. A literature review provides a </w:t>
      </w:r>
      <w:r w:rsidRPr="0044370F">
        <w:rPr>
          <w:rFonts w:ascii="Times New Roman" w:eastAsia="Times New Roman" w:hAnsi="Times New Roman" w:cs="Times New Roman"/>
          <w:b/>
          <w:bCs/>
          <w:sz w:val="24"/>
          <w:szCs w:val="24"/>
        </w:rPr>
        <w:t>“comprehensive background for understanding current knowledge</w:t>
      </w:r>
      <w:r w:rsidRPr="0044370F">
        <w:rPr>
          <w:rStyle w:val="a8"/>
          <w:rFonts w:ascii="Times New Roman" w:eastAsia="Times New Roman" w:hAnsi="Times New Roman" w:cs="Times New Roman"/>
          <w:b/>
          <w:bCs/>
          <w:sz w:val="24"/>
          <w:szCs w:val="24"/>
        </w:rPr>
        <w:footnoteReference w:id="50"/>
      </w:r>
      <w:r w:rsidRPr="0044370F">
        <w:rPr>
          <w:rFonts w:ascii="Times New Roman" w:eastAsia="Times New Roman" w:hAnsi="Times New Roman" w:cs="Times New Roman"/>
          <w:b/>
          <w:bCs/>
          <w:sz w:val="24"/>
          <w:szCs w:val="24"/>
        </w:rPr>
        <w:t>”</w:t>
      </w:r>
      <w:r w:rsidRPr="0044370F">
        <w:rPr>
          <w:rFonts w:ascii="Times New Roman" w:eastAsia="Times New Roman" w:hAnsi="Times New Roman" w:cs="Times New Roman"/>
          <w:sz w:val="24"/>
          <w:szCs w:val="24"/>
        </w:rPr>
        <w:t xml:space="preserve"> on a topic and highlights the significance of new research. In other words, it surveys what is known and identifies gaps that justify the research questions. In this study, the literature review lays the foundation for examining how multinational technology corporations have transformed into quasi-sovereign geopolitical actors, i.e., entities wielding influence comparable to nation-states in specific domains</w:t>
      </w:r>
      <w:r w:rsidRPr="0044370F">
        <w:rPr>
          <w:rStyle w:val="a8"/>
          <w:rFonts w:ascii="Times New Roman" w:eastAsia="Times New Roman" w:hAnsi="Times New Roman" w:cs="Times New Roman"/>
          <w:sz w:val="24"/>
          <w:szCs w:val="24"/>
        </w:rPr>
        <w:footnoteReference w:id="51"/>
      </w:r>
      <w:r w:rsidRPr="0044370F">
        <w:rPr>
          <w:rFonts w:ascii="Times New Roman" w:eastAsia="Times New Roman" w:hAnsi="Times New Roman" w:cs="Times New Roman"/>
          <w:sz w:val="24"/>
          <w:szCs w:val="24"/>
        </w:rPr>
        <w:t>. By critically assessing prior work, this chapter clarifies the context and conceptual tools for analyzing these emerging “tech empires” and sets the stage for the study’s theoretical framework in Chapter 3.</w:t>
      </w:r>
    </w:p>
    <w:p w:rsidR="0060194B" w:rsidRPr="0044370F" w:rsidRDefault="0060194B" w:rsidP="0060194B">
      <w:pPr>
        <w:spacing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review serves several key purposes. First, the review establishes the current state of research concerning global technology firms and their evolving roles, demonstrating the progression of scholarly discourse over time. Second, it identifies gaps and inconsistencies within the existing literature. By clarifying the distinction between studied and unexplored areas, the review highlights opportunities for this study to offer new insights. A high-quality review not only compiles past research but also </w:t>
      </w:r>
      <w:r w:rsidRPr="0044370F">
        <w:rPr>
          <w:rFonts w:ascii="Times New Roman" w:eastAsia="Times New Roman" w:hAnsi="Times New Roman" w:cs="Times New Roman"/>
          <w:b/>
          <w:bCs/>
          <w:sz w:val="24"/>
          <w:szCs w:val="24"/>
        </w:rPr>
        <w:t>“develops a coherent theoretical story</w:t>
      </w:r>
      <w:r w:rsidRPr="0044370F">
        <w:rPr>
          <w:rStyle w:val="a8"/>
          <w:rFonts w:ascii="Times New Roman" w:eastAsia="Times New Roman" w:hAnsi="Times New Roman" w:cs="Times New Roman"/>
          <w:b/>
          <w:bCs/>
          <w:sz w:val="24"/>
          <w:szCs w:val="24"/>
        </w:rPr>
        <w:footnoteReference w:id="52"/>
      </w:r>
      <w:r w:rsidRPr="0044370F">
        <w:rPr>
          <w:rFonts w:ascii="Times New Roman" w:eastAsia="Times New Roman" w:hAnsi="Times New Roman" w:cs="Times New Roman"/>
          <w:b/>
          <w:bCs/>
          <w:sz w:val="24"/>
          <w:szCs w:val="24"/>
        </w:rPr>
        <w:t>”</w:t>
      </w:r>
      <w:r w:rsidRPr="0044370F">
        <w:rPr>
          <w:rFonts w:ascii="Times New Roman" w:eastAsia="Times New Roman" w:hAnsi="Times New Roman" w:cs="Times New Roman"/>
          <w:sz w:val="24"/>
          <w:szCs w:val="24"/>
        </w:rPr>
        <w:t xml:space="preserve"> from it, paving the way for new conceptual developments. In conclusion, the literature review establishes a conceptual framework for the dissertation by defining key concepts, including sovereignty, global </w:t>
      </w:r>
      <w:r w:rsidRPr="0044370F">
        <w:rPr>
          <w:rFonts w:ascii="Times New Roman" w:eastAsia="Times New Roman" w:hAnsi="Times New Roman" w:cs="Times New Roman"/>
          <w:sz w:val="24"/>
          <w:szCs w:val="24"/>
        </w:rPr>
        <w:lastRenderedPageBreak/>
        <w:t>governance, and digital platforms, as well as outlining the theoretical perspectives that inform the analysis of empirical phenomena. Overall, the literature review serves as a bridge between established scholarship and the current research, ensuring that the study is grounded in and informed by existing knowledge.</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Despite the breadth and sophistication of existing scholarship, this chapter argues that current literature remains </w:t>
      </w:r>
      <w:r w:rsidRPr="0044370F">
        <w:rPr>
          <w:rFonts w:ascii="Times New Roman" w:eastAsia="Times New Roman" w:hAnsi="Times New Roman" w:cs="Times New Roman"/>
          <w:b/>
          <w:bCs/>
          <w:sz w:val="24"/>
          <w:szCs w:val="24"/>
        </w:rPr>
        <w:t>analytically fragmented</w:t>
      </w:r>
      <w:r w:rsidRPr="0044370F">
        <w:rPr>
          <w:rFonts w:ascii="Times New Roman" w:eastAsia="Times New Roman" w:hAnsi="Times New Roman" w:cs="Times New Roman"/>
          <w:sz w:val="24"/>
          <w:szCs w:val="24"/>
        </w:rPr>
        <w:t xml:space="preserve">. Different disciplines capture important aspects of corporate power, yet </w:t>
      </w:r>
      <w:r w:rsidRPr="0044370F">
        <w:rPr>
          <w:rFonts w:ascii="Times New Roman" w:eastAsia="Times New Roman" w:hAnsi="Times New Roman" w:cs="Times New Roman"/>
          <w:b/>
          <w:bCs/>
          <w:sz w:val="24"/>
          <w:szCs w:val="24"/>
        </w:rPr>
        <w:t>they do so in isolation</w:t>
      </w:r>
      <w:r w:rsidRPr="0044370F">
        <w:rPr>
          <w:rFonts w:ascii="Times New Roman" w:eastAsia="Times New Roman" w:hAnsi="Times New Roman" w:cs="Times New Roman"/>
          <w:sz w:val="24"/>
          <w:szCs w:val="24"/>
        </w:rPr>
        <w:t xml:space="preserve">: strategy without sovereignty, structure without implementation, legitimacy without infrastructure, and technology without geopolitical integration. </w:t>
      </w:r>
    </w:p>
    <w:p w:rsidR="0060194B" w:rsidRPr="0044370F" w:rsidRDefault="0060194B" w:rsidP="00A25B3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As a result, the literature lacks a unified framework </w:t>
      </w:r>
      <w:r w:rsidR="00A25B3E" w:rsidRPr="0044370F">
        <w:rPr>
          <w:rFonts w:ascii="Times New Roman" w:eastAsia="Times New Roman" w:hAnsi="Times New Roman" w:cs="Times New Roman"/>
          <w:sz w:val="24"/>
          <w:szCs w:val="24"/>
        </w:rPr>
        <w:t>that explains</w:t>
      </w:r>
      <w:r w:rsidRPr="0044370F">
        <w:rPr>
          <w:rFonts w:ascii="Times New Roman" w:eastAsia="Times New Roman" w:hAnsi="Times New Roman" w:cs="Times New Roman"/>
          <w:sz w:val="24"/>
          <w:szCs w:val="24"/>
        </w:rPr>
        <w:t xml:space="preserve"> how multinational technology corporations acquire, exercise, and stabilize sovereignty-like authority across multiple domains simultaneously.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Identifying and addressing this gap is the central analytical purpose of this chapter.</w:t>
      </w:r>
    </w:p>
    <w:p w:rsidR="00B81AE1" w:rsidRPr="0044370F" w:rsidRDefault="00B81AE1"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Given the breadth of relevant scholarship, this literature review is intentionally selective rather than exhaustive. Each subsection foregrounds the specific analytical value it contributes to this dissertation and, crucially, the limitations that motivate the need for an integrated framework. </w:t>
      </w:r>
    </w:p>
    <w:p w:rsidR="00B81AE1" w:rsidRPr="0044370F" w:rsidRDefault="00B81AE1" w:rsidP="00B81AE1">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aim is therefore contrast, not coverage; to show what each body of literature explains about non-state corporate authority and where it becomes insufficient for theorizing quasi-sovereign governance.</w:t>
      </w:r>
    </w:p>
    <w:p w:rsidR="0060194B" w:rsidRPr="0044370F" w:rsidRDefault="0060194B" w:rsidP="006D666E">
      <w:pPr>
        <w:pStyle w:val="2"/>
        <w:rPr>
          <w:rFonts w:eastAsia="Times New Roman"/>
        </w:rPr>
      </w:pPr>
      <w:bookmarkStart w:id="36" w:name="_Toc222652716"/>
      <w:r w:rsidRPr="0044370F">
        <w:rPr>
          <w:rFonts w:eastAsia="Times New Roman"/>
        </w:rPr>
        <w:t>2.2</w:t>
      </w:r>
      <w:r w:rsidRPr="0044370F">
        <w:rPr>
          <w:rFonts w:eastAsia="Times New Roman"/>
        </w:rPr>
        <w:tab/>
        <w:t>Scope and boundaries</w:t>
      </w:r>
      <w:bookmarkEnd w:id="36"/>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The research question in this study is inherently interdisciplinary, spanning multiple academic domains. Accordingly, the literature review encompasses four primary fields, each offering a different lens on the rise of digital corporations as powerful global actors.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For analytical clarity, these fields are treated not as equivalent disciplines but as complementary bodies of literature that address different dimensions of corporate power. Business administration and political economy provide the primary explanatory foundations for understanding corporate </w:t>
      </w:r>
      <w:r w:rsidRPr="0044370F">
        <w:rPr>
          <w:rFonts w:ascii="Times New Roman" w:eastAsia="Times New Roman" w:hAnsi="Times New Roman" w:cs="Times New Roman"/>
          <w:sz w:val="24"/>
          <w:szCs w:val="24"/>
        </w:rPr>
        <w:lastRenderedPageBreak/>
        <w:t>agency and structural conditions. At the same time, international relations and technology studies contribute interpretive frameworks for sovereignty, legitimacy, and socio-technical governance.</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Political theory is not reviewed here as a separate, standalone field. Still, it is instead engaged indirectly through international relations and critical political economy, where concepts such as sovereignty, legitimacy, authority, and power are theorized in relation to institutional order, governance structures, and historical transformations. This reflects the study’s focus on applied political authority rather than abstract normative theory.</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Taken together, these fields are not reviewed as parallel bodies of scholarship, but as analytically interdependent perspectives that illuminate different dimensions of the same phenomenon. Each contributes a necessary component to understanding how multinational technology corporations acquire and exercise authority with sovereignty-like implications, a logic that guides the structure of the review that follows: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selection of these four literatures is deliberate. Together, they capture the full life cycle of corporate authority: how it is organizationally constructed (business administration), structurally enabled (political economy), politically interpreted (international relations), and technically enacted (technology studies).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Other bodies of literature, such as law, economics, or normative political theory, address regulation, efficiency, or ethics, but </w:t>
      </w:r>
      <w:r w:rsidRPr="0044370F">
        <w:rPr>
          <w:rFonts w:ascii="Times New Roman" w:eastAsia="Times New Roman" w:hAnsi="Times New Roman" w:cs="Times New Roman"/>
          <w:b/>
          <w:bCs/>
          <w:sz w:val="24"/>
          <w:szCs w:val="24"/>
        </w:rPr>
        <w:t>do not</w:t>
      </w:r>
      <w:r w:rsidRPr="0044370F">
        <w:rPr>
          <w:rFonts w:ascii="Times New Roman" w:eastAsia="Times New Roman" w:hAnsi="Times New Roman" w:cs="Times New Roman"/>
          <w:sz w:val="24"/>
          <w:szCs w:val="24"/>
        </w:rPr>
        <w:t xml:space="preserve"> directly explain how authority is produced and exercised as a system-shaping force. The chosen scope thus reflects the </w:t>
      </w:r>
      <w:r w:rsidRPr="0044370F">
        <w:rPr>
          <w:rFonts w:ascii="Times New Roman" w:eastAsia="Times New Roman" w:hAnsi="Times New Roman" w:cs="Times New Roman"/>
          <w:b/>
          <w:bCs/>
          <w:sz w:val="24"/>
          <w:szCs w:val="24"/>
        </w:rPr>
        <w:t>explanatory</w:t>
      </w:r>
      <w:r w:rsidRPr="0044370F">
        <w:rPr>
          <w:rFonts w:ascii="Times New Roman" w:eastAsia="Times New Roman" w:hAnsi="Times New Roman" w:cs="Times New Roman"/>
          <w:sz w:val="24"/>
          <w:szCs w:val="24"/>
        </w:rPr>
        <w:t>, rather than regulatory or normative, ambition of the dissertation.</w:t>
      </w:r>
    </w:p>
    <w:p w:rsidR="0060194B" w:rsidRPr="0044370F" w:rsidRDefault="0060194B" w:rsidP="006D666E">
      <w:pPr>
        <w:pStyle w:val="3"/>
        <w:rPr>
          <w:rtl/>
        </w:rPr>
      </w:pPr>
      <w:bookmarkStart w:id="37" w:name="_Toc222652717"/>
      <w:r w:rsidRPr="0044370F">
        <w:t>2.2.1</w:t>
      </w:r>
      <w:r w:rsidRPr="0044370F">
        <w:tab/>
        <w:t>Business Administration</w:t>
      </w:r>
      <w:bookmarkEnd w:id="37"/>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field includes management and organization studies on multinational enterprises, corporate strategy, and corporate governance in a global context. Business scholars increasingly recognize that firms are not purely economic actors but can assume </w:t>
      </w:r>
      <w:r w:rsidRPr="0044370F">
        <w:rPr>
          <w:rFonts w:ascii="Times New Roman" w:eastAsia="Times New Roman" w:hAnsi="Times New Roman" w:cs="Times New Roman"/>
          <w:i/>
          <w:iCs/>
          <w:sz w:val="24"/>
          <w:szCs w:val="24"/>
        </w:rPr>
        <w:t>“social and political responsibilities that go beyond legal requirements</w:t>
      </w:r>
      <w:r w:rsidRPr="0044370F">
        <w:rPr>
          <w:rStyle w:val="a8"/>
          <w:rFonts w:ascii="Times New Roman" w:eastAsia="Times New Roman" w:hAnsi="Times New Roman" w:cs="Times New Roman"/>
          <w:i/>
          <w:iCs/>
          <w:sz w:val="24"/>
          <w:szCs w:val="24"/>
        </w:rPr>
        <w:footnoteReference w:id="53"/>
      </w:r>
      <w:r w:rsidRPr="0044370F">
        <w:rPr>
          <w:rFonts w:ascii="Times New Roman" w:eastAsia="Times New Roman" w:hAnsi="Times New Roman" w:cs="Times New Roman"/>
          <w:i/>
          <w:iCs/>
          <w:sz w:val="24"/>
          <w:szCs w:val="24"/>
        </w:rPr>
        <w:t>”,</w:t>
      </w:r>
      <w:r w:rsidRPr="0044370F">
        <w:rPr>
          <w:rFonts w:ascii="Times New Roman" w:eastAsia="Times New Roman" w:hAnsi="Times New Roman" w:cs="Times New Roman"/>
          <w:sz w:val="24"/>
          <w:szCs w:val="24"/>
        </w:rPr>
        <w:t xml:space="preserve"> effectively filling governance voids. For example, research on </w:t>
      </w:r>
      <w:r w:rsidRPr="0044370F">
        <w:rPr>
          <w:rFonts w:ascii="Times New Roman" w:eastAsia="Times New Roman" w:hAnsi="Times New Roman" w:cs="Times New Roman"/>
          <w:sz w:val="24"/>
          <w:szCs w:val="24"/>
        </w:rPr>
        <w:lastRenderedPageBreak/>
        <w:t>political Corporate Social Responsibility (CSR) shows that companies sometimes provide public goods or self-regulate in areas where governments are absent or weak. Such studies illustrate how large corporations (especially Big Tech firms) engage in quasi-governmental roles traditionally ascribed to states. This review focuses on the evolving external role of corporations (corporate power, corporate diplomacy, global strategies) rather than internal management issues, to understand how business institutions project influence across borders.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Within the context of this dissertation, business administration provides the analytical grounding for treating technology corporations as strategic and organizational actors capable of intentionally constructing authority. This perspective is essential for explaining how corporate power is not merely accumulated, but actively designed, stabilized, and projected across borders.</w:t>
      </w:r>
    </w:p>
    <w:p w:rsidR="0060194B" w:rsidRPr="0044370F" w:rsidRDefault="0060194B" w:rsidP="006D666E">
      <w:pPr>
        <w:pStyle w:val="3"/>
        <w:rPr>
          <w:rtl/>
        </w:rPr>
      </w:pPr>
      <w:bookmarkStart w:id="38" w:name="_Toc222652718"/>
      <w:r w:rsidRPr="0044370F">
        <w:t>2.2.2</w:t>
      </w:r>
      <w:r w:rsidRPr="0044370F">
        <w:tab/>
        <w:t>International Political Economy</w:t>
      </w:r>
      <w:bookmarkEnd w:id="38"/>
    </w:p>
    <w:p w:rsidR="0060194B" w:rsidRPr="0044370F" w:rsidRDefault="0060194B" w:rsidP="0060194B">
      <w:pPr>
        <w:pStyle w:val="NormalWeb"/>
        <w:spacing w:line="360" w:lineRule="auto"/>
        <w:jc w:val="both"/>
      </w:pPr>
      <w:r w:rsidRPr="0044370F">
        <w:t xml:space="preserve">International political economy examines the interplay between economics and politics on a global scale, offering insight into how market forces and corporate power affect state sovereignty and vice versa. </w:t>
      </w:r>
    </w:p>
    <w:p w:rsidR="0060194B" w:rsidRPr="0044370F" w:rsidRDefault="0060194B" w:rsidP="0060194B">
      <w:pPr>
        <w:pStyle w:val="NormalWeb"/>
        <w:spacing w:line="360" w:lineRule="auto"/>
        <w:jc w:val="both"/>
      </w:pPr>
      <w:r w:rsidRPr="0044370F">
        <w:t>This study draws specifically on critical international political economy (IPE), following scholars such as Susan Strange, Gill, and Gramsci, in order to analyze structural power, market-state relations, and the political consequences of global capitalism.</w:t>
      </w:r>
    </w:p>
    <w:p w:rsidR="0060194B" w:rsidRPr="0044370F" w:rsidRDefault="0060194B" w:rsidP="003119A6">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Classic works of political economy have long observed the diffusion of power from states to markets and firms. For instance, Susan Strange</w:t>
      </w:r>
      <w:r w:rsidRPr="0044370F">
        <w:rPr>
          <w:rStyle w:val="a8"/>
          <w:rFonts w:ascii="Times New Roman" w:eastAsia="Times New Roman" w:hAnsi="Times New Roman" w:cs="Times New Roman"/>
          <w:sz w:val="24"/>
          <w:szCs w:val="24"/>
        </w:rPr>
        <w:footnoteReference w:id="54"/>
      </w:r>
      <w:r w:rsidRPr="0044370F">
        <w:rPr>
          <w:rFonts w:ascii="Times New Roman" w:eastAsia="Times New Roman" w:hAnsi="Times New Roman" w:cs="Times New Roman"/>
          <w:sz w:val="24"/>
          <w:szCs w:val="24"/>
        </w:rPr>
        <w:t xml:space="preserve"> argued that </w:t>
      </w:r>
      <w:r w:rsidRPr="0044370F">
        <w:rPr>
          <w:rFonts w:ascii="Times New Roman" w:eastAsia="Times New Roman" w:hAnsi="Times New Roman" w:cs="Times New Roman"/>
          <w:i/>
          <w:iCs/>
          <w:sz w:val="24"/>
          <w:szCs w:val="24"/>
        </w:rPr>
        <w:t>“the shift from state authority to market authority”</w:t>
      </w:r>
      <w:r w:rsidRPr="0044370F">
        <w:rPr>
          <w:rFonts w:ascii="Times New Roman" w:eastAsia="Times New Roman" w:hAnsi="Times New Roman" w:cs="Times New Roman"/>
          <w:sz w:val="24"/>
          <w:szCs w:val="24"/>
        </w:rPr>
        <w:t xml:space="preserve"> has altered the traditional dominance of nation-states. Political economy sources help explain the structural power of tech giants in the world economy. For example, how control over data and digital infrastructure translates into leverage over countries and communities</w:t>
      </w:r>
      <w:r w:rsidRPr="0044370F">
        <w:rPr>
          <w:rStyle w:val="a8"/>
          <w:rFonts w:ascii="Times New Roman" w:eastAsia="Times New Roman" w:hAnsi="Times New Roman" w:cs="Times New Roman"/>
          <w:sz w:val="24"/>
          <w:szCs w:val="24"/>
        </w:rPr>
        <w:footnoteReference w:id="55"/>
      </w:r>
      <w:r w:rsidRPr="0044370F">
        <w:rPr>
          <w:rFonts w:ascii="Times New Roman" w:eastAsia="Times New Roman" w:hAnsi="Times New Roman" w:cs="Times New Roman"/>
          <w:sz w:val="24"/>
          <w:szCs w:val="24"/>
        </w:rPr>
        <w:t xml:space="preserve">. Topics include the influence of multinational corporations on public policy, the concept of private </w:t>
      </w:r>
      <w:r w:rsidRPr="0044370F">
        <w:rPr>
          <w:rFonts w:ascii="Times New Roman" w:eastAsia="Times New Roman" w:hAnsi="Times New Roman" w:cs="Times New Roman"/>
          <w:sz w:val="24"/>
          <w:szCs w:val="24"/>
        </w:rPr>
        <w:lastRenderedPageBreak/>
        <w:t>authority in global governance, and cases of corporate influence over international rules or norms</w:t>
      </w:r>
      <w:r w:rsidRPr="0044370F">
        <w:rPr>
          <w:rStyle w:val="a8"/>
          <w:rFonts w:ascii="Times New Roman" w:eastAsia="Times New Roman" w:hAnsi="Times New Roman" w:cs="Times New Roman"/>
          <w:sz w:val="24"/>
          <w:szCs w:val="24"/>
        </w:rPr>
        <w:footnoteReference w:id="56"/>
      </w:r>
      <w:r w:rsidRPr="0044370F">
        <w:rPr>
          <w:rFonts w:ascii="Times New Roman" w:eastAsia="Times New Roman" w:hAnsi="Times New Roman" w:cs="Times New Roman"/>
          <w:sz w:val="24"/>
          <w:szCs w:val="24"/>
        </w:rPr>
        <w: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International political economy thus situates corporate quasi-sovereignty within broader structural transformations of global capitalism, highlighting why certain firms acquire system-shaping power in moments of regulatory fragmentation and weakened state coordination.</w:t>
      </w:r>
    </w:p>
    <w:p w:rsidR="0060194B" w:rsidRPr="0044370F" w:rsidRDefault="0060194B" w:rsidP="006D666E">
      <w:pPr>
        <w:pStyle w:val="3"/>
        <w:rPr>
          <w:rtl/>
        </w:rPr>
      </w:pPr>
      <w:bookmarkStart w:id="39" w:name="_Toc222652719"/>
      <w:r w:rsidRPr="0044370F">
        <w:t>2.2.3</w:t>
      </w:r>
      <w:r w:rsidRPr="0044370F">
        <w:tab/>
        <w:t>International Relations</w:t>
      </w:r>
      <w:bookmarkEnd w:id="39"/>
    </w:p>
    <w:p w:rsidR="0060194B" w:rsidRPr="0044370F" w:rsidRDefault="0060194B" w:rsidP="0060194B">
      <w:pPr>
        <w:spacing w:before="100" w:beforeAutospacing="1" w:after="100" w:afterAutospacing="1" w:line="360" w:lineRule="auto"/>
        <w:jc w:val="both"/>
        <w:rPr>
          <w:rFonts w:ascii="Times New Roman" w:eastAsia="Times New Roman" w:hAnsi="Times New Roman" w:cstheme="majorBidi"/>
          <w:sz w:val="24"/>
          <w:szCs w:val="24"/>
        </w:rPr>
      </w:pPr>
      <w:r w:rsidRPr="0044370F">
        <w:rPr>
          <w:rFonts w:ascii="Times New Roman" w:eastAsia="Times New Roman" w:hAnsi="Times New Roman" w:cs="Times New Roman"/>
          <w:sz w:val="24"/>
          <w:szCs w:val="24"/>
        </w:rPr>
        <w:t xml:space="preserve">The IR perspective concerns sovereignty, legitimacy, and authority in global politics. Traditionally, IR theory treated states as the primary actors, but it has increasingly had to account for non-state actors, such as corporations. IR scholarship relevant to this review examines how tech firms participate in international rule-making (e.g., internet governance forums) and how concepts like Westphalian </w:t>
      </w:r>
      <w:r w:rsidRPr="0044370F">
        <w:rPr>
          <w:rFonts w:asciiTheme="majorBidi" w:eastAsia="Times New Roman" w:hAnsiTheme="majorBidi" w:cstheme="majorBidi"/>
          <w:sz w:val="24"/>
          <w:szCs w:val="24"/>
        </w:rPr>
        <w:t xml:space="preserve">sovereignty adapt in cyberspace. Key debates include whether corporations can be considered strategic actors in international security or diplomacy, and how to conceptualize their legitimacy and accountability on the world stage. </w:t>
      </w:r>
      <w:r w:rsidRPr="0044370F">
        <w:rPr>
          <w:rFonts w:asciiTheme="majorBidi" w:hAnsiTheme="majorBidi" w:cstheme="majorBidi"/>
          <w:sz w:val="24"/>
          <w:szCs w:val="24"/>
        </w:rPr>
        <w:t xml:space="preserve">Recent IR research has begun to grapple with Big Tech’s role in geopolitics; as </w:t>
      </w:r>
      <w:proofErr w:type="spellStart"/>
      <w:r w:rsidRPr="0044370F">
        <w:rPr>
          <w:rFonts w:asciiTheme="majorBidi" w:hAnsiTheme="majorBidi" w:cstheme="majorBidi"/>
          <w:sz w:val="24"/>
          <w:szCs w:val="24"/>
        </w:rPr>
        <w:t>Monsees</w:t>
      </w:r>
      <w:proofErr w:type="spellEnd"/>
      <w:r w:rsidRPr="0044370F">
        <w:rPr>
          <w:rStyle w:val="a8"/>
          <w:rFonts w:asciiTheme="majorBidi" w:hAnsiTheme="majorBidi" w:cstheme="majorBidi"/>
          <w:sz w:val="24"/>
          <w:szCs w:val="24"/>
        </w:rPr>
        <w:footnoteReference w:id="57"/>
      </w:r>
      <w:r w:rsidRPr="0044370F">
        <w:rPr>
          <w:rFonts w:asciiTheme="majorBidi" w:hAnsiTheme="majorBidi" w:cstheme="majorBidi"/>
          <w:sz w:val="24"/>
          <w:szCs w:val="24"/>
        </w:rPr>
        <w:t xml:space="preserve"> note, scholars are now reflecting on </w:t>
      </w:r>
      <w:r w:rsidRPr="0044370F">
        <w:rPr>
          <w:rStyle w:val="a5"/>
          <w:rFonts w:asciiTheme="majorBidi" w:hAnsiTheme="majorBidi"/>
          <w:sz w:val="24"/>
          <w:szCs w:val="24"/>
        </w:rPr>
        <w:t>“the relationships between Big Tech, capitalism, and institutionalized politics”</w:t>
      </w:r>
      <w:r w:rsidRPr="0044370F">
        <w:rPr>
          <w:rFonts w:asciiTheme="majorBidi" w:eastAsia="Times New Roman" w:hAnsiTheme="majorBidi" w:cstheme="majorBidi"/>
          <w:sz w:val="24"/>
          <w:szCs w:val="24"/>
        </w:rPr>
        <w:t xml:space="preserve"> This perspective connects the study to core IR concepts of power and sovereignty, evaluating how far firms like Google or Meta can be seen as </w:t>
      </w:r>
      <w:r w:rsidR="00960581" w:rsidRPr="0044370F">
        <w:rPr>
          <w:rFonts w:asciiTheme="majorBidi" w:eastAsia="Times New Roman" w:hAnsiTheme="majorBidi" w:cstheme="majorBidi"/>
          <w:sz w:val="24"/>
          <w:szCs w:val="24"/>
        </w:rPr>
        <w:t>quasi-sovereign authority</w:t>
      </w:r>
      <w:r w:rsidRPr="0044370F">
        <w:rPr>
          <w:rFonts w:asciiTheme="majorBidi" w:eastAsia="Times New Roman" w:hAnsiTheme="majorBidi" w:cstheme="majorBidi"/>
          <w:sz w:val="24"/>
          <w:szCs w:val="24"/>
        </w:rPr>
        <w:t xml:space="preserve"> and what gaps remain in IR theory’s treatment of private power.</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Despite these advances, IR scholarship has yet to provide a systematic framework capable of explaining how private actors can exercise sovereignty-like authority across multiple domains simultaneously, a gap this dissertation seeks to address.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this literature raises crucial questions about sovereignty and corporate power, it remains largely descriptive or case-specific, underscoring the need for a more systematic analytical framework, developed in Chapter 3.</w:t>
      </w:r>
    </w:p>
    <w:p w:rsidR="0060194B" w:rsidRPr="0044370F" w:rsidRDefault="0060194B" w:rsidP="006D666E">
      <w:pPr>
        <w:pStyle w:val="3"/>
        <w:rPr>
          <w:rtl/>
        </w:rPr>
      </w:pPr>
      <w:bookmarkStart w:id="40" w:name="_Toc222652720"/>
      <w:r w:rsidRPr="0044370F">
        <w:lastRenderedPageBreak/>
        <w:t>2.2.4</w:t>
      </w:r>
      <w:r w:rsidRPr="0044370F">
        <w:tab/>
        <w:t>Technology Studies</w:t>
      </w:r>
      <w:bookmarkEnd w:id="40"/>
    </w:p>
    <w:p w:rsidR="0060194B" w:rsidRPr="0044370F" w:rsidRDefault="0060194B" w:rsidP="0060194B">
      <w:pPr>
        <w:spacing w:before="100" w:beforeAutospacing="1" w:after="100" w:afterAutospacing="1" w:line="360" w:lineRule="auto"/>
        <w:jc w:val="both"/>
        <w:rPr>
          <w:rFonts w:ascii="Times New Roman" w:hAnsi="Times New Roman" w:cstheme="majorBidi"/>
          <w:sz w:val="24"/>
          <w:szCs w:val="24"/>
        </w:rPr>
      </w:pPr>
      <w:r w:rsidRPr="0044370F">
        <w:rPr>
          <w:rFonts w:ascii="Times New Roman" w:eastAsia="Times New Roman" w:hAnsi="Times New Roman" w:cs="Times New Roman"/>
          <w:sz w:val="24"/>
          <w:szCs w:val="24"/>
        </w:rPr>
        <w:t xml:space="preserve">This perspective (drawing on information society research, media studies, and Science and Technology Studies (STS)) elucidates the technological and cultural aspects of Big Tech’s power. Scholars here focus on platform governance, data sovereignty, surveillance capitalism, and the societal impacts of algorithms and networks. This lens reveals how the technical architecture and design decisions of digital platforms (from algorithms to content moderation policies) give their owners a form of governing power over users. Ethical and normative questions are prominent, including debates over digital rights and the accountability of tech firms. The technology studies perspective complements the others by showing </w:t>
      </w:r>
      <w:r w:rsidRPr="0044370F">
        <w:rPr>
          <w:rFonts w:ascii="Times New Roman" w:eastAsia="Times New Roman" w:hAnsi="Times New Roman" w:cs="Times New Roman"/>
          <w:i/>
          <w:iCs/>
          <w:sz w:val="24"/>
          <w:szCs w:val="24"/>
        </w:rPr>
        <w:t>how</w:t>
      </w:r>
      <w:r w:rsidRPr="0044370F">
        <w:rPr>
          <w:rFonts w:ascii="Times New Roman" w:eastAsia="Times New Roman" w:hAnsi="Times New Roman" w:cs="Times New Roman"/>
          <w:sz w:val="24"/>
          <w:szCs w:val="24"/>
        </w:rPr>
        <w:t xml:space="preserve"> tech corporations exercise power through technology itself, for instance, by “code is law” governance, </w:t>
      </w:r>
      <w:r w:rsidRPr="0044370F">
        <w:rPr>
          <w:rFonts w:asciiTheme="majorBidi" w:eastAsia="Times New Roman" w:hAnsiTheme="majorBidi" w:cstheme="majorBidi"/>
          <w:sz w:val="24"/>
          <w:szCs w:val="24"/>
        </w:rPr>
        <w:t xml:space="preserve">not just how much power they have. </w:t>
      </w:r>
      <w:r w:rsidRPr="0044370F">
        <w:rPr>
          <w:rFonts w:asciiTheme="majorBidi" w:hAnsiTheme="majorBidi" w:cstheme="majorBidi"/>
          <w:sz w:val="24"/>
          <w:szCs w:val="24"/>
        </w:rPr>
        <w:t xml:space="preserve">These companies have been termed </w:t>
      </w:r>
      <w:r w:rsidRPr="0044370F">
        <w:rPr>
          <w:rStyle w:val="a5"/>
          <w:rFonts w:asciiTheme="majorBidi" w:hAnsiTheme="majorBidi"/>
          <w:sz w:val="24"/>
          <w:szCs w:val="24"/>
        </w:rPr>
        <w:t>“quasi-sovereign”</w:t>
      </w:r>
      <w:r w:rsidRPr="0044370F">
        <w:rPr>
          <w:rFonts w:asciiTheme="majorBidi" w:hAnsiTheme="majorBidi" w:cstheme="majorBidi"/>
          <w:sz w:val="24"/>
          <w:szCs w:val="24"/>
        </w:rPr>
        <w:t xml:space="preserve"> because they exercise power akin to governments in the digital realm</w:t>
      </w:r>
      <w:r w:rsidRPr="0044370F">
        <w:rPr>
          <w:rStyle w:val="a8"/>
          <w:rFonts w:asciiTheme="majorBidi" w:hAnsiTheme="majorBidi" w:cstheme="majorBidi"/>
          <w:sz w:val="24"/>
          <w:szCs w:val="24"/>
        </w:rPr>
        <w:footnoteReference w:id="58"/>
      </w:r>
      <w:r w:rsidRPr="0044370F">
        <w:rPr>
          <w:rFonts w:asciiTheme="majorBidi" w:hAnsiTheme="majorBidi" w:cstheme="majorBidi"/>
          <w:sz w:val="24"/>
          <w:szCs w:val="24"/>
        </w:rPr>
        <w: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perspective is particularly important for understanding infrastructural power as a core dimension of corporate quasi-sovereignty, a concept that will be integrated into the analytical framework developed in Chapter 3.</w:t>
      </w:r>
    </w:p>
    <w:p w:rsidR="0060194B" w:rsidRPr="0044370F" w:rsidRDefault="0060194B" w:rsidP="006D666E">
      <w:pPr>
        <w:pStyle w:val="3"/>
      </w:pPr>
      <w:bookmarkStart w:id="41" w:name="_Toc222652721"/>
      <w:r w:rsidRPr="0044370F">
        <w:rPr>
          <w:rStyle w:val="a4"/>
          <w:rFonts w:eastAsiaTheme="majorEastAsia"/>
          <w:b/>
          <w:bCs/>
        </w:rPr>
        <w:t xml:space="preserve">2.2.5 </w:t>
      </w:r>
      <w:r w:rsidRPr="0044370F">
        <w:rPr>
          <w:rStyle w:val="a4"/>
          <w:rFonts w:eastAsiaTheme="majorEastAsia"/>
          <w:b/>
          <w:bCs/>
          <w:szCs w:val="28"/>
          <w:rtl/>
        </w:rPr>
        <w:tab/>
      </w:r>
      <w:r w:rsidRPr="0044370F">
        <w:rPr>
          <w:rStyle w:val="a4"/>
          <w:rFonts w:eastAsiaTheme="majorEastAsia"/>
          <w:b/>
          <w:bCs/>
        </w:rPr>
        <w:t>Scope Delimitations and Analytical Exclusions</w:t>
      </w:r>
      <w:bookmarkEnd w:id="41"/>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literature review adopts a deliberately bounded and interdisciplinary scope. While it draws on fields such as international relations, political economy, management theory, and science and technology studies, it does not seek to provide a comprehensive survey of all adjacent bodies of literature.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Notably, the review excludes detailed engagement with national-level legal regimes governing corporate accountability, such as antitrust law, competition regulation, or specific intellectual property frameworks.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Although these bodies of law are highly relevant to the governance of digital firms, they fall outside the conceptual focus of this study, which seeks to theorize sovereignty and geopolitical agency rather than legal compliance.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Similarly, the review refrains from engaging in normative philosophical debates about corporate legitimacy from the perspectives of ethics, distributive justice, or human rights.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such concerns are central to broader discussions of corporate accountability, the objective of this dissertation is explanatory rather than evaluative. It aims to analyze how quasi-sovereignty is constructed, operationalized, and maintained by multinational technology corporations, not to assess its normative desirability.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exclusions are intended to preserve conceptual clarity and to sustain a tightly focused analytical framework capable of informing the empirical and comparative dimensions of the research. The scope and boundaries defined here are therefore not merely practical constraints, but deliberate analytical choices that reflect the core objective of the dissertation.</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By concentrating on sovereignty, authority, and geopolitical agency, rather than on national legal regimes or normative ethical evaluation, the literature review establishes a coherent foundation for the hybrid analytical framework developed in Chapter 3.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 this sense, the boundaries of the review are integral to the explanatory ambition of the research rather than limitations upon it.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delimitations ensure that the analysis remains focused on authority and sovereignty as explanatory concepts, rather than diffusing attention across adjacent but analytically distinct regulatory or normative debates.</w:t>
      </w:r>
    </w:p>
    <w:p w:rsidR="0060194B" w:rsidRPr="0044370F" w:rsidRDefault="0060194B" w:rsidP="006D666E">
      <w:pPr>
        <w:pStyle w:val="2"/>
        <w:rPr>
          <w:rFonts w:eastAsia="Times New Roman"/>
        </w:rPr>
      </w:pPr>
      <w:bookmarkStart w:id="42" w:name="_Toc222652722"/>
      <w:r w:rsidRPr="0044370F">
        <w:rPr>
          <w:rFonts w:eastAsia="Times New Roman"/>
        </w:rPr>
        <w:t>2.3</w:t>
      </w:r>
      <w:r w:rsidRPr="0044370F">
        <w:rPr>
          <w:rFonts w:eastAsia="Times New Roman"/>
        </w:rPr>
        <w:tab/>
        <w:t>Structure of the chapter</w:t>
      </w:r>
      <w:bookmarkEnd w:id="42"/>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Following this introduction (Section 2.1), the chapter is organized into four substantive subchapters (2.4 through 2.7), each corresponding to one of the above disciplinary </w:t>
      </w:r>
      <w:r w:rsidRPr="0044370F">
        <w:rPr>
          <w:rFonts w:asciiTheme="majorBidi" w:eastAsia="Times New Roman" w:hAnsiTheme="majorBidi" w:cstheme="majorBidi"/>
          <w:sz w:val="24"/>
          <w:szCs w:val="24"/>
        </w:rPr>
        <w:t xml:space="preserve">perspectives. Each subchapter reviews the literature in that domain to build the argument step by step. </w:t>
      </w:r>
      <w:r w:rsidRPr="0044370F">
        <w:rPr>
          <w:rFonts w:asciiTheme="majorBidi" w:hAnsiTheme="majorBidi" w:cstheme="majorBidi"/>
          <w:sz w:val="24"/>
          <w:szCs w:val="24"/>
        </w:rPr>
        <w:t>Finally, Section 2.8 synthesizes insights across the disciplines and identifies remaining gaps</w:t>
      </w:r>
      <w:r w:rsidRPr="0044370F">
        <w:rPr>
          <w:rFonts w:asciiTheme="majorBidi" w:eastAsia="Times New Roman" w:hAnsiTheme="majorBidi" w:cstheme="majorBidi"/>
          <w:sz w:val="24"/>
          <w:szCs w:val="24"/>
        </w:rPr>
        <w:t xml:space="preserve">. This structure </w:t>
      </w:r>
      <w:r w:rsidRPr="0044370F">
        <w:rPr>
          <w:rFonts w:asciiTheme="majorBidi" w:eastAsia="Times New Roman" w:hAnsiTheme="majorBidi" w:cstheme="majorBidi"/>
          <w:sz w:val="24"/>
          <w:szCs w:val="24"/>
        </w:rPr>
        <w:lastRenderedPageBreak/>
        <w:t>ensures that the narrative is grounded in a well-curated body of scholarship and that all facets of the research problem are examined. The stage is now set to explore each perspective in depth, before constructing a</w:t>
      </w:r>
      <w:r w:rsidRPr="0044370F">
        <w:rPr>
          <w:rFonts w:ascii="Times New Roman" w:eastAsia="Times New Roman" w:hAnsi="Times New Roman" w:cs="Times New Roman"/>
          <w:sz w:val="24"/>
          <w:szCs w:val="24"/>
        </w:rPr>
        <w:t xml:space="preserve"> theoretical framework that can rigorously capture the role of “tech empires” in the contemporary world system.</w:t>
      </w:r>
    </w:p>
    <w:p w:rsidR="0060194B" w:rsidRPr="0044370F" w:rsidRDefault="0060194B" w:rsidP="006D666E">
      <w:pPr>
        <w:pStyle w:val="2"/>
        <w:rPr>
          <w:rFonts w:eastAsia="Times New Roman"/>
        </w:rPr>
      </w:pPr>
      <w:bookmarkStart w:id="43" w:name="_Toc222652723"/>
      <w:r w:rsidRPr="0044370F">
        <w:rPr>
          <w:rFonts w:eastAsia="Times New Roman"/>
        </w:rPr>
        <w:t>2.4 From Corporation to Geopolitical Actor</w:t>
      </w:r>
      <w:bookmarkEnd w:id="43"/>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Business administration scholarship offers powerful tools for understanding how firms expand beyond economic roles into social and political domains. However, it remains analytically limited in explaining when such expansion crosses from responsibility or influence into sovereignty-like authority. This section reviews the business literature not to reproduce its insights, but to demonstrate where its conceptual boundaries lie.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i/>
          <w:iCs/>
          <w:sz w:val="24"/>
          <w:szCs w:val="24"/>
        </w:rPr>
        <w:t>The Evolving Role of the Corporation: Economic, Social, and Political</w:t>
      </w:r>
    </w:p>
    <w:p w:rsidR="00B81AE1" w:rsidRPr="0044370F" w:rsidRDefault="00B81AE1"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Classical corporate theory treated the firm as a private economic actor oriented primarily toward profit maximization, with political authority reserved for states. Over the twentieth century, CSR and stakeholder-oriented scholarship recast firms as socially embedded actors whose legitimacy depends on broader constituencies. </w:t>
      </w:r>
    </w:p>
    <w:p w:rsidR="00B81AE1" w:rsidRPr="0044370F" w:rsidRDefault="00B81AE1"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In the contemporary globalized digital economy, the boundary between market activity and governance has further eroded: certain corporations increasingly set standards, regulate behavior within their ecosystems, and fill governance gaps created by fragmented state capacity. </w:t>
      </w:r>
    </w:p>
    <w:p w:rsidR="00B81AE1" w:rsidRPr="0044370F" w:rsidRDefault="00B81AE1"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dissertation draws on this evolution not to claim that corporations become sovereign in a formal sense, but to show how some firms develop governance capacity that can approximate sovereignty-like authority within specific domains.</w:t>
      </w:r>
    </w:p>
    <w:p w:rsidR="0060194B" w:rsidRPr="0044370F" w:rsidRDefault="0060194B" w:rsidP="00015682">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academic literature highlights this shift through several concepts. North American scholars have tended to focus on </w:t>
      </w:r>
      <w:r w:rsidRPr="0044370F">
        <w:rPr>
          <w:rFonts w:ascii="Times New Roman" w:eastAsia="Times New Roman" w:hAnsi="Times New Roman" w:cs="Times New Roman"/>
          <w:b/>
          <w:bCs/>
          <w:sz w:val="24"/>
          <w:szCs w:val="24"/>
        </w:rPr>
        <w:t>corporate political activity</w:t>
      </w:r>
      <w:r w:rsidRPr="0044370F">
        <w:rPr>
          <w:rFonts w:ascii="Times New Roman" w:eastAsia="Times New Roman" w:hAnsi="Times New Roman" w:cs="Times New Roman"/>
          <w:sz w:val="24"/>
          <w:szCs w:val="24"/>
        </w:rPr>
        <w:t xml:space="preserve">, how firms influence government “from the outside” via lobbying, campaign finance, and policy advocacy. In contrast, European scholars developed the notion of </w:t>
      </w:r>
      <w:r w:rsidRPr="0044370F">
        <w:rPr>
          <w:rFonts w:ascii="Times New Roman" w:eastAsia="Times New Roman" w:hAnsi="Times New Roman" w:cs="Times New Roman"/>
          <w:b/>
          <w:bCs/>
          <w:sz w:val="24"/>
          <w:szCs w:val="24"/>
        </w:rPr>
        <w:t>political CSR</w:t>
      </w:r>
      <w:r w:rsidRPr="0044370F">
        <w:rPr>
          <w:rFonts w:ascii="Times New Roman" w:eastAsia="Times New Roman" w:hAnsi="Times New Roman" w:cs="Times New Roman"/>
          <w:sz w:val="24"/>
          <w:szCs w:val="24"/>
        </w:rPr>
        <w:t xml:space="preserve">, emphasizing firms’ direct assumption of governance roles by providing public goods or co-regulating alongside states. In effect, companies are </w:t>
      </w:r>
      <w:r w:rsidRPr="0044370F">
        <w:rPr>
          <w:rFonts w:ascii="Times New Roman" w:eastAsia="Times New Roman" w:hAnsi="Times New Roman" w:cs="Times New Roman"/>
          <w:i/>
          <w:iCs/>
          <w:sz w:val="24"/>
          <w:szCs w:val="24"/>
        </w:rPr>
        <w:t>co-governing</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sz w:val="24"/>
          <w:szCs w:val="24"/>
        </w:rPr>
        <w:lastRenderedPageBreak/>
        <w:t xml:space="preserve">in areas such as health, education, and human rights, especially where state capacity is weak. This distinction reflects differing perspectives: as </w:t>
      </w:r>
      <w:proofErr w:type="spellStart"/>
      <w:r w:rsidRPr="0044370F">
        <w:rPr>
          <w:rFonts w:ascii="Times New Roman" w:eastAsia="Times New Roman" w:hAnsi="Times New Roman" w:cs="Times New Roman"/>
          <w:sz w:val="24"/>
          <w:szCs w:val="24"/>
        </w:rPr>
        <w:t>Rasche</w:t>
      </w:r>
      <w:proofErr w:type="spellEnd"/>
      <w:r w:rsidRPr="0044370F">
        <w:rPr>
          <w:rStyle w:val="a8"/>
          <w:rFonts w:ascii="Times New Roman" w:eastAsia="Times New Roman" w:hAnsi="Times New Roman" w:cs="Times New Roman"/>
          <w:sz w:val="24"/>
          <w:szCs w:val="24"/>
        </w:rPr>
        <w:footnoteReference w:id="59"/>
      </w:r>
      <w:r w:rsidRPr="0044370F">
        <w:rPr>
          <w:rFonts w:ascii="Times New Roman" w:eastAsia="Times New Roman" w:hAnsi="Times New Roman" w:cs="Times New Roman"/>
          <w:sz w:val="24"/>
          <w:szCs w:val="24"/>
        </w:rPr>
        <w:t xml:space="preserve"> notes, North American views see the corporation as a political actor mainly in an advocacy sense, whereas European views more readily see the corporation as an actor </w:t>
      </w:r>
      <w:r w:rsidRPr="0044370F">
        <w:rPr>
          <w:rFonts w:ascii="Times New Roman" w:eastAsia="Times New Roman" w:hAnsi="Times New Roman" w:cs="Times New Roman"/>
          <w:b/>
          <w:bCs/>
          <w:sz w:val="24"/>
          <w:szCs w:val="24"/>
        </w:rPr>
        <w:t>in</w:t>
      </w:r>
      <w:r w:rsidRPr="0044370F">
        <w:rPr>
          <w:rFonts w:ascii="Times New Roman" w:eastAsia="Times New Roman" w:hAnsi="Times New Roman" w:cs="Times New Roman"/>
          <w:sz w:val="24"/>
          <w:szCs w:val="24"/>
        </w:rPr>
        <w:t xml:space="preserve"> governance itself. The concept of </w:t>
      </w:r>
      <w:r w:rsidRPr="0044370F">
        <w:rPr>
          <w:rFonts w:ascii="Times New Roman" w:eastAsia="Times New Roman" w:hAnsi="Times New Roman" w:cs="Times New Roman"/>
          <w:b/>
          <w:bCs/>
          <w:sz w:val="24"/>
          <w:szCs w:val="24"/>
        </w:rPr>
        <w:t>corporate citizenship</w:t>
      </w:r>
      <w:r w:rsidRPr="0044370F">
        <w:rPr>
          <w:rFonts w:ascii="Times New Roman" w:eastAsia="Times New Roman" w:hAnsi="Times New Roman" w:cs="Times New Roman"/>
          <w:sz w:val="24"/>
          <w:szCs w:val="24"/>
        </w:rPr>
        <w:t xml:space="preserve"> further illustrates the political role, positing that firms hold rights and obligations in society akin to citizens</w:t>
      </w:r>
      <w:r w:rsidRPr="0044370F">
        <w:rPr>
          <w:rStyle w:val="a8"/>
          <w:rFonts w:ascii="Times New Roman" w:eastAsia="Times New Roman" w:hAnsi="Times New Roman" w:cs="Times New Roman"/>
          <w:sz w:val="24"/>
          <w:szCs w:val="24"/>
        </w:rPr>
        <w:footnoteReference w:id="60"/>
      </w:r>
      <w:r w:rsidRPr="0044370F">
        <w:rPr>
          <w:rFonts w:ascii="Times New Roman" w:eastAsia="Times New Roman" w:hAnsi="Times New Roman" w:cs="Times New Roman"/>
          <w:sz w:val="24"/>
          <w:szCs w:val="24"/>
        </w:rPr>
        <w:t>.</w:t>
      </w:r>
    </w:p>
    <w:p w:rsidR="00015682" w:rsidRPr="0044370F" w:rsidRDefault="0060194B" w:rsidP="00015682">
      <w:pPr>
        <w:pStyle w:val="NormalWeb"/>
        <w:spacing w:line="360" w:lineRule="auto"/>
        <w:jc w:val="both"/>
      </w:pPr>
      <w:r w:rsidRPr="0044370F">
        <w:t xml:space="preserve">Overall, the business administration perspective reveals an evolution from a purely economic view of the firm to one recognizing corporate actors as integral parts of global governance. Corporate power is no longer exercised solely through market transactions; it also operates through quasi-political means. </w:t>
      </w:r>
      <w:r w:rsidR="00015682" w:rsidRPr="0044370F">
        <w:t>Large technology companies today not only compete in markets but also set rules and norms (for example, content policies or platform regulations) that shape user behavior at scale.</w:t>
      </w:r>
    </w:p>
    <w:p w:rsidR="00015682" w:rsidRPr="0044370F" w:rsidRDefault="0060194B" w:rsidP="00015682">
      <w:pPr>
        <w:pStyle w:val="NormalWeb"/>
        <w:spacing w:line="360" w:lineRule="auto"/>
        <w:jc w:val="both"/>
      </w:pPr>
      <w:r w:rsidRPr="0044370F">
        <w:t xml:space="preserve">By engaging in self-regulation and public policy arenas, these firms have effectively become </w:t>
      </w:r>
      <w:r w:rsidRPr="0044370F">
        <w:rPr>
          <w:i/>
          <w:iCs/>
        </w:rPr>
        <w:t>geopolitical actors</w:t>
      </w:r>
      <w:r w:rsidRPr="0044370F">
        <w:t xml:space="preserve">. </w:t>
      </w:r>
      <w:r w:rsidR="00015682" w:rsidRPr="0044370F">
        <w:t>The analytical challenge is to develop conceptual frameworks capable of distinguishing corporate influence from sovereignty-like authority while preserving accountability as a central concern.</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this literature convincingly documents the expansion of corporate roles from economic to social and political domains, it often treats such transformations as normative adaptations rather than as shifts in authority with sovereignty-like implications. As a result, core questions of power, who governs, through what mechanisms, and with what consequences, remain only partially addressed.</w:t>
      </w:r>
    </w:p>
    <w:p w:rsidR="004E4C13" w:rsidRPr="0044370F" w:rsidRDefault="00A25B3E" w:rsidP="00015682">
      <w:pPr>
        <w:pStyle w:val="NormalWeb"/>
        <w:spacing w:line="360" w:lineRule="auto"/>
        <w:jc w:val="both"/>
      </w:pPr>
      <w:r w:rsidRPr="0044370F">
        <w:rPr>
          <w:rFonts w:hint="cs"/>
        </w:rPr>
        <w:t>B</w:t>
      </w:r>
      <w:r w:rsidR="0060194B" w:rsidRPr="0044370F">
        <w:t>usiness studies</w:t>
      </w:r>
      <w:r w:rsidRPr="0044370F">
        <w:rPr>
          <w:rFonts w:hint="cs"/>
          <w:rtl/>
        </w:rPr>
        <w:t>,</w:t>
      </w:r>
      <w:r w:rsidRPr="0044370F">
        <w:rPr>
          <w:rFonts w:hint="cs"/>
        </w:rPr>
        <w:t xml:space="preserve"> </w:t>
      </w:r>
      <w:r w:rsidRPr="0044370F">
        <w:t>therefore,</w:t>
      </w:r>
      <w:r w:rsidR="0060194B" w:rsidRPr="0044370F">
        <w:t xml:space="preserve"> explain how corporations become politically engaged and socially embedded, but they stop short of theorizing authority as a system-level phenomenon.</w:t>
      </w:r>
      <w:r w:rsidR="00015682" w:rsidRPr="0044370F">
        <w:t xml:space="preserve"> Analytically, this subsection primarily informs the dimensions of normative legitimacy and structural embeddedness, while also clarifying how strategic resources translate into governance capacity</w:t>
      </w:r>
      <w:r w:rsidR="004E4C13" w:rsidRPr="0044370F">
        <w:t xml:space="preserve">. </w:t>
      </w:r>
      <w:r w:rsidR="004E4C13" w:rsidRPr="0044370F">
        <w:lastRenderedPageBreak/>
        <w:t>At the same time, its limitations reinforce the need for an integrated model that connects resources, embeddedness, legitimacy, and infrastructure into a coherent explanation of quasi-sovereign authority.</w:t>
      </w:r>
    </w:p>
    <w:p w:rsidR="0060194B" w:rsidRPr="0044370F" w:rsidRDefault="0060194B" w:rsidP="006D666E">
      <w:pPr>
        <w:pStyle w:val="2"/>
        <w:rPr>
          <w:rFonts w:eastAsia="Times New Roman"/>
        </w:rPr>
      </w:pPr>
      <w:bookmarkStart w:id="44" w:name="_Toc222652724"/>
      <w:r w:rsidRPr="0044370F">
        <w:rPr>
          <w:rFonts w:eastAsia="Times New Roman"/>
        </w:rPr>
        <w:t>2.5 Corporate Power in a Digitized World</w:t>
      </w:r>
      <w:bookmarkEnd w:id="44"/>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i/>
          <w:iCs/>
          <w:sz w:val="24"/>
          <w:szCs w:val="24"/>
        </w:rPr>
        <w:t>Digital Capitalism, Globalization, and Shifting Structural Power</w:t>
      </w:r>
    </w:p>
    <w:p w:rsidR="0060194B" w:rsidRPr="0044370F" w:rsidRDefault="00015682" w:rsidP="00A83A86">
      <w:pPr>
        <w:pStyle w:val="NormalWeb"/>
        <w:spacing w:line="360" w:lineRule="auto"/>
        <w:jc w:val="both"/>
      </w:pPr>
      <w:r w:rsidRPr="0044370F">
        <w:t>The rise of digital capitalism has reconfigured global power relations by concentrating control over data, platforms, and infrastructural architectures in a small number of transnational firms</w:t>
      </w:r>
      <w:r w:rsidR="0060194B" w:rsidRPr="0044370F">
        <w:t xml:space="preserve">. </w:t>
      </w:r>
      <w:r w:rsidR="00A83A86" w:rsidRPr="0044370F">
        <w:t>Late 20th-century neoliberal globalization, characterized by market liberalization and transnational integration, expanded the operational autonomy of multinational corporations across borders.</w:t>
      </w:r>
      <w:r w:rsidR="0060194B" w:rsidRPr="0044370F">
        <w:t xml:space="preserve"> Political economist Susan Strange observed a broad “diffusion of power” away from the nation-state under globalization. She defined structural power as “the power to decide how things shall be done, the power to shape frameworks within which others must operate,” meaning the ability to set the rules of the game</w:t>
      </w:r>
      <w:r w:rsidR="0060194B" w:rsidRPr="0044370F">
        <w:rPr>
          <w:rStyle w:val="a8"/>
        </w:rPr>
        <w:footnoteReference w:id="61"/>
      </w:r>
      <w:r w:rsidR="0060194B" w:rsidRPr="0044370F">
        <w:t xml:space="preserve">. In today’s digital economy, global tech firms increasingly possess this structural power: by designing and controlling the architectures of communication, information, and commerce (e.g., search algorithms, social media platforms, e-commerce networks), they shape the context in which states, businesses, and societies interact. Among these perspectives, political economy </w:t>
      </w:r>
      <w:r w:rsidR="00C02E76" w:rsidRPr="0044370F">
        <w:t xml:space="preserve">offers a </w:t>
      </w:r>
      <w:r w:rsidR="00A83A86" w:rsidRPr="0044370F">
        <w:t xml:space="preserve">structural </w:t>
      </w:r>
      <w:r w:rsidR="00C02E76" w:rsidRPr="0044370F">
        <w:t xml:space="preserve">explanatory lens </w:t>
      </w:r>
      <w:r w:rsidR="0060194B" w:rsidRPr="0044370F">
        <w:t>for understanding the rise of corporate power, while complementary theories help specify how such power is differentiated, enacted, and reproduced within digital systems.</w:t>
      </w:r>
    </w:p>
    <w:p w:rsidR="00B81AE1" w:rsidRPr="0044370F" w:rsidRDefault="00B81AE1"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Building on </w:t>
      </w:r>
      <w:proofErr w:type="spellStart"/>
      <w:r w:rsidRPr="0044370F">
        <w:rPr>
          <w:rFonts w:ascii="Times New Roman" w:eastAsia="Times New Roman" w:hAnsi="Times New Roman" w:cs="Times New Roman"/>
          <w:sz w:val="24"/>
          <w:szCs w:val="24"/>
        </w:rPr>
        <w:t>Strange’s</w:t>
      </w:r>
      <w:proofErr w:type="spellEnd"/>
      <w:r w:rsidRPr="0044370F">
        <w:rPr>
          <w:rFonts w:ascii="Times New Roman" w:eastAsia="Times New Roman" w:hAnsi="Times New Roman" w:cs="Times New Roman"/>
          <w:sz w:val="24"/>
          <w:szCs w:val="24"/>
        </w:rPr>
        <w:t xml:space="preserve"> concept of structural power, complementary typologies (e.g., Barnett and Duvall) distinguish institutional, structural, and productive modalities through which actors shape rules, options, and meaning. In the digital economy, these modalities converge in platform infrastructures: corporations influence institutional rules (standards and governance forums), structure choice sets through control of critical infrastructures (cloud, app ecosystems, payment and identity layers), and exercise productive power by shaping knowledge and discourse via data-driven curation. </w:t>
      </w:r>
    </w:p>
    <w:p w:rsidR="00B81AE1" w:rsidRPr="0044370F" w:rsidRDefault="00B81AE1"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Taken together, these perspectives specify how corporate power operates through dependence and architecture rather than direct coercion, yet they still require integration with legitimacy and infrastructural governance to explain quasi-sovereignty.</w:t>
      </w:r>
    </w:p>
    <w:p w:rsidR="00015682"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It is important to note that corporate quasi-sovereignty remains partial and often symbiotic with state power. Tech corporations ultimately still rely on the legal and physical order provided by states for the enforcement of contracts, property rights, and basic security. They do not possess militaries or the ability to enter into treaties as states do; thus, their “sovereignty” is functional rather than absolute. States can and do reassert authority; for example, China has imposed data localization and content censorship on domestic tech companies, and the European Union has imposed large antitrust fines and strict privacy regulations (GDPR) on Big Tech. Such actions demonstrate that governments retain critical levers of power over corporations. </w:t>
      </w:r>
    </w:p>
    <w:p w:rsidR="00A83A86" w:rsidRPr="0044370F" w:rsidRDefault="00A83A86" w:rsidP="00A83A86">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Political economy excels at explaining the structural conditions under which corporate power emerges, including market concentration, regulatory fragmentation, and transnational capital flows. Yet it offers limited tools for analyzing how such power is operationalized through digital infrastructures, translated into concrete governance capacities, and stabilized through legitimacy mechanisms. Structural power, while necessary, is insufficient to explain sovereignty-like authority on its own.</w:t>
      </w:r>
    </w:p>
    <w:p w:rsidR="004E4C13" w:rsidRPr="0044370F" w:rsidRDefault="00015682"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Analytically, this subsection primarily informs the dimensions of strategic resource control and structural embeddedness, while clarifying the structural conditions under which infrastructural power becomes systemically consequential</w:t>
      </w:r>
      <w:r w:rsidR="004E4C13" w:rsidRPr="0044370F">
        <w:rPr>
          <w:rFonts w:ascii="Times New Roman" w:eastAsia="Times New Roman" w:hAnsi="Times New Roman" w:cs="Times New Roman"/>
          <w:sz w:val="24"/>
          <w:szCs w:val="24"/>
        </w:rPr>
        <w:t>. At the same time, its limitations reinforce the need for an integrated model that connects resources, embeddedness, legitimacy, and infrastructure into a coherent explanation of quasi-sovereign authority.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next section will build on this foundation by examining how international relations scholarship has grappled with these developments, especially in relation to empirical cases of tech firms exercising geopolitical influence.</w:t>
      </w:r>
    </w:p>
    <w:p w:rsidR="006D666E" w:rsidRPr="0044370F" w:rsidRDefault="006D666E" w:rsidP="0060194B">
      <w:pPr>
        <w:spacing w:before="100" w:beforeAutospacing="1" w:after="100" w:afterAutospacing="1" w:line="360" w:lineRule="auto"/>
        <w:jc w:val="both"/>
        <w:rPr>
          <w:rFonts w:ascii="Times New Roman" w:eastAsia="Times New Roman" w:hAnsi="Times New Roman" w:cs="Times New Roman"/>
          <w:sz w:val="24"/>
          <w:szCs w:val="24"/>
        </w:rPr>
      </w:pPr>
    </w:p>
    <w:p w:rsidR="0060194B" w:rsidRPr="0044370F" w:rsidRDefault="0060194B" w:rsidP="006D666E">
      <w:pPr>
        <w:pStyle w:val="2"/>
        <w:rPr>
          <w:rFonts w:eastAsia="Times New Roman"/>
        </w:rPr>
      </w:pPr>
      <w:bookmarkStart w:id="45" w:name="_Toc222652725"/>
      <w:r w:rsidRPr="0044370F">
        <w:rPr>
          <w:rFonts w:eastAsia="Times New Roman"/>
        </w:rPr>
        <w:lastRenderedPageBreak/>
        <w:t>2.6 International Relations and Case-Based Gaps</w:t>
      </w:r>
      <w:bookmarkEnd w:id="45"/>
    </w:p>
    <w:p w:rsidR="0060194B" w:rsidRPr="0044370F" w:rsidRDefault="0060194B" w:rsidP="006D666E">
      <w:pPr>
        <w:pStyle w:val="3"/>
      </w:pPr>
      <w:bookmarkStart w:id="46" w:name="_Toc222652726"/>
      <w:r w:rsidRPr="0044370F">
        <w:t>2.6.1</w:t>
      </w:r>
      <w:r w:rsidRPr="0044370F">
        <w:tab/>
        <w:t>IR Perspectives on Sovereignty, Legitimacy, and Tech Empires</w:t>
      </w:r>
      <w:bookmarkEnd w:id="46"/>
    </w:p>
    <w:p w:rsidR="0060194B" w:rsidRPr="0044370F" w:rsidRDefault="0060194B" w:rsidP="005F2F42">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subchapter performs a dual function: it assesses the conceptual tools IR offers for analyzing private authority and corporate power, and it evaluates how those tools have been applied (or not applied) to real-world instances.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Despite this growing body of work, international relations theory has struggled to move beyond descriptive accounts of corporate influence toward a systematic conceptualization of private actors exercising sovereignty-like authority. As a result, corporate power is often acknowledged without being fully theorized within core IR categories.</w:t>
      </w:r>
    </w:p>
    <w:p w:rsidR="0060194B" w:rsidRPr="0044370F" w:rsidRDefault="0060194B" w:rsidP="005F2F42">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From an IR perspective, a central challenge has been extending traditional sovereignty theory to account for powerful private companies. Classic Westphalian sovereignty is premised on states having supreme authority within defined territories. Yet digital platforms operate transnationally, often outside or across jurisdictions, which challenges territorial notions of sovereignty. </w:t>
      </w:r>
      <w:r w:rsidR="005F2F42" w:rsidRPr="0044370F">
        <w:rPr>
          <w:rFonts w:ascii="Times New Roman" w:eastAsia="Times New Roman" w:hAnsi="Times New Roman" w:cs="Times New Roman" w:hint="cs"/>
          <w:sz w:val="24"/>
          <w:szCs w:val="24"/>
        </w:rPr>
        <w:t>I</w:t>
      </w:r>
      <w:r w:rsidRPr="0044370F">
        <w:rPr>
          <w:rFonts w:ascii="Times New Roman" w:eastAsia="Times New Roman" w:hAnsi="Times New Roman" w:cs="Times New Roman"/>
          <w:sz w:val="24"/>
          <w:szCs w:val="24"/>
        </w:rPr>
        <w:t xml:space="preserve">nternational relations theory still lacks a clear framework for categorizing or understanding this kind of authority. </w:t>
      </w:r>
    </w:p>
    <w:p w:rsidR="005F2F42" w:rsidRPr="0044370F" w:rsidRDefault="0060194B" w:rsidP="00506E55">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Another gap lies in the treatment of private authority in global governance. IR scholars have recognized that non-state actors (corporations, NGOs, transnational networks) participate in governance beyond the nation-state. Notable work in the early 2000s (e.g., by Cutler</w:t>
      </w:r>
      <w:r w:rsidRPr="0044370F">
        <w:rPr>
          <w:rStyle w:val="a8"/>
          <w:rFonts w:ascii="Times New Roman" w:eastAsia="Times New Roman" w:hAnsi="Times New Roman" w:cs="Times New Roman"/>
          <w:sz w:val="24"/>
          <w:szCs w:val="24"/>
        </w:rPr>
        <w:footnoteReference w:id="62"/>
      </w:r>
      <w:r w:rsidRPr="0044370F">
        <w:rPr>
          <w:rFonts w:ascii="Times New Roman" w:eastAsia="Times New Roman" w:hAnsi="Times New Roman" w:cs="Times New Roman"/>
          <w:sz w:val="24"/>
          <w:szCs w:val="24"/>
        </w:rPr>
        <w:t xml:space="preserve">and </w:t>
      </w:r>
      <w:proofErr w:type="spellStart"/>
      <w:r w:rsidRPr="0044370F">
        <w:rPr>
          <w:rFonts w:ascii="Times New Roman" w:eastAsia="Times New Roman" w:hAnsi="Times New Roman" w:cs="Times New Roman"/>
          <w:sz w:val="24"/>
          <w:szCs w:val="24"/>
        </w:rPr>
        <w:t>Haufler</w:t>
      </w:r>
      <w:proofErr w:type="spellEnd"/>
      <w:r w:rsidRPr="0044370F">
        <w:rPr>
          <w:rFonts w:ascii="Times New Roman" w:eastAsia="Times New Roman" w:hAnsi="Times New Roman" w:cs="Times New Roman"/>
          <w:sz w:val="24"/>
          <w:szCs w:val="24"/>
        </w:rPr>
        <w:t xml:space="preserve">, and others) established that private rules and standards can govern global behavior. However, when it comes to digital corporations, IR research often lags behind: much analysis of tech firms is found in policy studies or area studies rather than mainstream IR theory. </w:t>
      </w:r>
    </w:p>
    <w:p w:rsidR="00B81AE1" w:rsidRPr="0044370F" w:rsidRDefault="00B81AE1"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IR-oriented studies increasingly document sovereignty-like corporate practices, including: </w:t>
      </w:r>
    </w:p>
    <w:p w:rsidR="00B81AE1" w:rsidRPr="0044370F" w:rsidRDefault="00B81AE1" w:rsidP="00B81AE1">
      <w:pPr>
        <w:pStyle w:val="af"/>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corporate institution-building to govern online speech (e.g., Meta’s Oversight Board as a quasi-judicial legitimation mechanism) and </w:t>
      </w:r>
    </w:p>
    <w:p w:rsidR="00B81AE1" w:rsidRPr="0044370F" w:rsidRDefault="00B81AE1" w:rsidP="00B81AE1">
      <w:pPr>
        <w:pStyle w:val="af"/>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geopolitical contestation over critical infrastructures (e.g., Huawei’s role in telecom networks as a focal point of security and alliance politics). </w:t>
      </w:r>
    </w:p>
    <w:p w:rsidR="00B81AE1" w:rsidRPr="0044370F" w:rsidRDefault="00B81AE1" w:rsidP="004E4C1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cases demonstrate that corporations can become salient actors in international politics, yet IR theory still lacks an integrated typology for comparing distinct configurations of corporate authority, overtly contested cases versus quieter, structurally embedded forms of influence and dependence.</w:t>
      </w:r>
    </w:p>
    <w:p w:rsidR="0060194B" w:rsidRPr="0044370F" w:rsidRDefault="0060194B" w:rsidP="00506E55">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 recurring theme is </w:t>
      </w:r>
      <w:r w:rsidRPr="0044370F">
        <w:rPr>
          <w:rFonts w:ascii="Times New Roman" w:eastAsia="Times New Roman" w:hAnsi="Times New Roman" w:cs="Times New Roman"/>
          <w:b/>
          <w:bCs/>
          <w:sz w:val="24"/>
          <w:szCs w:val="24"/>
        </w:rPr>
        <w:t>legitimacy and accountability</w:t>
      </w:r>
      <w:r w:rsidRPr="0044370F">
        <w:rPr>
          <w:rFonts w:ascii="Times New Roman" w:eastAsia="Times New Roman" w:hAnsi="Times New Roman" w:cs="Times New Roman"/>
          <w:sz w:val="24"/>
          <w:szCs w:val="24"/>
        </w:rPr>
        <w:t xml:space="preserve">. Traditional IR asks: who authorizes a private company to exercise what amounts to governing power, and to whom is it accountable? Yet much of the IR literature either remains state-centric or treats these firms as unique cases without broader theoretical integration. This subchapter’s review of cases and concepts highlights a clear need to synthesize insights from detailed case studies with general IR theories of sovereignty and governance.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international relations scholarship increasingly acknowledges the geopolitical relevance of technology corporations, it lacks a typology capable of comparing different configurations of corporate authority across cases, sectors, and regions. As a result, corporate power is recognized but remains under-theorized within core IR concepts of sovereignty, legitimacy, and order.</w:t>
      </w:r>
    </w:p>
    <w:p w:rsidR="0060194B" w:rsidRPr="0044370F" w:rsidRDefault="0060194B" w:rsidP="006D666E">
      <w:pPr>
        <w:pStyle w:val="3"/>
      </w:pPr>
      <w:bookmarkStart w:id="47" w:name="_Toc222652727"/>
      <w:r w:rsidRPr="0044370F">
        <w:t>2.6.2</w:t>
      </w:r>
      <w:r w:rsidRPr="0044370F">
        <w:tab/>
        <w:t>Limits of Structural Power Approaches and the Absence of an Integrated Model</w:t>
      </w:r>
      <w:bookmarkEnd w:id="47"/>
    </w:p>
    <w:p w:rsidR="0060194B" w:rsidRPr="0044370F" w:rsidRDefault="0060194B" w:rsidP="0064123B">
      <w:pPr>
        <w:spacing w:beforeAutospacing="1" w:after="100" w:afterAutospacing="1" w:line="360" w:lineRule="auto"/>
        <w:jc w:val="both"/>
        <w:rPr>
          <w:rFonts w:ascii="Times New Roman" w:eastAsia="Times New Roman" w:hAnsi="Times New Roman" w:cs="Times New Roman"/>
          <w:sz w:val="24"/>
          <w:szCs w:val="24"/>
        </w:rPr>
      </w:pPr>
      <w:r w:rsidRPr="0044370F">
        <w:rPr>
          <w:rFonts w:asciiTheme="majorBidi" w:eastAsia="Times New Roman" w:hAnsiTheme="majorBidi" w:cstheme="majorBidi"/>
          <w:sz w:val="24"/>
          <w:szCs w:val="24"/>
        </w:rPr>
        <w:t xml:space="preserve">The most influential attempt to conceptualize non-state power </w:t>
      </w:r>
      <w:r w:rsidR="00506E55" w:rsidRPr="0044370F">
        <w:rPr>
          <w:rFonts w:asciiTheme="majorBidi" w:hAnsiTheme="majorBidi" w:cstheme="majorBidi"/>
          <w:sz w:val="24"/>
          <w:szCs w:val="24"/>
        </w:rPr>
        <w:t xml:space="preserve">in the global political economy remains Susan </w:t>
      </w:r>
      <w:proofErr w:type="spellStart"/>
      <w:r w:rsidR="00506E55" w:rsidRPr="0044370F">
        <w:rPr>
          <w:rFonts w:asciiTheme="majorBidi" w:hAnsiTheme="majorBidi" w:cstheme="majorBidi"/>
          <w:sz w:val="24"/>
          <w:szCs w:val="24"/>
        </w:rPr>
        <w:t>Strange’s</w:t>
      </w:r>
      <w:proofErr w:type="spellEnd"/>
      <w:r w:rsidR="00506E55" w:rsidRPr="0044370F">
        <w:rPr>
          <w:rFonts w:asciiTheme="majorBidi" w:hAnsiTheme="majorBidi" w:cstheme="majorBidi"/>
          <w:sz w:val="24"/>
          <w:szCs w:val="24"/>
        </w:rPr>
        <w:t xml:space="preserve"> work on structural power</w:t>
      </w:r>
      <w:r w:rsidRPr="0044370F">
        <w:rPr>
          <w:rFonts w:asciiTheme="majorBidi" w:eastAsia="Times New Roman" w:hAnsiTheme="majorBidi" w:cstheme="majorBidi"/>
          <w:sz w:val="24"/>
          <w:szCs w:val="24"/>
        </w:rPr>
        <w:t>. In The Retreat of the State, Strange argued that authority in the global political economy was no longer monopolized by states, but increasingly exercised</w:t>
      </w:r>
      <w:r w:rsidRPr="0044370F">
        <w:rPr>
          <w:rFonts w:ascii="Times New Roman" w:eastAsia="Times New Roman" w:hAnsi="Times New Roman" w:cs="Times New Roman"/>
          <w:sz w:val="24"/>
          <w:szCs w:val="24"/>
        </w:rPr>
        <w:t xml:space="preserve"> by actors capable of shaping the structures within which others operate. However, while Strange provided a powerful diagnosis of power diffusion, </w:t>
      </w:r>
      <w:r w:rsidRPr="0044370F">
        <w:rPr>
          <w:rFonts w:ascii="Times New Roman" w:eastAsia="Times New Roman" w:hAnsi="Times New Roman" w:cs="Times New Roman"/>
          <w:b/>
          <w:bCs/>
          <w:sz w:val="24"/>
          <w:szCs w:val="24"/>
        </w:rPr>
        <w:t>she did not</w:t>
      </w:r>
      <w:r w:rsidRPr="0044370F">
        <w:rPr>
          <w:rFonts w:ascii="Times New Roman" w:eastAsia="Times New Roman" w:hAnsi="Times New Roman" w:cs="Times New Roman"/>
          <w:sz w:val="24"/>
          <w:szCs w:val="24"/>
        </w:rPr>
        <w:t xml:space="preserve"> develop an integrated analytical framework capable of systematically examining how such authority is constructed, legitimized, and exercised by corporate actors across organizational, infrastructural, and normative domains.</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 xml:space="preserve">Subsequent scholarship has extended </w:t>
      </w:r>
      <w:proofErr w:type="spellStart"/>
      <w:r w:rsidRPr="0044370F">
        <w:rPr>
          <w:rStyle w:val="a5"/>
          <w:rFonts w:eastAsiaTheme="majorEastAsia"/>
          <w:i w:val="0"/>
          <w:iCs w:val="0"/>
        </w:rPr>
        <w:t>Strange’s</w:t>
      </w:r>
      <w:proofErr w:type="spellEnd"/>
      <w:r w:rsidRPr="0044370F">
        <w:rPr>
          <w:rStyle w:val="a5"/>
          <w:rFonts w:eastAsiaTheme="majorEastAsia"/>
          <w:i w:val="0"/>
          <w:iCs w:val="0"/>
        </w:rPr>
        <w:t xml:space="preserve"> insights in important but partial ways. Studies of private authority and global governance have examined how non-state actors participate in rule-</w:t>
      </w:r>
      <w:r w:rsidRPr="0044370F">
        <w:rPr>
          <w:rStyle w:val="a5"/>
          <w:rFonts w:eastAsiaTheme="majorEastAsia"/>
          <w:i w:val="0"/>
          <w:iCs w:val="0"/>
        </w:rPr>
        <w:lastRenderedPageBreak/>
        <w:t>making and regulatory processes</w:t>
      </w:r>
      <w:r w:rsidRPr="0044370F">
        <w:rPr>
          <w:rStyle w:val="a8"/>
          <w:i/>
          <w:iCs/>
        </w:rPr>
        <w:footnoteReference w:id="63"/>
      </w:r>
      <w:r w:rsidRPr="0044370F">
        <w:rPr>
          <w:rStyle w:val="a5"/>
          <w:rFonts w:eastAsiaTheme="majorEastAsia"/>
          <w:i w:val="0"/>
          <w:iCs w:val="0"/>
        </w:rPr>
        <w:t>, while political economy research has highlighted network power and the growing structural influence of multinational corporations within global systems</w:t>
      </w:r>
      <w:r w:rsidRPr="0044370F">
        <w:rPr>
          <w:rStyle w:val="a8"/>
          <w:i/>
          <w:iCs/>
        </w:rPr>
        <w:footnoteReference w:id="64"/>
      </w:r>
      <w:r w:rsidRPr="0044370F">
        <w:rPr>
          <w:rStyle w:val="a5"/>
          <w:rFonts w:eastAsiaTheme="majorEastAsia"/>
          <w:i w:val="0"/>
          <w:iCs w:val="0"/>
        </w:rPr>
        <w:t xml:space="preserve">. </w:t>
      </w:r>
    </w:p>
    <w:p w:rsidR="0064123B" w:rsidRPr="0044370F" w:rsidRDefault="0064123B" w:rsidP="0064123B">
      <w:pPr>
        <w:pStyle w:val="NormalWeb"/>
        <w:spacing w:line="360" w:lineRule="auto"/>
        <w:jc w:val="both"/>
      </w:pPr>
      <w:r w:rsidRPr="0044370F">
        <w:t>It is precisely this analytical fragmentation that motivates the development of the four-dimensional framework advanced in this dissertation. The framework integrates strategic resources, infrastructural control, normative legitimacy, and structural embeddedness into a unified explanatory model.</w:t>
      </w:r>
    </w:p>
    <w:p w:rsidR="0060194B" w:rsidRPr="0044370F" w:rsidRDefault="0060194B" w:rsidP="006D666E">
      <w:pPr>
        <w:pStyle w:val="3"/>
      </w:pPr>
      <w:bookmarkStart w:id="48" w:name="_Toc222652728"/>
      <w:r w:rsidRPr="0044370F">
        <w:t>2.6.3</w:t>
      </w:r>
      <w:r w:rsidRPr="0044370F">
        <w:tab/>
        <w:t>Leadership Vacuum and the Emergence of a Multi-Actor Global Order</w:t>
      </w:r>
      <w:bookmarkEnd w:id="48"/>
    </w:p>
    <w:p w:rsidR="0060194B" w:rsidRPr="0044370F" w:rsidRDefault="0060194B" w:rsidP="0064123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Recent debates in international political economy have renewed interest in Charles </w:t>
      </w:r>
      <w:proofErr w:type="spellStart"/>
      <w:r w:rsidRPr="0044370F">
        <w:rPr>
          <w:rFonts w:ascii="Times New Roman" w:eastAsia="Times New Roman" w:hAnsi="Times New Roman" w:cs="Times New Roman"/>
          <w:sz w:val="24"/>
          <w:szCs w:val="24"/>
        </w:rPr>
        <w:t>Kindleberger’s</w:t>
      </w:r>
      <w:proofErr w:type="spellEnd"/>
      <w:r w:rsidRPr="0044370F">
        <w:rPr>
          <w:rFonts w:ascii="Times New Roman" w:eastAsia="Times New Roman" w:hAnsi="Times New Roman" w:cs="Times New Roman"/>
          <w:sz w:val="24"/>
          <w:szCs w:val="24"/>
        </w:rPr>
        <w:t xml:space="preserve"> classic analysis of systemic collapse in The World in Depression</w:t>
      </w:r>
      <w:r w:rsidRPr="0044370F">
        <w:rPr>
          <w:rStyle w:val="a8"/>
          <w:rFonts w:ascii="Times New Roman" w:eastAsia="Times New Roman" w:hAnsi="Times New Roman" w:cs="Times New Roman"/>
          <w:sz w:val="24"/>
          <w:szCs w:val="24"/>
        </w:rPr>
        <w:footnoteReference w:id="65"/>
      </w:r>
      <w:r w:rsidRPr="0044370F">
        <w:rPr>
          <w:rFonts w:ascii="Times New Roman" w:eastAsia="Times New Roman" w:hAnsi="Times New Roman" w:cs="Times New Roman"/>
          <w:sz w:val="24"/>
          <w:szCs w:val="24"/>
        </w:rPr>
        <w:t xml:space="preserve"> (1973), particularly his argument that global economic crises are exacerbated not merely by shocks, but by the absence of a stabilizing hegemonic power. This insight has regained relevance in contemporary discussions of the global order.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From the perspective of international relations, </w:t>
      </w:r>
      <w:proofErr w:type="spellStart"/>
      <w:r w:rsidRPr="0044370F">
        <w:rPr>
          <w:rFonts w:ascii="Times New Roman" w:eastAsia="Times New Roman" w:hAnsi="Times New Roman" w:cs="Times New Roman"/>
          <w:sz w:val="24"/>
          <w:szCs w:val="24"/>
        </w:rPr>
        <w:t>Kindleberger’s</w:t>
      </w:r>
      <w:proofErr w:type="spellEnd"/>
      <w:r w:rsidRPr="0044370F">
        <w:rPr>
          <w:rFonts w:ascii="Times New Roman" w:eastAsia="Times New Roman" w:hAnsi="Times New Roman" w:cs="Times New Roman"/>
          <w:sz w:val="24"/>
          <w:szCs w:val="24"/>
        </w:rPr>
        <w:t xml:space="preserve"> thesis highlights a structural tension at the heart of the current global order: the persistence of global markets and transnational infrastructures without a corresponding architecture of global authority. This condition creates functional gaps in coordination, standard-setting, and crisis management. While </w:t>
      </w:r>
      <w:proofErr w:type="spellStart"/>
      <w:r w:rsidRPr="0044370F">
        <w:rPr>
          <w:rFonts w:ascii="Times New Roman" w:eastAsia="Times New Roman" w:hAnsi="Times New Roman" w:cs="Times New Roman"/>
          <w:sz w:val="24"/>
          <w:szCs w:val="24"/>
        </w:rPr>
        <w:t>Kindleberger’s</w:t>
      </w:r>
      <w:proofErr w:type="spellEnd"/>
      <w:r w:rsidRPr="0044370F">
        <w:rPr>
          <w:rFonts w:ascii="Times New Roman" w:eastAsia="Times New Roman" w:hAnsi="Times New Roman" w:cs="Times New Roman"/>
          <w:sz w:val="24"/>
          <w:szCs w:val="24"/>
        </w:rPr>
        <w:t xml:space="preserve"> original analysis focused on states, its core insight, that systemic stability depends on actors capable of performing coordinating functions, invites reconsideration in a context where non-state actors increasingly shape global economic and technological systems. This does not imply that corporations replace states as hegemonic leaders, but it does suggest that authority in the contemporary system is exercised through a more diffuse and contested configuration of actors.</w:t>
      </w:r>
    </w:p>
    <w:p w:rsidR="0064123B" w:rsidRPr="0044370F" w:rsidRDefault="0060194B" w:rsidP="0064123B">
      <w:pPr>
        <w:pStyle w:val="NormalWeb"/>
        <w:spacing w:line="360" w:lineRule="auto"/>
        <w:jc w:val="both"/>
      </w:pPr>
      <w:r w:rsidRPr="0044370F">
        <w:t>In this context, the global order is no longer adequately captured by a bipolar United States</w:t>
      </w:r>
      <w:r w:rsidRPr="0044370F">
        <w:rPr>
          <w:rFonts w:hint="cs"/>
          <w:rtl/>
        </w:rPr>
        <w:t>-</w:t>
      </w:r>
      <w:r w:rsidRPr="0044370F">
        <w:t xml:space="preserve">China framework. </w:t>
      </w:r>
      <w:r w:rsidR="0064123B" w:rsidRPr="0044370F">
        <w:t xml:space="preserve">Instead, authority is distributed across multiple interacting centers, including </w:t>
      </w:r>
      <w:r w:rsidR="0064123B" w:rsidRPr="0044370F">
        <w:lastRenderedPageBreak/>
        <w:t>multinational technology corporations operating as non-territorial centers of infrastructural and normative power.</w:t>
      </w:r>
    </w:p>
    <w:p w:rsidR="0064123B" w:rsidRPr="0044370F" w:rsidRDefault="0064123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Viewed together, </w:t>
      </w:r>
      <w:proofErr w:type="spellStart"/>
      <w:r w:rsidRPr="0044370F">
        <w:rPr>
          <w:rFonts w:ascii="Times New Roman" w:eastAsia="Times New Roman" w:hAnsi="Times New Roman" w:cs="Times New Roman"/>
          <w:sz w:val="24"/>
          <w:szCs w:val="24"/>
        </w:rPr>
        <w:t>Kindleberger’s</w:t>
      </w:r>
      <w:proofErr w:type="spellEnd"/>
      <w:r w:rsidRPr="0044370F">
        <w:rPr>
          <w:rFonts w:ascii="Times New Roman" w:eastAsia="Times New Roman" w:hAnsi="Times New Roman" w:cs="Times New Roman"/>
          <w:sz w:val="24"/>
          <w:szCs w:val="24"/>
        </w:rPr>
        <w:t xml:space="preserve"> leadership vacuum thesis and contemporary debates on </w:t>
      </w:r>
      <w:proofErr w:type="spellStart"/>
      <w:r w:rsidRPr="0044370F">
        <w:rPr>
          <w:rFonts w:ascii="Times New Roman" w:eastAsia="Times New Roman" w:hAnsi="Times New Roman" w:cs="Times New Roman"/>
          <w:sz w:val="24"/>
          <w:szCs w:val="24"/>
        </w:rPr>
        <w:t>multipolarity</w:t>
      </w:r>
      <w:proofErr w:type="spellEnd"/>
      <w:r w:rsidRPr="0044370F">
        <w:rPr>
          <w:rFonts w:ascii="Times New Roman" w:eastAsia="Times New Roman" w:hAnsi="Times New Roman" w:cs="Times New Roman"/>
          <w:sz w:val="24"/>
          <w:szCs w:val="24"/>
        </w:rPr>
        <w:t xml:space="preserve"> suggest a global order characterized by persistent interdependence without centralized authority. In such a system, multinational technology corporations function as non-territorial actors capable of shaping coordination and infrastructural governance without possessing formal political sovereignty.</w:t>
      </w:r>
    </w:p>
    <w:p w:rsidR="004E4C13" w:rsidRPr="0044370F" w:rsidRDefault="0064123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Analytically, this subsection primarily informs the dimensions of structural embeddedness and normative legitimacy, while highlighting the absence of an integrated framework capable of distinguishing episodic corporate influence from sovereignty-like authority, thereby reinforcing the need for the four-dimensional model advanced in this dissertation</w:t>
      </w:r>
      <w:r w:rsidR="004E4C13" w:rsidRPr="0044370F">
        <w:rPr>
          <w:rFonts w:ascii="Times New Roman" w:eastAsia="Times New Roman" w:hAnsi="Times New Roman" w:cs="Times New Roman"/>
          <w:sz w:val="24"/>
          <w:szCs w:val="24"/>
        </w:rPr>
        <w:t>.</w:t>
      </w:r>
    </w:p>
    <w:p w:rsidR="0064123B" w:rsidRPr="0044370F" w:rsidRDefault="0064123B" w:rsidP="0064123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next section, 2.</w:t>
      </w:r>
      <w:r w:rsidRPr="0044370F">
        <w:rPr>
          <w:rFonts w:ascii="Times New Roman" w:eastAsia="Times New Roman" w:hAnsi="Times New Roman" w:cs="Times New Roman" w:hint="cs"/>
          <w:sz w:val="24"/>
          <w:szCs w:val="24"/>
          <w:rtl/>
        </w:rPr>
        <w:t>7</w:t>
      </w:r>
      <w:r w:rsidRPr="0044370F">
        <w:rPr>
          <w:rFonts w:ascii="Times New Roman" w:eastAsia="Times New Roman" w:hAnsi="Times New Roman" w:cs="Times New Roman"/>
          <w:sz w:val="24"/>
          <w:szCs w:val="24"/>
        </w:rPr>
        <w:t>, complements this discussion by examining how scholars of technology and society interpret the power of tech corporations, before we move on to an overall synthesis in 2.</w:t>
      </w:r>
      <w:r w:rsidRPr="0044370F">
        <w:rPr>
          <w:rFonts w:ascii="Times New Roman" w:eastAsia="Times New Roman" w:hAnsi="Times New Roman" w:cs="Times New Roman" w:hint="cs"/>
          <w:sz w:val="24"/>
          <w:szCs w:val="24"/>
          <w:rtl/>
        </w:rPr>
        <w:t>8</w:t>
      </w:r>
      <w:r w:rsidRPr="0044370F">
        <w:rPr>
          <w:rFonts w:ascii="Times New Roman" w:eastAsia="Times New Roman" w:hAnsi="Times New Roman" w:cs="Times New Roman"/>
          <w:sz w:val="24"/>
          <w:szCs w:val="24"/>
        </w:rPr>
        <w:t>.</w:t>
      </w:r>
    </w:p>
    <w:p w:rsidR="0060194B" w:rsidRPr="0044370F" w:rsidRDefault="0060194B" w:rsidP="006D666E">
      <w:pPr>
        <w:pStyle w:val="2"/>
        <w:rPr>
          <w:rFonts w:eastAsia="Times New Roman"/>
        </w:rPr>
      </w:pPr>
      <w:bookmarkStart w:id="49" w:name="_Toc222652729"/>
      <w:r w:rsidRPr="0044370F">
        <w:rPr>
          <w:rFonts w:eastAsia="Times New Roman"/>
        </w:rPr>
        <w:t xml:space="preserve">2.7 Technology Studies Perspective on </w:t>
      </w:r>
      <w:r w:rsidR="00973E2B" w:rsidRPr="0044370F">
        <w:rPr>
          <w:rFonts w:eastAsia="Times New Roman"/>
        </w:rPr>
        <w:t>Corporate quasi-sovereignty</w:t>
      </w:r>
      <w:bookmarkEnd w:id="49"/>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i/>
          <w:iCs/>
          <w:sz w:val="24"/>
          <w:szCs w:val="24"/>
        </w:rPr>
        <w:t>Technological Power, Platforms, and “Code-</w:t>
      </w:r>
      <w:proofErr w:type="gramStart"/>
      <w:r w:rsidRPr="0044370F">
        <w:rPr>
          <w:rFonts w:ascii="Times New Roman" w:eastAsia="Times New Roman" w:hAnsi="Times New Roman" w:cs="Times New Roman"/>
          <w:i/>
          <w:iCs/>
          <w:sz w:val="24"/>
          <w:szCs w:val="24"/>
        </w:rPr>
        <w:t>as</w:t>
      </w:r>
      <w:proofErr w:type="gramEnd"/>
      <w:r w:rsidRPr="0044370F">
        <w:rPr>
          <w:rFonts w:ascii="Times New Roman" w:eastAsia="Times New Roman" w:hAnsi="Times New Roman" w:cs="Times New Roman"/>
          <w:i/>
          <w:iCs/>
          <w:sz w:val="24"/>
          <w:szCs w:val="24"/>
        </w:rPr>
        <w:t>-Law”</w:t>
      </w:r>
    </w:p>
    <w:p w:rsidR="008D18D4" w:rsidRPr="0044370F" w:rsidRDefault="008D18D4" w:rsidP="008D18D4">
      <w:pPr>
        <w:pStyle w:val="NormalWeb"/>
        <w:spacing w:line="360" w:lineRule="auto"/>
      </w:pPr>
      <w:r w:rsidRPr="0044370F">
        <w:t>Digital technology corporations command platforms and infrastructures that structure communication, commerce, and data flows across national boundaries</w:t>
      </w:r>
      <w:r w:rsidR="0060194B" w:rsidRPr="0044370F">
        <w:t xml:space="preserve">. </w:t>
      </w:r>
      <w:r w:rsidRPr="0044370F">
        <w:t xml:space="preserve">This has led scholars to argue that certain technology firms exercise </w:t>
      </w:r>
      <w:r w:rsidR="003209C7" w:rsidRPr="0044370F">
        <w:t>sovereignty-like authority</w:t>
      </w:r>
      <w:r w:rsidRPr="0044370F">
        <w:t xml:space="preserve"> within digitally mediated domains of governance.</w:t>
      </w:r>
    </w:p>
    <w:p w:rsidR="0060194B" w:rsidRPr="0044370F" w:rsidRDefault="0060194B" w:rsidP="008D18D4">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 Science and Technology Studies (STS) perspective is crucial for unpacking this phenomenon, as it insists that technology is not a neutral tool of power but a medium through which power is exercised and structured. </w:t>
      </w:r>
    </w:p>
    <w:p w:rsidR="004E4C13" w:rsidRPr="0044370F" w:rsidRDefault="004E4C13"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STS emphasizes that technologies are never neutral: design choices embed values and allocate power, meaning infrastructures can function as governance mechanisms.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In the context of Big Tech, this means that companies like Google, Meta, Amazon, Apple, and Microsoft govern in part </w:t>
      </w:r>
      <w:r w:rsidRPr="0044370F">
        <w:rPr>
          <w:rFonts w:ascii="Times New Roman" w:eastAsia="Times New Roman" w:hAnsi="Times New Roman" w:cs="Times New Roman"/>
          <w:b/>
          <w:bCs/>
          <w:sz w:val="24"/>
          <w:szCs w:val="24"/>
        </w:rPr>
        <w:t>through</w:t>
      </w:r>
      <w:r w:rsidRPr="0044370F">
        <w:rPr>
          <w:rFonts w:ascii="Times New Roman" w:eastAsia="Times New Roman" w:hAnsi="Times New Roman" w:cs="Times New Roman"/>
          <w:sz w:val="24"/>
          <w:szCs w:val="24"/>
        </w:rPr>
        <w:t xml:space="preserve"> their platforms. Lawrence </w:t>
      </w:r>
      <w:proofErr w:type="spellStart"/>
      <w:r w:rsidRPr="0044370F">
        <w:rPr>
          <w:rFonts w:ascii="Times New Roman" w:eastAsia="Times New Roman" w:hAnsi="Times New Roman" w:cs="Times New Roman"/>
          <w:sz w:val="24"/>
          <w:szCs w:val="24"/>
        </w:rPr>
        <w:t>Lessig</w:t>
      </w:r>
      <w:proofErr w:type="spellEnd"/>
      <w:r w:rsidRPr="0044370F">
        <w:rPr>
          <w:rStyle w:val="a8"/>
          <w:rFonts w:ascii="Times New Roman" w:eastAsia="Times New Roman" w:hAnsi="Times New Roman" w:cs="Times New Roman"/>
          <w:sz w:val="24"/>
          <w:szCs w:val="24"/>
        </w:rPr>
        <w:footnoteReference w:id="66"/>
      </w:r>
      <w:r w:rsidRPr="0044370F">
        <w:rPr>
          <w:rFonts w:ascii="Times New Roman" w:eastAsia="Times New Roman" w:hAnsi="Times New Roman" w:cs="Times New Roman"/>
          <w:sz w:val="24"/>
          <w:szCs w:val="24"/>
        </w:rPr>
        <w:t xml:space="preserve"> famously coined the phrase </w:t>
      </w:r>
      <w:r w:rsidRPr="0044370F">
        <w:rPr>
          <w:rFonts w:ascii="Times New Roman" w:eastAsia="Times New Roman" w:hAnsi="Times New Roman" w:cs="Times New Roman"/>
          <w:i/>
          <w:iCs/>
          <w:sz w:val="24"/>
          <w:szCs w:val="24"/>
        </w:rPr>
        <w:t>“Code is law”</w:t>
      </w:r>
      <w:r w:rsidRPr="0044370F">
        <w:rPr>
          <w:rFonts w:ascii="Times New Roman" w:eastAsia="Times New Roman" w:hAnsi="Times New Roman" w:cs="Times New Roman"/>
          <w:sz w:val="24"/>
          <w:szCs w:val="24"/>
        </w:rPr>
        <w:t xml:space="preserve"> to express how software architectures and algorithms function as a form of regulation.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the notion of “code as law” captures the regulatory effects of digital architectures, it remains analytically limited in accounting for the distributed and relational nature of authority in complex socio-technical systems.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For example, a platform’s algorithmic rules determine what information people see (shaping public discourse), and its moderation policies determine what speech is permissible (governing a kind of public sphere). These design choices are typically made unilaterally by the corporations and have global reach, effectively giving these private actors a rule-making power. </w:t>
      </w:r>
    </w:p>
    <w:p w:rsidR="0060194B" w:rsidRPr="0044370F" w:rsidRDefault="0060194B" w:rsidP="008D18D4">
      <w:pPr>
        <w:pStyle w:val="NormalWeb"/>
        <w:spacing w:line="360" w:lineRule="auto"/>
        <w:jc w:val="both"/>
      </w:pPr>
      <w:r w:rsidRPr="0044370F">
        <w:t xml:space="preserve">The concept of </w:t>
      </w:r>
      <w:r w:rsidRPr="0044370F">
        <w:rPr>
          <w:b/>
          <w:bCs/>
        </w:rPr>
        <w:t>platform governance</w:t>
      </w:r>
      <w:r w:rsidRPr="0044370F">
        <w:t xml:space="preserve"> has emerged to describe how platform companies set and enforce rules that influence user behavior, content flows, and even economic transactions on their systems. </w:t>
      </w:r>
      <w:r w:rsidR="008D18D4" w:rsidRPr="0044370F">
        <w:t>This functions as a private regulatory system, albeit without the democratic checks associated with public law.</w:t>
      </w:r>
    </w:p>
    <w:p w:rsidR="0060194B" w:rsidRPr="0044370F" w:rsidRDefault="0060194B" w:rsidP="008D18D4">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Scholars have introduced terms like </w:t>
      </w:r>
      <w:r w:rsidRPr="0044370F">
        <w:rPr>
          <w:rFonts w:ascii="Times New Roman" w:eastAsia="Times New Roman" w:hAnsi="Times New Roman" w:cs="Times New Roman"/>
          <w:b/>
          <w:bCs/>
          <w:sz w:val="24"/>
          <w:szCs w:val="24"/>
        </w:rPr>
        <w:t>platform sovereignty</w:t>
      </w:r>
      <w:r w:rsidRPr="0044370F">
        <w:rPr>
          <w:rFonts w:ascii="Times New Roman" w:eastAsia="Times New Roman" w:hAnsi="Times New Roman" w:cs="Times New Roman"/>
          <w:sz w:val="24"/>
          <w:szCs w:val="24"/>
        </w:rPr>
        <w:t xml:space="preserve"> to capture how platforms assert control akin to sovereigns within their domain. These firms control critical </w:t>
      </w:r>
      <w:r w:rsidRPr="0044370F">
        <w:rPr>
          <w:rFonts w:ascii="Times New Roman" w:eastAsia="Times New Roman" w:hAnsi="Times New Roman" w:cs="Times New Roman"/>
          <w:b/>
          <w:bCs/>
          <w:sz w:val="24"/>
          <w:szCs w:val="24"/>
        </w:rPr>
        <w:t>infrastructural power</w:t>
      </w:r>
      <w:r w:rsidRPr="0044370F">
        <w:rPr>
          <w:rFonts w:ascii="Times New Roman" w:eastAsia="Times New Roman" w:hAnsi="Times New Roman" w:cs="Times New Roman"/>
          <w:sz w:val="24"/>
          <w:szCs w:val="24"/>
        </w:rPr>
        <w:t xml:space="preserve"> in the digital age as they own the backbone services and standards upon which other actors depend (e.g., cloud computing infrastructure, social media networks). Kelton</w:t>
      </w:r>
      <w:r w:rsidRPr="0044370F">
        <w:rPr>
          <w:rStyle w:val="a8"/>
          <w:rFonts w:ascii="Times New Roman" w:eastAsia="Times New Roman" w:hAnsi="Times New Roman" w:cs="Times New Roman"/>
          <w:sz w:val="24"/>
          <w:szCs w:val="24"/>
        </w:rPr>
        <w:footnoteReference w:id="67"/>
      </w:r>
      <w:r w:rsidRPr="0044370F">
        <w:rPr>
          <w:rFonts w:ascii="Times New Roman" w:eastAsia="Times New Roman" w:hAnsi="Times New Roman" w:cs="Times New Roman"/>
          <w:sz w:val="24"/>
          <w:szCs w:val="24"/>
        </w:rPr>
        <w:t xml:space="preserve"> refers to this as private </w:t>
      </w:r>
      <w:r w:rsidRPr="0044370F">
        <w:rPr>
          <w:rFonts w:ascii="Times New Roman" w:eastAsia="Times New Roman" w:hAnsi="Times New Roman" w:cs="Times New Roman"/>
          <w:i/>
          <w:iCs/>
          <w:sz w:val="24"/>
          <w:szCs w:val="24"/>
        </w:rPr>
        <w:t>infrastructural power</w:t>
      </w:r>
      <w:r w:rsidRPr="0044370F">
        <w:rPr>
          <w:rFonts w:ascii="Times New Roman" w:eastAsia="Times New Roman" w:hAnsi="Times New Roman" w:cs="Times New Roman"/>
          <w:sz w:val="24"/>
          <w:szCs w:val="24"/>
        </w:rPr>
        <w:t xml:space="preserve"> that can shape economic and political outcomes in ways that used to be the purview of states. </w:t>
      </w:r>
      <w:r w:rsidR="008D18D4" w:rsidRPr="0044370F">
        <w:rPr>
          <w:rFonts w:ascii="Times New Roman" w:eastAsia="Times New Roman" w:hAnsi="Times New Roman" w:cs="Times New Roman"/>
          <w:sz w:val="24"/>
          <w:szCs w:val="24"/>
        </w:rPr>
        <w:t>When AWS decided to cut off service to a social network due to violent content, it demonstrated how control over infrastructure enables private actors to enforce norms through technical exclusion</w:t>
      </w:r>
      <w:r w:rsidRPr="0044370F">
        <w:rPr>
          <w:rFonts w:ascii="Times New Roman" w:eastAsia="Times New Roman" w:hAnsi="Times New Roman" w:cs="Times New Roman"/>
          <w:sz w:val="24"/>
          <w:szCs w:val="24"/>
        </w:rPr>
        <w:t>.</w:t>
      </w:r>
    </w:p>
    <w:p w:rsidR="008D18D4" w:rsidRPr="0044370F" w:rsidRDefault="0060194B" w:rsidP="008D18D4">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Another major concept is Shoshana</w:t>
      </w:r>
      <w:r w:rsidRPr="0044370F">
        <w:rPr>
          <w:rStyle w:val="a8"/>
          <w:rFonts w:ascii="Times New Roman" w:eastAsia="Times New Roman" w:hAnsi="Times New Roman" w:cs="Times New Roman"/>
          <w:sz w:val="24"/>
          <w:szCs w:val="24"/>
        </w:rPr>
        <w:footnoteReference w:id="68"/>
      </w:r>
      <w:r w:rsidRPr="0044370F">
        <w:rPr>
          <w:rFonts w:ascii="Times New Roman" w:eastAsia="Times New Roman" w:hAnsi="Times New Roman" w:cs="Times New Roman"/>
          <w:sz w:val="24"/>
          <w:szCs w:val="24"/>
        </w:rPr>
        <w:t xml:space="preserve"> </w:t>
      </w:r>
      <w:proofErr w:type="spellStart"/>
      <w:r w:rsidRPr="0044370F">
        <w:rPr>
          <w:rFonts w:ascii="Times New Roman" w:eastAsia="Times New Roman" w:hAnsi="Times New Roman" w:cs="Times New Roman"/>
          <w:sz w:val="24"/>
          <w:szCs w:val="24"/>
        </w:rPr>
        <w:t>Zuboff’s</w:t>
      </w:r>
      <w:proofErr w:type="spellEnd"/>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b/>
          <w:bCs/>
          <w:sz w:val="24"/>
          <w:szCs w:val="24"/>
        </w:rPr>
        <w:t>surveillance capitalism</w:t>
      </w:r>
      <w:r w:rsidRPr="0044370F">
        <w:rPr>
          <w:rFonts w:ascii="Times New Roman" w:eastAsia="Times New Roman" w:hAnsi="Times New Roman" w:cs="Times New Roman"/>
          <w:sz w:val="24"/>
          <w:szCs w:val="24"/>
        </w:rPr>
        <w:t xml:space="preserve">, which critiques how tech corporations claim ownership over massive amounts of personal data and leverage it for profit and influence. The extraction of data from users has been likened to a new form of colonialism in which human experience is mined as raw material. </w:t>
      </w:r>
    </w:p>
    <w:p w:rsidR="0060194B" w:rsidRPr="0044370F" w:rsidRDefault="0060194B" w:rsidP="008D18D4">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Together, these accounts illustrate how corporate power in the digital realm operates simultaneously at infrastructural, epistemic, and cultural levels, extending governance beyond formal regulation into everyday technological dependence.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technology studies perspective also examines the </w:t>
      </w:r>
      <w:r w:rsidRPr="0044370F">
        <w:rPr>
          <w:rFonts w:ascii="Times New Roman" w:eastAsia="Times New Roman" w:hAnsi="Times New Roman" w:cs="Times New Roman"/>
          <w:i/>
          <w:iCs/>
          <w:sz w:val="24"/>
          <w:szCs w:val="24"/>
        </w:rPr>
        <w:t>normative</w:t>
      </w:r>
      <w:r w:rsidRPr="0044370F">
        <w:rPr>
          <w:rFonts w:ascii="Times New Roman" w:eastAsia="Times New Roman" w:hAnsi="Times New Roman" w:cs="Times New Roman"/>
          <w:sz w:val="24"/>
          <w:szCs w:val="24"/>
        </w:rPr>
        <w:t xml:space="preserve"> dimensions of this corporate power. If companies are effectively governing digital spaces and infrastructures, what about accountability and rights? </w:t>
      </w:r>
    </w:p>
    <w:p w:rsidR="008D18D4" w:rsidRPr="0044370F" w:rsidRDefault="0060194B" w:rsidP="008D18D4">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Issues of privacy, free expression, and user autonomy come to the forefront. For example, content moderation controversies (like Facebook’s handling of disinformation or Twitter’s rules about speech) raise questions about whose values are being enforced and by what legitimacy. </w:t>
      </w:r>
    </w:p>
    <w:p w:rsidR="0060194B" w:rsidRPr="0044370F" w:rsidRDefault="0060194B" w:rsidP="008D18D4">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Overall, the STS and related scholarship reveal that the political implications of privately owned digital technology run deep. The design of platforms and algorithms can discipline user behavior and even </w:t>
      </w:r>
      <w:r w:rsidRPr="0044370F">
        <w:rPr>
          <w:rFonts w:ascii="Times New Roman" w:eastAsia="Times New Roman" w:hAnsi="Times New Roman" w:cs="Times New Roman"/>
          <w:i/>
          <w:iCs/>
          <w:sz w:val="24"/>
          <w:szCs w:val="24"/>
        </w:rPr>
        <w:t>constitute</w:t>
      </w:r>
      <w:r w:rsidRPr="0044370F">
        <w:rPr>
          <w:rFonts w:ascii="Times New Roman" w:eastAsia="Times New Roman" w:hAnsi="Times New Roman" w:cs="Times New Roman"/>
          <w:sz w:val="24"/>
          <w:szCs w:val="24"/>
        </w:rPr>
        <w:t xml:space="preserve"> social relations, for example, what forms of community and discourse are possible online. </w:t>
      </w:r>
      <w:r w:rsidR="008D18D4" w:rsidRPr="0044370F">
        <w:rPr>
          <w:rFonts w:ascii="Times New Roman" w:eastAsia="Times New Roman" w:hAnsi="Times New Roman" w:cs="Times New Roman"/>
          <w:sz w:val="24"/>
          <w:szCs w:val="24"/>
        </w:rPr>
        <w:t>These systems concentrate significant economic power and exercise governing functions as they set rules, enforce norms, and adjudicate conflicts.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insights also raise pressing questions about how such power might be tamed or democratized. As we move to synthesize the literature, the challenge will be integrating this technologically grounded view with the broader political and economic analyses discussed earlier.</w:t>
      </w:r>
    </w:p>
    <w:p w:rsidR="004E4C13" w:rsidRPr="0044370F" w:rsidRDefault="008D18D4"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Analytically, this subsection primarily informs the dimension of infrastructural power, while also clarifying how normative legitimacy is constructed and contested through socio-technical architectures. </w:t>
      </w:r>
      <w:r w:rsidR="004E4C13" w:rsidRPr="0044370F">
        <w:rPr>
          <w:rFonts w:ascii="Times New Roman" w:eastAsia="Times New Roman" w:hAnsi="Times New Roman" w:cs="Times New Roman"/>
          <w:sz w:val="24"/>
          <w:szCs w:val="24"/>
        </w:rPr>
        <w:t xml:space="preserve">At the same time, its limitations reinforce the need for an integrated model that </w:t>
      </w:r>
      <w:r w:rsidR="004E4C13" w:rsidRPr="0044370F">
        <w:rPr>
          <w:rFonts w:ascii="Times New Roman" w:eastAsia="Times New Roman" w:hAnsi="Times New Roman" w:cs="Times New Roman"/>
          <w:sz w:val="24"/>
          <w:szCs w:val="24"/>
        </w:rPr>
        <w:lastRenderedPageBreak/>
        <w:t>connects resources, embeddedness, legitimacy, and infrastructure into a coherent explanation of quasi-sovereign authority.</w:t>
      </w:r>
    </w:p>
    <w:p w:rsidR="0060194B" w:rsidRPr="0044370F" w:rsidRDefault="0060194B" w:rsidP="006D666E">
      <w:pPr>
        <w:pStyle w:val="2"/>
        <w:rPr>
          <w:rFonts w:eastAsia="Times New Roman"/>
        </w:rPr>
      </w:pPr>
      <w:bookmarkStart w:id="50" w:name="_Toc222652730"/>
      <w:r w:rsidRPr="0044370F">
        <w:rPr>
          <w:rFonts w:eastAsia="Times New Roman"/>
        </w:rPr>
        <w:t xml:space="preserve">2.8 </w:t>
      </w:r>
      <w:r w:rsidRPr="0044370F">
        <w:rPr>
          <w:rFonts w:eastAsia="Times New Roman"/>
        </w:rPr>
        <w:tab/>
        <w:t>Summary and Link to Theoretical Framework</w:t>
      </w:r>
      <w:bookmarkEnd w:id="50"/>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subchapter synthesizes insights from four bodies of literature reviewed above, business administration, political economy, international relations, and technology studies, and clarifies how each contributes to understanding multinational technology corporations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 Together, these perspectives reveal that contemporary tech corporations operate in a hybrid space between market and state, exercising forms of authority that cannot be fully captured by any single disciplinary framework.</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Business administration scholarship demonstrates how firms increasingly assume public-facing roles by engaging in standard-setting, self-regulation, and governance functions traditionally associated with states. Research on corporate strategy, political CSR, and corporate citizenship highlights the internal motivations and organizational mechanisms through which corporations actively construct and legitimize their authority. Political economy situates these developments within the structural dynamics of global capitalism, emphasizing how neoliberal globalization, regulatory fragmentation, and transnational market integration have enabled the concentration of economic, informational, and infrastructural power in the hands of a small number of corporate actors.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International relations provide the conceptual vocabulary of sovereignty, legitimacy, and global order needed to interpret corporate power as a political phenomenon rather than as mere economic influence. While IR scholarship has begun to acknowledge private authority and governance beyond the state, it has largely treated technology corporations as exceptional cases rather than as systematically theorized actors within the international system. Technology studies complements this perspective by revealing how power is exercised through socio-technical systems, algorithms, and infrastructures. Concepts such as “code as law” and surveillance capitalism demonstrate that governance is increasingly embedded in technical design choices that shape behavior, access, and dependency at scale.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Importantly, these perspectives do not contribute equally to the dissertation's analytical aims. Political economy and business studies provide the primary explanatory foundations, accounting for the structural conditions and strategic agency that enable corporate authority. International relations and technology studies function as complementary interpretive lenses, clarifying the implications of corporate power for sovereignty, legitimacy, and the material implementation of governance through digital infrastructures.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Despite points of convergence, particularly around legitimacy, infrastructural power, and the blurring of public–private boundaries, the literature remains fragmented. No integrated framework currently explains how multinational technology corporations acquire, exercise, and stabilize sovereignty-like authority across economic, political, normative, and technological domains. Empirically, comparative research remains limited, with most studies focusing on a small subset of high-profile firms. Methodologically, existing approaches often struggle to capture the dynamic and opaque nature of digital power.</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Taken together, this literature review demonstrates both the necessity and the limits of existing theoretical approaches. While each perspective </w:t>
      </w:r>
      <w:proofErr w:type="gramStart"/>
      <w:r w:rsidRPr="0044370F">
        <w:rPr>
          <w:rFonts w:ascii="Times New Roman" w:eastAsia="Times New Roman" w:hAnsi="Times New Roman" w:cs="Times New Roman"/>
          <w:sz w:val="24"/>
          <w:szCs w:val="24"/>
        </w:rPr>
        <w:t>illuminates</w:t>
      </w:r>
      <w:proofErr w:type="gramEnd"/>
      <w:r w:rsidRPr="0044370F">
        <w:rPr>
          <w:rFonts w:ascii="Times New Roman" w:eastAsia="Times New Roman" w:hAnsi="Times New Roman" w:cs="Times New Roman"/>
          <w:sz w:val="24"/>
          <w:szCs w:val="24"/>
        </w:rPr>
        <w:t xml:space="preserve"> important aspects of corporate power, none alone can account for its hybrid and multi-dimensional character. Recognizing these gaps provides the rationale for moving beyond single-discipline explanations.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Addressing this challenge, the following chapter develops a hybrid analytical framework that integrates insights from critical international political economy, business and management studies, international relations, and science and technology studies. This framework provides the conceptual foundation for the comparative analysis that follows, enabling a systematic examination of how corporate quasi-sovereignty is constructed, exercised, and contested within the contemporary global order.</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following chapter builds directly on this synthesis by translating these interdisciplinary insights into a unified analytical framework capable of systematically examining corporate quasi-sovereignty across empirical cases.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Taken together, the literature reveals a persistent analytical gap. No existing approach explains how strategic resources, infrastructural control, normative legitimacy, and structural </w:t>
      </w:r>
      <w:r w:rsidRPr="0044370F">
        <w:rPr>
          <w:rFonts w:ascii="Times New Roman" w:eastAsia="Times New Roman" w:hAnsi="Times New Roman" w:cs="Times New Roman"/>
          <w:sz w:val="24"/>
          <w:szCs w:val="24"/>
        </w:rPr>
        <w:lastRenderedPageBreak/>
        <w:t xml:space="preserve">embeddedness interact to produce sovereignty-like authority. Each literature addresses only part of the phenomenon. </w:t>
      </w:r>
    </w:p>
    <w:p w:rsidR="0060194B" w:rsidRPr="0044370F" w:rsidRDefault="0060194B" w:rsidP="0060194B">
      <w:pPr>
        <w:spacing w:beforeAutospacing="1" w:after="100" w:afterAutospacing="1" w:line="360" w:lineRule="auto"/>
        <w:jc w:val="both"/>
      </w:pPr>
      <w:r w:rsidRPr="0044370F">
        <w:rPr>
          <w:rFonts w:ascii="Times New Roman" w:eastAsia="Times New Roman" w:hAnsi="Times New Roman" w:cs="Times New Roman"/>
          <w:sz w:val="24"/>
          <w:szCs w:val="24"/>
        </w:rPr>
        <w:t>This fragmentation necessitates an integrated analytical framework, developed in Chapter 3, capable of systematically examining corporate quasi-sovereignty across empirical cases.</w:t>
      </w:r>
    </w:p>
    <w:p w:rsidR="0060194B" w:rsidRPr="0044370F" w:rsidRDefault="0060194B">
      <w:r w:rsidRPr="0044370F">
        <w:br w:type="page"/>
      </w:r>
    </w:p>
    <w:p w:rsidR="0060194B" w:rsidRPr="0044370F" w:rsidRDefault="0060194B" w:rsidP="006D666E">
      <w:pPr>
        <w:pStyle w:val="1"/>
      </w:pPr>
      <w:bookmarkStart w:id="51" w:name="_Toc222652731"/>
      <w:r w:rsidRPr="0044370F">
        <w:lastRenderedPageBreak/>
        <w:t>Chapter 3</w:t>
      </w:r>
      <w:bookmarkEnd w:id="51"/>
    </w:p>
    <w:p w:rsidR="0060194B" w:rsidRPr="0044370F" w:rsidRDefault="0060194B" w:rsidP="006D666E">
      <w:pPr>
        <w:pStyle w:val="1"/>
      </w:pPr>
      <w:bookmarkStart w:id="52" w:name="_Toc222652732"/>
      <w:r w:rsidRPr="0044370F">
        <w:t>Theoretical Framework</w:t>
      </w:r>
      <w:bookmarkEnd w:id="52"/>
      <w:r w:rsidRPr="0044370F">
        <w:t xml:space="preserve"> </w:t>
      </w:r>
    </w:p>
    <w:p w:rsidR="006D666E" w:rsidRPr="0044370F" w:rsidRDefault="006D666E" w:rsidP="006D666E"/>
    <w:p w:rsidR="0060194B" w:rsidRPr="0044370F" w:rsidRDefault="0060194B" w:rsidP="006D666E">
      <w:pPr>
        <w:pStyle w:val="2"/>
      </w:pPr>
      <w:bookmarkStart w:id="53" w:name="_Toc222652733"/>
      <w:r w:rsidRPr="0044370F">
        <w:t>3.1 Introduction to the Analytical Model</w:t>
      </w:r>
      <w:bookmarkEnd w:id="53"/>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Chapter 3 mainly aims to establish a robust interdisciplinary foundation that can capture the emergence of multinational technology firms as quasi-sovereign entities in geopolitics.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Existing approaches tend to analyze corporate power through isolated lenses, such as market dominance, regulatory delegation, infrastructural control, or norm-setting, without explaining how these dimensions interact to produce sovereignty-like authority.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four-dimensional framework developed in this chapter enables systematic analysis of how strategic resources, structural embeddedness, normative legitimacy, and infrastructural power combine to generate durable, system-shaping corporate authority. This integrative capacity constitutes the core theoretical contribution of the model.</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Building on the insights from the literature reviews in Chapters 2.4 to 2.7, this chapter presents a conceptual framework that combines research from business administration, political economy, international relations (IR), and science and technology studies (STS).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This section outlines the rationale for a hybrid analytical model, explains its interdisciplinary foundation, and details its structural components.</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The goal is to provide a clear viewpoint for understanding how digital firms exercise sovereignty-like influence, impact global governance, and mediate authority between state and non-state structures</w:t>
      </w:r>
      <w:r w:rsidRPr="0044370F">
        <w:rPr>
          <w:rFonts w:cstheme="majorBidi"/>
        </w:rPr>
        <w:t>.</w:t>
      </w:r>
    </w:p>
    <w:p w:rsidR="0060194B" w:rsidRPr="0044370F" w:rsidRDefault="0060194B" w:rsidP="0060194B">
      <w:pPr>
        <w:spacing w:beforeAutospacing="1" w:after="100" w:afterAutospacing="1" w:line="360" w:lineRule="auto"/>
        <w:jc w:val="both"/>
        <w:rPr>
          <w:rStyle w:val="a4"/>
          <w:rFonts w:ascii="Times New Roman" w:eastAsia="Times New Roman" w:hAnsi="Times New Roman" w:cs="Times New Roman"/>
          <w:b w:val="0"/>
          <w:bCs w:val="0"/>
          <w:sz w:val="24"/>
          <w:szCs w:val="24"/>
        </w:rPr>
      </w:pPr>
      <w:r w:rsidRPr="0044370F">
        <w:rPr>
          <w:rFonts w:ascii="Times New Roman" w:eastAsia="Times New Roman" w:hAnsi="Times New Roman" w:cs="Times New Roman"/>
          <w:sz w:val="24"/>
          <w:szCs w:val="24"/>
        </w:rPr>
        <w:t>The chapter proceeds by first outlining the limits of single-disciplinary approaches, then building the case for theoretical integration, before developing and operationalizing the four-dimensional framework applied in subsequent case studies.</w:t>
      </w:r>
    </w:p>
    <w:p w:rsidR="0060194B" w:rsidRPr="0044370F" w:rsidRDefault="0060194B" w:rsidP="006D666E">
      <w:pPr>
        <w:pStyle w:val="3"/>
      </w:pPr>
      <w:bookmarkStart w:id="54" w:name="_Toc222652734"/>
      <w:r w:rsidRPr="0044370F">
        <w:rPr>
          <w:rStyle w:val="a4"/>
          <w:b/>
          <w:bCs/>
        </w:rPr>
        <w:lastRenderedPageBreak/>
        <w:t>3.1.1</w:t>
      </w:r>
      <w:r w:rsidRPr="0044370F">
        <w:rPr>
          <w:rStyle w:val="a4"/>
          <w:b/>
          <w:bCs/>
        </w:rPr>
        <w:tab/>
        <w:t>The Limits of Single-Disciplinary Models</w:t>
      </w:r>
      <w:bookmarkEnd w:id="54"/>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No single disciplinary tradition provides a sufficient explanation for how multinational technology corporations acquire sovereignty-like authority</w:t>
      </w:r>
      <w:r w:rsidRPr="0044370F">
        <w:rPr>
          <w:rFonts w:asciiTheme="majorBidi" w:hAnsiTheme="majorBidi" w:cstheme="majorBidi"/>
        </w:rPr>
        <w:t>. Business theory focuses on strategic positioning and resource mobilization but tends to ignore geopolitical context. Political economy reveals structural asymmetries and transnational flows of capital, but often underplays agency. IR concentrates on state-centric authority and legitimacy, leaving private governance underexplored. STS unpacks how digital infrastructures shape behavior and norms, but lacks macro-political framing.</w:t>
      </w:r>
    </w:p>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 xml:space="preserve">While valuable on their own, these literatures do not fully explain how firms like Meta, Huawei, or SAP operate simultaneously as economic entities, political actors, and infrastructural governors. </w:t>
      </w:r>
    </w:p>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 xml:space="preserve">The analytical model developed here addresses these gaps by integrating theories of strategic agency, </w:t>
      </w:r>
      <w:r w:rsidR="00960581" w:rsidRPr="0044370F">
        <w:rPr>
          <w:rFonts w:asciiTheme="majorBidi" w:hAnsiTheme="majorBidi" w:cstheme="majorBidi"/>
        </w:rPr>
        <w:t>structural embeddedness</w:t>
      </w:r>
      <w:r w:rsidRPr="0044370F">
        <w:rPr>
          <w:rFonts w:asciiTheme="majorBidi" w:hAnsiTheme="majorBidi" w:cstheme="majorBidi"/>
        </w:rPr>
        <w:t>, normative legitimacy, and infrastructural influence.</w:t>
      </w:r>
    </w:p>
    <w:p w:rsidR="0060194B" w:rsidRPr="0044370F" w:rsidRDefault="004A1856" w:rsidP="006D666E">
      <w:pPr>
        <w:pStyle w:val="3"/>
      </w:pPr>
      <w:bookmarkStart w:id="55" w:name="_Toc222652735"/>
      <w:r w:rsidRPr="0044370F">
        <w:pict>
          <v:rect id="_x0000_s1026" style="position:absolute;margin-left:0;margin-top:0;width:3276.75pt;height:.1pt;z-index:251661312;mso-position-horizontal:left;mso-position-horizontal-relative:text;mso-position-vertical-relative:text" o:hralign="center" o:hrstd="t" o:hr="t" fillcolor="#a0a0a0" stroked="f">
            <w10:wrap type="square" side="right"/>
          </v:rect>
        </w:pict>
      </w:r>
      <w:r w:rsidR="0060194B" w:rsidRPr="0044370F">
        <w:rPr>
          <w:rStyle w:val="a4"/>
          <w:b/>
          <w:bCs/>
        </w:rPr>
        <w:t>3.1.2</w:t>
      </w:r>
      <w:r w:rsidR="0060194B" w:rsidRPr="0044370F">
        <w:rPr>
          <w:rStyle w:val="a4"/>
          <w:b/>
          <w:bCs/>
        </w:rPr>
        <w:tab/>
        <w:t>The Case for Theoretical Integration</w:t>
      </w:r>
      <w:bookmarkEnd w:id="55"/>
    </w:p>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Digital corporations function across multiple institutional logics. As Crouch</w:t>
      </w:r>
      <w:r w:rsidRPr="0044370F">
        <w:rPr>
          <w:rStyle w:val="a8"/>
          <w:rFonts w:asciiTheme="majorBidi" w:hAnsiTheme="majorBidi" w:cstheme="majorBidi"/>
        </w:rPr>
        <w:footnoteReference w:id="69"/>
      </w:r>
      <w:r w:rsidRPr="0044370F">
        <w:rPr>
          <w:rFonts w:asciiTheme="majorBidi" w:hAnsiTheme="majorBidi" w:cstheme="majorBidi"/>
        </w:rPr>
        <w:t xml:space="preserve"> argues, the post-industrial corporation operates not merely as a market actor but as a hybrid institution, simultaneously private and public, global and local, commercial and normative. </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A single theoretical framework cannot capture this hybridity.</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An integrated model must explain how these firms govern at scale: setting standards, shaping discourse, and providing infrastructural functions once held by states. The proposed model does so by treating corporate power as distributed across </w:t>
      </w:r>
      <w:r w:rsidRPr="0044370F">
        <w:rPr>
          <w:rFonts w:asciiTheme="majorBidi" w:hAnsiTheme="majorBidi" w:cstheme="majorBidi"/>
          <w:b/>
          <w:bCs/>
        </w:rPr>
        <w:t>four interrelated dimensions</w:t>
      </w:r>
      <w:r w:rsidRPr="0044370F">
        <w:rPr>
          <w:rFonts w:asciiTheme="majorBidi" w:hAnsiTheme="majorBidi" w:cstheme="majorBidi"/>
        </w:rPr>
        <w:t>, each corresponding to a distinct form of influence:</w:t>
      </w:r>
    </w:p>
    <w:p w:rsidR="0060194B" w:rsidRPr="0044370F" w:rsidRDefault="0060194B" w:rsidP="0060194B">
      <w:pPr>
        <w:pStyle w:val="NormalWeb"/>
        <w:numPr>
          <w:ilvl w:val="0"/>
          <w:numId w:val="2"/>
        </w:numPr>
        <w:rPr>
          <w:rFonts w:asciiTheme="majorBidi" w:hAnsiTheme="majorBidi" w:cstheme="majorBidi"/>
        </w:rPr>
      </w:pPr>
      <w:r w:rsidRPr="0044370F">
        <w:rPr>
          <w:rStyle w:val="a4"/>
          <w:rFonts w:asciiTheme="majorBidi" w:hAnsiTheme="majorBidi" w:cstheme="majorBidi"/>
        </w:rPr>
        <w:t>Strategic Resource Control</w:t>
      </w:r>
      <w:r w:rsidRPr="0044370F">
        <w:rPr>
          <w:rFonts w:asciiTheme="majorBidi" w:hAnsiTheme="majorBidi" w:cstheme="majorBidi"/>
        </w:rPr>
        <w:t xml:space="preserve"> </w:t>
      </w:r>
    </w:p>
    <w:p w:rsidR="0060194B" w:rsidRPr="0044370F" w:rsidRDefault="0060194B" w:rsidP="0060194B">
      <w:pPr>
        <w:pStyle w:val="NormalWeb"/>
        <w:ind w:left="720"/>
        <w:rPr>
          <w:rFonts w:asciiTheme="majorBidi" w:hAnsiTheme="majorBidi" w:cstheme="majorBidi"/>
        </w:rPr>
      </w:pPr>
      <w:r w:rsidRPr="0044370F">
        <w:rPr>
          <w:rFonts w:asciiTheme="majorBidi" w:hAnsiTheme="majorBidi" w:cstheme="majorBidi"/>
        </w:rPr>
        <w:t>The ability to acquire, mobilize, and protect key assets such as data, algorithms, and platforms.</w:t>
      </w:r>
    </w:p>
    <w:p w:rsidR="0060194B" w:rsidRPr="0044370F" w:rsidRDefault="0060194B" w:rsidP="0060194B">
      <w:pPr>
        <w:pStyle w:val="NormalWeb"/>
        <w:numPr>
          <w:ilvl w:val="0"/>
          <w:numId w:val="2"/>
        </w:numPr>
        <w:rPr>
          <w:rFonts w:asciiTheme="majorBidi" w:hAnsiTheme="majorBidi" w:cstheme="majorBidi"/>
        </w:rPr>
      </w:pPr>
      <w:r w:rsidRPr="0044370F">
        <w:rPr>
          <w:rStyle w:val="a4"/>
          <w:rFonts w:asciiTheme="majorBidi" w:hAnsiTheme="majorBidi" w:cstheme="majorBidi"/>
        </w:rPr>
        <w:t>Structural Embeddedness</w:t>
      </w:r>
      <w:r w:rsidRPr="0044370F">
        <w:rPr>
          <w:rFonts w:asciiTheme="majorBidi" w:hAnsiTheme="majorBidi" w:cstheme="majorBidi"/>
        </w:rPr>
        <w:t xml:space="preserve"> </w:t>
      </w:r>
    </w:p>
    <w:p w:rsidR="0060194B" w:rsidRPr="0044370F" w:rsidRDefault="0060194B" w:rsidP="0060194B">
      <w:pPr>
        <w:pStyle w:val="NormalWeb"/>
        <w:ind w:left="720"/>
        <w:rPr>
          <w:rFonts w:asciiTheme="majorBidi" w:hAnsiTheme="majorBidi" w:cstheme="majorBidi"/>
        </w:rPr>
      </w:pPr>
      <w:r w:rsidRPr="0044370F">
        <w:rPr>
          <w:rFonts w:asciiTheme="majorBidi" w:hAnsiTheme="majorBidi" w:cstheme="majorBidi"/>
        </w:rPr>
        <w:lastRenderedPageBreak/>
        <w:t>Firms’ positioning within transnational political-economic systems that enable and constrain their authority.</w:t>
      </w:r>
    </w:p>
    <w:p w:rsidR="0060194B" w:rsidRPr="0044370F" w:rsidRDefault="0060194B" w:rsidP="0060194B">
      <w:pPr>
        <w:pStyle w:val="NormalWeb"/>
        <w:numPr>
          <w:ilvl w:val="0"/>
          <w:numId w:val="2"/>
        </w:numPr>
        <w:rPr>
          <w:rFonts w:asciiTheme="majorBidi" w:hAnsiTheme="majorBidi" w:cstheme="majorBidi"/>
        </w:rPr>
      </w:pPr>
      <w:r w:rsidRPr="0044370F">
        <w:rPr>
          <w:rStyle w:val="a4"/>
          <w:rFonts w:asciiTheme="majorBidi" w:hAnsiTheme="majorBidi" w:cstheme="majorBidi"/>
        </w:rPr>
        <w:t>Normative Legitimacy</w:t>
      </w:r>
      <w:r w:rsidRPr="0044370F">
        <w:rPr>
          <w:rFonts w:asciiTheme="majorBidi" w:hAnsiTheme="majorBidi" w:cstheme="majorBidi"/>
        </w:rPr>
        <w:t xml:space="preserve"> </w:t>
      </w:r>
    </w:p>
    <w:p w:rsidR="0060194B" w:rsidRPr="0044370F" w:rsidRDefault="0060194B" w:rsidP="0060194B">
      <w:pPr>
        <w:pStyle w:val="NormalWeb"/>
        <w:ind w:left="720"/>
        <w:rPr>
          <w:rFonts w:cstheme="majorBidi"/>
        </w:rPr>
      </w:pPr>
      <w:r w:rsidRPr="0044370F">
        <w:rPr>
          <w:rFonts w:asciiTheme="majorBidi" w:hAnsiTheme="majorBidi" w:cstheme="majorBidi"/>
        </w:rPr>
        <w:t>The discursive, institutional, and performative mechanisms through which corporations claim recognition and justify rule-making.</w:t>
      </w:r>
    </w:p>
    <w:p w:rsidR="0060194B" w:rsidRPr="0044370F" w:rsidRDefault="0060194B" w:rsidP="0060194B">
      <w:pPr>
        <w:pStyle w:val="NormalWeb"/>
        <w:numPr>
          <w:ilvl w:val="0"/>
          <w:numId w:val="2"/>
        </w:numPr>
        <w:rPr>
          <w:rFonts w:asciiTheme="majorBidi" w:hAnsiTheme="majorBidi" w:cstheme="majorBidi"/>
        </w:rPr>
      </w:pPr>
      <w:r w:rsidRPr="0044370F">
        <w:rPr>
          <w:rStyle w:val="a4"/>
          <w:rFonts w:asciiTheme="majorBidi" w:hAnsiTheme="majorBidi" w:cstheme="majorBidi"/>
        </w:rPr>
        <w:t>Infrastructural Power</w:t>
      </w:r>
      <w:r w:rsidRPr="0044370F">
        <w:rPr>
          <w:rFonts w:asciiTheme="majorBidi" w:hAnsiTheme="majorBidi" w:cstheme="majorBidi"/>
        </w:rPr>
        <w:t xml:space="preserve"> </w:t>
      </w:r>
    </w:p>
    <w:p w:rsidR="0060194B" w:rsidRPr="0044370F" w:rsidRDefault="0060194B" w:rsidP="0060194B">
      <w:pPr>
        <w:pStyle w:val="NormalWeb"/>
        <w:ind w:left="720"/>
        <w:rPr>
          <w:rFonts w:asciiTheme="majorBidi" w:hAnsiTheme="majorBidi" w:cstheme="majorBidi"/>
        </w:rPr>
      </w:pPr>
      <w:r w:rsidRPr="0044370F">
        <w:rPr>
          <w:rFonts w:asciiTheme="majorBidi" w:hAnsiTheme="majorBidi" w:cstheme="majorBidi"/>
        </w:rPr>
        <w:t>The capacity to govern through technical systems, platform architectures, standards, and code that shape behavior and structure interaction.</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 xml:space="preserve">Each of these dimensions is drawn from a different disciplinary base and speaks to a distinct mode of power. Taken together, they form a multi-dimensional apparatus through which </w:t>
      </w:r>
      <w:r w:rsidR="00960581" w:rsidRPr="0044370F">
        <w:rPr>
          <w:rFonts w:asciiTheme="majorBidi" w:hAnsiTheme="majorBidi" w:cstheme="majorBidi"/>
        </w:rPr>
        <w:t>corporate quasi-sovereignty</w:t>
      </w:r>
      <w:r w:rsidRPr="0044370F">
        <w:rPr>
          <w:rFonts w:asciiTheme="majorBidi" w:hAnsiTheme="majorBidi" w:cstheme="majorBidi"/>
        </w:rPr>
        <w:t xml:space="preserve"> is both exercised and contested.</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Existing approaches, such as global value chain and global production network frameworks, platform governance literature, private authority models in international relations, and digital sovereignty policy frameworks, each illuminate important aspects of corporate power. However, they tend to focus either on economic coordination, regulatory delegation, or policy capacity, without offering an integrated account of how authority is simultaneously accumulated, legitimized, and exercised across organizational, infrastructural, and geopolitical domains. The present framework builds on these insights while addressing their fragmentation by offering a unified analytical structure.</w:t>
      </w:r>
    </w:p>
    <w:p w:rsidR="0060194B" w:rsidRPr="0044370F" w:rsidRDefault="0060194B" w:rsidP="006D666E">
      <w:pPr>
        <w:pStyle w:val="3"/>
      </w:pPr>
      <w:bookmarkStart w:id="56" w:name="_Toc222652736"/>
      <w:r w:rsidRPr="0044370F">
        <w:rPr>
          <w:rStyle w:val="a4"/>
          <w:b/>
          <w:bCs/>
        </w:rPr>
        <w:t>3.1.3</w:t>
      </w:r>
      <w:r w:rsidRPr="0044370F">
        <w:rPr>
          <w:rStyle w:val="a4"/>
          <w:b/>
          <w:bCs/>
        </w:rPr>
        <w:tab/>
        <w:t>Framing the Analytical Objective</w:t>
      </w:r>
      <w:bookmarkEnd w:id="56"/>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The purpose of this chapter is not only to develop a conceptual vocabulary but also to create an operational framework for empirical application. This model will serve as the basis for the comparative case studies in Chapters 5-7, enabling systematic analysis of how different corporations manifest sovereignty-like authority under diverse geopolitical and institutional conditions.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The next sections of this chapter elaborate on each dimension of the framework in turn, identifying its theoretical roots, key mechanisms, and implications for cross-case analysis.</w:t>
      </w:r>
    </w:p>
    <w:p w:rsidR="0060194B" w:rsidRPr="0044370F" w:rsidRDefault="0060194B" w:rsidP="006D666E">
      <w:pPr>
        <w:pStyle w:val="2"/>
      </w:pPr>
      <w:bookmarkStart w:id="57" w:name="_Toc222652737"/>
      <w:r w:rsidRPr="0044370F">
        <w:rPr>
          <w:rStyle w:val="a4"/>
          <w:b/>
          <w:sz w:val="32"/>
          <w:szCs w:val="32"/>
        </w:rPr>
        <w:lastRenderedPageBreak/>
        <w:t>3.2 Political Economy and Critical Theory Foundations</w:t>
      </w:r>
      <w:bookmarkEnd w:id="57"/>
      <w:r w:rsidRPr="0044370F">
        <w:rPr>
          <w:rStyle w:val="a4"/>
          <w:b/>
          <w:sz w:val="32"/>
          <w:szCs w:val="32"/>
        </w:rPr>
        <w:t xml:space="preserve"> </w:t>
      </w:r>
    </w:p>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This section draws on critical international political economy to understand how global capitalism has enabled the rise of quasi-sovereign technology corporations. Rather than treating firms solely as economic actors, this perspective reveals how they embed themselves in the institutional, ideological, and infrastructural structures of the global political economy.</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Throughout this chapter, the term political economy refers specifically to critical international political economy (IPE), drawing on scholars such as Strange, Gill, and </w:t>
      </w:r>
      <w:proofErr w:type="spellStart"/>
      <w:r w:rsidRPr="0044370F">
        <w:rPr>
          <w:rFonts w:ascii="Times New Roman" w:eastAsia="Times New Roman" w:hAnsi="Times New Roman" w:cs="Times New Roman"/>
          <w:sz w:val="24"/>
          <w:szCs w:val="24"/>
        </w:rPr>
        <w:t>Wallerstein</w:t>
      </w:r>
      <w:proofErr w:type="spellEnd"/>
      <w:r w:rsidRPr="0044370F">
        <w:rPr>
          <w:rFonts w:ascii="Times New Roman" w:eastAsia="Times New Roman" w:hAnsi="Times New Roman" w:cs="Times New Roman"/>
          <w:sz w:val="24"/>
          <w:szCs w:val="24"/>
        </w:rPr>
        <w: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this section is grounded in critical international political economy (IPE), it is important to clarify that the normative dimensions of sovereignty and legitimacy invoked throughout the framework draw explicitly on political theory. Concepts such as the distinction between power and authority, the justification of rule, and the conditions under which governance claims become legitimate are not derived from political economy alone. Rather, they originate in political theory and are analytically integrated here as a foundational component of the broader IR tradition, ensuring that the framework distinguishes between structural power and legitimate authority.</w:t>
      </w:r>
    </w:p>
    <w:p w:rsidR="0060194B" w:rsidRPr="0044370F" w:rsidRDefault="0060194B" w:rsidP="006D666E">
      <w:pPr>
        <w:pStyle w:val="3"/>
      </w:pPr>
      <w:bookmarkStart w:id="58" w:name="_Toc222652738"/>
      <w:r w:rsidRPr="0044370F">
        <w:rPr>
          <w:rStyle w:val="a4"/>
          <w:b/>
          <w:bCs/>
        </w:rPr>
        <w:t>3.2.1</w:t>
      </w:r>
      <w:r w:rsidRPr="0044370F">
        <w:rPr>
          <w:rStyle w:val="a4"/>
          <w:b/>
          <w:bCs/>
        </w:rPr>
        <w:tab/>
        <w:t>Structural Power and Neoliberal Reconfiguration</w:t>
      </w:r>
      <w:bookmarkEnd w:id="58"/>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Susan </w:t>
      </w:r>
      <w:proofErr w:type="spellStart"/>
      <w:r w:rsidRPr="0044370F">
        <w:rPr>
          <w:rFonts w:asciiTheme="majorBidi" w:hAnsiTheme="majorBidi" w:cstheme="majorBidi"/>
        </w:rPr>
        <w:t>Strange’s</w:t>
      </w:r>
      <w:proofErr w:type="spellEnd"/>
      <w:r w:rsidRPr="0044370F">
        <w:rPr>
          <w:rStyle w:val="a8"/>
          <w:rFonts w:asciiTheme="majorBidi" w:hAnsiTheme="majorBidi" w:cstheme="majorBidi"/>
        </w:rPr>
        <w:footnoteReference w:id="70"/>
      </w:r>
      <w:r w:rsidRPr="0044370F">
        <w:rPr>
          <w:rFonts w:asciiTheme="majorBidi" w:hAnsiTheme="majorBidi" w:cstheme="majorBidi"/>
        </w:rPr>
        <w:t xml:space="preserve"> concept of </w:t>
      </w:r>
      <w:r w:rsidRPr="0044370F">
        <w:rPr>
          <w:rStyle w:val="a5"/>
          <w:rFonts w:asciiTheme="majorBidi" w:eastAsiaTheme="majorEastAsia" w:hAnsiTheme="majorBidi"/>
        </w:rPr>
        <w:t xml:space="preserve">structural power, </w:t>
      </w:r>
      <w:r w:rsidRPr="0044370F">
        <w:rPr>
          <w:rFonts w:asciiTheme="majorBidi" w:hAnsiTheme="majorBidi" w:cstheme="majorBidi"/>
        </w:rPr>
        <w:t>the power to shape the frameworks within which states and other actors operate, provides a foundational lens. In the digital era, this includes the power to define standards, control access to infrastructure, and influence global flows of information and capital. Tech corporations such as Meta, Huawei, and SAP increasingly operate not only within these structures but also as designers and regulators of them.</w:t>
      </w:r>
    </w:p>
    <w:p w:rsidR="0060194B" w:rsidRPr="0044370F" w:rsidRDefault="0060194B" w:rsidP="0060194B">
      <w:pPr>
        <w:pStyle w:val="NormalWeb"/>
        <w:spacing w:line="360" w:lineRule="auto"/>
        <w:jc w:val="both"/>
      </w:pPr>
      <w:r w:rsidRPr="0044370F">
        <w:rPr>
          <w:rFonts w:asciiTheme="majorBidi" w:hAnsiTheme="majorBidi" w:cstheme="majorBidi"/>
        </w:rPr>
        <w:t>Neoliberal globalization has accelerated this shift. Stephen Gill’s</w:t>
      </w:r>
      <w:r w:rsidRPr="0044370F">
        <w:rPr>
          <w:rStyle w:val="a8"/>
          <w:rFonts w:asciiTheme="majorBidi" w:hAnsiTheme="majorBidi" w:cstheme="majorBidi"/>
        </w:rPr>
        <w:footnoteReference w:id="71"/>
      </w:r>
      <w:r w:rsidRPr="0044370F">
        <w:rPr>
          <w:rFonts w:asciiTheme="majorBidi" w:hAnsiTheme="majorBidi" w:cstheme="majorBidi"/>
        </w:rPr>
        <w:t xml:space="preserve"> </w:t>
      </w:r>
      <w:r w:rsidRPr="0044370F">
        <w:t xml:space="preserve">concept of disciplinary neoliberalism illustrates how governance has been reconfigured to emphasize market logic, delegating public responsibilities to private entities. This ideological and institutional reorganization enables corporations to assume quasi-regulatory functions, frequently without the </w:t>
      </w:r>
      <w:r w:rsidRPr="0044370F">
        <w:lastRenderedPageBreak/>
        <w:t>limitations of democratic supervision. Digital companies, therefore, acquire legitimacy and power by taking on responsibilities previously held by governments, regulating discourse, safeguarding communications, or overseeing digital identities.</w:t>
      </w:r>
    </w:p>
    <w:p w:rsidR="0060194B" w:rsidRPr="0044370F" w:rsidRDefault="0060194B" w:rsidP="006D666E">
      <w:pPr>
        <w:pStyle w:val="3"/>
      </w:pPr>
      <w:bookmarkStart w:id="59" w:name="_Toc222652739"/>
      <w:r w:rsidRPr="0044370F">
        <w:rPr>
          <w:rStyle w:val="a4"/>
          <w:b/>
          <w:bCs/>
        </w:rPr>
        <w:t>3.2.2</w:t>
      </w:r>
      <w:r w:rsidRPr="0044370F">
        <w:rPr>
          <w:rStyle w:val="a4"/>
          <w:b/>
          <w:bCs/>
        </w:rPr>
        <w:tab/>
        <w:t>Hegemony and Consent in the Digital Economy</w:t>
      </w:r>
      <w:bookmarkEnd w:id="59"/>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Antonio Gramsci’s</w:t>
      </w:r>
      <w:r w:rsidRPr="0044370F">
        <w:rPr>
          <w:rStyle w:val="a8"/>
          <w:rFonts w:asciiTheme="majorBidi" w:hAnsiTheme="majorBidi" w:cstheme="majorBidi"/>
        </w:rPr>
        <w:footnoteReference w:id="72"/>
      </w:r>
      <w:r w:rsidRPr="0044370F">
        <w:rPr>
          <w:rFonts w:asciiTheme="majorBidi" w:hAnsiTheme="majorBidi" w:cstheme="majorBidi"/>
        </w:rPr>
        <w:t xml:space="preserve"> idea of hegemony is especially important for understanding how this power is upheld. Hegemony includes not just forceful domination but also cultural and ideological direction. Technology firms gain approval by promoting narratives of progress, fairness, and connectedness. Their infrastructures become embedded in daily life, and their services are recognized as essential public utilities.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Through this kind of discursive framing, technology firms transform market power into political clout. Meta's emphasis on "global community," for example, reinforces its role in influencing public conversation. Huawei’s association with themes of national sovereignty allows it to frame infrastructure development as a way to promote self-determination for the Global South.</w:t>
      </w:r>
    </w:p>
    <w:p w:rsidR="0060194B" w:rsidRPr="0044370F" w:rsidRDefault="0060194B" w:rsidP="0060194B">
      <w:pPr>
        <w:pStyle w:val="NormalWeb"/>
        <w:spacing w:line="360" w:lineRule="auto"/>
        <w:jc w:val="both"/>
        <w:rPr>
          <w:rFonts w:asciiTheme="majorBidi" w:hAnsiTheme="majorBidi" w:cstheme="majorBidi"/>
        </w:rPr>
      </w:pPr>
      <w:proofErr w:type="spellStart"/>
      <w:r w:rsidRPr="0044370F">
        <w:rPr>
          <w:rFonts w:asciiTheme="majorBidi" w:hAnsiTheme="majorBidi" w:cstheme="majorBidi"/>
        </w:rPr>
        <w:t>Zuboff’s</w:t>
      </w:r>
      <w:proofErr w:type="spellEnd"/>
      <w:r w:rsidRPr="0044370F">
        <w:rPr>
          <w:rStyle w:val="a8"/>
          <w:rFonts w:asciiTheme="majorBidi" w:hAnsiTheme="majorBidi" w:cstheme="majorBidi"/>
        </w:rPr>
        <w:footnoteReference w:id="73"/>
      </w:r>
      <w:r w:rsidRPr="0044370F">
        <w:rPr>
          <w:rFonts w:asciiTheme="majorBidi" w:hAnsiTheme="majorBidi" w:cstheme="majorBidi"/>
        </w:rPr>
        <w:t xml:space="preserve"> concept of </w:t>
      </w:r>
      <w:r w:rsidRPr="0044370F">
        <w:rPr>
          <w:i/>
          <w:iCs/>
        </w:rPr>
        <w:t>surveillance capitalism</w:t>
      </w:r>
      <w:r w:rsidRPr="0044370F">
        <w:rPr>
          <w:rFonts w:asciiTheme="majorBidi" w:hAnsiTheme="majorBidi" w:cstheme="majorBidi"/>
        </w:rPr>
        <w:t xml:space="preserve"> extends this argument by showing how behavioral data extraction both underpins economic models and reinforces power asymmetries. Firms not only predict behavior, but they also shape it. Governance is thus enacted through continuous monitoring, algorithmic nudging, and the commodification of experience.</w:t>
      </w:r>
    </w:p>
    <w:p w:rsidR="0060194B" w:rsidRPr="0044370F" w:rsidRDefault="0060194B" w:rsidP="006D666E">
      <w:pPr>
        <w:pStyle w:val="3"/>
      </w:pPr>
      <w:bookmarkStart w:id="60" w:name="_Toc222652740"/>
      <w:r w:rsidRPr="0044370F">
        <w:rPr>
          <w:rStyle w:val="a4"/>
          <w:b/>
          <w:bCs/>
        </w:rPr>
        <w:t>3.2.3</w:t>
      </w:r>
      <w:r w:rsidRPr="0044370F">
        <w:rPr>
          <w:rStyle w:val="a4"/>
          <w:b/>
          <w:bCs/>
        </w:rPr>
        <w:tab/>
        <w:t>World-Systems Theory and Global Stratification</w:t>
      </w:r>
      <w:bookmarkEnd w:id="60"/>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Immanuel </w:t>
      </w:r>
      <w:proofErr w:type="spellStart"/>
      <w:r w:rsidRPr="0044370F">
        <w:rPr>
          <w:rFonts w:asciiTheme="majorBidi" w:hAnsiTheme="majorBidi" w:cstheme="majorBidi"/>
        </w:rPr>
        <w:t>Wallerstein’s</w:t>
      </w:r>
      <w:proofErr w:type="spellEnd"/>
      <w:r w:rsidRPr="0044370F">
        <w:rPr>
          <w:rStyle w:val="a8"/>
          <w:rFonts w:asciiTheme="majorBidi" w:hAnsiTheme="majorBidi" w:cstheme="majorBidi"/>
        </w:rPr>
        <w:footnoteReference w:id="74"/>
      </w:r>
      <w:r w:rsidRPr="0044370F">
        <w:rPr>
          <w:rFonts w:asciiTheme="majorBidi" w:hAnsiTheme="majorBidi" w:cstheme="majorBidi"/>
        </w:rPr>
        <w:t xml:space="preserve"> </w:t>
      </w:r>
      <w:r w:rsidRPr="0044370F">
        <w:rPr>
          <w:rStyle w:val="a5"/>
          <w:rFonts w:asciiTheme="majorBidi" w:eastAsiaTheme="majorEastAsia" w:hAnsiTheme="majorBidi"/>
        </w:rPr>
        <w:t>world-systems theory</w:t>
      </w:r>
      <w:r w:rsidRPr="0044370F">
        <w:rPr>
          <w:rFonts w:asciiTheme="majorBidi" w:hAnsiTheme="majorBidi" w:cstheme="majorBidi"/>
        </w:rPr>
        <w:t xml:space="preserve"> situates tech corporations within a hierarchical global structure. These firms act as “core” institutions, organizing flows of capital, information, and labor across peripheral regions. Their operations often reinforce dependency by centralizing data control and defining technological standards that peripheral actors must adopt.</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lastRenderedPageBreak/>
        <w:t>Viewed this way, digital companies are not unique entities but rather products and agents of a worldwide framework defined by disparity. Their capacity to derive value across regions, influence policy through subtle persuasion, and establish the conditions for involvement highlights their fundamental role in perpetuating core-periphery dynamics.</w:t>
      </w:r>
    </w:p>
    <w:p w:rsidR="0060194B" w:rsidRPr="0044370F" w:rsidRDefault="0060194B" w:rsidP="006D666E">
      <w:pPr>
        <w:pStyle w:val="3"/>
      </w:pPr>
      <w:bookmarkStart w:id="61" w:name="_Toc222652741"/>
      <w:r w:rsidRPr="0044370F">
        <w:rPr>
          <w:rStyle w:val="a4"/>
          <w:b/>
          <w:bCs/>
        </w:rPr>
        <w:t>3.2.4</w:t>
      </w:r>
      <w:r w:rsidRPr="0044370F">
        <w:rPr>
          <w:rStyle w:val="a4"/>
          <w:b/>
          <w:bCs/>
        </w:rPr>
        <w:tab/>
        <w:t>Synthesis</w:t>
      </w:r>
      <w:bookmarkEnd w:id="61"/>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Collectively, these viewpoints reposition technology companies as political entities integrated within the structure of global capitalism. The attributes resembling sovereignty are not coincidental but are facilitated by institutional structures, ideological stories, and infrastructural dependencies. Structural power, ideological dominance, and systemic integration collaborate to enable these companies to function as transnational regulators.</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This foundation informs the hybrid framework developed in the next section, where these insights are integrated with theories from management, international relations, and technology studies to construct a multidimensional model of corporate authority.</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political economy insights establish the structural conditions under which corporate quasi-sovereignty becomes possible, setting the stage for the organizational and strategic mechanisms examined in the next section.</w:t>
      </w:r>
    </w:p>
    <w:p w:rsidR="0060194B" w:rsidRPr="0044370F" w:rsidRDefault="0060194B" w:rsidP="006D666E">
      <w:pPr>
        <w:pStyle w:val="2"/>
      </w:pPr>
      <w:bookmarkStart w:id="62" w:name="_Toc222652742"/>
      <w:r w:rsidRPr="0044370F">
        <w:rPr>
          <w:rStyle w:val="a4"/>
          <w:b/>
          <w:sz w:val="32"/>
          <w:szCs w:val="32"/>
        </w:rPr>
        <w:t>3.3 Business and Management Theories of Strategic Power</w:t>
      </w:r>
      <w:bookmarkEnd w:id="62"/>
      <w:r w:rsidRPr="0044370F">
        <w:rPr>
          <w:rStyle w:val="a4"/>
          <w:b/>
          <w:sz w:val="32"/>
          <w:szCs w:val="32"/>
        </w:rPr>
        <w:t xml:space="preserve"> </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This section applies business and management theory to explain how multinational technology corporations accumulate and exercise strategic power. often described as “tech empires,” these firms command vast resources, shape stakeholder environments, and influence institutional norms. Three theoretical perspectives are used: </w:t>
      </w:r>
      <w:r w:rsidRPr="0044370F">
        <w:rPr>
          <w:rStyle w:val="a4"/>
          <w:rFonts w:asciiTheme="majorBidi" w:hAnsiTheme="majorBidi" w:cstheme="majorBidi"/>
        </w:rPr>
        <w:t>Resource-Based View (RBV)</w:t>
      </w:r>
      <w:r w:rsidRPr="0044370F">
        <w:rPr>
          <w:rFonts w:asciiTheme="majorBidi" w:hAnsiTheme="majorBidi" w:cstheme="majorBidi"/>
          <w:b/>
          <w:bCs/>
        </w:rPr>
        <w:t xml:space="preserve">, </w:t>
      </w:r>
      <w:r w:rsidRPr="0044370F">
        <w:rPr>
          <w:rStyle w:val="a4"/>
          <w:rFonts w:asciiTheme="majorBidi" w:hAnsiTheme="majorBidi" w:cstheme="majorBidi"/>
        </w:rPr>
        <w:t>Stakeholder Theory</w:t>
      </w:r>
      <w:r w:rsidRPr="0044370F">
        <w:rPr>
          <w:rFonts w:asciiTheme="majorBidi" w:hAnsiTheme="majorBidi" w:cstheme="majorBidi"/>
        </w:rPr>
        <w:t xml:space="preserve">, and </w:t>
      </w:r>
      <w:r w:rsidRPr="0044370F">
        <w:rPr>
          <w:rStyle w:val="a4"/>
          <w:rFonts w:asciiTheme="majorBidi" w:hAnsiTheme="majorBidi" w:cstheme="majorBidi"/>
        </w:rPr>
        <w:t>Institutional Entrepreneurship</w:t>
      </w:r>
      <w:r w:rsidRPr="0044370F">
        <w:rPr>
          <w:rFonts w:asciiTheme="majorBidi" w:hAnsiTheme="majorBidi" w:cstheme="majorBidi"/>
        </w:rPr>
        <w:t xml:space="preserve">. </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Together, they reveal how corporate dominance is sustained through resource control, stakeholder legitimacy, and institutional shaping.</w:t>
      </w:r>
    </w:p>
    <w:p w:rsidR="006460CE" w:rsidRPr="0044370F" w:rsidRDefault="006460CE" w:rsidP="0060194B">
      <w:pPr>
        <w:pStyle w:val="NormalWeb"/>
        <w:spacing w:line="360" w:lineRule="auto"/>
        <w:jc w:val="both"/>
        <w:rPr>
          <w:rFonts w:asciiTheme="majorBidi" w:hAnsiTheme="majorBidi" w:cstheme="majorBidi"/>
        </w:rPr>
      </w:pPr>
    </w:p>
    <w:p w:rsidR="0060194B" w:rsidRPr="0044370F" w:rsidRDefault="0060194B" w:rsidP="006460CE">
      <w:pPr>
        <w:pStyle w:val="3"/>
      </w:pPr>
      <w:bookmarkStart w:id="63" w:name="_Toc222652743"/>
      <w:r w:rsidRPr="0044370F">
        <w:rPr>
          <w:rStyle w:val="a4"/>
          <w:b/>
          <w:bCs/>
        </w:rPr>
        <w:lastRenderedPageBreak/>
        <w:t>3.3.1</w:t>
      </w:r>
      <w:r w:rsidRPr="0044370F">
        <w:rPr>
          <w:rStyle w:val="a4"/>
          <w:b/>
          <w:bCs/>
        </w:rPr>
        <w:tab/>
        <w:t>Resource-Based View: Strategic Resources and Capabilities</w:t>
      </w:r>
      <w:bookmarkEnd w:id="63"/>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RBV posits that sustained competitive advantage arises from firm-specific resources that are </w:t>
      </w:r>
      <w:r w:rsidRPr="0044370F">
        <w:rPr>
          <w:rStyle w:val="a4"/>
          <w:rFonts w:asciiTheme="majorBidi" w:hAnsiTheme="majorBidi" w:cstheme="majorBidi"/>
        </w:rPr>
        <w:t>valuable</w:t>
      </w:r>
      <w:r w:rsidRPr="0044370F">
        <w:rPr>
          <w:rFonts w:asciiTheme="majorBidi" w:hAnsiTheme="majorBidi" w:cstheme="majorBidi"/>
        </w:rPr>
        <w:t xml:space="preserve">, </w:t>
      </w:r>
      <w:r w:rsidRPr="0044370F">
        <w:rPr>
          <w:rStyle w:val="a4"/>
          <w:rFonts w:asciiTheme="majorBidi" w:hAnsiTheme="majorBidi" w:cstheme="majorBidi"/>
        </w:rPr>
        <w:t>rare</w:t>
      </w:r>
      <w:r w:rsidRPr="0044370F">
        <w:rPr>
          <w:rFonts w:asciiTheme="majorBidi" w:hAnsiTheme="majorBidi" w:cstheme="majorBidi"/>
        </w:rPr>
        <w:t xml:space="preserve">, </w:t>
      </w:r>
      <w:r w:rsidRPr="0044370F">
        <w:rPr>
          <w:rStyle w:val="a4"/>
          <w:rFonts w:asciiTheme="majorBidi" w:hAnsiTheme="majorBidi" w:cstheme="majorBidi"/>
        </w:rPr>
        <w:t>inimitable</w:t>
      </w:r>
      <w:r w:rsidRPr="0044370F">
        <w:rPr>
          <w:rFonts w:asciiTheme="majorBidi" w:hAnsiTheme="majorBidi" w:cstheme="majorBidi"/>
        </w:rPr>
        <w:t xml:space="preserve">, and </w:t>
      </w:r>
      <w:r w:rsidRPr="0044370F">
        <w:rPr>
          <w:rStyle w:val="a4"/>
          <w:rFonts w:asciiTheme="majorBidi" w:hAnsiTheme="majorBidi" w:cstheme="majorBidi"/>
        </w:rPr>
        <w:t>non-substitutable</w:t>
      </w:r>
      <w:r w:rsidRPr="0044370F">
        <w:rPr>
          <w:rStyle w:val="a8"/>
          <w:rFonts w:asciiTheme="majorBidi" w:hAnsiTheme="majorBidi" w:cstheme="majorBidi"/>
          <w:b/>
          <w:bCs/>
        </w:rPr>
        <w:footnoteReference w:id="75"/>
      </w:r>
      <w:r w:rsidRPr="0044370F">
        <w:rPr>
          <w:rFonts w:asciiTheme="majorBidi" w:hAnsiTheme="majorBidi" w:cstheme="majorBidi"/>
        </w:rPr>
        <w:t xml:space="preserve">. </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In the digital economy, such resources include data repositories, proprietary algorithms, advanced technologies, and platform ecosystems</w:t>
      </w:r>
      <w:r w:rsidRPr="0044370F">
        <w:rPr>
          <w:rStyle w:val="a8"/>
          <w:rFonts w:asciiTheme="majorBidi" w:hAnsiTheme="majorBidi" w:cstheme="majorBidi"/>
        </w:rPr>
        <w:footnoteReference w:id="76"/>
      </w:r>
      <w:r w:rsidRPr="0044370F">
        <w:rPr>
          <w:rFonts w:asciiTheme="majorBidi" w:hAnsiTheme="majorBidi" w:cstheme="majorBidi"/>
        </w:rPr>
        <w:t>. These assets form the foundation of corporate power.</w:t>
      </w:r>
    </w:p>
    <w:p w:rsidR="00ED5A0F" w:rsidRPr="0044370F" w:rsidRDefault="0060194B" w:rsidP="00ED5A0F">
      <w:pPr>
        <w:pStyle w:val="NormalWeb"/>
        <w:spacing w:line="360" w:lineRule="auto"/>
        <w:jc w:val="both"/>
        <w:rPr>
          <w:rFonts w:asciiTheme="majorBidi" w:hAnsiTheme="majorBidi" w:cstheme="majorBidi"/>
        </w:rPr>
      </w:pPr>
      <w:r w:rsidRPr="0044370F">
        <w:rPr>
          <w:rFonts w:asciiTheme="majorBidi" w:hAnsiTheme="majorBidi" w:cstheme="majorBidi"/>
        </w:rPr>
        <w:t>Technology companies allocate funds for research and development as well as intellectual property, amassing valuable resources that are hard to duplicate. User information, AI functionalities, and platform dependencies create network effects and build significant entry barriers. These companies also exhibit dynamic capabilities, signifying their capacity to reorganize resources in reaction to technological advancements</w:t>
      </w:r>
      <w:r w:rsidRPr="0044370F">
        <w:rPr>
          <w:rStyle w:val="a8"/>
          <w:rFonts w:asciiTheme="majorBidi" w:hAnsiTheme="majorBidi" w:cstheme="majorBidi"/>
        </w:rPr>
        <w:footnoteReference w:id="77"/>
      </w:r>
      <w:r w:rsidRPr="0044370F">
        <w:rPr>
          <w:rFonts w:asciiTheme="majorBidi" w:hAnsiTheme="majorBidi" w:cstheme="majorBidi"/>
        </w:rPr>
        <w:t>. Purchases, internal reallocations, and prompt implementations allow them to counteract new dangers and strengthen control.</w:t>
      </w:r>
    </w:p>
    <w:p w:rsidR="0060194B" w:rsidRPr="0044370F" w:rsidRDefault="0060194B" w:rsidP="00ED5A0F">
      <w:pPr>
        <w:pStyle w:val="NormalWeb"/>
        <w:spacing w:line="360" w:lineRule="auto"/>
        <w:jc w:val="both"/>
        <w:rPr>
          <w:rFonts w:asciiTheme="majorBidi" w:hAnsiTheme="majorBidi" w:cstheme="majorBidi"/>
        </w:rPr>
      </w:pPr>
      <w:r w:rsidRPr="0044370F">
        <w:rPr>
          <w:rFonts w:asciiTheme="majorBidi" w:hAnsiTheme="majorBidi" w:cstheme="majorBidi"/>
        </w:rPr>
        <w:t>RBV emphasizes how technology companies convert resource management into market authority and impact outside of business realms, establishing benchmarks, influencing user actions, and bargaining from a standpoint of strategic power.</w:t>
      </w:r>
    </w:p>
    <w:p w:rsidR="0060194B" w:rsidRPr="0044370F" w:rsidRDefault="0060194B" w:rsidP="006460CE">
      <w:pPr>
        <w:pStyle w:val="3"/>
      </w:pPr>
      <w:bookmarkStart w:id="64" w:name="_Toc222652744"/>
      <w:r w:rsidRPr="0044370F">
        <w:rPr>
          <w:rStyle w:val="a4"/>
          <w:b/>
          <w:bCs/>
        </w:rPr>
        <w:t>3.3.2</w:t>
      </w:r>
      <w:r w:rsidRPr="0044370F">
        <w:rPr>
          <w:rStyle w:val="a4"/>
          <w:b/>
          <w:bCs/>
        </w:rPr>
        <w:tab/>
        <w:t>Stakeholder Theory: Legitimacy and Relationship Management</w:t>
      </w:r>
      <w:bookmarkEnd w:id="64"/>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Stakeholder Theory emphasizes that corporate power depends on trust and legitimacy among all groups affected by the firm’s operations, employees, customers, regulators, and communities</w:t>
      </w:r>
      <w:r w:rsidRPr="0044370F">
        <w:rPr>
          <w:rStyle w:val="a8"/>
          <w:rFonts w:asciiTheme="majorBidi" w:hAnsiTheme="majorBidi" w:cstheme="majorBidi"/>
        </w:rPr>
        <w:footnoteReference w:id="78"/>
      </w:r>
      <w:r w:rsidRPr="0044370F">
        <w:rPr>
          <w:rFonts w:asciiTheme="majorBidi" w:hAnsiTheme="majorBidi" w:cstheme="majorBidi"/>
        </w:rPr>
        <w:t>. Gaining stakeholder approval enhances a firm’s “social license to operate” and provides resilience against backlash</w:t>
      </w:r>
      <w:r w:rsidRPr="0044370F">
        <w:rPr>
          <w:rStyle w:val="a8"/>
          <w:rFonts w:asciiTheme="majorBidi" w:hAnsiTheme="majorBidi" w:cstheme="majorBidi"/>
        </w:rPr>
        <w:footnoteReference w:id="79"/>
      </w:r>
      <w:r w:rsidRPr="0044370F">
        <w:rPr>
          <w:rFonts w:asciiTheme="majorBidi" w:hAnsiTheme="majorBidi" w:cstheme="majorBidi"/>
        </w:rPr>
        <w:t>.</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lastRenderedPageBreak/>
        <w:t>Global tech firms operate within complex stakeholder ecosystems. Their strategic management of salient actors</w:t>
      </w:r>
      <w:r w:rsidRPr="0044370F">
        <w:rPr>
          <w:rStyle w:val="a8"/>
          <w:rFonts w:asciiTheme="majorBidi" w:hAnsiTheme="majorBidi" w:cstheme="majorBidi"/>
        </w:rPr>
        <w:footnoteReference w:id="80"/>
      </w:r>
      <w:r w:rsidRPr="0044370F">
        <w:rPr>
          <w:rFonts w:asciiTheme="majorBidi" w:hAnsiTheme="majorBidi" w:cstheme="majorBidi"/>
        </w:rPr>
        <w:t>, like regulators, users, and employees, helps them pre-empt opposition and secure support. Engaging with privacy concerns, labor conditions, or policy debates enables firms to preserve autonomy and minimize regulatory threats.</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 xml:space="preserve">Firms often adopt </w:t>
      </w:r>
      <w:r w:rsidRPr="0044370F">
        <w:rPr>
          <w:rStyle w:val="a4"/>
          <w:rFonts w:asciiTheme="majorBidi" w:hAnsiTheme="majorBidi" w:cstheme="majorBidi"/>
        </w:rPr>
        <w:t>political CSR</w:t>
      </w:r>
      <w:r w:rsidRPr="0044370F">
        <w:rPr>
          <w:rFonts w:asciiTheme="majorBidi" w:hAnsiTheme="majorBidi" w:cstheme="majorBidi"/>
        </w:rPr>
        <w:t>, voluntary standards, and public good initiatives, not only as ethical commitments but as strategic actions to build soft power</w:t>
      </w:r>
      <w:r w:rsidRPr="0044370F">
        <w:rPr>
          <w:rStyle w:val="a8"/>
          <w:rFonts w:asciiTheme="majorBidi" w:hAnsiTheme="majorBidi" w:cstheme="majorBidi"/>
        </w:rPr>
        <w:footnoteReference w:id="81"/>
      </w:r>
      <w:r w:rsidRPr="0044370F">
        <w:rPr>
          <w:rFonts w:asciiTheme="majorBidi" w:hAnsiTheme="majorBidi" w:cstheme="majorBidi"/>
        </w:rPr>
        <w:t>.  This legitimacy complements their economic clout, reinforcing their position in global governance.</w:t>
      </w:r>
    </w:p>
    <w:p w:rsidR="0060194B" w:rsidRPr="0044370F" w:rsidRDefault="0060194B" w:rsidP="006460CE">
      <w:pPr>
        <w:pStyle w:val="3"/>
      </w:pPr>
      <w:bookmarkStart w:id="65" w:name="_Toc222652745"/>
      <w:r w:rsidRPr="0044370F">
        <w:rPr>
          <w:rStyle w:val="a4"/>
          <w:b/>
          <w:bCs/>
        </w:rPr>
        <w:t>3.3.3</w:t>
      </w:r>
      <w:r w:rsidRPr="0044370F">
        <w:rPr>
          <w:rStyle w:val="a4"/>
          <w:b/>
          <w:bCs/>
        </w:rPr>
        <w:tab/>
        <w:t>Institutional Entrepreneurship: Shaping the Rules of the Game</w:t>
      </w:r>
      <w:bookmarkEnd w:id="65"/>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In addition to responding to institutions, tech companies also actively transform them. Institutional Entrepreneurship refers to how individuals with adequate resources modify regulatory, normative, and technical frameworks to align with their interests</w:t>
      </w:r>
      <w:r w:rsidRPr="0044370F">
        <w:footnoteReference w:id="82"/>
      </w:r>
      <w:r w:rsidRPr="0044370F">
        <w:rPr>
          <w:rFonts w:asciiTheme="majorBidi" w:hAnsiTheme="majorBidi" w:cstheme="majorBidi"/>
        </w:rPr>
        <w:t>.</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Companies advocate for beneficial policies, encourage self-regulation, and sway discussions on privacy, antitrust, and platform management. They build legitimacy for the institutional innovations they create through industry consortia and multi-stakeholder initiatives. Instances involve the establishment of Facebook’s Oversight Board and the worldwide promotion of data portability standards.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They also create </w:t>
      </w:r>
      <w:r w:rsidRPr="0044370F">
        <w:rPr>
          <w:b/>
          <w:bCs/>
        </w:rPr>
        <w:t>de facto private regimes</w:t>
      </w:r>
      <w:r w:rsidRPr="0044370F">
        <w:rPr>
          <w:rFonts w:asciiTheme="majorBidi" w:hAnsiTheme="majorBidi" w:cstheme="majorBidi"/>
        </w:rPr>
        <w:t xml:space="preserve"> through dominant platforms, app store policies, and technical interfaces that function as rule systems for entire markets</w:t>
      </w:r>
      <w:r w:rsidRPr="0044370F">
        <w:rPr>
          <w:rStyle w:val="a8"/>
          <w:rFonts w:asciiTheme="majorBidi" w:hAnsiTheme="majorBidi" w:cstheme="majorBidi"/>
        </w:rPr>
        <w:footnoteReference w:id="83"/>
      </w:r>
      <w:r w:rsidRPr="0044370F">
        <w:rPr>
          <w:rFonts w:asciiTheme="majorBidi" w:hAnsiTheme="majorBidi" w:cstheme="majorBidi"/>
        </w:rPr>
        <w:t>. Such architectures establish firms as regulators of their ecosystems, extending their authority far beyond traditional corporate domains.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lastRenderedPageBreak/>
        <w:t>Institutional entrepreneurship demands strategic vision and resource strength, abilities that tech MNCs have in great measure. Their impact extends across both material and conceptual domains: establishing regulations via technology and influencing public dialogue through framing, advocacy, and expert credibility.</w:t>
      </w:r>
    </w:p>
    <w:p w:rsidR="0060194B" w:rsidRPr="0044370F" w:rsidRDefault="0060194B" w:rsidP="006460CE">
      <w:pPr>
        <w:pStyle w:val="3"/>
      </w:pPr>
      <w:bookmarkStart w:id="66" w:name="_Toc222652746"/>
      <w:r w:rsidRPr="0044370F">
        <w:rPr>
          <w:rStyle w:val="a4"/>
          <w:b/>
          <w:bCs/>
        </w:rPr>
        <w:t>3.3.4</w:t>
      </w:r>
      <w:r w:rsidRPr="0044370F">
        <w:rPr>
          <w:rStyle w:val="a4"/>
          <w:b/>
          <w:bCs/>
        </w:rPr>
        <w:tab/>
        <w:t>Synthesis: Strategic Power Across Three Dimensions</w:t>
      </w:r>
      <w:bookmarkEnd w:id="66"/>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RBV defines power in terms of dominance over resources; Stakeholder Theory depicts power through the lens of legitimacy; Institutional Entrepreneurship considers power as the capacity to influence institutions. These dimensions are connected: robust resource foundations enable stakeholder engagement and policy development; legitimacy allows for easier resource utilization and regulatory access; institutional innovations safeguard and enhance both.</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Together, these theories illustrate how technology companies function as quasi-sovereign entities, possessing economic strength, political influence, and the ability to shape standards. Their strategic influence is not coincidental but rather developed through intentional actions to manage resources, gain trust, and influence governance.</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these mechanisms explain how corporate power is constructed and stabilized, they do not by themselves constitute sovereignty, underscoring the need for a broader framework that integrates structural, normative, and infrastructural dimensions.</w:t>
      </w:r>
    </w:p>
    <w:p w:rsidR="0060194B" w:rsidRPr="0044370F" w:rsidRDefault="0060194B" w:rsidP="006460CE">
      <w:pPr>
        <w:pStyle w:val="2"/>
        <w:rPr>
          <w:bCs/>
        </w:rPr>
      </w:pPr>
      <w:bookmarkStart w:id="67" w:name="_Toc222652747"/>
      <w:r w:rsidRPr="0044370F">
        <w:rPr>
          <w:rStyle w:val="a4"/>
          <w:b/>
          <w:bCs w:val="0"/>
          <w:sz w:val="32"/>
          <w:szCs w:val="32"/>
        </w:rPr>
        <w:t>3.4 Toward a Hybrid Framework</w:t>
      </w:r>
      <w:bookmarkEnd w:id="67"/>
      <w:r w:rsidRPr="0044370F">
        <w:rPr>
          <w:rStyle w:val="a4"/>
          <w:b/>
          <w:bCs w:val="0"/>
          <w:sz w:val="32"/>
          <w:szCs w:val="32"/>
        </w:rPr>
        <w:t xml:space="preserve"> </w:t>
      </w:r>
    </w:p>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 xml:space="preserve">To understand how digital corporations function as </w:t>
      </w:r>
      <w:r w:rsidR="00960581" w:rsidRPr="0044370F">
        <w:rPr>
          <w:rFonts w:asciiTheme="majorBidi" w:hAnsiTheme="majorBidi" w:cstheme="majorBidi"/>
        </w:rPr>
        <w:t>quasi-sovereign authority</w:t>
      </w:r>
      <w:r w:rsidRPr="0044370F">
        <w:rPr>
          <w:rFonts w:asciiTheme="majorBidi" w:hAnsiTheme="majorBidi" w:cstheme="majorBidi"/>
        </w:rPr>
        <w:t>, this section proposes a hybrid analytical framework that integrates multiple disciplinary perspectives into a coherent structure. The aim is to transcend isolated understandings and to create a multidimensional framework that captures the intricate, cyclical, and context-dependent characteristics of corporate power in the digital era.</w:t>
      </w:r>
    </w:p>
    <w:p w:rsidR="0060194B" w:rsidRPr="0044370F" w:rsidRDefault="0060194B" w:rsidP="0060194B">
      <w:pPr>
        <w:pStyle w:val="3"/>
        <w:rPr>
          <w:sz w:val="24"/>
          <w:szCs w:val="24"/>
          <w:rtl/>
        </w:rPr>
      </w:pPr>
    </w:p>
    <w:p w:rsidR="0060194B" w:rsidRPr="0044370F" w:rsidRDefault="0060194B" w:rsidP="0060194B">
      <w:pPr>
        <w:rPr>
          <w:rFonts w:ascii="Times New Roman" w:eastAsia="Times New Roman" w:hAnsi="Times New Roman" w:cs="Times New Roman"/>
          <w:b/>
          <w:bCs/>
          <w:sz w:val="24"/>
          <w:szCs w:val="24"/>
          <w:rtl/>
          <w:lang w:eastAsia="en-IL"/>
        </w:rPr>
      </w:pPr>
      <w:r w:rsidRPr="0044370F">
        <w:rPr>
          <w:sz w:val="24"/>
          <w:szCs w:val="24"/>
          <w:rtl/>
        </w:rPr>
        <w:br w:type="page"/>
      </w:r>
    </w:p>
    <w:p w:rsidR="0060194B" w:rsidRPr="0044370F" w:rsidRDefault="0060194B" w:rsidP="006460CE">
      <w:pPr>
        <w:pStyle w:val="3"/>
      </w:pPr>
      <w:bookmarkStart w:id="68" w:name="_Toc222652748"/>
      <w:r w:rsidRPr="0044370F">
        <w:lastRenderedPageBreak/>
        <w:t>Table 1: Distinguishing Sovereignty, Authority, and Governance</w:t>
      </w:r>
      <w:bookmarkEnd w:id="68"/>
    </w:p>
    <w:tbl>
      <w:tblPr>
        <w:tblStyle w:val="5-1"/>
        <w:tblW w:w="9067" w:type="dxa"/>
        <w:tblLook w:val="04A0" w:firstRow="1" w:lastRow="0" w:firstColumn="1" w:lastColumn="0" w:noHBand="0" w:noVBand="1"/>
      </w:tblPr>
      <w:tblGrid>
        <w:gridCol w:w="1250"/>
        <w:gridCol w:w="1366"/>
        <w:gridCol w:w="1379"/>
        <w:gridCol w:w="1397"/>
        <w:gridCol w:w="1519"/>
        <w:gridCol w:w="2156"/>
      </w:tblGrid>
      <w:tr w:rsidR="0060194B" w:rsidRPr="0044370F" w:rsidTr="00051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385623" w:themeFill="accent6" w:themeFillShade="80"/>
            <w:hideMark/>
          </w:tcPr>
          <w:p w:rsidR="0060194B" w:rsidRPr="0044370F" w:rsidRDefault="0060194B" w:rsidP="00051764">
            <w:pPr>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Concept</w:t>
            </w:r>
          </w:p>
        </w:tc>
        <w:tc>
          <w:tcPr>
            <w:tcW w:w="0" w:type="auto"/>
            <w:shd w:val="clear" w:color="auto" w:fill="385623" w:themeFill="accent6" w:themeFillShade="80"/>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Core Definition</w:t>
            </w:r>
          </w:p>
        </w:tc>
        <w:tc>
          <w:tcPr>
            <w:tcW w:w="0" w:type="auto"/>
            <w:shd w:val="clear" w:color="auto" w:fill="385623" w:themeFill="accent6" w:themeFillShade="80"/>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Primary Holders</w:t>
            </w:r>
          </w:p>
        </w:tc>
        <w:tc>
          <w:tcPr>
            <w:tcW w:w="0" w:type="auto"/>
            <w:shd w:val="clear" w:color="auto" w:fill="385623" w:themeFill="accent6" w:themeFillShade="80"/>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Mode of Operation</w:t>
            </w:r>
          </w:p>
        </w:tc>
        <w:tc>
          <w:tcPr>
            <w:tcW w:w="0" w:type="auto"/>
            <w:shd w:val="clear" w:color="auto" w:fill="385623" w:themeFill="accent6" w:themeFillShade="80"/>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Institutional Basis</w:t>
            </w:r>
          </w:p>
        </w:tc>
        <w:tc>
          <w:tcPr>
            <w:tcW w:w="2156" w:type="dxa"/>
            <w:shd w:val="clear" w:color="auto" w:fill="385623" w:themeFill="accent6" w:themeFillShade="80"/>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Relevance to Corporate Quasi-Sovereignty</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538135" w:themeFill="accent6" w:themeFillShade="BF"/>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Sovereignty</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The overarching principle of ultimate authority within a political order is traditionally associated with supremacy, autonomy, and non-derivative rule-making power.</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States</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Legal</w:t>
            </w:r>
            <w:r w:rsidRPr="0044370F">
              <w:rPr>
                <w:rFonts w:ascii="Times New Roman" w:eastAsia="Times New Roman" w:hAnsi="Times New Roman" w:cs="Times New Roman" w:hint="cs"/>
                <w:sz w:val="20"/>
                <w:szCs w:val="20"/>
                <w:rtl/>
                <w:lang w:val="en-US"/>
              </w:rPr>
              <w:t>-</w:t>
            </w:r>
            <w:r w:rsidRPr="0044370F">
              <w:rPr>
                <w:rFonts w:ascii="Times New Roman" w:eastAsia="Times New Roman" w:hAnsi="Times New Roman" w:cs="Times New Roman"/>
                <w:sz w:val="20"/>
                <w:szCs w:val="20"/>
                <w:lang w:val="en-US"/>
              </w:rPr>
              <w:t>constitutional authority; territorial jurisdiction; monopoly over legitimate coercion.</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Formal state institutions, constitutional orders, and international legal recognition.</w:t>
            </w:r>
          </w:p>
        </w:tc>
        <w:tc>
          <w:tcPr>
            <w:tcW w:w="2156" w:type="dxa"/>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 xml:space="preserve">Serves as an analytical reference point rather than a literal attribute of corporations. The concept frames the conditions under which </w:t>
            </w:r>
            <w:r w:rsidR="00960581" w:rsidRPr="0044370F">
              <w:rPr>
                <w:rFonts w:ascii="Times New Roman" w:eastAsia="Times New Roman" w:hAnsi="Times New Roman" w:cs="Times New Roman"/>
                <w:sz w:val="20"/>
                <w:szCs w:val="20"/>
                <w:lang w:val="en-US"/>
              </w:rPr>
              <w:t>sovereignty-like authority</w:t>
            </w:r>
            <w:r w:rsidRPr="0044370F">
              <w:rPr>
                <w:rFonts w:ascii="Times New Roman" w:eastAsia="Times New Roman" w:hAnsi="Times New Roman" w:cs="Times New Roman"/>
                <w:sz w:val="20"/>
                <w:szCs w:val="20"/>
                <w:lang w:val="en-US"/>
              </w:rPr>
              <w:t xml:space="preserve"> can emerge outside the state without implying formal equivalence.</w:t>
            </w:r>
          </w:p>
        </w:tc>
      </w:tr>
      <w:tr w:rsidR="0060194B" w:rsidRPr="0044370F" w:rsidTr="00051764">
        <w:tc>
          <w:tcPr>
            <w:cnfStyle w:val="001000000000" w:firstRow="0" w:lastRow="0" w:firstColumn="1" w:lastColumn="0" w:oddVBand="0" w:evenVBand="0" w:oddHBand="0" w:evenHBand="0" w:firstRowFirstColumn="0" w:firstRowLastColumn="0" w:lastRowFirstColumn="0" w:lastRowLastColumn="0"/>
            <w:tcW w:w="0" w:type="auto"/>
            <w:shd w:val="clear" w:color="auto" w:fill="538135" w:themeFill="accent6" w:themeFillShade="BF"/>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Authority</w:t>
            </w:r>
          </w:p>
        </w:tc>
        <w:tc>
          <w:tcPr>
            <w:tcW w:w="0" w:type="auto"/>
            <w:shd w:val="clear" w:color="auto" w:fill="E2EFD9" w:themeFill="accent6" w:themeFillTint="33"/>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The capacity of an actor to shape outcomes, impose constraints, and structure behavior within specific domains in ways that are recognized, accepted, or complied with by others.</w:t>
            </w:r>
          </w:p>
        </w:tc>
        <w:tc>
          <w:tcPr>
            <w:tcW w:w="0" w:type="auto"/>
            <w:shd w:val="clear" w:color="auto" w:fill="E2EFD9" w:themeFill="accent6" w:themeFillTint="33"/>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States, corporations, international organizations, platforms, and regulatory bodies.</w:t>
            </w:r>
          </w:p>
        </w:tc>
        <w:tc>
          <w:tcPr>
            <w:tcW w:w="0" w:type="auto"/>
            <w:shd w:val="clear" w:color="auto" w:fill="E2EFD9" w:themeFill="accent6" w:themeFillTint="33"/>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Normative influence, infrastructural control, agenda-setting, rule-setting, and relational power.</w:t>
            </w:r>
          </w:p>
        </w:tc>
        <w:tc>
          <w:tcPr>
            <w:tcW w:w="0" w:type="auto"/>
            <w:shd w:val="clear" w:color="auto" w:fill="E2EFD9" w:themeFill="accent6" w:themeFillTint="33"/>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Organizational legitimacy, structural embeddedness, control over resources or infrastructures.</w:t>
            </w:r>
          </w:p>
        </w:tc>
        <w:tc>
          <w:tcPr>
            <w:tcW w:w="2156" w:type="dxa"/>
            <w:shd w:val="clear" w:color="auto" w:fill="E2EFD9" w:themeFill="accent6" w:themeFillTint="33"/>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The central analytical focus of this dissertation. Corporate quasi-sovereignty is expressed through authority that performs functions historically associated with sovereignty without formal statehood.</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538135" w:themeFill="accent6" w:themeFillShade="BF"/>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Governance</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The practical mechanisms, processes, and arrangements through which authority is exercised, coordinated, and implemented across public and private domains.</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Public institutions, private corporations, hybrid public</w:t>
            </w:r>
            <w:r w:rsidRPr="0044370F">
              <w:rPr>
                <w:rFonts w:ascii="Times New Roman" w:eastAsia="Times New Roman" w:hAnsi="Times New Roman" w:cs="Times New Roman" w:hint="cs"/>
                <w:sz w:val="20"/>
                <w:szCs w:val="20"/>
                <w:rtl/>
                <w:lang w:val="en-US"/>
              </w:rPr>
              <w:t>-</w:t>
            </w:r>
            <w:r w:rsidRPr="0044370F">
              <w:rPr>
                <w:rFonts w:ascii="Times New Roman" w:eastAsia="Times New Roman" w:hAnsi="Times New Roman" w:cs="Times New Roman"/>
                <w:sz w:val="20"/>
                <w:szCs w:val="20"/>
                <w:lang w:val="en-US"/>
              </w:rPr>
              <w:t>private actors, transnational networks.</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Rules, standards, platforms, procedures, algorithms, and administrative systems.</w:t>
            </w:r>
          </w:p>
        </w:tc>
        <w:tc>
          <w:tcPr>
            <w:tcW w:w="0" w:type="auto"/>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Policies, technical architectures, regulatory frameworks, and organizational routines.</w:t>
            </w:r>
          </w:p>
        </w:tc>
        <w:tc>
          <w:tcPr>
            <w:tcW w:w="2156" w:type="dxa"/>
            <w:shd w:val="clear" w:color="auto" w:fill="E2EFD9" w:themeFill="accent6" w:themeFillTint="33"/>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The empirical site where corporate authority becomes operational. Governance practices reveal how sovereignty-like authority is enacted through socio-technical systems rather than formal political institutions.</w:t>
            </w:r>
          </w:p>
        </w:tc>
      </w:tr>
    </w:tbl>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lastRenderedPageBreak/>
        <w:t>Utilizing political economy, management theory, international relations, and science and technology studies, the framework consists of four interrelated dimensions: strategic resource management, structural integration, normative authority, and infrastructural influence.</w:t>
      </w:r>
    </w:p>
    <w:p w:rsidR="0060194B" w:rsidRPr="0044370F" w:rsidRDefault="0060194B" w:rsidP="0060194B">
      <w:pPr>
        <w:pStyle w:val="NormalWeb"/>
        <w:spacing w:line="360" w:lineRule="auto"/>
        <w:jc w:val="both"/>
        <w:rPr>
          <w:rFonts w:cstheme="majorBidi"/>
          <w:rtl/>
        </w:rPr>
      </w:pPr>
      <w:r w:rsidRPr="0044370F">
        <w:rPr>
          <w:rFonts w:asciiTheme="majorBidi" w:hAnsiTheme="majorBidi" w:cstheme="majorBidi"/>
        </w:rPr>
        <w:t>Every dimension derives from unique intellectual backgrounds, but their integration enables us to grasp both the institutional consistency and dynamic flexibility of corporate quasi-sovereignty.</w:t>
      </w:r>
    </w:p>
    <w:p w:rsidR="0060194B" w:rsidRPr="0044370F" w:rsidRDefault="0060194B" w:rsidP="006460CE">
      <w:pPr>
        <w:pStyle w:val="3"/>
      </w:pPr>
      <w:bookmarkStart w:id="69" w:name="_Toc222652749"/>
      <w:r w:rsidRPr="0044370F">
        <w:rPr>
          <w:rStyle w:val="a4"/>
          <w:b/>
          <w:bCs/>
        </w:rPr>
        <w:t>3.4.1</w:t>
      </w:r>
      <w:r w:rsidRPr="0044370F">
        <w:rPr>
          <w:rStyle w:val="a4"/>
          <w:b/>
          <w:bCs/>
        </w:rPr>
        <w:tab/>
        <w:t xml:space="preserve"> Strategic Resource Control</w:t>
      </w:r>
      <w:bookmarkEnd w:id="69"/>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This dimension draws from the </w:t>
      </w:r>
      <w:r w:rsidRPr="0044370F">
        <w:rPr>
          <w:rStyle w:val="a4"/>
          <w:rFonts w:asciiTheme="majorBidi" w:hAnsiTheme="majorBidi" w:cstheme="majorBidi"/>
        </w:rPr>
        <w:t>Resource-Based View (RBV)</w:t>
      </w:r>
      <w:r w:rsidRPr="0044370F">
        <w:rPr>
          <w:rFonts w:asciiTheme="majorBidi" w:hAnsiTheme="majorBidi" w:cstheme="majorBidi"/>
        </w:rPr>
        <w:t xml:space="preserve"> in strategic management</w:t>
      </w:r>
      <w:r w:rsidRPr="0044370F">
        <w:rPr>
          <w:rStyle w:val="a8"/>
          <w:rFonts w:asciiTheme="majorBidi" w:hAnsiTheme="majorBidi" w:cstheme="majorBidi"/>
        </w:rPr>
        <w:footnoteReference w:id="84"/>
      </w:r>
      <w:r w:rsidRPr="0044370F">
        <w:rPr>
          <w:rFonts w:asciiTheme="majorBidi" w:hAnsiTheme="majorBidi" w:cstheme="majorBidi"/>
        </w:rPr>
        <w:t>, which holds that long-term advantage stems from resources that are valuable, rare, inimitable, and non-substitutable. In the case of digital corporations, such resources include proprietary algorithms, large-scale behavioral datasets, platform ecosystems, high-speed computational infrastructure, and organizational learning mechanisms.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Beyond RBV, </w:t>
      </w:r>
      <w:r w:rsidRPr="0044370F">
        <w:rPr>
          <w:rStyle w:val="a4"/>
          <w:rFonts w:asciiTheme="majorBidi" w:hAnsiTheme="majorBidi" w:cstheme="majorBidi"/>
        </w:rPr>
        <w:t>political economy</w:t>
      </w:r>
      <w:r w:rsidRPr="0044370F">
        <w:rPr>
          <w:rFonts w:asciiTheme="majorBidi" w:hAnsiTheme="majorBidi" w:cstheme="majorBidi"/>
        </w:rPr>
        <w:t xml:space="preserve"> contributes by analyzing how firms use resource control not only for competitive positioning but also to entrench asymmetries in knowledge, access, and decision-making power. </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For example, Huawei’s investment in telecommunications infrastructure gives it strategic leverage over national security concerns, while Meta’s control over social graph data underpins both market dominance and its role as a public sphere gatekeeper.</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Importantly, these resources do not exist in isolation, they are embedded in broader systems of dependency and lock-in. SAP’s control over enterprise software infrastructures, for instance, creates a form of technological path-dependence for governments and multinational clients, transforming resource control into a vehicle of indirect authority.</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Empirically, strategic resource control will be assessed through indicators such as ownership of critical digital assets, control over data and algorithms, investment in proprietary infrastructures, and patterns of mergers and acquisitions.</w:t>
      </w:r>
    </w:p>
    <w:p w:rsidR="0060194B" w:rsidRPr="0044370F" w:rsidRDefault="0060194B" w:rsidP="006460CE">
      <w:pPr>
        <w:pStyle w:val="3"/>
      </w:pPr>
      <w:bookmarkStart w:id="70" w:name="_Toc222652750"/>
      <w:r w:rsidRPr="0044370F">
        <w:rPr>
          <w:rStyle w:val="a4"/>
          <w:b/>
          <w:bCs/>
        </w:rPr>
        <w:lastRenderedPageBreak/>
        <w:t>3.4.2</w:t>
      </w:r>
      <w:r w:rsidRPr="0044370F">
        <w:rPr>
          <w:rStyle w:val="a4"/>
          <w:b/>
          <w:bCs/>
        </w:rPr>
        <w:tab/>
        <w:t xml:space="preserve"> Structural Embeddedness</w:t>
      </w:r>
      <w:bookmarkEnd w:id="70"/>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 xml:space="preserve">This dimension reflects the insights of </w:t>
      </w:r>
      <w:r w:rsidRPr="0044370F">
        <w:rPr>
          <w:rStyle w:val="a4"/>
          <w:rFonts w:asciiTheme="majorBidi" w:hAnsiTheme="majorBidi" w:cstheme="majorBidi"/>
        </w:rPr>
        <w:t xml:space="preserve">Susan </w:t>
      </w:r>
      <w:proofErr w:type="spellStart"/>
      <w:r w:rsidRPr="0044370F">
        <w:rPr>
          <w:rStyle w:val="a4"/>
          <w:rFonts w:asciiTheme="majorBidi" w:hAnsiTheme="majorBidi" w:cstheme="majorBidi"/>
        </w:rPr>
        <w:t>Strange’s</w:t>
      </w:r>
      <w:proofErr w:type="spellEnd"/>
      <w:r w:rsidRPr="0044370F">
        <w:rPr>
          <w:rStyle w:val="a8"/>
          <w:rFonts w:asciiTheme="majorBidi" w:hAnsiTheme="majorBidi" w:cstheme="majorBidi"/>
          <w:b/>
          <w:bCs/>
        </w:rPr>
        <w:footnoteReference w:id="85"/>
      </w:r>
      <w:r w:rsidRPr="0044370F">
        <w:rPr>
          <w:rStyle w:val="a4"/>
          <w:rFonts w:asciiTheme="majorBidi" w:hAnsiTheme="majorBidi" w:cstheme="majorBidi"/>
        </w:rPr>
        <w:t xml:space="preserve"> </w:t>
      </w:r>
      <w:r w:rsidRPr="0044370F">
        <w:rPr>
          <w:rFonts w:asciiTheme="majorBidi" w:hAnsiTheme="majorBidi" w:cstheme="majorBidi"/>
        </w:rPr>
        <w:t xml:space="preserve">concept of structural power, emphasizing how firms shape and inhabit the very architecture of the global political economy. Drawing also from </w:t>
      </w:r>
      <w:proofErr w:type="spellStart"/>
      <w:r w:rsidRPr="0044370F">
        <w:rPr>
          <w:rStyle w:val="a4"/>
          <w:rFonts w:asciiTheme="majorBidi" w:hAnsiTheme="majorBidi" w:cstheme="majorBidi"/>
        </w:rPr>
        <w:t>Wallerstein’s</w:t>
      </w:r>
      <w:proofErr w:type="spellEnd"/>
      <w:r w:rsidRPr="0044370F">
        <w:rPr>
          <w:rStyle w:val="a4"/>
          <w:rFonts w:asciiTheme="majorBidi" w:hAnsiTheme="majorBidi" w:cstheme="majorBidi"/>
        </w:rPr>
        <w:t xml:space="preserve"> world-systems theory</w:t>
      </w:r>
      <w:r w:rsidRPr="0044370F">
        <w:rPr>
          <w:rStyle w:val="a8"/>
          <w:rFonts w:asciiTheme="majorBidi" w:hAnsiTheme="majorBidi" w:cstheme="majorBidi"/>
          <w:b/>
          <w:bCs/>
        </w:rPr>
        <w:footnoteReference w:id="86"/>
      </w:r>
      <w:r w:rsidRPr="0044370F">
        <w:rPr>
          <w:rStyle w:val="a4"/>
          <w:rFonts w:asciiTheme="majorBidi" w:hAnsiTheme="majorBidi" w:cstheme="majorBidi"/>
        </w:rPr>
        <w:t xml:space="preserve">, </w:t>
      </w:r>
      <w:r w:rsidRPr="0044370F">
        <w:rPr>
          <w:rFonts w:asciiTheme="majorBidi" w:hAnsiTheme="majorBidi" w:cstheme="majorBidi"/>
        </w:rPr>
        <w:t>it examines how digital corporations function as “core” institutions in a transnational capitalist system, integrating production, finance, logistics, and governance across borders.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Structural embeddedness refers to a corporation’s macro-level integration into political-economic and institutional systems, such as regulatory access, supply chains, and transnational governance structures. </w:t>
      </w:r>
      <w:r w:rsidRPr="0044370F">
        <w:rPr>
          <w:rFonts w:ascii="Times New Roman" w:eastAsia="Times New Roman" w:hAnsi="Times New Roman" w:cs="Times New Roman"/>
          <w:b/>
          <w:bCs/>
          <w:sz w:val="24"/>
          <w:szCs w:val="24"/>
        </w:rPr>
        <w:t>By contrast</w:t>
      </w:r>
      <w:r w:rsidRPr="0044370F">
        <w:rPr>
          <w:rFonts w:ascii="Times New Roman" w:eastAsia="Times New Roman" w:hAnsi="Times New Roman" w:cs="Times New Roman"/>
          <w:sz w:val="24"/>
          <w:szCs w:val="24"/>
        </w:rPr>
        <w:t>, infrastructural power operates at the micro-technical level through the design and control of platforms, standards, and system architectures (e.g., regulatory access versus API design).</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Digital companies utilize structural embeddedness to circumvent regulations, such as employing data localization tactics, to shape global standards, like AI ethics guidelines, and to secure advantageous entry into decision-making spaces, such as public-private collaborations in the EU's digital infrastructure development. Their systemic importance allows them to wield subtle influence: not via coercion, but through necessity.</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Management theory complements this by explaining how firms design multi-level organizational architectures, alliances, subsidiaries, joint ventures, that enhance their resilience and reduce exposure to local constraint. Huawei’s supply-chain structure and SAP’s institutional collaborations across the EU are examples of how embeddedness is both strategic and structural.</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Empirically, structural embeddedness will be examined through participation in standards bodies, public-private partnerships, supply-chain integration, and institutional dependencies.</w:t>
      </w:r>
    </w:p>
    <w:p w:rsidR="006460CE" w:rsidRPr="0044370F" w:rsidRDefault="006460CE" w:rsidP="0060194B">
      <w:pPr>
        <w:spacing w:beforeAutospacing="1" w:after="100" w:afterAutospacing="1" w:line="360" w:lineRule="auto"/>
        <w:jc w:val="both"/>
        <w:rPr>
          <w:rFonts w:ascii="Times New Roman" w:eastAsia="Times New Roman" w:hAnsi="Times New Roman" w:cs="Times New Roman"/>
          <w:sz w:val="24"/>
          <w:szCs w:val="24"/>
        </w:rPr>
      </w:pPr>
    </w:p>
    <w:p w:rsidR="0060194B" w:rsidRPr="0044370F" w:rsidRDefault="0060194B" w:rsidP="006460CE">
      <w:pPr>
        <w:pStyle w:val="3"/>
      </w:pPr>
      <w:bookmarkStart w:id="71" w:name="_Toc222652751"/>
      <w:r w:rsidRPr="0044370F">
        <w:rPr>
          <w:rStyle w:val="a4"/>
          <w:b/>
          <w:bCs/>
        </w:rPr>
        <w:lastRenderedPageBreak/>
        <w:t>3.4.3</w:t>
      </w:r>
      <w:r w:rsidRPr="0044370F">
        <w:rPr>
          <w:rStyle w:val="a4"/>
          <w:b/>
          <w:bCs/>
        </w:rPr>
        <w:tab/>
        <w:t>Normative Legitimacy</w:t>
      </w:r>
      <w:bookmarkEnd w:id="71"/>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The third dimension analyzes how firms justify and institutionalize their authority by invoking normative frameworks. Drawing on </w:t>
      </w:r>
      <w:r w:rsidRPr="0044370F">
        <w:rPr>
          <w:rStyle w:val="a4"/>
          <w:rFonts w:asciiTheme="majorBidi" w:hAnsiTheme="majorBidi" w:cstheme="majorBidi"/>
        </w:rPr>
        <w:t>international relations theory</w:t>
      </w:r>
      <w:r w:rsidRPr="0044370F">
        <w:rPr>
          <w:rFonts w:asciiTheme="majorBidi" w:hAnsiTheme="majorBidi" w:cstheme="majorBidi"/>
        </w:rPr>
        <w:t xml:space="preserve">, particularly the concept of </w:t>
      </w:r>
      <w:r w:rsidRPr="0044370F">
        <w:rPr>
          <w:rStyle w:val="a4"/>
          <w:rFonts w:asciiTheme="majorBidi" w:hAnsiTheme="majorBidi" w:cstheme="majorBidi"/>
        </w:rPr>
        <w:t>private authority</w:t>
      </w:r>
      <w:r w:rsidRPr="0044370F">
        <w:rPr>
          <w:rStyle w:val="a8"/>
          <w:rFonts w:asciiTheme="majorBidi" w:hAnsiTheme="majorBidi" w:cstheme="majorBidi"/>
          <w:b/>
          <w:bCs/>
        </w:rPr>
        <w:footnoteReference w:id="87"/>
      </w:r>
      <w:r w:rsidRPr="0044370F">
        <w:rPr>
          <w:rFonts w:asciiTheme="majorBidi" w:hAnsiTheme="majorBidi" w:cstheme="majorBidi"/>
        </w:rPr>
        <w:t>, this dimension explores how firms construct legitimacy narratives around neutrality, efficiency, ethical innovation, or social impact.</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Meta’s creation of its Oversight Board, for example, mirrors judicial architectures, granting symbolic and procedural legitimacy to its content moderation regime. SAP frequently aligns itself with EU digital values such as privacy, transparency, and sustainability, thereby gaining traction in regulatory and policy discussions. Huawei, in contrast, often emphasizes sovereignty and infrastructure access, aligning with Global South discourses of self-determination.</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From a management perspective, legitimacy also relates to </w:t>
      </w:r>
      <w:r w:rsidRPr="0044370F">
        <w:rPr>
          <w:rStyle w:val="a4"/>
          <w:rFonts w:asciiTheme="majorBidi" w:hAnsiTheme="majorBidi" w:cstheme="majorBidi"/>
        </w:rPr>
        <w:t>stakeholder alignment</w:t>
      </w:r>
      <w:r w:rsidRPr="0044370F">
        <w:rPr>
          <w:rFonts w:asciiTheme="majorBidi" w:hAnsiTheme="majorBidi" w:cstheme="majorBidi"/>
        </w:rPr>
        <w:t>. Firms build legitimacy through ESG initiatives, compliance certifications, public transparency, and corporate diplomacy. Yet, as Edelman</w:t>
      </w:r>
      <w:r w:rsidRPr="0044370F">
        <w:rPr>
          <w:rStyle w:val="a8"/>
          <w:rFonts w:asciiTheme="majorBidi" w:hAnsiTheme="majorBidi" w:cstheme="majorBidi"/>
        </w:rPr>
        <w:footnoteReference w:id="88"/>
      </w:r>
      <w:r w:rsidRPr="0044370F">
        <w:rPr>
          <w:rFonts w:asciiTheme="majorBidi" w:hAnsiTheme="majorBidi" w:cstheme="majorBidi"/>
        </w:rPr>
        <w:t xml:space="preserve"> shows, this can lead to </w:t>
      </w:r>
      <w:r w:rsidRPr="0044370F">
        <w:rPr>
          <w:rStyle w:val="a4"/>
          <w:rFonts w:asciiTheme="majorBidi" w:hAnsiTheme="majorBidi" w:cstheme="majorBidi"/>
        </w:rPr>
        <w:t>symbolic compliance</w:t>
      </w:r>
      <w:r w:rsidRPr="0044370F">
        <w:rPr>
          <w:rFonts w:asciiTheme="majorBidi" w:hAnsiTheme="majorBidi" w:cstheme="majorBidi"/>
        </w:rPr>
        <w:t>, performative adherence that sustains power without substantive accountability.</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Legitimacy is never fully secured. It must be constantly reproduced and defended. Scandals, regulatory shifts, or geopolitical conflicts can destabilize legitimacy and trigger adaptation, rebranding, reorganization, or renegotiation of public commitments.</w:t>
      </w:r>
    </w:p>
    <w:p w:rsidR="003119A6" w:rsidRPr="0044370F" w:rsidRDefault="0060194B" w:rsidP="003119A6">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Normative legitimacy will be empirically assessed through corporate transparency reports, governance mechanisms such as oversight boards, ESG commitments, public narratives, and responses to </w:t>
      </w:r>
      <w:r w:rsidR="003119A6" w:rsidRPr="0044370F">
        <w:rPr>
          <w:rFonts w:ascii="Times New Roman" w:eastAsia="Times New Roman" w:hAnsi="Times New Roman" w:cs="Times New Roman"/>
          <w:sz w:val="24"/>
          <w:szCs w:val="24"/>
        </w:rPr>
        <w:t>crises or regulatory challenges.</w:t>
      </w:r>
    </w:p>
    <w:p w:rsidR="003119A6" w:rsidRPr="0044370F" w:rsidRDefault="003119A6" w:rsidP="003119A6">
      <w:pPr>
        <w:spacing w:beforeAutospacing="1" w:after="100" w:afterAutospacing="1" w:line="360" w:lineRule="auto"/>
        <w:jc w:val="both"/>
        <w:rPr>
          <w:rFonts w:ascii="Times New Roman" w:eastAsia="Times New Roman" w:hAnsi="Times New Roman" w:cs="Times New Roman"/>
          <w:sz w:val="24"/>
          <w:szCs w:val="24"/>
        </w:rPr>
      </w:pPr>
    </w:p>
    <w:p w:rsidR="003119A6" w:rsidRPr="0044370F" w:rsidRDefault="003119A6" w:rsidP="003119A6">
      <w:pPr>
        <w:spacing w:beforeAutospacing="1" w:after="100" w:afterAutospacing="1" w:line="360" w:lineRule="auto"/>
        <w:jc w:val="both"/>
        <w:rPr>
          <w:rFonts w:ascii="Times New Roman" w:eastAsia="Times New Roman" w:hAnsi="Times New Roman" w:cs="Times New Roman"/>
          <w:sz w:val="24"/>
          <w:szCs w:val="24"/>
        </w:rPr>
      </w:pPr>
    </w:p>
    <w:p w:rsidR="0060194B" w:rsidRPr="0044370F" w:rsidRDefault="0060194B" w:rsidP="006460CE">
      <w:pPr>
        <w:pStyle w:val="3"/>
      </w:pPr>
      <w:bookmarkStart w:id="72" w:name="_Toc222652752"/>
      <w:r w:rsidRPr="0044370F">
        <w:rPr>
          <w:rStyle w:val="a4"/>
          <w:b/>
          <w:bCs/>
        </w:rPr>
        <w:lastRenderedPageBreak/>
        <w:t>3.4.4</w:t>
      </w:r>
      <w:r w:rsidRPr="0044370F">
        <w:rPr>
          <w:rStyle w:val="a4"/>
          <w:b/>
          <w:bCs/>
        </w:rPr>
        <w:tab/>
        <w:t xml:space="preserve"> Infrastructural Power</w:t>
      </w:r>
      <w:bookmarkEnd w:id="72"/>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This dimension focuses on the embeddedness of governance in technological design. Based on </w:t>
      </w:r>
      <w:r w:rsidRPr="0044370F">
        <w:rPr>
          <w:rStyle w:val="a4"/>
          <w:rFonts w:asciiTheme="majorBidi" w:hAnsiTheme="majorBidi" w:cstheme="majorBidi"/>
        </w:rPr>
        <w:t>science and technology studies (STS)</w:t>
      </w:r>
      <w:r w:rsidRPr="0044370F">
        <w:rPr>
          <w:rFonts w:asciiTheme="majorBidi" w:hAnsiTheme="majorBidi" w:cstheme="majorBidi"/>
        </w:rPr>
        <w:t xml:space="preserve"> and </w:t>
      </w:r>
      <w:r w:rsidRPr="0044370F">
        <w:rPr>
          <w:rStyle w:val="a4"/>
          <w:rFonts w:asciiTheme="majorBidi" w:hAnsiTheme="majorBidi" w:cstheme="majorBidi"/>
        </w:rPr>
        <w:t>sociology of infrastructure</w:t>
      </w:r>
      <w:r w:rsidRPr="0044370F">
        <w:rPr>
          <w:rFonts w:asciiTheme="majorBidi" w:hAnsiTheme="majorBidi" w:cstheme="majorBidi"/>
        </w:rPr>
        <w:t>, it examines how firms govern through protocols, architectures, and affordances.</w:t>
      </w:r>
    </w:p>
    <w:p w:rsidR="0060194B" w:rsidRPr="0044370F" w:rsidRDefault="0060194B" w:rsidP="008D18D4">
      <w:pPr>
        <w:pStyle w:val="NormalWeb"/>
        <w:spacing w:line="360" w:lineRule="auto"/>
        <w:jc w:val="both"/>
        <w:rPr>
          <w:rFonts w:asciiTheme="majorBidi" w:hAnsiTheme="majorBidi" w:cstheme="majorBidi"/>
        </w:rPr>
      </w:pPr>
      <w:proofErr w:type="spellStart"/>
      <w:r w:rsidRPr="0044370F">
        <w:rPr>
          <w:rStyle w:val="a4"/>
          <w:rFonts w:asciiTheme="majorBidi" w:hAnsiTheme="majorBidi" w:cstheme="majorBidi"/>
        </w:rPr>
        <w:t>Lessig’s</w:t>
      </w:r>
      <w:proofErr w:type="spellEnd"/>
      <w:r w:rsidRPr="0044370F">
        <w:rPr>
          <w:rStyle w:val="a8"/>
          <w:rFonts w:asciiTheme="majorBidi" w:hAnsiTheme="majorBidi" w:cstheme="majorBidi"/>
          <w:b/>
          <w:bCs/>
        </w:rPr>
        <w:footnoteReference w:id="89"/>
      </w:r>
      <w:r w:rsidRPr="0044370F">
        <w:rPr>
          <w:rStyle w:val="a4"/>
          <w:rFonts w:asciiTheme="majorBidi" w:hAnsiTheme="majorBidi" w:cstheme="majorBidi"/>
        </w:rPr>
        <w:t xml:space="preserve"> </w:t>
      </w:r>
      <w:r w:rsidRPr="0044370F">
        <w:rPr>
          <w:rFonts w:asciiTheme="majorBidi" w:hAnsiTheme="majorBidi" w:cstheme="majorBidi"/>
        </w:rPr>
        <w:t xml:space="preserve">concept of “code as law” and </w:t>
      </w:r>
      <w:r w:rsidRPr="0044370F">
        <w:rPr>
          <w:rStyle w:val="a4"/>
          <w:rFonts w:asciiTheme="majorBidi" w:hAnsiTheme="majorBidi" w:cstheme="majorBidi"/>
        </w:rPr>
        <w:t>Gillespie’s</w:t>
      </w:r>
      <w:r w:rsidRPr="0044370F">
        <w:rPr>
          <w:rStyle w:val="a8"/>
          <w:rFonts w:asciiTheme="majorBidi" w:hAnsiTheme="majorBidi" w:cstheme="majorBidi"/>
          <w:b/>
          <w:bCs/>
        </w:rPr>
        <w:footnoteReference w:id="90"/>
      </w:r>
      <w:r w:rsidRPr="0044370F">
        <w:rPr>
          <w:rStyle w:val="a4"/>
          <w:rFonts w:asciiTheme="majorBidi" w:hAnsiTheme="majorBidi" w:cstheme="majorBidi"/>
        </w:rPr>
        <w:t xml:space="preserve"> </w:t>
      </w:r>
      <w:r w:rsidRPr="0044370F">
        <w:rPr>
          <w:rFonts w:asciiTheme="majorBidi" w:hAnsiTheme="majorBidi" w:cstheme="majorBidi"/>
        </w:rPr>
        <w:t xml:space="preserve">work on moderation highlight how platforms shape behavior, identity, and speech, not through explicit regulation but through system design. Infrastructural power is often </w:t>
      </w:r>
      <w:r w:rsidRPr="0044370F">
        <w:rPr>
          <w:rStyle w:val="a4"/>
          <w:rFonts w:asciiTheme="majorBidi" w:hAnsiTheme="majorBidi" w:cstheme="majorBidi"/>
        </w:rPr>
        <w:t>invisible but pervasive</w:t>
      </w:r>
      <w:r w:rsidRPr="0044370F">
        <w:rPr>
          <w:rFonts w:asciiTheme="majorBidi" w:hAnsiTheme="majorBidi" w:cstheme="majorBidi"/>
        </w:rPr>
        <w:t>; it sets the rules of participation, prioritization, and exclusion without necessarily being perceived as governance.</w:t>
      </w:r>
    </w:p>
    <w:p w:rsidR="0060194B" w:rsidRPr="0044370F" w:rsidRDefault="0060194B" w:rsidP="008D18D4">
      <w:pPr>
        <w:pStyle w:val="NormalWeb"/>
        <w:spacing w:line="360" w:lineRule="auto"/>
        <w:jc w:val="both"/>
      </w:pPr>
      <w:r w:rsidRPr="0044370F">
        <w:rPr>
          <w:rFonts w:asciiTheme="majorBidi" w:hAnsiTheme="majorBidi" w:cstheme="majorBidi"/>
        </w:rPr>
        <w:t xml:space="preserve">For instance, Apple’s App Store policies determine which applications are accessible, Meta’s ranking algorithms define visibility and reach, and SAP’s backend systems standardize workflows in public institutions. </w:t>
      </w:r>
      <w:r w:rsidR="008D18D4" w:rsidRPr="0044370F">
        <w:t>These are not merely technical tools; they function as mechanisms that structure participation and coordination within digital environments.</w:t>
      </w:r>
    </w:p>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Moreover, infrastructural power is difficult to contest, since it is embedded in everyday interaction and protected by opaque technical logics, terms of service, and interoperability constraints.</w:t>
      </w:r>
      <w:r w:rsidR="008D18D4" w:rsidRPr="0044370F">
        <w:rPr>
          <w:rFonts w:asciiTheme="majorBidi" w:hAnsiTheme="majorBidi" w:cstheme="majorBidi"/>
        </w:rPr>
        <w:t xml:space="preserve"> This opacity reinforces asymmetries between platform operators and dependent users or institutions.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Empirically, infrastructural power will be examined through corporate control over technical standards, platform architectures, and access points within digital ecosystems. This includes the analysis of terms of service, developer policies, interface design, algorithmic ranking systems, interoperability constraints, and decisions regarding access, exclusion, or prioritization. Such indicators allow the observation of how governance is enacted through technical design rather than formal regulation.</w:t>
      </w:r>
    </w:p>
    <w:p w:rsidR="008D18D4" w:rsidRPr="0044370F" w:rsidRDefault="008D18D4" w:rsidP="008D18D4">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Although closely related, structural embeddedness and infrastructural power are analytically distinct. Structural embeddedness refers to a corporation’s macro-systemic position within global </w:t>
      </w:r>
      <w:r w:rsidRPr="0044370F">
        <w:rPr>
          <w:rFonts w:ascii="Times New Roman" w:eastAsia="Times New Roman" w:hAnsi="Times New Roman" w:cs="Times New Roman"/>
          <w:sz w:val="24"/>
          <w:szCs w:val="24"/>
        </w:rPr>
        <w:lastRenderedPageBreak/>
        <w:t xml:space="preserve">economic and institutional arrangements, including dependencies, regulatory access, and integration into transnational governance structures. </w:t>
      </w:r>
    </w:p>
    <w:p w:rsidR="008D18D4" w:rsidRPr="0044370F" w:rsidRDefault="008D18D4" w:rsidP="008D18D4">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Infrastructural power, by contrast, operates at the technical and material level, governing behavior through platforms, standards, and system architectures. Distinguishing between these dimensions clarifies how corporations can be deeply embedded in global systems without directly governing interaction, and conversely, how infrastructural control can exercise authority even in the absence of formal institutional integration</w:t>
      </w:r>
    </w:p>
    <w:p w:rsidR="004E4C13" w:rsidRPr="0044370F" w:rsidRDefault="004E4C13" w:rsidP="006460CE">
      <w:pPr>
        <w:pStyle w:val="3"/>
      </w:pPr>
      <w:bookmarkStart w:id="73" w:name="_Toc222652753"/>
      <w:r w:rsidRPr="0044370F">
        <w:t xml:space="preserve">3.4.5 </w:t>
      </w:r>
      <w:r w:rsidR="008D18D4" w:rsidRPr="0044370F">
        <w:tab/>
      </w:r>
      <w:r w:rsidRPr="0044370F">
        <w:t>Boundary Conditions: Thresholds, Disqualifiers, and Empirical Indicators</w:t>
      </w:r>
      <w:bookmarkEnd w:id="73"/>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dissertation uses “corporate quasi-sovereignty” as an analytical category, not as a synonym for corporate power in general. It is not equivalent to lobbying, regulatory capture, private authority delegated by states, or market dominance alone. Many firms influence policy or dominate markets without exercising sovereignty-like rule-making capacity.</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Within the four-dimensional framework, quasi-sovereignty is most plausibly identified when a corporation performs governance functions that:</w:t>
      </w:r>
    </w:p>
    <w:p w:rsidR="004E4C13" w:rsidRPr="0044370F" w:rsidRDefault="004E4C13" w:rsidP="004E4C13">
      <w:pPr>
        <w:spacing w:beforeAutospacing="1" w:after="100" w:afterAutospacing="1" w:line="360" w:lineRule="auto"/>
        <w:ind w:firstLine="720"/>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 structure the rules of participation for large populations or institutions, </w:t>
      </w:r>
    </w:p>
    <w:p w:rsidR="004E4C13" w:rsidRPr="0044370F" w:rsidRDefault="004E4C13" w:rsidP="004E4C13">
      <w:pPr>
        <w:spacing w:beforeAutospacing="1" w:after="100" w:afterAutospacing="1" w:line="360" w:lineRule="auto"/>
        <w:ind w:firstLine="720"/>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 generate durable dependencies and high exit costs, and </w:t>
      </w:r>
    </w:p>
    <w:p w:rsidR="004E4C13" w:rsidRPr="0044370F" w:rsidRDefault="004E4C13" w:rsidP="004E4C13">
      <w:pPr>
        <w:spacing w:beforeAutospacing="1" w:after="100" w:afterAutospacing="1" w:line="360" w:lineRule="auto"/>
        <w:ind w:firstLine="720"/>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(c) constrain the practical autonomy of states or other actors within a given domain. </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 its most stable and durable form, quasi-sovereignty tends to involve the convergence of all four dimensions, even though empirical configurations may vary.</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Threshold conditions (configurational rather than binary) are therefore indicated by:</w:t>
      </w:r>
    </w:p>
    <w:p w:rsidR="004E4C13" w:rsidRPr="0044370F" w:rsidRDefault="004E4C13" w:rsidP="004A1856">
      <w:pPr>
        <w:spacing w:beforeAutospacing="1" w:after="100" w:afterAutospacing="1" w:line="360" w:lineRule="auto"/>
        <w:jc w:val="both"/>
        <w:rPr>
          <w:rFonts w:ascii="Times New Roman" w:eastAsia="Times New Roman" w:hAnsi="Times New Roman" w:cs="Times New Roman"/>
          <w:sz w:val="24"/>
          <w:szCs w:val="24"/>
        </w:rPr>
      </w:pPr>
      <w:r w:rsidRPr="004A1856">
        <w:rPr>
          <w:rFonts w:asciiTheme="majorBidi" w:eastAsia="Times New Roman" w:hAnsiTheme="majorBidi" w:cstheme="majorBidi"/>
          <w:sz w:val="24"/>
          <w:szCs w:val="24"/>
        </w:rPr>
        <w:t xml:space="preserve">• </w:t>
      </w:r>
      <w:r w:rsidR="004A1856" w:rsidRPr="004A1856">
        <w:rPr>
          <w:rFonts w:asciiTheme="majorBidi" w:hAnsiTheme="majorBidi" w:cstheme="majorBidi"/>
          <w:sz w:val="24"/>
          <w:szCs w:val="24"/>
        </w:rPr>
        <w:t>Rule-setting capacity beyond market exchange</w:t>
      </w:r>
      <w:r w:rsidRPr="004A1856">
        <w:rPr>
          <w:rFonts w:asciiTheme="majorBidi" w:eastAsia="Times New Roman" w:hAnsiTheme="majorBidi" w:cstheme="majorBidi"/>
          <w:sz w:val="24"/>
          <w:szCs w:val="24"/>
        </w:rPr>
        <w:t>: the firm sets and enforces rules</w:t>
      </w:r>
      <w:r w:rsidR="004A1856" w:rsidRPr="004A1856">
        <w:rPr>
          <w:rFonts w:asciiTheme="majorBidi" w:eastAsia="Times New Roman" w:hAnsiTheme="majorBidi" w:cstheme="majorBidi"/>
          <w:sz w:val="24"/>
          <w:szCs w:val="24"/>
        </w:rPr>
        <w:t xml:space="preserve"> -</w:t>
      </w:r>
      <w:r w:rsidRPr="004A1856">
        <w:rPr>
          <w:rFonts w:asciiTheme="majorBidi" w:eastAsia="Times New Roman" w:hAnsiTheme="majorBidi" w:cstheme="majorBidi"/>
          <w:sz w:val="24"/>
          <w:szCs w:val="24"/>
        </w:rPr>
        <w:t xml:space="preserve"> technical,</w:t>
      </w:r>
      <w:r w:rsidRPr="0044370F">
        <w:rPr>
          <w:rFonts w:ascii="Times New Roman" w:eastAsia="Times New Roman" w:hAnsi="Times New Roman" w:cs="Times New Roman"/>
          <w:sz w:val="24"/>
          <w:szCs w:val="24"/>
        </w:rPr>
        <w:t xml:space="preserve"> contractual, or procedural, that shape behavior at scale.</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Infrastructural centrality: the firm controls a platform, protocol, standard, or system layer that others must use to communicate, transact, or administer.</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Systemic dependence and path dependency: alternatives are costly or unavailable; disruptions generate broad social, economic, or institutional effects.</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Structural embeddedness in transnational institutions: the firm is integrated into standards bodies, procurement ecosystems, public-private partnerships, or regulatory processes in ways that shape governance architectures.</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Legitimacy production: the firm advances justificatory narratives (rights, safety, neutrality, national development) and constructs governance mechanisms (oversight bodies, audit regimes, transparency infrastructures) that mimic or substitute for public authority.</w:t>
      </w:r>
    </w:p>
    <w:p w:rsidR="004E4C13" w:rsidRPr="0044370F" w:rsidRDefault="004A1856" w:rsidP="004E4C13">
      <w:pPr>
        <w:spacing w:beforeAutospacing="1" w:after="100" w:afterAutospacing="1" w:line="360" w:lineRule="auto"/>
        <w:jc w:val="both"/>
        <w:rPr>
          <w:rFonts w:ascii="Times New Roman" w:eastAsia="Times New Roman" w:hAnsi="Times New Roman" w:cs="Times New Roman"/>
          <w:sz w:val="24"/>
          <w:szCs w:val="24"/>
        </w:rPr>
      </w:pPr>
      <w:r w:rsidRPr="004A1856">
        <w:rPr>
          <w:rFonts w:ascii="Times New Roman" w:eastAsia="Times New Roman" w:hAnsi="Times New Roman" w:cs="Times New Roman"/>
          <w:sz w:val="24"/>
          <w:szCs w:val="24"/>
        </w:rPr>
        <w:t>Disqualifying conditions include cases in which power remains competitive and substitutable (low switching costs), influence is episodic rather than infrastructural, or governance effects are incidental rather than cons</w:t>
      </w:r>
      <w:r>
        <w:rPr>
          <w:rFonts w:ascii="Times New Roman" w:eastAsia="Times New Roman" w:hAnsi="Times New Roman" w:cs="Times New Roman"/>
          <w:sz w:val="24"/>
          <w:szCs w:val="24"/>
        </w:rPr>
        <w:t>titutive of the firm’s position</w:t>
      </w:r>
      <w:r w:rsidR="004E4C13" w:rsidRPr="0044370F">
        <w:rPr>
          <w:rFonts w:ascii="Times New Roman" w:eastAsia="Times New Roman" w:hAnsi="Times New Roman" w:cs="Times New Roman"/>
          <w:sz w:val="24"/>
          <w:szCs w:val="24"/>
        </w:rPr>
        <w:t xml:space="preserve">. </w:t>
      </w:r>
    </w:p>
    <w:p w:rsidR="008D18D4" w:rsidRPr="0044370F" w:rsidRDefault="008D18D4"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Empirically, these boundary conditions are operationalized through the indicators specified under each dimension, ensuring that classification rests on observable governance effects rather than firm size or market share alone.</w:t>
      </w:r>
    </w:p>
    <w:p w:rsidR="004E4C13" w:rsidRPr="0044370F" w:rsidRDefault="004E4C13" w:rsidP="004E4C1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boundary-setting logic clarifies the concept’s precision and prevents analytical dilution as the framework is applied across cases and sectors.</w:t>
      </w:r>
    </w:p>
    <w:p w:rsidR="009A4C03" w:rsidRPr="004A1856" w:rsidRDefault="004A1856">
      <w:pPr>
        <w:rPr>
          <w:rFonts w:ascii="Times New Roman" w:eastAsia="Times New Roman" w:hAnsi="Times New Roman" w:cs="Times New Roman"/>
          <w:sz w:val="24"/>
          <w:szCs w:val="24"/>
        </w:rPr>
      </w:pPr>
      <w:r w:rsidRPr="004A1856">
        <w:rPr>
          <w:rFonts w:ascii="Times New Roman" w:eastAsia="Times New Roman" w:hAnsi="Times New Roman" w:cs="Times New Roman"/>
          <w:sz w:val="24"/>
          <w:szCs w:val="24"/>
        </w:rPr>
        <w:t>To clarify how the framework synthesizes disciplinary contributions, the following tables map theoretical foundations onto the four dimensions.</w:t>
      </w:r>
      <w:r w:rsidR="009A4C03" w:rsidRPr="004A1856">
        <w:rPr>
          <w:rFonts w:ascii="Times New Roman" w:eastAsia="Times New Roman" w:hAnsi="Times New Roman" w:cs="Times New Roman"/>
          <w:sz w:val="24"/>
          <w:szCs w:val="24"/>
        </w:rPr>
        <w:br w:type="page"/>
      </w:r>
    </w:p>
    <w:p w:rsidR="0060194B" w:rsidRPr="0044370F" w:rsidRDefault="0060194B" w:rsidP="006460CE">
      <w:pPr>
        <w:pStyle w:val="3"/>
      </w:pPr>
      <w:bookmarkStart w:id="74" w:name="_Toc222652754"/>
      <w:r w:rsidRPr="0044370F">
        <w:lastRenderedPageBreak/>
        <w:t>Table</w:t>
      </w:r>
      <w:r w:rsidRPr="0044370F">
        <w:rPr>
          <w:rFonts w:hint="cs"/>
          <w:rtl/>
        </w:rPr>
        <w:t xml:space="preserve"> </w:t>
      </w:r>
      <w:r w:rsidR="00ED5A0F" w:rsidRPr="0044370F">
        <w:t>2:</w:t>
      </w:r>
      <w:r w:rsidRPr="0044370F">
        <w:t xml:space="preserve">  Asymmetric Disciplinary Contributions to the Four Dimensions of Corporate Quasi-Sovereignty</w:t>
      </w:r>
      <w:bookmarkEnd w:id="74"/>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table serves a methodological function by clarifying how different disciplinary traditions contribute unevenly to each analytical dimension, guiding both theoretical interpretation and empirical operationalization.</w:t>
      </w:r>
    </w:p>
    <w:tbl>
      <w:tblPr>
        <w:tblStyle w:val="5-5"/>
        <w:tblW w:w="0" w:type="auto"/>
        <w:tblLook w:val="04A0" w:firstRow="1" w:lastRow="0" w:firstColumn="1" w:lastColumn="0" w:noHBand="0" w:noVBand="1"/>
      </w:tblPr>
      <w:tblGrid>
        <w:gridCol w:w="1783"/>
        <w:gridCol w:w="1655"/>
        <w:gridCol w:w="2309"/>
        <w:gridCol w:w="3603"/>
      </w:tblGrid>
      <w:tr w:rsidR="0060194B" w:rsidRPr="0044370F" w:rsidTr="00051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0194B" w:rsidRPr="0044370F" w:rsidRDefault="0060194B" w:rsidP="00051764">
            <w:pPr>
              <w:jc w:val="center"/>
              <w:rPr>
                <w:rFonts w:ascii="Times New Roman" w:eastAsia="Times New Roman" w:hAnsi="Times New Roman" w:cs="Times New Roman"/>
                <w:lang w:val="en-US"/>
              </w:rPr>
            </w:pPr>
            <w:r w:rsidRPr="0044370F">
              <w:rPr>
                <w:rFonts w:ascii="Times New Roman" w:eastAsia="Times New Roman" w:hAnsi="Times New Roman" w:cs="Times New Roman"/>
                <w:lang w:val="en-US"/>
              </w:rPr>
              <w:t>Discipline</w:t>
            </w:r>
          </w:p>
        </w:tc>
        <w:tc>
          <w:tcPr>
            <w:tcW w:w="0" w:type="auto"/>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44370F">
              <w:rPr>
                <w:rFonts w:ascii="Times New Roman" w:eastAsia="Times New Roman" w:hAnsi="Times New Roman" w:cs="Times New Roman"/>
                <w:lang w:val="en-US"/>
              </w:rPr>
              <w:t>Common Abbreviation</w:t>
            </w:r>
          </w:p>
        </w:tc>
        <w:tc>
          <w:tcPr>
            <w:tcW w:w="0" w:type="auto"/>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44370F">
              <w:rPr>
                <w:rFonts w:ascii="Times New Roman" w:eastAsia="Times New Roman" w:hAnsi="Times New Roman" w:cs="Times New Roman"/>
                <w:lang w:val="en-US"/>
              </w:rPr>
              <w:t>Core Concepts Contributed</w:t>
            </w:r>
          </w:p>
        </w:tc>
        <w:tc>
          <w:tcPr>
            <w:tcW w:w="0" w:type="auto"/>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44370F">
              <w:rPr>
                <w:rFonts w:ascii="Times New Roman" w:eastAsia="Times New Roman" w:hAnsi="Times New Roman" w:cs="Times New Roman"/>
                <w:lang w:val="en-US"/>
              </w:rPr>
              <w:t>Role in the Model</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International Relations</w:t>
            </w:r>
          </w:p>
        </w:tc>
        <w:tc>
          <w:tcPr>
            <w:tcW w:w="0" w:type="auto"/>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b/>
                <w:bCs/>
                <w:sz w:val="20"/>
                <w:szCs w:val="20"/>
                <w:lang w:val="en-US"/>
              </w:rPr>
              <w:t>IR</w:t>
            </w:r>
          </w:p>
        </w:tc>
        <w:tc>
          <w:tcPr>
            <w:tcW w:w="0" w:type="auto"/>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Sovereignty, authority, global order, state vs. non-state actors</w:t>
            </w:r>
          </w:p>
        </w:tc>
        <w:tc>
          <w:tcPr>
            <w:tcW w:w="0" w:type="auto"/>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Provides the primary conceptual framework for extending sovereignty beyond the state and situating corporate actors within the international system</w:t>
            </w:r>
          </w:p>
        </w:tc>
      </w:tr>
      <w:tr w:rsidR="0060194B" w:rsidRPr="0044370F" w:rsidTr="00051764">
        <w:tc>
          <w:tcPr>
            <w:cnfStyle w:val="001000000000" w:firstRow="0" w:lastRow="0" w:firstColumn="1" w:lastColumn="0" w:oddVBand="0" w:evenVBand="0" w:oddHBand="0" w:evenHBand="0" w:firstRowFirstColumn="0" w:firstRowLastColumn="0" w:lastRowFirstColumn="0" w:lastRowLastColumn="0"/>
            <w:tcW w:w="0" w:type="auto"/>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Political Theory / Political Philosophy</w:t>
            </w:r>
          </w:p>
        </w:tc>
        <w:tc>
          <w:tcPr>
            <w:tcW w:w="0" w:type="auto"/>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b/>
                <w:bCs/>
                <w:sz w:val="20"/>
                <w:szCs w:val="20"/>
                <w:lang w:val="en-US"/>
              </w:rPr>
              <w:t>PT</w:t>
            </w:r>
          </w:p>
        </w:tc>
        <w:tc>
          <w:tcPr>
            <w:tcW w:w="0" w:type="auto"/>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Legitimacy, justification of authority, power vs. authority</w:t>
            </w:r>
          </w:p>
        </w:tc>
        <w:tc>
          <w:tcPr>
            <w:tcW w:w="0" w:type="auto"/>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Grounds the normative dimension of the model, explaining how corporate power becomes accepted, contested, or justified</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International Political Economy</w:t>
            </w:r>
          </w:p>
        </w:tc>
        <w:tc>
          <w:tcPr>
            <w:tcW w:w="0" w:type="auto"/>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b/>
                <w:bCs/>
                <w:sz w:val="20"/>
                <w:szCs w:val="20"/>
                <w:lang w:val="en-US"/>
              </w:rPr>
              <w:t>IPE</w:t>
            </w:r>
          </w:p>
        </w:tc>
        <w:tc>
          <w:tcPr>
            <w:tcW w:w="0" w:type="auto"/>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Structural power, rule-making authority, market–state relations</w:t>
            </w:r>
          </w:p>
        </w:tc>
        <w:tc>
          <w:tcPr>
            <w:tcW w:w="0" w:type="auto"/>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Explains how corporations shape the rules of the game through control over resources, markets, and institutional arrangements</w:t>
            </w:r>
          </w:p>
        </w:tc>
      </w:tr>
      <w:tr w:rsidR="0060194B" w:rsidRPr="0044370F" w:rsidTr="00051764">
        <w:tc>
          <w:tcPr>
            <w:cnfStyle w:val="001000000000" w:firstRow="0" w:lastRow="0" w:firstColumn="1" w:lastColumn="0" w:oddVBand="0" w:evenVBand="0" w:oddHBand="0" w:evenHBand="0" w:firstRowFirstColumn="0" w:firstRowLastColumn="0" w:lastRowFirstColumn="0" w:lastRowLastColumn="0"/>
            <w:tcW w:w="0" w:type="auto"/>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Science and Technology Studies</w:t>
            </w:r>
          </w:p>
        </w:tc>
        <w:tc>
          <w:tcPr>
            <w:tcW w:w="0" w:type="auto"/>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b/>
                <w:bCs/>
                <w:sz w:val="20"/>
                <w:szCs w:val="20"/>
                <w:lang w:val="en-US"/>
              </w:rPr>
              <w:t>STS</w:t>
            </w:r>
          </w:p>
        </w:tc>
        <w:tc>
          <w:tcPr>
            <w:tcW w:w="0" w:type="auto"/>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Socio-technical systems, Actor-Network Theory (ANT), infrastructure</w:t>
            </w:r>
          </w:p>
        </w:tc>
        <w:tc>
          <w:tcPr>
            <w:tcW w:w="0" w:type="auto"/>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Reveals how technological architectures, platforms, and infrastructures function as sites of governance and political power</w:t>
            </w:r>
          </w:p>
        </w:tc>
      </w:tr>
    </w:tbl>
    <w:p w:rsidR="0060194B" w:rsidRPr="0044370F" w:rsidRDefault="0060194B" w:rsidP="004A1856">
      <w:pPr>
        <w:pStyle w:val="NormalWeb"/>
        <w:spacing w:line="360" w:lineRule="auto"/>
        <w:jc w:val="both"/>
        <w:rPr>
          <w:rStyle w:val="a5"/>
          <w:rFonts w:eastAsiaTheme="majorEastAsia"/>
          <w:i w:val="0"/>
          <w:iCs w:val="0"/>
          <w:rtl/>
        </w:rPr>
      </w:pPr>
      <w:r w:rsidRPr="0044370F">
        <w:rPr>
          <w:rStyle w:val="a5"/>
          <w:rFonts w:eastAsiaTheme="majorEastAsia"/>
          <w:i w:val="0"/>
          <w:iCs w:val="0"/>
        </w:rPr>
        <w:t xml:space="preserve">The table reflects the analytically intentional asymmetry of the framework: </w:t>
      </w:r>
      <w:r w:rsidR="004A1856" w:rsidRPr="004A1856">
        <w:rPr>
          <w:rStyle w:val="a5"/>
          <w:rFonts w:eastAsiaTheme="majorEastAsia"/>
          <w:i w:val="0"/>
          <w:iCs w:val="0"/>
        </w:rPr>
        <w:t xml:space="preserve">critical IPE and management studies provide core explanatory foundations, while IR and STS function as interpretive and operational lenses that contextualize and </w:t>
      </w:r>
      <w:r w:rsidR="004A1856">
        <w:rPr>
          <w:rStyle w:val="a5"/>
          <w:rFonts w:eastAsiaTheme="majorEastAsia"/>
          <w:i w:val="0"/>
          <w:iCs w:val="0"/>
        </w:rPr>
        <w:t>materialize corporate authority</w:t>
      </w:r>
      <w:r w:rsidRPr="0044370F">
        <w:rPr>
          <w:rStyle w:val="a5"/>
          <w:rFonts w:eastAsiaTheme="majorEastAsia"/>
          <w:i w:val="0"/>
          <w:iCs w:val="0"/>
        </w:rPr>
        <w: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For clarity and consistency, this dissertation refers to this analytical structure as the </w:t>
      </w:r>
      <w:r w:rsidRPr="0044370F">
        <w:rPr>
          <w:rFonts w:ascii="Times New Roman" w:eastAsia="Times New Roman" w:hAnsi="Times New Roman" w:cs="Times New Roman"/>
          <w:b/>
          <w:bCs/>
          <w:sz w:val="24"/>
          <w:szCs w:val="24"/>
        </w:rPr>
        <w:t>Four-Dimensional Corporate Quasi-Sovereignty Framework</w:t>
      </w:r>
      <w:r w:rsidRPr="0044370F">
        <w:rPr>
          <w:rFonts w:ascii="Times New Roman" w:eastAsia="Times New Roman" w:hAnsi="Times New Roman" w:cs="Times New Roman"/>
          <w:sz w:val="24"/>
          <w:szCs w:val="24"/>
        </w:rPr>
        <w:t>, emphasizing its focus on non-territorial forms of authority exercised by multinational corporations.</w:t>
      </w:r>
    </w:p>
    <w:p w:rsidR="009A4C03" w:rsidRPr="0044370F" w:rsidRDefault="009A4C03">
      <w:pPr>
        <w:rPr>
          <w:rFonts w:ascii="Times New Roman" w:eastAsia="Times New Roman" w:hAnsi="Times New Roman" w:cs="Times New Roman"/>
          <w:b/>
          <w:bCs/>
          <w:sz w:val="24"/>
          <w:szCs w:val="24"/>
        </w:rPr>
      </w:pPr>
      <w:r w:rsidRPr="0044370F">
        <w:rPr>
          <w:rFonts w:ascii="Times New Roman" w:eastAsia="Times New Roman" w:hAnsi="Times New Roman" w:cs="Times New Roman"/>
          <w:b/>
          <w:bCs/>
          <w:sz w:val="24"/>
          <w:szCs w:val="24"/>
        </w:rPr>
        <w:br w:type="page"/>
      </w:r>
    </w:p>
    <w:p w:rsidR="0060194B" w:rsidRPr="0044370F" w:rsidRDefault="0060194B" w:rsidP="006460CE">
      <w:pPr>
        <w:pStyle w:val="3"/>
      </w:pPr>
      <w:bookmarkStart w:id="75" w:name="_Toc222652755"/>
      <w:r w:rsidRPr="0044370F">
        <w:lastRenderedPageBreak/>
        <w:t xml:space="preserve">Table </w:t>
      </w:r>
      <w:r w:rsidRPr="0044370F">
        <w:rPr>
          <w:rFonts w:hint="cs"/>
          <w:rtl/>
        </w:rPr>
        <w:t>3</w:t>
      </w:r>
      <w:r w:rsidRPr="0044370F">
        <w:t>: Theoretical Foundations of the Four-Dimensional Corporate Quasi-Sovereignty Framework</w:t>
      </w:r>
      <w:bookmarkEnd w:id="75"/>
    </w:p>
    <w:tbl>
      <w:tblPr>
        <w:tblStyle w:val="5-5"/>
        <w:tblW w:w="9498" w:type="dxa"/>
        <w:tblInd w:w="-5" w:type="dxa"/>
        <w:tblLook w:val="04A0" w:firstRow="1" w:lastRow="0" w:firstColumn="1" w:lastColumn="0" w:noHBand="0" w:noVBand="1"/>
      </w:tblPr>
      <w:tblGrid>
        <w:gridCol w:w="1556"/>
        <w:gridCol w:w="1676"/>
        <w:gridCol w:w="1681"/>
        <w:gridCol w:w="1416"/>
        <w:gridCol w:w="3169"/>
      </w:tblGrid>
      <w:tr w:rsidR="003119A6" w:rsidRPr="0044370F" w:rsidTr="00311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shd w:val="clear" w:color="auto" w:fill="7030A0"/>
            <w:hideMark/>
          </w:tcPr>
          <w:p w:rsidR="0060194B" w:rsidRPr="0044370F" w:rsidRDefault="0060194B" w:rsidP="00051764">
            <w:pPr>
              <w:jc w:val="cente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Dimension / Component</w:t>
            </w:r>
          </w:p>
        </w:tc>
        <w:tc>
          <w:tcPr>
            <w:tcW w:w="1676" w:type="dxa"/>
            <w:shd w:val="clear" w:color="auto" w:fill="7030A0"/>
            <w:hideMark/>
          </w:tcPr>
          <w:p w:rsidR="0060194B" w:rsidRPr="0044370F" w:rsidRDefault="0060194B" w:rsidP="00051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Relevant Discipline(s)</w:t>
            </w:r>
          </w:p>
        </w:tc>
        <w:tc>
          <w:tcPr>
            <w:tcW w:w="1681" w:type="dxa"/>
            <w:shd w:val="clear" w:color="auto" w:fill="7030A0"/>
            <w:hideMark/>
          </w:tcPr>
          <w:p w:rsidR="0060194B" w:rsidRPr="0044370F" w:rsidRDefault="0060194B" w:rsidP="00051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Key Concepts</w:t>
            </w:r>
          </w:p>
        </w:tc>
        <w:tc>
          <w:tcPr>
            <w:tcW w:w="1416" w:type="dxa"/>
            <w:shd w:val="clear" w:color="auto" w:fill="7030A0"/>
            <w:hideMark/>
          </w:tcPr>
          <w:p w:rsidR="0060194B" w:rsidRPr="0044370F" w:rsidRDefault="0060194B" w:rsidP="00051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Leading Scholars</w:t>
            </w:r>
          </w:p>
        </w:tc>
        <w:tc>
          <w:tcPr>
            <w:tcW w:w="3169" w:type="dxa"/>
            <w:shd w:val="clear" w:color="auto" w:fill="7030A0"/>
            <w:hideMark/>
          </w:tcPr>
          <w:p w:rsidR="0060194B" w:rsidRPr="0044370F" w:rsidRDefault="0060194B" w:rsidP="00051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Contribution to the Framework</w:t>
            </w:r>
          </w:p>
        </w:tc>
      </w:tr>
      <w:tr w:rsidR="003119A6" w:rsidRPr="0044370F" w:rsidTr="00311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shd w:val="clear" w:color="auto" w:fill="DCC5ED"/>
            <w:hideMark/>
          </w:tcPr>
          <w:p w:rsidR="0060194B" w:rsidRPr="0044370F" w:rsidRDefault="0060194B" w:rsidP="00051764">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Strategic Resource Control</w:t>
            </w:r>
          </w:p>
        </w:tc>
        <w:tc>
          <w:tcPr>
            <w:tcW w:w="1676"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Business Administration; International Political Economy</w:t>
            </w:r>
          </w:p>
        </w:tc>
        <w:tc>
          <w:tcPr>
            <w:tcW w:w="1681"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Strategic assets, control of data and IP, market leverage, structural power</w:t>
            </w:r>
          </w:p>
        </w:tc>
        <w:tc>
          <w:tcPr>
            <w:tcW w:w="1416"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 xml:space="preserve">Barney; Porter; Susan Strange; Shoshana </w:t>
            </w:r>
            <w:proofErr w:type="spellStart"/>
            <w:r w:rsidRPr="0044370F">
              <w:rPr>
                <w:rFonts w:ascii="Times New Roman" w:eastAsia="Times New Roman" w:hAnsi="Times New Roman" w:cs="Times New Roman"/>
                <w:sz w:val="20"/>
                <w:szCs w:val="20"/>
                <w:lang w:val="en-US"/>
              </w:rPr>
              <w:t>Zuboff</w:t>
            </w:r>
            <w:proofErr w:type="spellEnd"/>
          </w:p>
        </w:tc>
        <w:tc>
          <w:tcPr>
            <w:tcW w:w="3169"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Explains how corporations accumulate and protect critical resources that enable authority beyond market competition. Grounds quasi-sovereignty in organizational strategy and political economy.</w:t>
            </w:r>
          </w:p>
        </w:tc>
      </w:tr>
      <w:tr w:rsidR="003119A6" w:rsidRPr="0044370F" w:rsidTr="003119A6">
        <w:tc>
          <w:tcPr>
            <w:cnfStyle w:val="001000000000" w:firstRow="0" w:lastRow="0" w:firstColumn="1" w:lastColumn="0" w:oddVBand="0" w:evenVBand="0" w:oddHBand="0" w:evenHBand="0" w:firstRowFirstColumn="0" w:firstRowLastColumn="0" w:lastRowFirstColumn="0" w:lastRowLastColumn="0"/>
            <w:tcW w:w="1556" w:type="dxa"/>
            <w:shd w:val="clear" w:color="auto" w:fill="DCC5ED"/>
            <w:hideMark/>
          </w:tcPr>
          <w:p w:rsidR="0060194B" w:rsidRPr="0044370F" w:rsidRDefault="0060194B" w:rsidP="00051764">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Structural Embeddedness</w:t>
            </w:r>
          </w:p>
        </w:tc>
        <w:tc>
          <w:tcPr>
            <w:tcW w:w="1676" w:type="dxa"/>
            <w:shd w:val="clear" w:color="auto" w:fill="DCC5ED"/>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International Political Economy; International Relations</w:t>
            </w:r>
          </w:p>
        </w:tc>
        <w:tc>
          <w:tcPr>
            <w:tcW w:w="1681" w:type="dxa"/>
            <w:shd w:val="clear" w:color="auto" w:fill="DCC5ED"/>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Structural power, dependency, global governance, interdependence</w:t>
            </w:r>
          </w:p>
        </w:tc>
        <w:tc>
          <w:tcPr>
            <w:tcW w:w="1416" w:type="dxa"/>
            <w:shd w:val="clear" w:color="auto" w:fill="DCC5ED"/>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 xml:space="preserve">Susan Strange; John </w:t>
            </w:r>
            <w:proofErr w:type="spellStart"/>
            <w:r w:rsidRPr="0044370F">
              <w:rPr>
                <w:rFonts w:ascii="Times New Roman" w:eastAsia="Times New Roman" w:hAnsi="Times New Roman" w:cs="Times New Roman"/>
                <w:sz w:val="20"/>
                <w:szCs w:val="20"/>
                <w:lang w:val="en-US"/>
              </w:rPr>
              <w:t>Ruggie</w:t>
            </w:r>
            <w:proofErr w:type="spellEnd"/>
            <w:r w:rsidRPr="0044370F">
              <w:rPr>
                <w:rFonts w:ascii="Times New Roman" w:eastAsia="Times New Roman" w:hAnsi="Times New Roman" w:cs="Times New Roman"/>
                <w:sz w:val="20"/>
                <w:szCs w:val="20"/>
                <w:lang w:val="en-US"/>
              </w:rPr>
              <w:t xml:space="preserve">; </w:t>
            </w:r>
            <w:proofErr w:type="spellStart"/>
            <w:r w:rsidRPr="0044370F">
              <w:rPr>
                <w:rFonts w:ascii="Times New Roman" w:eastAsia="Times New Roman" w:hAnsi="Times New Roman" w:cs="Times New Roman"/>
                <w:sz w:val="20"/>
                <w:szCs w:val="20"/>
                <w:lang w:val="en-US"/>
              </w:rPr>
              <w:t>Babic</w:t>
            </w:r>
            <w:proofErr w:type="spellEnd"/>
            <w:r w:rsidRPr="0044370F">
              <w:rPr>
                <w:rFonts w:ascii="Times New Roman" w:eastAsia="Times New Roman" w:hAnsi="Times New Roman" w:cs="Times New Roman"/>
                <w:sz w:val="20"/>
                <w:szCs w:val="20"/>
                <w:lang w:val="en-US"/>
              </w:rPr>
              <w:t xml:space="preserve"> et al.</w:t>
            </w:r>
          </w:p>
        </w:tc>
        <w:tc>
          <w:tcPr>
            <w:tcW w:w="3169" w:type="dxa"/>
            <w:shd w:val="clear" w:color="auto" w:fill="DCC5ED"/>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Captures how corporations become embedded in economic and institutional systems, generating systemic dependence that constrains state autonomy.</w:t>
            </w:r>
          </w:p>
        </w:tc>
      </w:tr>
      <w:tr w:rsidR="003119A6" w:rsidRPr="0044370F" w:rsidTr="00311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shd w:val="clear" w:color="auto" w:fill="DCC5ED"/>
            <w:hideMark/>
          </w:tcPr>
          <w:p w:rsidR="0060194B" w:rsidRPr="0044370F" w:rsidRDefault="0060194B" w:rsidP="00051764">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Normative Legitimacy</w:t>
            </w:r>
          </w:p>
        </w:tc>
        <w:tc>
          <w:tcPr>
            <w:tcW w:w="1676"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International Relations; Political Theory</w:t>
            </w:r>
          </w:p>
        </w:tc>
        <w:tc>
          <w:tcPr>
            <w:tcW w:w="1681"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Legitimacy, private authority, norm-setting, governance without government</w:t>
            </w:r>
          </w:p>
        </w:tc>
        <w:tc>
          <w:tcPr>
            <w:tcW w:w="1416"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 xml:space="preserve">Max Weber; Krasner; Hall &amp; </w:t>
            </w:r>
            <w:proofErr w:type="spellStart"/>
            <w:r w:rsidRPr="0044370F">
              <w:rPr>
                <w:rFonts w:ascii="Times New Roman" w:eastAsia="Times New Roman" w:hAnsi="Times New Roman" w:cs="Times New Roman"/>
                <w:sz w:val="20"/>
                <w:szCs w:val="20"/>
                <w:lang w:val="en-US"/>
              </w:rPr>
              <w:t>Biersteker</w:t>
            </w:r>
            <w:proofErr w:type="spellEnd"/>
            <w:r w:rsidRPr="0044370F">
              <w:rPr>
                <w:rFonts w:ascii="Times New Roman" w:eastAsia="Times New Roman" w:hAnsi="Times New Roman" w:cs="Times New Roman"/>
                <w:sz w:val="20"/>
                <w:szCs w:val="20"/>
                <w:lang w:val="en-US"/>
              </w:rPr>
              <w:t>; Scherer &amp; Palazzo</w:t>
            </w:r>
          </w:p>
        </w:tc>
        <w:tc>
          <w:tcPr>
            <w:tcW w:w="3169" w:type="dxa"/>
            <w:shd w:val="clear" w:color="auto" w:fill="DCC5ED"/>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Explains how corporate authority is recognized, justified, and normalized despite the absence of formal sovereignty.</w:t>
            </w:r>
          </w:p>
        </w:tc>
      </w:tr>
      <w:tr w:rsidR="003119A6" w:rsidRPr="0044370F" w:rsidTr="003119A6">
        <w:tc>
          <w:tcPr>
            <w:cnfStyle w:val="001000000000" w:firstRow="0" w:lastRow="0" w:firstColumn="1" w:lastColumn="0" w:oddVBand="0" w:evenVBand="0" w:oddHBand="0" w:evenHBand="0" w:firstRowFirstColumn="0" w:firstRowLastColumn="0" w:lastRowFirstColumn="0" w:lastRowLastColumn="0"/>
            <w:tcW w:w="1556" w:type="dxa"/>
            <w:shd w:val="clear" w:color="auto" w:fill="DCC5ED"/>
            <w:hideMark/>
          </w:tcPr>
          <w:p w:rsidR="0060194B" w:rsidRPr="0044370F" w:rsidRDefault="0060194B" w:rsidP="00051764">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Infrastructural Power</w:t>
            </w:r>
          </w:p>
        </w:tc>
        <w:tc>
          <w:tcPr>
            <w:tcW w:w="1676" w:type="dxa"/>
            <w:shd w:val="clear" w:color="auto" w:fill="DCC5ED"/>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Science and Technology Studies; Political Theory</w:t>
            </w:r>
          </w:p>
        </w:tc>
        <w:tc>
          <w:tcPr>
            <w:tcW w:w="1681" w:type="dxa"/>
            <w:shd w:val="clear" w:color="auto" w:fill="DCC5ED"/>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Infrastructural power, socio-technical systems, code-as-law, actor-network theory</w:t>
            </w:r>
          </w:p>
        </w:tc>
        <w:tc>
          <w:tcPr>
            <w:tcW w:w="1416" w:type="dxa"/>
            <w:shd w:val="clear" w:color="auto" w:fill="DCC5ED"/>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 xml:space="preserve">Michael Mann; Bruno </w:t>
            </w:r>
            <w:proofErr w:type="spellStart"/>
            <w:r w:rsidRPr="0044370F">
              <w:rPr>
                <w:rFonts w:ascii="Times New Roman" w:eastAsia="Times New Roman" w:hAnsi="Times New Roman" w:cs="Times New Roman"/>
                <w:sz w:val="20"/>
                <w:szCs w:val="20"/>
                <w:lang w:val="en-US"/>
              </w:rPr>
              <w:t>Latour</w:t>
            </w:r>
            <w:proofErr w:type="spellEnd"/>
            <w:r w:rsidRPr="0044370F">
              <w:rPr>
                <w:rFonts w:ascii="Times New Roman" w:eastAsia="Times New Roman" w:hAnsi="Times New Roman" w:cs="Times New Roman"/>
                <w:sz w:val="20"/>
                <w:szCs w:val="20"/>
                <w:lang w:val="en-US"/>
              </w:rPr>
              <w:t xml:space="preserve">; Lawrence </w:t>
            </w:r>
            <w:proofErr w:type="spellStart"/>
            <w:r w:rsidRPr="0044370F">
              <w:rPr>
                <w:rFonts w:ascii="Times New Roman" w:eastAsia="Times New Roman" w:hAnsi="Times New Roman" w:cs="Times New Roman"/>
                <w:sz w:val="20"/>
                <w:szCs w:val="20"/>
                <w:lang w:val="en-US"/>
              </w:rPr>
              <w:t>Lessig</w:t>
            </w:r>
            <w:proofErr w:type="spellEnd"/>
          </w:p>
        </w:tc>
        <w:tc>
          <w:tcPr>
            <w:tcW w:w="3169" w:type="dxa"/>
            <w:shd w:val="clear" w:color="auto" w:fill="DCC5ED"/>
            <w:hideMark/>
          </w:tcPr>
          <w:p w:rsidR="0060194B" w:rsidRPr="0044370F" w:rsidRDefault="0060194B" w:rsidP="004A18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 xml:space="preserve">Shows how authority is enacted through technological infrastructures, platforms, and standards </w:t>
            </w:r>
            <w:r w:rsidR="004A1856" w:rsidRPr="004A1856">
              <w:rPr>
                <w:rFonts w:ascii="Times New Roman" w:eastAsia="Times New Roman" w:hAnsi="Times New Roman" w:cs="Times New Roman"/>
                <w:sz w:val="20"/>
                <w:szCs w:val="20"/>
                <w:lang w:val="en-US"/>
              </w:rPr>
              <w:t>rather than through formal legal institutions, thereby grounding the infrastructural dimension of quasi-sovereignty.</w:t>
            </w:r>
          </w:p>
        </w:tc>
      </w:tr>
      <w:tr w:rsidR="003119A6" w:rsidRPr="0044370F" w:rsidTr="00311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6" w:type="dxa"/>
            <w:shd w:val="clear" w:color="auto" w:fill="C78AE2"/>
            <w:hideMark/>
          </w:tcPr>
          <w:p w:rsidR="0060194B" w:rsidRPr="0044370F" w:rsidRDefault="0060194B" w:rsidP="00051764">
            <w:pP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 xml:space="preserve">Conceptual Integration </w:t>
            </w:r>
          </w:p>
          <w:p w:rsidR="0060194B" w:rsidRPr="0044370F" w:rsidRDefault="0060194B" w:rsidP="00051764">
            <w:pP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(Quasi-Sovereignty)</w:t>
            </w:r>
          </w:p>
        </w:tc>
        <w:tc>
          <w:tcPr>
            <w:tcW w:w="1676" w:type="dxa"/>
            <w:shd w:val="clear" w:color="auto" w:fill="C78AE2"/>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44370F">
              <w:rPr>
                <w:rFonts w:ascii="Times New Roman" w:eastAsia="Times New Roman" w:hAnsi="Times New Roman" w:cs="Times New Roman"/>
                <w:b/>
                <w:bCs/>
                <w:sz w:val="24"/>
                <w:szCs w:val="24"/>
                <w:lang w:val="en-US"/>
              </w:rPr>
              <w:t>Hybrid (BA, IR, IPE, STS)</w:t>
            </w:r>
          </w:p>
        </w:tc>
        <w:tc>
          <w:tcPr>
            <w:tcW w:w="1681" w:type="dxa"/>
            <w:shd w:val="clear" w:color="auto" w:fill="C78AE2"/>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44370F">
              <w:rPr>
                <w:rFonts w:ascii="Times New Roman" w:eastAsia="Times New Roman" w:hAnsi="Times New Roman" w:cs="Times New Roman"/>
                <w:b/>
                <w:bCs/>
                <w:sz w:val="24"/>
                <w:szCs w:val="24"/>
                <w:lang w:val="en-US"/>
              </w:rPr>
              <w:t>Quasi-sovereignty, non-territorial authority, hybrid governance</w:t>
            </w:r>
          </w:p>
        </w:tc>
        <w:tc>
          <w:tcPr>
            <w:tcW w:w="1416" w:type="dxa"/>
            <w:shd w:val="clear" w:color="auto" w:fill="C78AE2"/>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44370F">
              <w:rPr>
                <w:rFonts w:ascii="Times New Roman" w:eastAsia="Times New Roman" w:hAnsi="Times New Roman" w:cs="Times New Roman"/>
                <w:b/>
                <w:bCs/>
                <w:sz w:val="24"/>
                <w:szCs w:val="24"/>
                <w:lang w:val="en-US"/>
              </w:rPr>
              <w:t>This dissertation</w:t>
            </w:r>
          </w:p>
        </w:tc>
        <w:tc>
          <w:tcPr>
            <w:tcW w:w="3169" w:type="dxa"/>
            <w:shd w:val="clear" w:color="auto" w:fill="C78AE2"/>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lang w:val="en-US"/>
              </w:rPr>
            </w:pPr>
            <w:r w:rsidRPr="0044370F">
              <w:rPr>
                <w:rFonts w:ascii="Times New Roman" w:eastAsia="Times New Roman" w:hAnsi="Times New Roman" w:cs="Times New Roman"/>
                <w:b/>
                <w:bCs/>
                <w:sz w:val="24"/>
                <w:szCs w:val="24"/>
                <w:lang w:val="en-US"/>
              </w:rPr>
              <w:t>Integrates disciplinary insights into a unified analytical framework explaining how multinational technology corporations exercise sovereignty-like authority without statehood.</w:t>
            </w:r>
          </w:p>
        </w:tc>
      </w:tr>
    </w:tbl>
    <w:p w:rsidR="0060194B" w:rsidRDefault="0060194B" w:rsidP="0060194B">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Table 3 synthesizes the interdisciplinary foundations of the framework, clarifying how distinct theoretical traditions contribute to each analytical dimension and how their integration enables a coherent explanation of corporate quasi-sovereignty.</w:t>
      </w:r>
    </w:p>
    <w:p w:rsidR="004A1856" w:rsidRPr="004A1856" w:rsidRDefault="004A1856" w:rsidP="004A1856">
      <w:pPr>
        <w:pStyle w:val="3"/>
      </w:pPr>
      <w:bookmarkStart w:id="76" w:name="_Toc222652756"/>
      <w:r w:rsidRPr="004A1856">
        <w:t>3.4.6 Comparative Note: Why Technology Corporations?</w:t>
      </w:r>
      <w:bookmarkEnd w:id="76"/>
    </w:p>
    <w:p w:rsidR="00602949" w:rsidRDefault="004A1856" w:rsidP="004A1856">
      <w:pPr>
        <w:pStyle w:val="NormalWeb"/>
        <w:spacing w:line="360" w:lineRule="auto"/>
        <w:jc w:val="both"/>
      </w:pPr>
      <w:r>
        <w:t xml:space="preserve">The analytical framework developed in this dissertation is not intended to imply that all large multinational corporations exhibit quasi-sovereign authority. Energy conglomerates, global </w:t>
      </w:r>
      <w:r>
        <w:lastRenderedPageBreak/>
        <w:t xml:space="preserve">financial institutions, pharmaceutical firms, and defense contractors all command substantial resources and exercise significant influence across borders. </w:t>
      </w:r>
    </w:p>
    <w:p w:rsidR="004A1856" w:rsidRDefault="004A1856" w:rsidP="004A1856">
      <w:pPr>
        <w:pStyle w:val="NormalWeb"/>
        <w:spacing w:line="360" w:lineRule="auto"/>
        <w:jc w:val="both"/>
      </w:pPr>
      <w:r>
        <w:t>The question, therefore, is not whether corporate power exists beyond the technology sector, but whether multinational technology corporations occupy a structurally distinct position that renders them particularly susceptible to quasi-sovereign configurations of authority.</w:t>
      </w:r>
    </w:p>
    <w:p w:rsidR="00602949" w:rsidRDefault="004A1856" w:rsidP="004A1856">
      <w:pPr>
        <w:pStyle w:val="NormalWeb"/>
        <w:spacing w:line="360" w:lineRule="auto"/>
        <w:jc w:val="both"/>
      </w:pPr>
      <w:r>
        <w:t xml:space="preserve">The distinction lies not primarily in firm size, revenue, or market capitalization, but in the nature of the infrastructures through which authority is exercised. Traditional multinational corporations often derive influence from control over physical resources (energy extraction, mineral supply chains), financial intermediation, intellectual property regimes, or specialized production capabilities. </w:t>
      </w:r>
    </w:p>
    <w:p w:rsidR="004A1856" w:rsidRDefault="004A1856" w:rsidP="004A1856">
      <w:pPr>
        <w:pStyle w:val="NormalWeb"/>
        <w:spacing w:line="360" w:lineRule="auto"/>
        <w:jc w:val="both"/>
      </w:pPr>
      <w:r>
        <w:t>While such control can generate structural leverage and political influence, it typically remains mediated through contractual relations, regulatory frameworks, and state-centered institutional arrangements. Even highly concentrated sectors, such as global banking or energy, operate within jurisdictionally bounded systems of oversight, central banking regimes, and treaty-based coordination mechanisms that anchor their authority within state-centric governance structures.</w:t>
      </w:r>
    </w:p>
    <w:p w:rsidR="00602949" w:rsidRDefault="004A1856" w:rsidP="00602949">
      <w:pPr>
        <w:pStyle w:val="NormalWeb"/>
        <w:spacing w:line="360" w:lineRule="auto"/>
        <w:jc w:val="both"/>
      </w:pPr>
      <w:r>
        <w:t xml:space="preserve">By contrast, multinational technology corporations frequently control digital infrastructures that </w:t>
      </w:r>
      <w:r w:rsidR="00602949">
        <w:t>serve as direct mediators of communication, economic exchange, identity verification, and population-scale informational visibility</w:t>
      </w:r>
      <w:r>
        <w:t xml:space="preserve">. </w:t>
      </w:r>
    </w:p>
    <w:p w:rsidR="004A1856" w:rsidRDefault="004A1856" w:rsidP="00602949">
      <w:pPr>
        <w:pStyle w:val="NormalWeb"/>
        <w:spacing w:line="360" w:lineRule="auto"/>
        <w:jc w:val="both"/>
      </w:pPr>
      <w:r>
        <w:t>Platforms, cloud architectures, operating systems, algorithmic ranking systems, and developer ecosystems are not merely market assets; they constitute the technical environments within which social, political, and economic interaction unfolds. The governance effects of these infrastructures are immediate and continuous: rule-setting is enacted through interface design, access protocols, algorithmic prioritization, and technical standards rather than through episodic contractual negotiation or sectoral regulation alone.</w:t>
      </w:r>
    </w:p>
    <w:p w:rsidR="004A1856" w:rsidRDefault="004A1856" w:rsidP="00602949">
      <w:pPr>
        <w:pStyle w:val="NormalWeb"/>
        <w:spacing w:line="360" w:lineRule="auto"/>
        <w:jc w:val="both"/>
      </w:pPr>
      <w:r>
        <w:t>This infrastructural centrality distinguishes technology firms in at least three analytically relevant ways</w:t>
      </w:r>
      <w:r w:rsidR="00602949">
        <w:t>:</w:t>
      </w:r>
    </w:p>
    <w:p w:rsidR="004A1856" w:rsidRDefault="004A1856" w:rsidP="004A1856">
      <w:pPr>
        <w:pStyle w:val="NormalWeb"/>
        <w:spacing w:line="360" w:lineRule="auto"/>
        <w:jc w:val="both"/>
      </w:pPr>
      <w:r w:rsidRPr="00602949">
        <w:rPr>
          <w:b/>
          <w:bCs/>
        </w:rPr>
        <w:lastRenderedPageBreak/>
        <w:t>First</w:t>
      </w:r>
      <w:r>
        <w:t>, their rule-setting capacity operates directly at the level of everyday interaction. Whereas energy or financial firms influence states and markets primarily through resource control or credit allocation, platform companies define the conditions under which speech, association, and commercial participation occur within their ecosystems. Terms of service, ranking algorithms, content policies, and API access rules structure participation in ways that resemble regulatory authority over digital populations.</w:t>
      </w:r>
    </w:p>
    <w:p w:rsidR="00602949" w:rsidRDefault="004A1856" w:rsidP="004A1856">
      <w:pPr>
        <w:pStyle w:val="NormalWeb"/>
        <w:spacing w:line="360" w:lineRule="auto"/>
        <w:jc w:val="both"/>
      </w:pPr>
      <w:r w:rsidRPr="00602949">
        <w:rPr>
          <w:b/>
          <w:bCs/>
        </w:rPr>
        <w:t>Second</w:t>
      </w:r>
      <w:r>
        <w:t xml:space="preserve">, digital infrastructures exhibit unusually high degrees of systemic dependence and path dependency. Switching costs in enterprise software ecosystems, cloud environments, identity layers, and platform markets can extend beyond commercial inconvenience to institutional disruption. </w:t>
      </w:r>
    </w:p>
    <w:p w:rsidR="00602949" w:rsidRDefault="004A1856" w:rsidP="004A1856">
      <w:pPr>
        <w:pStyle w:val="NormalWeb"/>
        <w:spacing w:line="360" w:lineRule="auto"/>
        <w:jc w:val="both"/>
      </w:pPr>
      <w:r>
        <w:t xml:space="preserve">Public agencies, businesses, and civil society actors may become structurally dependent on privately controlled technical systems that are difficult to replicate or exit without significant coordination costs. </w:t>
      </w:r>
    </w:p>
    <w:p w:rsidR="004A1856" w:rsidRDefault="004A1856" w:rsidP="004A1856">
      <w:pPr>
        <w:pStyle w:val="NormalWeb"/>
        <w:spacing w:line="360" w:lineRule="auto"/>
        <w:jc w:val="both"/>
      </w:pPr>
      <w:r>
        <w:t>This level of infrastructural entrenchment differs in form from resource-based dependence because it shapes not only economic outcomes but also informational, communicative, and administrative processes.</w:t>
      </w:r>
    </w:p>
    <w:p w:rsidR="00602949" w:rsidRDefault="004A1856" w:rsidP="004A1856">
      <w:pPr>
        <w:pStyle w:val="NormalWeb"/>
        <w:spacing w:line="360" w:lineRule="auto"/>
        <w:jc w:val="both"/>
      </w:pPr>
      <w:r w:rsidRPr="00602949">
        <w:rPr>
          <w:b/>
          <w:bCs/>
        </w:rPr>
        <w:t>Third</w:t>
      </w:r>
      <w:r>
        <w:t xml:space="preserve">, technology corporations frequently operate across jurisdictions in ways that blur territorial boundaries. Their infrastructures are inherently transnational, routing data, content, and services across borders while simultaneously implementing localized compliance architectures. </w:t>
      </w:r>
    </w:p>
    <w:p w:rsidR="004A1856" w:rsidRDefault="004A1856" w:rsidP="004A1856">
      <w:pPr>
        <w:pStyle w:val="NormalWeb"/>
        <w:spacing w:line="360" w:lineRule="auto"/>
        <w:jc w:val="both"/>
      </w:pPr>
      <w:r>
        <w:t>This duality enables firms to act as de facto coordinators of cross-border digital governance, translating divergent regulatory requirements into technical enforcement mechanisms embedded within global platforms.</w:t>
      </w:r>
    </w:p>
    <w:p w:rsidR="00602949" w:rsidRDefault="004A1856" w:rsidP="004A1856">
      <w:pPr>
        <w:pStyle w:val="NormalWeb"/>
        <w:spacing w:line="360" w:lineRule="auto"/>
        <w:jc w:val="both"/>
      </w:pPr>
      <w:r>
        <w:t xml:space="preserve">None of these features implies that technology corporations replace states or possess coercive supremacy. Rather, </w:t>
      </w:r>
      <w:r w:rsidRPr="00602949">
        <w:rPr>
          <w:b/>
          <w:bCs/>
        </w:rPr>
        <w:t>they indicate that the governance functions exercised by certain technology firms are infrastructural, population-scale, and structurally embedded in ways that are less typical of other multinational sectors</w:t>
      </w:r>
      <w:r w:rsidRPr="00602949">
        <w:rPr>
          <w:i/>
          <w:iCs/>
        </w:rPr>
        <w:t>.</w:t>
      </w:r>
      <w:r>
        <w:t xml:space="preserve"> </w:t>
      </w:r>
    </w:p>
    <w:p w:rsidR="00602949" w:rsidRDefault="004A1856" w:rsidP="004A1856">
      <w:pPr>
        <w:pStyle w:val="NormalWeb"/>
        <w:spacing w:line="360" w:lineRule="auto"/>
        <w:jc w:val="both"/>
      </w:pPr>
      <w:r>
        <w:lastRenderedPageBreak/>
        <w:t xml:space="preserve">Energy firms may influence geopolitical alignments; financial institutions may shape macroeconomic stability; pharmaceutical companies may affect public health systems. </w:t>
      </w:r>
    </w:p>
    <w:p w:rsidR="004A1856" w:rsidRDefault="004A1856" w:rsidP="004A1856">
      <w:pPr>
        <w:pStyle w:val="NormalWeb"/>
        <w:spacing w:line="360" w:lineRule="auto"/>
        <w:jc w:val="both"/>
      </w:pPr>
      <w:r>
        <w:t>Yet in most cases, their authority remains mediated through state institutions and sectoral regulation. Technology corporations, by contrast, often govern through the architectures that structure interaction itself.</w:t>
      </w:r>
    </w:p>
    <w:p w:rsidR="00602949" w:rsidRDefault="004A1856" w:rsidP="004A1856">
      <w:pPr>
        <w:pStyle w:val="NormalWeb"/>
        <w:spacing w:line="360" w:lineRule="auto"/>
        <w:jc w:val="both"/>
      </w:pPr>
      <w:r>
        <w:t xml:space="preserve">This comparative clarification reinforces the scope conditions articulated above. The framework is analytically suited to corporations that </w:t>
      </w:r>
    </w:p>
    <w:p w:rsidR="00602949" w:rsidRDefault="004A1856" w:rsidP="004A1856">
      <w:pPr>
        <w:pStyle w:val="NormalWeb"/>
        <w:spacing w:line="360" w:lineRule="auto"/>
        <w:jc w:val="both"/>
      </w:pPr>
      <w:r>
        <w:t xml:space="preserve">(1) control critical infrastructures with system-wide relevance, </w:t>
      </w:r>
    </w:p>
    <w:p w:rsidR="00602949" w:rsidRDefault="004A1856" w:rsidP="004A1856">
      <w:pPr>
        <w:pStyle w:val="NormalWeb"/>
        <w:spacing w:line="360" w:lineRule="auto"/>
        <w:jc w:val="both"/>
      </w:pPr>
      <w:r>
        <w:t xml:space="preserve">(2) generate durable dependence across multiple institutional domains, and </w:t>
      </w:r>
    </w:p>
    <w:p w:rsidR="004A1856" w:rsidRDefault="004A1856" w:rsidP="004A1856">
      <w:pPr>
        <w:pStyle w:val="NormalWeb"/>
        <w:spacing w:line="360" w:lineRule="auto"/>
        <w:jc w:val="both"/>
      </w:pPr>
      <w:r>
        <w:t>(3) exercise rule-setting authority through technical and organizational design. Many powerful firms will meet some of these criteria; fewer will exhibit their sustained convergence across all four dimensions.</w:t>
      </w:r>
    </w:p>
    <w:p w:rsidR="00602949" w:rsidRDefault="004A1856" w:rsidP="004A1856">
      <w:pPr>
        <w:pStyle w:val="NormalWeb"/>
        <w:spacing w:line="360" w:lineRule="auto"/>
        <w:jc w:val="both"/>
      </w:pPr>
      <w:r>
        <w:t>By specifying why multinational technology corporations are particularly salient sites for examining quasi-sovereign authority, this subsection narrows the analytical focus of the dissertation without implying that sovereignty-like dynamics are exclusive to the digital sector.</w:t>
      </w:r>
    </w:p>
    <w:p w:rsidR="004A1856" w:rsidRPr="0044370F" w:rsidRDefault="004A1856" w:rsidP="004A1856">
      <w:pPr>
        <w:pStyle w:val="NormalWeb"/>
        <w:spacing w:line="360" w:lineRule="auto"/>
        <w:jc w:val="both"/>
      </w:pPr>
      <w:r>
        <w:t>It clarifies that the framework is designed to explain a distinctive configuration of authority that emerges where infrastructural centrality, strategic resource concentration, legitimacy construction, and structural embeddedness converge at scale.</w:t>
      </w:r>
    </w:p>
    <w:p w:rsidR="0060194B" w:rsidRPr="0044370F" w:rsidRDefault="0060194B" w:rsidP="006460CE">
      <w:pPr>
        <w:pStyle w:val="2"/>
      </w:pPr>
      <w:bookmarkStart w:id="77" w:name="_Toc222652757"/>
      <w:r w:rsidRPr="0044370F">
        <w:rPr>
          <w:rStyle w:val="a4"/>
          <w:b/>
          <w:bCs w:val="0"/>
        </w:rPr>
        <w:t>3.5</w:t>
      </w:r>
      <w:r w:rsidRPr="0044370F">
        <w:rPr>
          <w:rStyle w:val="a4"/>
          <w:b/>
          <w:bCs w:val="0"/>
        </w:rPr>
        <w:tab/>
        <w:t>Integrated Functionality of the Model</w:t>
      </w:r>
      <w:bookmarkEnd w:id="77"/>
    </w:p>
    <w:p w:rsidR="0060194B" w:rsidRPr="0044370F" w:rsidRDefault="0060194B" w:rsidP="0060194B">
      <w:pPr>
        <w:pStyle w:val="NormalWeb"/>
        <w:spacing w:line="360" w:lineRule="auto"/>
        <w:jc w:val="both"/>
        <w:rPr>
          <w:i/>
          <w:iCs/>
        </w:rPr>
      </w:pPr>
      <w:r w:rsidRPr="0044370F">
        <w:rPr>
          <w:rStyle w:val="a5"/>
          <w:rFonts w:eastAsiaTheme="majorEastAsia"/>
          <w:i w:val="0"/>
          <w:iCs w:val="0"/>
        </w:rPr>
        <w:t>The four dimensions of the framework do not operate independently, but form a recursive and mutually reinforcing system of corporate authority.</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Control of resources leads to dominance over infrastructure; infrastructure reinforces narratives of legitimacy; legitimacy aids in structural integration; this integration, in turn, safeguards access to resources and ensures political insulation.</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lastRenderedPageBreak/>
        <w:t xml:space="preserve">Instead of being separate, these components create a recursive system that constructs, exercises, and stabilizes </w:t>
      </w:r>
      <w:r w:rsidR="00960581" w:rsidRPr="0044370F">
        <w:rPr>
          <w:rFonts w:asciiTheme="majorBidi" w:hAnsiTheme="majorBidi" w:cstheme="majorBidi"/>
        </w:rPr>
        <w:t>corporate quasi-sovereignty</w:t>
      </w:r>
      <w:r w:rsidRPr="0044370F">
        <w:rPr>
          <w:rFonts w:asciiTheme="majorBidi" w:hAnsiTheme="majorBidi" w:cstheme="majorBidi"/>
        </w:rPr>
        <w:t>.</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To represent this dynamic complexity, the framework is designed as a four-pillar structure, with every pillar symbolizing a fundamental vector of corporate geopolitical impact. Significantly, the framework is comparative: various companies demonstrate these dimensions to varying degrees. For example, Meta illustrates infrastructural and normative influence, Huawei demonstrates structural and resource advantage, while SAP represents embedded authority via institutional alignment.</w:t>
      </w:r>
    </w:p>
    <w:p w:rsidR="0060194B" w:rsidRPr="0044370F" w:rsidRDefault="0060194B" w:rsidP="006460CE">
      <w:pPr>
        <w:pStyle w:val="3"/>
      </w:pPr>
      <w:bookmarkStart w:id="78" w:name="_Toc222652758"/>
      <w:r w:rsidRPr="0044370F">
        <w:rPr>
          <w:rStyle w:val="a4"/>
          <w:b/>
          <w:bCs/>
        </w:rPr>
        <w:t>3.5.1</w:t>
      </w:r>
      <w:r w:rsidRPr="0044370F">
        <w:rPr>
          <w:rStyle w:val="a4"/>
          <w:b/>
          <w:bCs/>
        </w:rPr>
        <w:tab/>
        <w:t>Actor-Network Theory as Methodological Extension</w:t>
      </w:r>
      <w:bookmarkEnd w:id="78"/>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To operationalize this hybrid framework, we integrate </w:t>
      </w:r>
      <w:r w:rsidRPr="0044370F">
        <w:rPr>
          <w:rStyle w:val="a4"/>
          <w:rFonts w:asciiTheme="majorBidi" w:hAnsiTheme="majorBidi" w:cstheme="majorBidi"/>
        </w:rPr>
        <w:t>Actor-Network Theory</w:t>
      </w:r>
      <w:r w:rsidRPr="0044370F">
        <w:rPr>
          <w:rStyle w:val="a8"/>
          <w:rFonts w:asciiTheme="majorBidi" w:hAnsiTheme="majorBidi" w:cstheme="majorBidi"/>
          <w:b/>
          <w:bCs/>
        </w:rPr>
        <w:footnoteReference w:id="91"/>
      </w:r>
      <w:r w:rsidRPr="0044370F">
        <w:rPr>
          <w:rStyle w:val="a4"/>
          <w:rFonts w:asciiTheme="majorBidi" w:hAnsiTheme="majorBidi" w:cstheme="majorBidi"/>
        </w:rPr>
        <w:t xml:space="preserve"> </w:t>
      </w:r>
      <w:r w:rsidRPr="0044370F">
        <w:rPr>
          <w:rFonts w:asciiTheme="majorBidi" w:hAnsiTheme="majorBidi" w:cstheme="majorBidi"/>
        </w:rPr>
        <w:t>as a complementary methodological lens</w:t>
      </w:r>
      <w:r w:rsidRPr="0044370F">
        <w:rPr>
          <w:rStyle w:val="a8"/>
          <w:rFonts w:asciiTheme="majorBidi" w:hAnsiTheme="majorBidi" w:cstheme="majorBidi"/>
        </w:rPr>
        <w:footnoteReference w:id="92"/>
      </w:r>
      <w:r w:rsidRPr="0044370F">
        <w:rPr>
          <w:rFonts w:asciiTheme="majorBidi" w:hAnsiTheme="majorBidi" w:cstheme="majorBidi"/>
        </w:rPr>
        <w:t xml:space="preserve">. ANT encourages us to trace how authority is enacted not just by identifiable actors but through </w:t>
      </w:r>
      <w:r w:rsidRPr="0044370F">
        <w:rPr>
          <w:rStyle w:val="a4"/>
          <w:rFonts w:asciiTheme="majorBidi" w:hAnsiTheme="majorBidi" w:cstheme="majorBidi"/>
        </w:rPr>
        <w:t>distributed associations</w:t>
      </w:r>
      <w:r w:rsidRPr="0044370F">
        <w:rPr>
          <w:rFonts w:asciiTheme="majorBidi" w:hAnsiTheme="majorBidi" w:cstheme="majorBidi"/>
        </w:rPr>
        <w:t>: standards, documents, platforms, APIs, and organizational routines.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By following these associations, between code and policy, between algorithms and regulators, we can observe how authority travels, mutates, and becomes institutionalized. ANT also helps expose the </w:t>
      </w:r>
      <w:r w:rsidRPr="0044370F">
        <w:rPr>
          <w:rStyle w:val="a4"/>
          <w:rFonts w:asciiTheme="majorBidi" w:hAnsiTheme="majorBidi" w:cstheme="majorBidi"/>
        </w:rPr>
        <w:t>non-human components of governance</w:t>
      </w:r>
      <w:r w:rsidRPr="0044370F">
        <w:rPr>
          <w:rFonts w:asciiTheme="majorBidi" w:hAnsiTheme="majorBidi" w:cstheme="majorBidi"/>
        </w:rPr>
        <w:t>: how architecture, interfaces, and protocols co-produce power alongside human agents.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lastRenderedPageBreak/>
        <w:t xml:space="preserve">This methodological sensibility aligns with the framework’s hybrid logic. It allows us to map not only what corporations do, but how their sovereignty-like influence becomes </w:t>
      </w:r>
      <w:r w:rsidRPr="0044370F">
        <w:rPr>
          <w:rStyle w:val="a4"/>
          <w:rFonts w:asciiTheme="majorBidi" w:hAnsiTheme="majorBidi" w:cstheme="majorBidi"/>
        </w:rPr>
        <w:t>durable, diffuse, and networked</w:t>
      </w:r>
      <w:r w:rsidRPr="0044370F">
        <w:rPr>
          <w:rFonts w:asciiTheme="majorBidi" w:hAnsiTheme="majorBidi" w:cstheme="majorBidi"/>
        </w:rPr>
        <w:t>.</w:t>
      </w:r>
    </w:p>
    <w:p w:rsidR="0060194B" w:rsidRPr="0044370F" w:rsidRDefault="0060194B" w:rsidP="0060194B">
      <w:pPr>
        <w:pStyle w:val="NormalWeb"/>
        <w:spacing w:line="360" w:lineRule="auto"/>
        <w:jc w:val="both"/>
        <w:rPr>
          <w:rFonts w:cstheme="majorBidi"/>
        </w:rPr>
      </w:pPr>
      <w:r w:rsidRPr="0044370F">
        <w:rPr>
          <w:rFonts w:asciiTheme="majorBidi" w:hAnsiTheme="majorBidi" w:cstheme="majorBidi"/>
        </w:rPr>
        <w:t>Rather than concluding this section with a textual summary, the following figure synthesizes the hybrid analytical framework developed above.</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methodological sensibility directly informs the operational indicators outlined in Section 3.6.</w:t>
      </w:r>
    </w:p>
    <w:p w:rsidR="0060194B" w:rsidRPr="0044370F" w:rsidRDefault="0060194B" w:rsidP="006460CE">
      <w:pPr>
        <w:pStyle w:val="3"/>
      </w:pPr>
      <w:bookmarkStart w:id="79" w:name="_Toc222652759"/>
      <w:r w:rsidRPr="0044370F">
        <w:t>3.5.2</w:t>
      </w:r>
      <w:r w:rsidRPr="0044370F">
        <w:tab/>
        <w:t>The hybrid analytical model</w:t>
      </w:r>
      <w:bookmarkEnd w:id="79"/>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The hybrid analytical model developed in this dissertation is grounded in a deliberately interdisciplinary approach that integrates four core disciplinary traditions: critical </w:t>
      </w:r>
      <w:r w:rsidRPr="0044370F">
        <w:t xml:space="preserve">international </w:t>
      </w:r>
      <w:r w:rsidRPr="0044370F">
        <w:rPr>
          <w:rFonts w:asciiTheme="majorBidi" w:hAnsiTheme="majorBidi" w:cstheme="majorBidi"/>
        </w:rPr>
        <w:t xml:space="preserve">political economy (IPE), business and management studies, international relations, and science and technology studies (STS). This integration is not motivated by </w:t>
      </w:r>
      <w:proofErr w:type="spellStart"/>
      <w:r w:rsidRPr="0044370F">
        <w:rPr>
          <w:rFonts w:asciiTheme="majorBidi" w:hAnsiTheme="majorBidi" w:cstheme="majorBidi"/>
        </w:rPr>
        <w:t>interdisciplinarity</w:t>
      </w:r>
      <w:proofErr w:type="spellEnd"/>
      <w:r w:rsidRPr="0044370F">
        <w:rPr>
          <w:rFonts w:asciiTheme="majorBidi" w:hAnsiTheme="majorBidi" w:cstheme="majorBidi"/>
        </w:rPr>
        <w:t xml:space="preserve"> as an end in itself, but by the empirical and conceptual characteristics of the research object: multinational technology corporations that increasingly exercise forms of authority traditionally associated with sovereign states. Such actors operate simultaneously as economic organizations, political participants, infrastructural governors, and normative agents. Capturing this complexity requires a framework that combines multiple analytical lenses while assigning each a clearly defined role within the overall model.</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Importantly, the framework is intentionally asymmetric. The four disciplines do not contribute equally, nor are they expected to. Each plays a distinct analytical function, with different explanatory weight and scope. Together, they form a layered interpretive architecture that allows the dissertation to analyze technology corporations as quasi-sovereign geopolitical actors.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Critical political economy constitutes the foundational pillar of the framework and provides its primary explanatory backbone. Its central contribution lies in situating corporate power within the structural and historical dynamics of global capitalism. Rather than treating multinational technology firms as exceptional or novel anomalies, political economy frames them as outcomes and agents of a particular configuration of neoliberal globalization, privatization, and transnational governance. Concepts such as structural power, hegemony, neoliberal discipline, and core–</w:t>
      </w:r>
      <w:r w:rsidRPr="0044370F">
        <w:rPr>
          <w:rFonts w:asciiTheme="majorBidi" w:hAnsiTheme="majorBidi" w:cstheme="majorBidi"/>
        </w:rPr>
        <w:lastRenderedPageBreak/>
        <w:t>periphery relations enable the analysis to move beyond firm-level behavior and toward the broader institutional conditions that make quasi-sovereign corporate authority possible.</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Through this lens, the dissertation explains why technology corporations can assume governance functions once monopolized by states, including regulating speech, managing critical infrastructure, and shaping global standards. Political economy thus answers the macro-level “why” of the thesis: why authority has shifted, why regulatory capacity has eroded at the state level, and why private actors are increasingly positioned to fill these gaps. Without this disciplinary foundation, the analysis would risk reducing corporate power to technological innovation or managerial efficiency, obscuring its deeper structural roots.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Business and management studies form the second core pillar of the framework and address the question of agency and strategic action. While political economy explains the conditions under which corporate power can emerge, management theory explains how such power is actively constructed, maintained, and expanded. Drawing on perspectives such as the resource-based view, dynamic capabilities, stakeholder theory, and institutional entrepreneurship, this discipline enables the dissertation to analyze corporate power as the outcome of deliberate strategic choices rather than as a passive consequence of structural forces.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Through management theory, the model captures how firms accumulate and protect strategic resources such as data, algorithms, platforms, and ecosystems; how they manage relationships with regulators, users, and governments; and how they shape institutional environments to their advantage. This perspective provides the “how” of the framework: how corporations convert resources into leverage, legitimacy into insulation, and technological control into durable authority. It also allows for meaningful comparison across cases, revealing variation in corporate strategies even within similar structural contexts.</w:t>
      </w:r>
    </w:p>
    <w:p w:rsidR="0060194B" w:rsidRPr="0044370F" w:rsidRDefault="0060194B" w:rsidP="0060194B">
      <w:pPr>
        <w:pStyle w:val="NormalWeb"/>
        <w:spacing w:line="360" w:lineRule="auto"/>
        <w:jc w:val="both"/>
      </w:pPr>
      <w:r w:rsidRPr="0044370F">
        <w:rPr>
          <w:rFonts w:asciiTheme="majorBidi" w:hAnsiTheme="majorBidi" w:cstheme="majorBidi"/>
        </w:rPr>
        <w:t xml:space="preserve">International relations theory plays a complementary yet essential role by providing the normative and conceptual vocabulary needed to interpret corporate power as authority rather than mere influence. </w:t>
      </w:r>
      <w:r w:rsidRPr="0044370F">
        <w:t>The normative dimensions of sovereignty and legitimacy invoked here draw explicitly on political theory, which is treated as a foundational component of the IR tradition rather than as a separate disciplinary pillar.</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lastRenderedPageBreak/>
        <w:t>Concepts such as sovereignty, private authority, legitimacy, and global governance allow the dissertation to frame the activities of technology corporations as interventions in the international order. Rather than positioning firms outside the domain of international politics, IR theory enables their inclusion as non-state actors that help shape norms, rules, and institutional arrangements across borders.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The contribution of international relations lies primarily in interpretation and contextualization. It clarifies the implications of corporate power for state sovereignty, regulatory autonomy, and the evolution of global governance. IR theory also enables the analysis to address variation across political systems, highlighting how corporations navigate liberal-democratic, authoritarian, and hybrid regimes differently. However, IR is not treated as the primary explanatory discipline, as traditional state-centric frameworks alone are insufficient to explain the material and organizational bases of corporate authority. Instead, IR functions as a bridge between structural analysis and normative evaluation.</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Science and technology studies (STS) enhance the framework by emphasizing the material and infrastructural aspects of power. STS offers an essential perspective: governance in the digital era is increasingly implemented through technical design instead of formal regulation. Drawing on ideas such as Actor-Network Theory, this field enables the dissertation to map how authority is embedded in algorithms, standards, interfaces, and protocols.</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The function of STS is to highlight power dynamics that are frequently normalized or obscured. From this perspective, platforms, software structures, and technical standards are seen as governance arenas that influence conduct, inclusion, and exclusion. STS therefore clarifies how corporate power becomes standard in daily activities and why it frequently resists challenges. Although STS does not offer a macro-political analysis of power changes, it is essential for comprehending how power is exercised, maintained, and perpetuated on the operational scale.</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 xml:space="preserve">The hybrid framework arises from the understanding that no single discipline can sufficiently account for corporate quasi-sovereignty on its own. Political economy lacking management faces structural determinism; management lacking political economy risks voluntarism; international </w:t>
      </w:r>
      <w:r w:rsidRPr="0044370F">
        <w:rPr>
          <w:rFonts w:asciiTheme="majorBidi" w:hAnsiTheme="majorBidi" w:cstheme="majorBidi"/>
        </w:rPr>
        <w:lastRenderedPageBreak/>
        <w:t xml:space="preserve">relations without STS ignores the material aspects of governance; and STS without a wider political context risks technical reductionism. </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Crucially, the asymmetry between the disciplines is intentional and theoretically justified. Critical political economy and business and management studies carry the primary explanatory burden, while international relations and STS function as interpretive and operational lenses that deepen and refine the analysis. This structure reflects the dissertation's core objective: to explain how multinational technology corporations acquire and exercise sovereignty-like authority in the contemporary global order, rather than merely describing their technological capabilities or market behavior.</w:t>
      </w:r>
    </w:p>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In this sense, the hybrid model is not an aggregation of theories but an integrated analytical system. Each discipline contributes a specific layer of insight, and together they enable a nuanced, empirically applicable analysis of corporate power in the digital age.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This layered structure serves as the conceptual foundation for the operationalization of the framework in the following section.</w:t>
      </w:r>
    </w:p>
    <w:p w:rsidR="0060194B" w:rsidRPr="0044370F" w:rsidRDefault="0060194B" w:rsidP="006460CE">
      <w:pPr>
        <w:pStyle w:val="3"/>
      </w:pPr>
      <w:bookmarkStart w:id="80" w:name="_Toc222652760"/>
      <w:r w:rsidRPr="0044370F">
        <w:rPr>
          <w:rStyle w:val="a4"/>
          <w:b/>
          <w:bCs/>
        </w:rPr>
        <w:t xml:space="preserve">Table 4: </w:t>
      </w:r>
      <w:r w:rsidRPr="0044370F">
        <w:t xml:space="preserve">Asymmetric </w:t>
      </w:r>
      <w:r w:rsidRPr="0044370F">
        <w:rPr>
          <w:rStyle w:val="a4"/>
          <w:b/>
          <w:bCs/>
        </w:rPr>
        <w:t>Disciplinary Contributions to the Four Dimensions of Corporate Quasi-Sovereignty</w:t>
      </w:r>
      <w:bookmarkEnd w:id="80"/>
    </w:p>
    <w:tbl>
      <w:tblPr>
        <w:tblStyle w:val="5-5"/>
        <w:tblW w:w="8926" w:type="dxa"/>
        <w:tblLook w:val="04A0" w:firstRow="1" w:lastRow="0" w:firstColumn="1" w:lastColumn="0" w:noHBand="0" w:noVBand="1"/>
      </w:tblPr>
      <w:tblGrid>
        <w:gridCol w:w="2689"/>
        <w:gridCol w:w="2121"/>
        <w:gridCol w:w="1848"/>
        <w:gridCol w:w="1134"/>
        <w:gridCol w:w="1134"/>
      </w:tblGrid>
      <w:tr w:rsidR="00ED5A0F" w:rsidRPr="0044370F" w:rsidTr="00ED5A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2A9AA6"/>
            <w:hideMark/>
          </w:tcPr>
          <w:p w:rsidR="0060194B" w:rsidRPr="0044370F" w:rsidRDefault="0060194B" w:rsidP="00ED5A0F">
            <w:pPr>
              <w:rPr>
                <w:rFonts w:asciiTheme="majorBidi" w:eastAsia="Times New Roman" w:hAnsiTheme="majorBidi" w:cstheme="majorBidi"/>
                <w:b w:val="0"/>
                <w:bCs w:val="0"/>
                <w:sz w:val="24"/>
                <w:szCs w:val="24"/>
                <w:lang w:val="en-US"/>
              </w:rPr>
            </w:pPr>
            <w:r w:rsidRPr="0044370F">
              <w:rPr>
                <w:rFonts w:asciiTheme="majorBidi" w:eastAsia="Times New Roman" w:hAnsiTheme="majorBidi" w:cstheme="majorBidi"/>
                <w:sz w:val="24"/>
                <w:szCs w:val="24"/>
                <w:lang w:val="en-US"/>
              </w:rPr>
              <w:t>Dimension \ Discipline</w:t>
            </w:r>
          </w:p>
        </w:tc>
        <w:tc>
          <w:tcPr>
            <w:tcW w:w="2121" w:type="dxa"/>
            <w:shd w:val="clear" w:color="auto" w:fill="2A9AA6"/>
            <w:hideMark/>
          </w:tcPr>
          <w:p w:rsidR="0060194B" w:rsidRPr="0044370F" w:rsidRDefault="0060194B" w:rsidP="00ED5A0F">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4"/>
                <w:szCs w:val="24"/>
                <w:lang w:val="en-US"/>
              </w:rPr>
            </w:pPr>
            <w:r w:rsidRPr="0044370F">
              <w:rPr>
                <w:rFonts w:asciiTheme="majorBidi" w:eastAsia="Times New Roman" w:hAnsiTheme="majorBidi" w:cstheme="majorBidi"/>
                <w:sz w:val="24"/>
                <w:szCs w:val="24"/>
                <w:lang w:val="en-US"/>
              </w:rPr>
              <w:t>Political Economy</w:t>
            </w:r>
          </w:p>
        </w:tc>
        <w:tc>
          <w:tcPr>
            <w:tcW w:w="1848" w:type="dxa"/>
            <w:shd w:val="clear" w:color="auto" w:fill="2A9AA6"/>
            <w:hideMark/>
          </w:tcPr>
          <w:p w:rsidR="0060194B" w:rsidRPr="0044370F" w:rsidRDefault="0060194B" w:rsidP="00ED5A0F">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4"/>
                <w:szCs w:val="24"/>
                <w:lang w:val="en-US"/>
              </w:rPr>
            </w:pPr>
            <w:r w:rsidRPr="0044370F">
              <w:rPr>
                <w:rFonts w:asciiTheme="majorBidi" w:hAnsiTheme="majorBidi" w:cstheme="majorBidi"/>
                <w:sz w:val="24"/>
                <w:szCs w:val="24"/>
              </w:rPr>
              <w:t>Business &amp; Management Studies</w:t>
            </w:r>
          </w:p>
        </w:tc>
        <w:tc>
          <w:tcPr>
            <w:tcW w:w="1134" w:type="dxa"/>
            <w:shd w:val="clear" w:color="auto" w:fill="2A9AA6"/>
            <w:hideMark/>
          </w:tcPr>
          <w:p w:rsidR="0060194B" w:rsidRPr="0044370F" w:rsidRDefault="0060194B" w:rsidP="00ED5A0F">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4"/>
                <w:szCs w:val="24"/>
                <w:lang w:val="en-US"/>
              </w:rPr>
            </w:pPr>
            <w:r w:rsidRPr="0044370F">
              <w:rPr>
                <w:rFonts w:asciiTheme="majorBidi" w:eastAsia="Times New Roman" w:hAnsiTheme="majorBidi" w:cstheme="majorBidi"/>
                <w:sz w:val="24"/>
                <w:szCs w:val="24"/>
                <w:lang w:val="en-US"/>
              </w:rPr>
              <w:t>IR</w:t>
            </w:r>
          </w:p>
        </w:tc>
        <w:tc>
          <w:tcPr>
            <w:tcW w:w="1134" w:type="dxa"/>
            <w:shd w:val="clear" w:color="auto" w:fill="2A9AA6"/>
            <w:hideMark/>
          </w:tcPr>
          <w:p w:rsidR="0060194B" w:rsidRPr="0044370F" w:rsidRDefault="0060194B" w:rsidP="00ED5A0F">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sz w:val="24"/>
                <w:szCs w:val="24"/>
                <w:lang w:val="en-US"/>
              </w:rPr>
            </w:pPr>
            <w:r w:rsidRPr="0044370F">
              <w:rPr>
                <w:rFonts w:asciiTheme="majorBidi" w:eastAsia="Times New Roman" w:hAnsiTheme="majorBidi" w:cstheme="majorBidi"/>
                <w:sz w:val="24"/>
                <w:szCs w:val="24"/>
                <w:lang w:val="en-US"/>
              </w:rPr>
              <w:t>STS</w:t>
            </w:r>
          </w:p>
        </w:tc>
      </w:tr>
      <w:tr w:rsidR="00ED5A0F" w:rsidRPr="0044370F" w:rsidTr="00ED5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3C7C9"/>
            <w:hideMark/>
          </w:tcPr>
          <w:p w:rsidR="0060194B" w:rsidRPr="0044370F" w:rsidRDefault="0060194B" w:rsidP="00051764">
            <w:pPr>
              <w:rPr>
                <w:rFonts w:asciiTheme="majorBidi" w:eastAsia="Times New Roman" w:hAnsiTheme="majorBidi" w:cstheme="majorBidi"/>
                <w:color w:val="auto"/>
                <w:sz w:val="24"/>
                <w:szCs w:val="24"/>
                <w:lang w:val="en-US"/>
              </w:rPr>
            </w:pPr>
            <w:r w:rsidRPr="0044370F">
              <w:rPr>
                <w:rFonts w:asciiTheme="majorBidi" w:eastAsia="Times New Roman" w:hAnsiTheme="majorBidi" w:cstheme="majorBidi"/>
                <w:color w:val="auto"/>
                <w:sz w:val="24"/>
                <w:szCs w:val="24"/>
                <w:lang w:val="en-US"/>
              </w:rPr>
              <w:t>Resource Control</w:t>
            </w:r>
          </w:p>
        </w:tc>
        <w:tc>
          <w:tcPr>
            <w:tcW w:w="2121"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848"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r>
      <w:tr w:rsidR="00ED5A0F" w:rsidRPr="0044370F" w:rsidTr="00ED5A0F">
        <w:tc>
          <w:tcPr>
            <w:cnfStyle w:val="001000000000" w:firstRow="0" w:lastRow="0" w:firstColumn="1" w:lastColumn="0" w:oddVBand="0" w:evenVBand="0" w:oddHBand="0" w:evenHBand="0" w:firstRowFirstColumn="0" w:firstRowLastColumn="0" w:lastRowFirstColumn="0" w:lastRowLastColumn="0"/>
            <w:tcW w:w="2689" w:type="dxa"/>
            <w:shd w:val="clear" w:color="auto" w:fill="A3C7C9"/>
            <w:hideMark/>
          </w:tcPr>
          <w:p w:rsidR="0060194B" w:rsidRPr="0044370F" w:rsidRDefault="0060194B" w:rsidP="00051764">
            <w:pPr>
              <w:rPr>
                <w:rFonts w:asciiTheme="majorBidi" w:eastAsia="Times New Roman" w:hAnsiTheme="majorBidi" w:cstheme="majorBidi"/>
                <w:color w:val="auto"/>
                <w:sz w:val="24"/>
                <w:szCs w:val="24"/>
                <w:lang w:val="en-US"/>
              </w:rPr>
            </w:pPr>
            <w:r w:rsidRPr="0044370F">
              <w:rPr>
                <w:rFonts w:asciiTheme="majorBidi" w:eastAsia="Times New Roman" w:hAnsiTheme="majorBidi" w:cstheme="majorBidi"/>
                <w:color w:val="auto"/>
                <w:sz w:val="24"/>
                <w:szCs w:val="24"/>
                <w:lang w:val="en-US"/>
              </w:rPr>
              <w:t>Structural Embedded.</w:t>
            </w:r>
          </w:p>
        </w:tc>
        <w:tc>
          <w:tcPr>
            <w:tcW w:w="2121"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848"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p>
        </w:tc>
      </w:tr>
      <w:tr w:rsidR="00ED5A0F" w:rsidRPr="0044370F" w:rsidTr="00ED5A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shd w:val="clear" w:color="auto" w:fill="A3C7C9"/>
            <w:hideMark/>
          </w:tcPr>
          <w:p w:rsidR="0060194B" w:rsidRPr="0044370F" w:rsidRDefault="0060194B" w:rsidP="00051764">
            <w:pPr>
              <w:rPr>
                <w:rFonts w:asciiTheme="majorBidi" w:eastAsia="Times New Roman" w:hAnsiTheme="majorBidi" w:cstheme="majorBidi"/>
                <w:color w:val="auto"/>
                <w:sz w:val="24"/>
                <w:szCs w:val="24"/>
                <w:lang w:val="en-US"/>
              </w:rPr>
            </w:pPr>
            <w:r w:rsidRPr="0044370F">
              <w:rPr>
                <w:rFonts w:asciiTheme="majorBidi" w:eastAsia="Times New Roman" w:hAnsiTheme="majorBidi" w:cstheme="majorBidi"/>
                <w:color w:val="auto"/>
                <w:sz w:val="24"/>
                <w:szCs w:val="24"/>
                <w:lang w:val="en-US"/>
              </w:rPr>
              <w:t>Normative Legitimacy</w:t>
            </w:r>
          </w:p>
        </w:tc>
        <w:tc>
          <w:tcPr>
            <w:tcW w:w="2121"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848"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r>
      <w:tr w:rsidR="00ED5A0F" w:rsidRPr="0044370F" w:rsidTr="00ED5A0F">
        <w:tc>
          <w:tcPr>
            <w:cnfStyle w:val="001000000000" w:firstRow="0" w:lastRow="0" w:firstColumn="1" w:lastColumn="0" w:oddVBand="0" w:evenVBand="0" w:oddHBand="0" w:evenHBand="0" w:firstRowFirstColumn="0" w:firstRowLastColumn="0" w:lastRowFirstColumn="0" w:lastRowLastColumn="0"/>
            <w:tcW w:w="2689" w:type="dxa"/>
            <w:shd w:val="clear" w:color="auto" w:fill="A3C7C9"/>
            <w:hideMark/>
          </w:tcPr>
          <w:p w:rsidR="0060194B" w:rsidRPr="0044370F" w:rsidRDefault="0060194B" w:rsidP="00051764">
            <w:pPr>
              <w:rPr>
                <w:rFonts w:asciiTheme="majorBidi" w:eastAsia="Times New Roman" w:hAnsiTheme="majorBidi" w:cstheme="majorBidi"/>
                <w:color w:val="auto"/>
                <w:sz w:val="24"/>
                <w:szCs w:val="24"/>
                <w:lang w:val="en-US"/>
              </w:rPr>
            </w:pPr>
            <w:r w:rsidRPr="0044370F">
              <w:rPr>
                <w:rFonts w:asciiTheme="majorBidi" w:eastAsia="Times New Roman" w:hAnsiTheme="majorBidi" w:cstheme="majorBidi"/>
                <w:color w:val="auto"/>
                <w:sz w:val="24"/>
                <w:szCs w:val="24"/>
                <w:lang w:val="en-US"/>
              </w:rPr>
              <w:t>Infrastructural Power</w:t>
            </w:r>
          </w:p>
        </w:tc>
        <w:tc>
          <w:tcPr>
            <w:tcW w:w="2121"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848"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c>
          <w:tcPr>
            <w:tcW w:w="1134" w:type="dxa"/>
            <w:shd w:val="clear" w:color="auto" w:fill="A3C7C9"/>
            <w:hideMark/>
          </w:tcPr>
          <w:p w:rsidR="0060194B" w:rsidRPr="0044370F" w:rsidRDefault="0060194B" w:rsidP="00051764">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Segoe UI Symbol" w:eastAsia="Times New Roman" w:hAnsi="Segoe UI Symbol" w:cs="Segoe UI Symbol"/>
                <w:sz w:val="24"/>
                <w:szCs w:val="24"/>
                <w:lang w:val="en-US"/>
              </w:rPr>
              <w:t>✔✔✔</w:t>
            </w:r>
          </w:p>
        </w:tc>
      </w:tr>
    </w:tbl>
    <w:p w:rsidR="0060194B" w:rsidRPr="0044370F" w:rsidRDefault="0060194B" w:rsidP="0060194B">
      <w:pPr>
        <w:pStyle w:val="NormalWeb"/>
        <w:spacing w:line="360" w:lineRule="auto"/>
        <w:jc w:val="both"/>
        <w:rPr>
          <w:rFonts w:asciiTheme="majorBidi" w:hAnsiTheme="majorBidi" w:cstheme="majorBidi"/>
          <w:rtl/>
        </w:rPr>
      </w:pPr>
      <w:r w:rsidRPr="0044370F">
        <w:rPr>
          <w:rFonts w:asciiTheme="majorBidi" w:hAnsiTheme="majorBidi" w:cstheme="majorBidi"/>
        </w:rPr>
        <w:t xml:space="preserve">This table summarizes the </w:t>
      </w:r>
      <w:r w:rsidRPr="0044370F">
        <w:rPr>
          <w:rFonts w:asciiTheme="majorBidi" w:hAnsiTheme="majorBidi" w:cstheme="majorBidi"/>
          <w:b/>
          <w:bCs/>
        </w:rPr>
        <w:t>asymmetric but complementary</w:t>
      </w:r>
      <w:r w:rsidRPr="0044370F">
        <w:rPr>
          <w:rFonts w:asciiTheme="majorBidi" w:hAnsiTheme="majorBidi" w:cstheme="majorBidi"/>
        </w:rPr>
        <w:t xml:space="preserve"> contributions of the four disciplinary traditions to each dimension of the analytical framework. Rather than assigning equal explanatory weight to all perspectives, the table clarifies how political economy and business and management studies provide the primary explanatory foundations for strategic resource control and structural embeddedness, while international relations and science and technology studies play more prominent interpretive and operational roles in analyzing normative legitimacy and infrastructural </w:t>
      </w:r>
      <w:r w:rsidRPr="0044370F">
        <w:rPr>
          <w:rFonts w:asciiTheme="majorBidi" w:hAnsiTheme="majorBidi" w:cstheme="majorBidi"/>
        </w:rPr>
        <w:lastRenderedPageBreak/>
        <w:t>power. By mapping dimensions against disciplines, the table enhances analytical transparency, demonstrates the internal coherence of the hybrid framework, and makes explicit the logic through which different bodies of theory are integrated. It also serves as a bridge between conceptual development and empirical operationalization, indicating which theoretical lenses are most relevant when analyzing specific manifestations of corporate quasi-sovereignty across cases.</w:t>
      </w:r>
    </w:p>
    <w:p w:rsidR="0060194B" w:rsidRPr="0044370F" w:rsidRDefault="0060194B" w:rsidP="00827E55">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While Table </w:t>
      </w:r>
      <w:r w:rsidR="00827E55" w:rsidRPr="0044370F">
        <w:rPr>
          <w:rFonts w:ascii="Times New Roman" w:eastAsia="Times New Roman" w:hAnsi="Times New Roman" w:cs="Times New Roman"/>
          <w:sz w:val="24"/>
          <w:szCs w:val="24"/>
        </w:rPr>
        <w:t xml:space="preserve">2 and Table </w:t>
      </w:r>
      <w:r w:rsidRPr="0044370F">
        <w:rPr>
          <w:rFonts w:ascii="Times New Roman" w:eastAsia="Times New Roman" w:hAnsi="Times New Roman" w:cs="Times New Roman"/>
          <w:sz w:val="24"/>
          <w:szCs w:val="24"/>
        </w:rPr>
        <w:t xml:space="preserve">4 </w:t>
      </w:r>
      <w:r w:rsidR="00827E55" w:rsidRPr="0044370F">
        <w:rPr>
          <w:rFonts w:ascii="Times New Roman" w:eastAsia="Times New Roman" w:hAnsi="Times New Roman" w:cs="Times New Roman"/>
          <w:sz w:val="24"/>
          <w:szCs w:val="24"/>
        </w:rPr>
        <w:t>clarify</w:t>
      </w:r>
      <w:r w:rsidRPr="0044370F">
        <w:rPr>
          <w:rFonts w:ascii="Times New Roman" w:eastAsia="Times New Roman" w:hAnsi="Times New Roman" w:cs="Times New Roman"/>
          <w:sz w:val="24"/>
          <w:szCs w:val="24"/>
        </w:rPr>
        <w:t xml:space="preserve"> the asymmetric theoretical foundations of each dimension, the following figure visualizes how these dimensions operate together as an integrated analytical model.</w:t>
      </w:r>
    </w:p>
    <w:p w:rsidR="00D806B6" w:rsidRPr="0044370F" w:rsidRDefault="00C62A14" w:rsidP="00D806B6">
      <w:pPr>
        <w:pStyle w:val="3"/>
      </w:pPr>
      <w:bookmarkStart w:id="81" w:name="_Toc222652761"/>
      <w:r w:rsidRPr="0044370F">
        <w:rPr>
          <w:noProof/>
          <w:sz w:val="24"/>
          <w:szCs w:val="24"/>
        </w:rPr>
        <w:drawing>
          <wp:anchor distT="0" distB="0" distL="114300" distR="114300" simplePos="0" relativeHeight="251662336" behindDoc="0" locked="0" layoutInCell="1" allowOverlap="1" wp14:anchorId="7CED451E" wp14:editId="358193EC">
            <wp:simplePos x="0" y="0"/>
            <wp:positionH relativeFrom="column">
              <wp:posOffset>-535497</wp:posOffset>
            </wp:positionH>
            <wp:positionV relativeFrom="paragraph">
              <wp:posOffset>395885</wp:posOffset>
            </wp:positionV>
            <wp:extent cx="6864350" cy="5372100"/>
            <wp:effectExtent l="0" t="0" r="0" b="0"/>
            <wp:wrapThrough wrapText="bothSides">
              <wp:wrapPolygon edited="0">
                <wp:start x="0" y="0"/>
                <wp:lineTo x="0" y="21523"/>
                <wp:lineTo x="21520" y="21523"/>
                <wp:lineTo x="21520" y="0"/>
                <wp:lineTo x="0" y="0"/>
              </wp:wrapPolygon>
            </wp:wrapThrough>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2 (3).png"/>
                    <pic:cNvPicPr/>
                  </pic:nvPicPr>
                  <pic:blipFill rotWithShape="1">
                    <a:blip r:embed="rId10">
                      <a:extLst>
                        <a:ext uri="{28A0092B-C50C-407E-A947-70E740481C1C}">
                          <a14:useLocalDpi xmlns:a14="http://schemas.microsoft.com/office/drawing/2010/main" val="0"/>
                        </a:ext>
                      </a:extLst>
                    </a:blip>
                    <a:srcRect l="13976" r="14249"/>
                    <a:stretch/>
                  </pic:blipFill>
                  <pic:spPr bwMode="auto">
                    <a:xfrm>
                      <a:off x="0" y="0"/>
                      <a:ext cx="6864350" cy="5372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06B6" w:rsidRPr="0044370F">
        <w:t>Figure 2: Four-Dimensional Model Integrating Concepts</w:t>
      </w:r>
      <w:bookmarkEnd w:id="81"/>
      <w:r w:rsidR="00D806B6" w:rsidRPr="0044370F">
        <w:t xml:space="preserve">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While Figure 2 visualizes the theoretical traditions informing the model, all dimensions are operationalized through a business administration perspective, treating multinational corporations as strategic and organizational actors rather than abstract political entities.</w:t>
      </w:r>
    </w:p>
    <w:p w:rsidR="0060194B" w:rsidRPr="0044370F" w:rsidRDefault="0060194B" w:rsidP="006460CE">
      <w:pPr>
        <w:pStyle w:val="2"/>
        <w:rPr>
          <w:rFonts w:eastAsia="Times New Roman"/>
          <w:lang w:eastAsia="en-IL"/>
        </w:rPr>
      </w:pPr>
      <w:bookmarkStart w:id="82" w:name="_Toc222652762"/>
      <w:r w:rsidRPr="0044370F">
        <w:rPr>
          <w:rFonts w:eastAsia="Times New Roman"/>
          <w:lang w:eastAsia="en-IL"/>
        </w:rPr>
        <w:t>3.6</w:t>
      </w:r>
      <w:r w:rsidRPr="0044370F">
        <w:rPr>
          <w:rFonts w:eastAsia="Times New Roman"/>
          <w:lang w:eastAsia="en-IL"/>
        </w:rPr>
        <w:tab/>
        <w:t xml:space="preserve"> Operationalizing the Framework</w:t>
      </w:r>
      <w:bookmarkEnd w:id="82"/>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For analytical clarity, the indicators below are grouped by core sub-mechanisms within each dimension, distinguishing foundational indicators from context-dependent expressions of corporate authority.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Having established a hybrid theoretical model grounded in four dimensions, </w:t>
      </w:r>
      <w:r w:rsidRPr="0044370F">
        <w:rPr>
          <w:rFonts w:ascii="Times New Roman" w:eastAsia="Times New Roman" w:hAnsi="Times New Roman" w:cs="Times New Roman"/>
          <w:b/>
          <w:bCs/>
          <w:sz w:val="24"/>
          <w:szCs w:val="24"/>
          <w:lang w:eastAsia="en-IL"/>
        </w:rPr>
        <w:t>strategic resource control</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b/>
          <w:bCs/>
          <w:sz w:val="24"/>
          <w:szCs w:val="24"/>
          <w:lang w:eastAsia="en-IL"/>
        </w:rPr>
        <w:t>structural embeddedness</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b/>
          <w:bCs/>
          <w:sz w:val="24"/>
          <w:szCs w:val="24"/>
          <w:lang w:eastAsia="en-IL"/>
        </w:rPr>
        <w:t>normative legitimacy</w:t>
      </w:r>
      <w:r w:rsidRPr="0044370F">
        <w:rPr>
          <w:rFonts w:ascii="Times New Roman" w:eastAsia="Times New Roman" w:hAnsi="Times New Roman" w:cs="Times New Roman"/>
          <w:sz w:val="24"/>
          <w:szCs w:val="24"/>
          <w:lang w:eastAsia="en-IL"/>
        </w:rPr>
        <w:t xml:space="preserve">, and </w:t>
      </w:r>
      <w:r w:rsidRPr="0044370F">
        <w:rPr>
          <w:rFonts w:ascii="Times New Roman" w:eastAsia="Times New Roman" w:hAnsi="Times New Roman" w:cs="Times New Roman"/>
          <w:b/>
          <w:bCs/>
          <w:sz w:val="24"/>
          <w:szCs w:val="24"/>
          <w:lang w:eastAsia="en-IL"/>
        </w:rPr>
        <w:t>infrastructural power</w:t>
      </w:r>
      <w:r w:rsidRPr="0044370F">
        <w:rPr>
          <w:rFonts w:ascii="Times New Roman" w:eastAsia="Times New Roman" w:hAnsi="Times New Roman" w:cs="Times New Roman"/>
          <w:sz w:val="24"/>
          <w:szCs w:val="24"/>
          <w:lang w:eastAsia="en-IL"/>
        </w:rPr>
        <w:t xml:space="preserve">, this chapter outlines how the framework is translated into a structured empirical strategy.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The aim is to bridge conceptual abstraction with systematic observation, enabling comparative case analysis of digital corporations as quasi-sovereign geopolitical actors.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operationalization process responds to two core challenges. </w:t>
      </w:r>
      <w:r w:rsidRPr="0044370F">
        <w:rPr>
          <w:rFonts w:ascii="Times New Roman" w:eastAsia="Times New Roman" w:hAnsi="Times New Roman" w:cs="Times New Roman"/>
          <w:b/>
          <w:bCs/>
          <w:sz w:val="24"/>
          <w:szCs w:val="24"/>
          <w:lang w:eastAsia="en-IL"/>
        </w:rPr>
        <w:t>First</w:t>
      </w:r>
      <w:r w:rsidRPr="0044370F">
        <w:rPr>
          <w:rFonts w:ascii="Times New Roman" w:eastAsia="Times New Roman" w:hAnsi="Times New Roman" w:cs="Times New Roman"/>
          <w:sz w:val="24"/>
          <w:szCs w:val="24"/>
          <w:lang w:eastAsia="en-IL"/>
        </w:rPr>
        <w:t xml:space="preserve">, it addresses the difficulty of measuring diffuse and relational forms of power, especially in corporate contexts spanning jurisdictions. </w:t>
      </w:r>
      <w:r w:rsidRPr="0044370F">
        <w:rPr>
          <w:rFonts w:ascii="Times New Roman" w:eastAsia="Times New Roman" w:hAnsi="Times New Roman" w:cs="Times New Roman"/>
          <w:b/>
          <w:bCs/>
          <w:sz w:val="24"/>
          <w:szCs w:val="24"/>
          <w:lang w:eastAsia="en-IL"/>
        </w:rPr>
        <w:t>Second</w:t>
      </w:r>
      <w:r w:rsidRPr="0044370F">
        <w:rPr>
          <w:rFonts w:ascii="Times New Roman" w:eastAsia="Times New Roman" w:hAnsi="Times New Roman" w:cs="Times New Roman"/>
          <w:sz w:val="24"/>
          <w:szCs w:val="24"/>
          <w:lang w:eastAsia="en-IL"/>
        </w:rPr>
        <w:t>, it enables empirical consistency across cases with different economic models and political affiliations. To that end, each dimension is disaggregated into concrete, observable indicators and matched with qualitative data sources that allow interpretation grounded in real-world practices.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To enhance analytical sensitivity, the framework draws on insights from </w:t>
      </w:r>
      <w:r w:rsidRPr="0044370F">
        <w:rPr>
          <w:rFonts w:ascii="Times New Roman" w:eastAsia="Times New Roman" w:hAnsi="Times New Roman" w:cs="Times New Roman"/>
          <w:b/>
          <w:bCs/>
          <w:sz w:val="24"/>
          <w:szCs w:val="24"/>
          <w:lang w:eastAsia="en-IL"/>
        </w:rPr>
        <w:t xml:space="preserve">Actor-Network Theory. </w:t>
      </w:r>
      <w:r w:rsidRPr="0044370F">
        <w:rPr>
          <w:rFonts w:ascii="Times New Roman" w:eastAsia="Times New Roman" w:hAnsi="Times New Roman" w:cs="Times New Roman"/>
          <w:sz w:val="24"/>
          <w:szCs w:val="24"/>
          <w:lang w:eastAsia="en-IL"/>
        </w:rPr>
        <w:t xml:space="preserve">ANT encourages tracing how corporate power is performed across socio-technical assemblages, such as algorithms, APIs, regulatory standards, user agreements, and media protocols. This perspective complements structured comparison by emphasizing the </w:t>
      </w:r>
      <w:r w:rsidRPr="0044370F">
        <w:rPr>
          <w:rFonts w:ascii="Times New Roman" w:eastAsia="Times New Roman" w:hAnsi="Times New Roman" w:cs="Times New Roman"/>
          <w:b/>
          <w:bCs/>
          <w:sz w:val="24"/>
          <w:szCs w:val="24"/>
          <w:lang w:eastAsia="en-IL"/>
        </w:rPr>
        <w:t>distributed</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b/>
          <w:bCs/>
          <w:sz w:val="24"/>
          <w:szCs w:val="24"/>
          <w:lang w:eastAsia="en-IL"/>
        </w:rPr>
        <w:t>networked</w:t>
      </w:r>
      <w:r w:rsidRPr="0044370F">
        <w:rPr>
          <w:rFonts w:ascii="Times New Roman" w:eastAsia="Times New Roman" w:hAnsi="Times New Roman" w:cs="Times New Roman"/>
          <w:sz w:val="24"/>
          <w:szCs w:val="24"/>
          <w:lang w:eastAsia="en-IL"/>
        </w:rPr>
        <w:t xml:space="preserve">, and </w:t>
      </w:r>
      <w:r w:rsidRPr="0044370F">
        <w:rPr>
          <w:rFonts w:ascii="Times New Roman" w:eastAsia="Times New Roman" w:hAnsi="Times New Roman" w:cs="Times New Roman"/>
          <w:b/>
          <w:bCs/>
          <w:sz w:val="24"/>
          <w:szCs w:val="24"/>
          <w:lang w:eastAsia="en-IL"/>
        </w:rPr>
        <w:t>performative</w:t>
      </w:r>
      <w:r w:rsidRPr="0044370F">
        <w:rPr>
          <w:rFonts w:ascii="Times New Roman" w:eastAsia="Times New Roman" w:hAnsi="Times New Roman" w:cs="Times New Roman"/>
          <w:sz w:val="24"/>
          <w:szCs w:val="24"/>
          <w:lang w:eastAsia="en-IL"/>
        </w:rPr>
        <w:t xml:space="preserve"> nature of authority in the digital age. Authority is not simply asserted; it is built, repeated, and normalized through technical mediation and organizational design.</w:t>
      </w:r>
    </w:p>
    <w:p w:rsidR="006460CE" w:rsidRPr="0044370F" w:rsidRDefault="006460CE"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p>
    <w:p w:rsidR="006460CE" w:rsidRPr="0044370F" w:rsidRDefault="006460CE"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p>
    <w:p w:rsidR="0060194B" w:rsidRPr="0044370F" w:rsidRDefault="0060194B" w:rsidP="006460CE">
      <w:pPr>
        <w:pStyle w:val="3"/>
        <w:rPr>
          <w:lang w:eastAsia="en-IL"/>
        </w:rPr>
      </w:pPr>
      <w:bookmarkStart w:id="83" w:name="_Toc222652763"/>
      <w:r w:rsidRPr="0044370F">
        <w:rPr>
          <w:lang w:eastAsia="en-IL"/>
        </w:rPr>
        <w:lastRenderedPageBreak/>
        <w:t>3.6.1</w:t>
      </w:r>
      <w:r w:rsidRPr="0044370F">
        <w:rPr>
          <w:lang w:eastAsia="en-IL"/>
        </w:rPr>
        <w:tab/>
        <w:t>From Theoretical Dimensions to Analytical Indicators</w:t>
      </w:r>
      <w:bookmarkEnd w:id="83"/>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Each dimension is operationalized through specific indicators that can be </w:t>
      </w:r>
      <w:proofErr w:type="spellStart"/>
      <w:r w:rsidRPr="0044370F">
        <w:rPr>
          <w:rFonts w:ascii="Times New Roman" w:eastAsia="Times New Roman" w:hAnsi="Times New Roman" w:cs="Times New Roman"/>
          <w:sz w:val="24"/>
          <w:szCs w:val="24"/>
          <w:lang w:eastAsia="en-IL"/>
        </w:rPr>
        <w:t>assessed</w:t>
      </w:r>
      <w:proofErr w:type="spellEnd"/>
      <w:r w:rsidRPr="0044370F">
        <w:rPr>
          <w:rFonts w:ascii="Times New Roman" w:eastAsia="Times New Roman" w:hAnsi="Times New Roman" w:cs="Times New Roman"/>
          <w:sz w:val="24"/>
          <w:szCs w:val="24"/>
          <w:lang w:eastAsia="en-IL"/>
        </w:rPr>
        <w:t xml:space="preserve"> via document analysis and interpretive coding. These indicators are applied both within and across cases to capture patterns of convergence and divergence in the expression of quasi-sovereign corporate power.</w:t>
      </w:r>
    </w:p>
    <w:p w:rsidR="0060194B" w:rsidRPr="0044370F" w:rsidRDefault="0060194B" w:rsidP="0060194B">
      <w:pPr>
        <w:spacing w:before="100" w:beforeAutospacing="1" w:after="100" w:afterAutospacing="1" w:line="360" w:lineRule="auto"/>
        <w:outlineLvl w:val="3"/>
        <w:rPr>
          <w:rFonts w:ascii="Times New Roman" w:eastAsia="Times New Roman" w:hAnsi="Times New Roman" w:cs="Times New Roman"/>
          <w:b/>
          <w:bCs/>
          <w:sz w:val="24"/>
          <w:szCs w:val="24"/>
          <w:lang w:eastAsia="en-IL"/>
        </w:rPr>
      </w:pPr>
      <w:r w:rsidRPr="0044370F">
        <w:rPr>
          <w:rFonts w:ascii="Times New Roman" w:eastAsia="Times New Roman" w:hAnsi="Times New Roman" w:cs="Times New Roman"/>
          <w:b/>
          <w:bCs/>
          <w:sz w:val="24"/>
          <w:szCs w:val="24"/>
          <w:lang w:eastAsia="en-IL"/>
        </w:rPr>
        <w:t>1. Strategic Resource Control</w:t>
      </w:r>
    </w:p>
    <w:p w:rsidR="0060194B" w:rsidRPr="0044370F" w:rsidRDefault="0060194B" w:rsidP="0060194B">
      <w:pPr>
        <w:numPr>
          <w:ilvl w:val="0"/>
          <w:numId w:val="3"/>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Indicators:</w:t>
      </w:r>
    </w:p>
    <w:p w:rsidR="0060194B" w:rsidRPr="0044370F" w:rsidRDefault="0060194B" w:rsidP="0060194B">
      <w:pPr>
        <w:numPr>
          <w:ilvl w:val="1"/>
          <w:numId w:val="3"/>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Ownership of digital infrastructure, e.g., cloud servers, data centers</w:t>
      </w:r>
    </w:p>
    <w:p w:rsidR="0060194B" w:rsidRPr="0044370F" w:rsidRDefault="0060194B" w:rsidP="0060194B">
      <w:pPr>
        <w:numPr>
          <w:ilvl w:val="1"/>
          <w:numId w:val="3"/>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Proprietary algorithms and AI systems</w:t>
      </w:r>
    </w:p>
    <w:p w:rsidR="0060194B" w:rsidRPr="0044370F" w:rsidRDefault="0060194B" w:rsidP="0060194B">
      <w:pPr>
        <w:numPr>
          <w:ilvl w:val="1"/>
          <w:numId w:val="3"/>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Mergers and acquisitions targeting adjacent technologies</w:t>
      </w:r>
    </w:p>
    <w:p w:rsidR="0060194B" w:rsidRPr="0044370F" w:rsidRDefault="0060194B" w:rsidP="0060194B">
      <w:pPr>
        <w:numPr>
          <w:ilvl w:val="1"/>
          <w:numId w:val="3"/>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Control of platform ecosystems, e.g., APIs, SDKs</w:t>
      </w:r>
    </w:p>
    <w:p w:rsidR="0060194B" w:rsidRPr="0044370F" w:rsidRDefault="0060194B" w:rsidP="0060194B">
      <w:pPr>
        <w:numPr>
          <w:ilvl w:val="0"/>
          <w:numId w:val="3"/>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Data Sources:</w:t>
      </w:r>
    </w:p>
    <w:p w:rsidR="0060194B" w:rsidRPr="0044370F" w:rsidRDefault="0060194B" w:rsidP="0060194B">
      <w:pPr>
        <w:numPr>
          <w:ilvl w:val="1"/>
          <w:numId w:val="3"/>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Annual reports, patent databases, technical whitepapers, and SEC filings</w:t>
      </w:r>
    </w:p>
    <w:p w:rsidR="0060194B" w:rsidRPr="0044370F" w:rsidRDefault="0060194B" w:rsidP="0060194B">
      <w:pPr>
        <w:spacing w:before="100" w:beforeAutospacing="1" w:after="100" w:afterAutospacing="1" w:line="360" w:lineRule="auto"/>
        <w:outlineLvl w:val="3"/>
        <w:rPr>
          <w:rFonts w:ascii="Times New Roman" w:eastAsia="Times New Roman" w:hAnsi="Times New Roman" w:cs="Times New Roman"/>
          <w:b/>
          <w:bCs/>
          <w:sz w:val="24"/>
          <w:szCs w:val="24"/>
          <w:lang w:eastAsia="en-IL"/>
        </w:rPr>
      </w:pPr>
      <w:r w:rsidRPr="0044370F">
        <w:rPr>
          <w:rFonts w:ascii="Times New Roman" w:eastAsia="Times New Roman" w:hAnsi="Times New Roman" w:cs="Times New Roman"/>
          <w:b/>
          <w:bCs/>
          <w:sz w:val="24"/>
          <w:szCs w:val="24"/>
          <w:lang w:eastAsia="en-IL"/>
        </w:rPr>
        <w:t>2. Structural Embeddedness</w:t>
      </w:r>
    </w:p>
    <w:p w:rsidR="0060194B" w:rsidRPr="0044370F" w:rsidRDefault="0060194B" w:rsidP="0060194B">
      <w:pPr>
        <w:numPr>
          <w:ilvl w:val="0"/>
          <w:numId w:val="4"/>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Indicators:</w:t>
      </w:r>
    </w:p>
    <w:p w:rsidR="0060194B" w:rsidRPr="0044370F" w:rsidRDefault="0060194B" w:rsidP="0060194B">
      <w:pPr>
        <w:numPr>
          <w:ilvl w:val="1"/>
          <w:numId w:val="4"/>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Participation in transnational policy or standards bodies</w:t>
      </w:r>
    </w:p>
    <w:p w:rsidR="0060194B" w:rsidRPr="0044370F" w:rsidRDefault="0060194B" w:rsidP="0060194B">
      <w:pPr>
        <w:numPr>
          <w:ilvl w:val="1"/>
          <w:numId w:val="4"/>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Supply chain control and cross-border production leverage</w:t>
      </w:r>
    </w:p>
    <w:p w:rsidR="0060194B" w:rsidRPr="0044370F" w:rsidRDefault="0060194B" w:rsidP="0060194B">
      <w:pPr>
        <w:numPr>
          <w:ilvl w:val="1"/>
          <w:numId w:val="4"/>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Use of subsidiaries to navigate regulation</w:t>
      </w:r>
    </w:p>
    <w:p w:rsidR="0060194B" w:rsidRPr="0044370F" w:rsidRDefault="0060194B" w:rsidP="0060194B">
      <w:pPr>
        <w:numPr>
          <w:ilvl w:val="1"/>
          <w:numId w:val="4"/>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Partnerships in multilateral digital infrastructure programs</w:t>
      </w:r>
    </w:p>
    <w:p w:rsidR="0060194B" w:rsidRPr="0044370F" w:rsidRDefault="0060194B" w:rsidP="0060194B">
      <w:pPr>
        <w:numPr>
          <w:ilvl w:val="0"/>
          <w:numId w:val="4"/>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Data Sources:</w:t>
      </w:r>
    </w:p>
    <w:p w:rsidR="0060194B" w:rsidRPr="0044370F" w:rsidRDefault="0060194B" w:rsidP="0060194B">
      <w:pPr>
        <w:numPr>
          <w:ilvl w:val="1"/>
          <w:numId w:val="4"/>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WTO/OECD publications, bilateral MOUs, trade records, institutional reports</w:t>
      </w:r>
    </w:p>
    <w:p w:rsidR="0060194B" w:rsidRPr="0044370F" w:rsidRDefault="0060194B" w:rsidP="0060194B">
      <w:pPr>
        <w:spacing w:before="100" w:beforeAutospacing="1" w:after="100" w:afterAutospacing="1" w:line="360" w:lineRule="auto"/>
        <w:outlineLvl w:val="3"/>
        <w:rPr>
          <w:rFonts w:ascii="Times New Roman" w:eastAsia="Times New Roman" w:hAnsi="Times New Roman" w:cs="Times New Roman"/>
          <w:b/>
          <w:bCs/>
          <w:sz w:val="24"/>
          <w:szCs w:val="24"/>
          <w:lang w:eastAsia="en-IL"/>
        </w:rPr>
      </w:pPr>
      <w:r w:rsidRPr="0044370F">
        <w:rPr>
          <w:rFonts w:ascii="Times New Roman" w:eastAsia="Times New Roman" w:hAnsi="Times New Roman" w:cs="Times New Roman"/>
          <w:b/>
          <w:bCs/>
          <w:sz w:val="24"/>
          <w:szCs w:val="24"/>
          <w:lang w:eastAsia="en-IL"/>
        </w:rPr>
        <w:t>3. Normative Legitimacy</w:t>
      </w:r>
    </w:p>
    <w:p w:rsidR="0060194B" w:rsidRPr="0044370F" w:rsidRDefault="0060194B" w:rsidP="0060194B">
      <w:pPr>
        <w:numPr>
          <w:ilvl w:val="0"/>
          <w:numId w:val="5"/>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Indicators</w:t>
      </w:r>
      <w:r w:rsidRPr="0044370F">
        <w:rPr>
          <w:rFonts w:ascii="Times New Roman" w:eastAsia="Times New Roman" w:hAnsi="Times New Roman" w:cs="Times New Roman"/>
          <w:b/>
          <w:bCs/>
          <w:sz w:val="24"/>
          <w:szCs w:val="24"/>
          <w:lang w:eastAsia="en-IL"/>
        </w:rPr>
        <w:t>:</w:t>
      </w:r>
    </w:p>
    <w:p w:rsidR="0060194B" w:rsidRPr="0044370F" w:rsidRDefault="0060194B" w:rsidP="0060194B">
      <w:pPr>
        <w:numPr>
          <w:ilvl w:val="1"/>
          <w:numId w:val="5"/>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Ethical pledges, mission statements, ESG disclosures</w:t>
      </w:r>
    </w:p>
    <w:p w:rsidR="0060194B" w:rsidRPr="0044370F" w:rsidRDefault="0060194B" w:rsidP="0060194B">
      <w:pPr>
        <w:numPr>
          <w:ilvl w:val="1"/>
          <w:numId w:val="5"/>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Creation of oversight bodies or ethical councils</w:t>
      </w:r>
    </w:p>
    <w:p w:rsidR="0060194B" w:rsidRPr="0044370F" w:rsidRDefault="0060194B" w:rsidP="0060194B">
      <w:pPr>
        <w:numPr>
          <w:ilvl w:val="1"/>
          <w:numId w:val="5"/>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Participation in multi-stakeholder forums</w:t>
      </w:r>
    </w:p>
    <w:p w:rsidR="0060194B" w:rsidRPr="0044370F" w:rsidRDefault="0060194B" w:rsidP="0060194B">
      <w:pPr>
        <w:numPr>
          <w:ilvl w:val="1"/>
          <w:numId w:val="5"/>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Responses to public scandals and crises</w:t>
      </w:r>
    </w:p>
    <w:p w:rsidR="0060194B" w:rsidRPr="0044370F" w:rsidRDefault="0060194B" w:rsidP="0060194B">
      <w:pPr>
        <w:numPr>
          <w:ilvl w:val="0"/>
          <w:numId w:val="5"/>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Data Sources:</w:t>
      </w:r>
    </w:p>
    <w:p w:rsidR="0060194B" w:rsidRPr="0044370F" w:rsidRDefault="0060194B" w:rsidP="0060194B">
      <w:pPr>
        <w:numPr>
          <w:ilvl w:val="1"/>
          <w:numId w:val="5"/>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Corporate blogs, transparency reports, civil society evaluations, media archives</w:t>
      </w:r>
    </w:p>
    <w:p w:rsidR="0060194B" w:rsidRPr="0044370F" w:rsidRDefault="0060194B" w:rsidP="0060194B">
      <w:pPr>
        <w:spacing w:before="100" w:beforeAutospacing="1" w:after="100" w:afterAutospacing="1" w:line="360" w:lineRule="auto"/>
        <w:outlineLvl w:val="3"/>
        <w:rPr>
          <w:rFonts w:ascii="Times New Roman" w:eastAsia="Times New Roman" w:hAnsi="Times New Roman" w:cs="Times New Roman"/>
          <w:b/>
          <w:bCs/>
          <w:sz w:val="24"/>
          <w:szCs w:val="24"/>
          <w:lang w:eastAsia="en-IL"/>
        </w:rPr>
      </w:pPr>
      <w:r w:rsidRPr="0044370F">
        <w:rPr>
          <w:rFonts w:ascii="Times New Roman" w:eastAsia="Times New Roman" w:hAnsi="Times New Roman" w:cs="Times New Roman"/>
          <w:b/>
          <w:bCs/>
          <w:sz w:val="24"/>
          <w:szCs w:val="24"/>
          <w:lang w:eastAsia="en-IL"/>
        </w:rPr>
        <w:t>4. Infrastructural Power</w:t>
      </w:r>
    </w:p>
    <w:p w:rsidR="0060194B" w:rsidRPr="0044370F" w:rsidRDefault="0060194B" w:rsidP="0060194B">
      <w:pPr>
        <w:numPr>
          <w:ilvl w:val="0"/>
          <w:numId w:val="6"/>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Indicators:</w:t>
      </w:r>
    </w:p>
    <w:p w:rsidR="0060194B" w:rsidRPr="0044370F" w:rsidRDefault="0060194B" w:rsidP="0060194B">
      <w:pPr>
        <w:numPr>
          <w:ilvl w:val="1"/>
          <w:numId w:val="6"/>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Control over standards and protocols, e.g., app stores, interface guidelines</w:t>
      </w:r>
    </w:p>
    <w:p w:rsidR="0060194B" w:rsidRPr="0044370F" w:rsidRDefault="0060194B" w:rsidP="0060194B">
      <w:pPr>
        <w:numPr>
          <w:ilvl w:val="1"/>
          <w:numId w:val="6"/>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Algorithmic design that shapes user interaction</w:t>
      </w:r>
    </w:p>
    <w:p w:rsidR="0060194B" w:rsidRPr="0044370F" w:rsidRDefault="0060194B" w:rsidP="0060194B">
      <w:pPr>
        <w:numPr>
          <w:ilvl w:val="1"/>
          <w:numId w:val="6"/>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Lock-in effects via ecosystem interoperability constraints</w:t>
      </w:r>
    </w:p>
    <w:p w:rsidR="0060194B" w:rsidRPr="0044370F" w:rsidRDefault="0060194B" w:rsidP="0060194B">
      <w:pPr>
        <w:numPr>
          <w:ilvl w:val="1"/>
          <w:numId w:val="6"/>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Data governance frameworks: storage, transfer, jurisdiction</w:t>
      </w:r>
    </w:p>
    <w:p w:rsidR="0060194B" w:rsidRPr="0044370F" w:rsidRDefault="0060194B" w:rsidP="0060194B">
      <w:pPr>
        <w:numPr>
          <w:ilvl w:val="0"/>
          <w:numId w:val="6"/>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Data Sources:</w:t>
      </w:r>
    </w:p>
    <w:p w:rsidR="0060194B" w:rsidRPr="0044370F" w:rsidRDefault="0060194B" w:rsidP="0060194B">
      <w:pPr>
        <w:numPr>
          <w:ilvl w:val="1"/>
          <w:numId w:val="6"/>
        </w:numPr>
        <w:spacing w:before="100" w:beforeAutospacing="1" w:after="100" w:afterAutospacing="1" w:line="360" w:lineRule="auto"/>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Terms of service, developer policies, regulatory filings, technical audits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These indicators offer multiple entry points for observing how corporate governance is </w:t>
      </w:r>
      <w:r w:rsidRPr="0044370F">
        <w:rPr>
          <w:rFonts w:ascii="Times New Roman" w:eastAsia="Times New Roman" w:hAnsi="Times New Roman" w:cs="Times New Roman"/>
          <w:b/>
          <w:bCs/>
          <w:sz w:val="24"/>
          <w:szCs w:val="24"/>
          <w:lang w:eastAsia="en-IL"/>
        </w:rPr>
        <w:t>exercised</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b/>
          <w:bCs/>
          <w:sz w:val="24"/>
          <w:szCs w:val="24"/>
          <w:lang w:eastAsia="en-IL"/>
        </w:rPr>
        <w:t>negotiated</w:t>
      </w:r>
      <w:r w:rsidRPr="0044370F">
        <w:rPr>
          <w:rFonts w:ascii="Times New Roman" w:eastAsia="Times New Roman" w:hAnsi="Times New Roman" w:cs="Times New Roman"/>
          <w:sz w:val="24"/>
          <w:szCs w:val="24"/>
          <w:lang w:eastAsia="en-IL"/>
        </w:rPr>
        <w:t xml:space="preserve">, and </w:t>
      </w:r>
      <w:r w:rsidRPr="0044370F">
        <w:rPr>
          <w:rFonts w:ascii="Times New Roman" w:eastAsia="Times New Roman" w:hAnsi="Times New Roman" w:cs="Times New Roman"/>
          <w:b/>
          <w:bCs/>
          <w:sz w:val="24"/>
          <w:szCs w:val="24"/>
          <w:lang w:eastAsia="en-IL"/>
        </w:rPr>
        <w:t>institutionalized</w:t>
      </w:r>
      <w:r w:rsidRPr="0044370F">
        <w:rPr>
          <w:rFonts w:ascii="Times New Roman" w:eastAsia="Times New Roman" w:hAnsi="Times New Roman" w:cs="Times New Roman"/>
          <w:sz w:val="24"/>
          <w:szCs w:val="24"/>
          <w:lang w:eastAsia="en-IL"/>
        </w:rPr>
        <w:t xml:space="preserve"> in transnational space.</w:t>
      </w:r>
    </w:p>
    <w:p w:rsidR="0060194B" w:rsidRPr="0044370F" w:rsidRDefault="0060194B" w:rsidP="006460CE">
      <w:pPr>
        <w:pStyle w:val="2"/>
        <w:rPr>
          <w:rFonts w:eastAsia="Times New Roman"/>
          <w:lang w:eastAsia="en-IL"/>
        </w:rPr>
      </w:pPr>
      <w:bookmarkStart w:id="84" w:name="_Toc222652764"/>
      <w:r w:rsidRPr="0044370F">
        <w:rPr>
          <w:rFonts w:eastAsia="Times New Roman"/>
          <w:lang w:eastAsia="en-IL"/>
        </w:rPr>
        <w:t>3.7</w:t>
      </w:r>
      <w:r w:rsidRPr="0044370F">
        <w:rPr>
          <w:rFonts w:eastAsia="Times New Roman"/>
          <w:lang w:eastAsia="en-IL"/>
        </w:rPr>
        <w:tab/>
        <w:t>Logic of Case Selection: Meta, Huawei, SAP</w:t>
      </w:r>
      <w:bookmarkEnd w:id="84"/>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The selection of Meta, Huawei, and SAP as case studies reflects their distinctive positions across the four dimensions of the framework, allowing for comparative analysis of how corporate quasi-sovereignty is constructed and exercised under different technological, organizational, and geopolitical conditions.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study follows a </w:t>
      </w:r>
      <w:r w:rsidRPr="0044370F">
        <w:rPr>
          <w:rFonts w:ascii="Times New Roman" w:eastAsia="Times New Roman" w:hAnsi="Times New Roman" w:cs="Times New Roman"/>
          <w:b/>
          <w:bCs/>
          <w:sz w:val="24"/>
          <w:szCs w:val="24"/>
          <w:lang w:eastAsia="en-IL"/>
        </w:rPr>
        <w:t>“most different systems” logic</w:t>
      </w:r>
      <w:r w:rsidRPr="0044370F">
        <w:rPr>
          <w:rStyle w:val="a8"/>
          <w:rFonts w:ascii="Times New Roman" w:eastAsia="Times New Roman" w:hAnsi="Times New Roman" w:cs="Times New Roman"/>
          <w:b/>
          <w:bCs/>
          <w:sz w:val="24"/>
          <w:szCs w:val="24"/>
          <w:lang w:eastAsia="en-IL"/>
        </w:rPr>
        <w:footnoteReference w:id="93"/>
      </w:r>
      <w:r w:rsidRPr="0044370F">
        <w:rPr>
          <w:rFonts w:ascii="Times New Roman" w:eastAsia="Times New Roman" w:hAnsi="Times New Roman" w:cs="Times New Roman"/>
          <w:sz w:val="24"/>
          <w:szCs w:val="24"/>
          <w:lang w:eastAsia="en-IL"/>
        </w:rPr>
        <w:t>, selecting three firms that differ in political, economic, and regulatory context:</w:t>
      </w:r>
    </w:p>
    <w:p w:rsidR="0060194B" w:rsidRPr="0044370F" w:rsidRDefault="0060194B" w:rsidP="0060194B">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4"/>
          <w:szCs w:val="24"/>
          <w:lang w:eastAsia="en-IL"/>
        </w:rPr>
        <w:t>Meta (USA):</w:t>
      </w:r>
      <w:r w:rsidRPr="0044370F">
        <w:rPr>
          <w:rFonts w:ascii="Times New Roman" w:eastAsia="Times New Roman" w:hAnsi="Times New Roman" w:cs="Times New Roman"/>
          <w:sz w:val="24"/>
          <w:szCs w:val="24"/>
          <w:lang w:eastAsia="en-IL"/>
        </w:rPr>
        <w:t xml:space="preserve"> A platform-centric, user-facing firm embedded in liberal-democratic regimes. Its emphasis on normative legitimacy, e.g., Oversight Board, and infrastructural control, e.g., content algorithms, makes it ideal for observing private rule-making in consumer platforms.</w:t>
      </w:r>
    </w:p>
    <w:p w:rsidR="0060194B" w:rsidRPr="0044370F" w:rsidRDefault="0060194B" w:rsidP="0060194B">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4"/>
          <w:szCs w:val="24"/>
          <w:lang w:eastAsia="en-IL"/>
        </w:rPr>
        <w:lastRenderedPageBreak/>
        <w:t>Huawei (China):</w:t>
      </w:r>
      <w:r w:rsidRPr="0044370F">
        <w:rPr>
          <w:rFonts w:ascii="Times New Roman" w:eastAsia="Times New Roman" w:hAnsi="Times New Roman" w:cs="Times New Roman"/>
          <w:sz w:val="24"/>
          <w:szCs w:val="24"/>
          <w:lang w:eastAsia="en-IL"/>
        </w:rPr>
        <w:t xml:space="preserve"> A hardware-based firm with ties to state-capitalist strategy. It exemplifies structural embeddedness in global supply chains while operating within a geopolitical framework shaped by surveillance concerns and techno-nationalism.</w:t>
      </w:r>
    </w:p>
    <w:p w:rsidR="0060194B" w:rsidRPr="0044370F" w:rsidRDefault="0060194B" w:rsidP="0060194B">
      <w:pPr>
        <w:numPr>
          <w:ilvl w:val="0"/>
          <w:numId w:val="7"/>
        </w:num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4"/>
          <w:szCs w:val="24"/>
          <w:lang w:eastAsia="en-IL"/>
        </w:rPr>
        <w:t>SAP (EU):</w:t>
      </w:r>
      <w:r w:rsidRPr="0044370F">
        <w:rPr>
          <w:rFonts w:ascii="Times New Roman" w:eastAsia="Times New Roman" w:hAnsi="Times New Roman" w:cs="Times New Roman"/>
          <w:sz w:val="24"/>
          <w:szCs w:val="24"/>
          <w:lang w:eastAsia="en-IL"/>
        </w:rPr>
        <w:t xml:space="preserve"> A standards-based enterprise software provider embedded in highly regulated, rights-focused regimes. SAP represents quiet infrastructural governance, relying on compliance, trust, and embedded design.</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This variation supports </w:t>
      </w:r>
      <w:r w:rsidRPr="0044370F">
        <w:rPr>
          <w:rFonts w:ascii="Times New Roman" w:eastAsia="Times New Roman" w:hAnsi="Times New Roman" w:cs="Times New Roman"/>
          <w:b/>
          <w:bCs/>
          <w:sz w:val="24"/>
          <w:szCs w:val="24"/>
          <w:lang w:eastAsia="en-IL"/>
        </w:rPr>
        <w:t>analytical generalization</w:t>
      </w:r>
      <w:r w:rsidRPr="0044370F">
        <w:rPr>
          <w:rFonts w:ascii="Times New Roman" w:eastAsia="Times New Roman" w:hAnsi="Times New Roman" w:cs="Times New Roman"/>
          <w:sz w:val="24"/>
          <w:szCs w:val="24"/>
          <w:lang w:eastAsia="en-IL"/>
        </w:rPr>
        <w:t>: if similar power dimensions appear across divergent contexts, it strengthens the model’s robustness. Differences illuminate how institutional environments shape the expression of digital authority.</w:t>
      </w:r>
    </w:p>
    <w:p w:rsidR="0060194B" w:rsidRPr="0044370F" w:rsidRDefault="0060194B" w:rsidP="006460CE">
      <w:pPr>
        <w:pStyle w:val="2"/>
        <w:rPr>
          <w:rFonts w:eastAsia="Times New Roman"/>
          <w:lang w:eastAsia="en-IL"/>
        </w:rPr>
      </w:pPr>
      <w:bookmarkStart w:id="85" w:name="_Toc222652765"/>
      <w:r w:rsidRPr="0044370F">
        <w:rPr>
          <w:rFonts w:eastAsia="Times New Roman"/>
          <w:lang w:eastAsia="en-IL"/>
        </w:rPr>
        <w:t>3.8</w:t>
      </w:r>
      <w:r w:rsidRPr="0044370F">
        <w:rPr>
          <w:rFonts w:eastAsia="Times New Roman"/>
          <w:lang w:eastAsia="en-IL"/>
        </w:rPr>
        <w:tab/>
        <w:t>Conclusion</w:t>
      </w:r>
      <w:bookmarkEnd w:id="85"/>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This research offers a scalable instrument for examining corporate quasi-sovereignty by implementing the hybrid model into a strict, comparative methodology. It connects theory with empirical evidence, illustrating how global tech companies establish authority, set standards, and regulate behavior, often in ways that blur the lines between corporate influence and state sovereignty.</w:t>
      </w:r>
    </w:p>
    <w:p w:rsidR="0060194B" w:rsidRPr="0044370F" w:rsidRDefault="0060194B" w:rsidP="0060194B">
      <w:pPr>
        <w:pStyle w:val="NormalWeb"/>
        <w:spacing w:line="360" w:lineRule="auto"/>
        <w:jc w:val="both"/>
        <w:rPr>
          <w:rFonts w:asciiTheme="majorBidi" w:hAnsiTheme="majorBidi" w:cstheme="majorBidi"/>
        </w:rPr>
      </w:pPr>
      <w:r w:rsidRPr="0044370F">
        <w:rPr>
          <w:rFonts w:asciiTheme="majorBidi" w:hAnsiTheme="majorBidi" w:cstheme="majorBidi"/>
        </w:rPr>
        <w:t>The upcoming chapters use this framework to examine Meta, Huawei, and SAP, demonstrating how each company exercises digital authority within the changing global political economy.</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translating abstract theories of power, legitimacy, and infrastructure into an empirically applicable framework, this chapter establishes the analytical foundation for examining corporate quasi-sovereignty as a concrete and observable phenomenon.</w:t>
      </w:r>
    </w:p>
    <w:p w:rsidR="0060194B" w:rsidRPr="0044370F" w:rsidRDefault="0060194B" w:rsidP="0060194B">
      <w:pPr>
        <w:pStyle w:val="NormalWeb"/>
        <w:spacing w:line="360" w:lineRule="auto"/>
        <w:jc w:val="both"/>
        <w:rPr>
          <w:rFonts w:asciiTheme="majorBidi" w:hAnsiTheme="majorBidi" w:cstheme="majorBidi"/>
          <w:rtl/>
        </w:rPr>
      </w:pPr>
    </w:p>
    <w:p w:rsidR="0060194B" w:rsidRPr="0044370F" w:rsidRDefault="0060194B" w:rsidP="0060194B">
      <w:pPr>
        <w:spacing w:before="100" w:beforeAutospacing="1" w:after="100" w:afterAutospacing="1" w:line="360" w:lineRule="auto"/>
        <w:rPr>
          <w:rFonts w:asciiTheme="majorBidi" w:eastAsia="Times New Roman" w:hAnsiTheme="majorBidi" w:cstheme="majorBidi"/>
          <w:sz w:val="24"/>
          <w:szCs w:val="24"/>
          <w:lang w:eastAsia="en-IL"/>
        </w:rPr>
      </w:pPr>
    </w:p>
    <w:p w:rsidR="0060194B" w:rsidRPr="0044370F" w:rsidRDefault="0060194B">
      <w:r w:rsidRPr="0044370F">
        <w:br w:type="page"/>
      </w:r>
    </w:p>
    <w:p w:rsidR="0060194B" w:rsidRPr="0044370F" w:rsidRDefault="0060194B" w:rsidP="006460CE">
      <w:pPr>
        <w:pStyle w:val="1"/>
        <w:rPr>
          <w:rFonts w:eastAsia="Times New Roman" w:cs="Times New Roman"/>
          <w:bCs/>
          <w:lang w:eastAsia="en-IL"/>
        </w:rPr>
      </w:pPr>
      <w:bookmarkStart w:id="86" w:name="_Toc222652766"/>
      <w:r w:rsidRPr="0044370F">
        <w:lastRenderedPageBreak/>
        <w:t>Chapter 4</w:t>
      </w:r>
      <w:bookmarkEnd w:id="86"/>
    </w:p>
    <w:p w:rsidR="0060194B" w:rsidRPr="0044370F" w:rsidRDefault="0060194B" w:rsidP="006460CE">
      <w:pPr>
        <w:pStyle w:val="1"/>
        <w:rPr>
          <w:rFonts w:eastAsia="Times New Roman" w:cs="Times New Roman"/>
          <w:bCs/>
          <w:lang w:eastAsia="en-IL"/>
        </w:rPr>
      </w:pPr>
      <w:bookmarkStart w:id="87" w:name="_Toc222652767"/>
      <w:r w:rsidRPr="0044370F">
        <w:rPr>
          <w:rFonts w:eastAsia="Times New Roman" w:cs="Times New Roman"/>
          <w:bCs/>
          <w:lang w:eastAsia="en-IL"/>
        </w:rPr>
        <w:t>Empirical Case Studies and Analysis</w:t>
      </w:r>
      <w:bookmarkEnd w:id="87"/>
    </w:p>
    <w:p w:rsidR="006460CE" w:rsidRPr="0044370F" w:rsidRDefault="006460CE" w:rsidP="006460CE">
      <w:pPr>
        <w:rPr>
          <w:lang w:eastAsia="en-IL"/>
        </w:rPr>
      </w:pPr>
    </w:p>
    <w:p w:rsidR="0060194B" w:rsidRPr="0044370F" w:rsidRDefault="0060194B" w:rsidP="006460CE">
      <w:pPr>
        <w:pStyle w:val="2"/>
      </w:pPr>
      <w:bookmarkStart w:id="88" w:name="_Toc222652768"/>
      <w:r w:rsidRPr="0044370F">
        <w:t xml:space="preserve">4.1 </w:t>
      </w:r>
      <w:r w:rsidRPr="0044370F">
        <w:rPr>
          <w:rtl/>
        </w:rPr>
        <w:tab/>
      </w:r>
      <w:r w:rsidRPr="0044370F">
        <w:t>Research Design: Qualitative, Document-Based, Comparative</w:t>
      </w:r>
      <w:bookmarkEnd w:id="88"/>
    </w:p>
    <w:p w:rsidR="006460CE" w:rsidRPr="0044370F" w:rsidRDefault="006460CE" w:rsidP="006460CE"/>
    <w:p w:rsidR="0060194B" w:rsidRPr="0044370F" w:rsidRDefault="0060194B" w:rsidP="0060194B">
      <w:pPr>
        <w:spacing w:after="12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chapter constitutes the empirical core of the dissertation by conducting a comparative analysis of three multinational technology corporations: Meta, Huawei, and SAP. These cases were chosen to represent distinct sectoral, geopolitical, and organizational configurations of corporate quasi-sovereignty. Collectively, they enable an examination of how sovereignty-like authority is exercised through platforms, infrastructure, and institutional embedding within diverse political and regulatory contexts. The chapter applies the four-dimensional framework introduced in Chapter 3 and establishes the empirical basis for the subsequent comparative synthesis.</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This study employs a qualitative</w:t>
      </w:r>
      <w:r w:rsidRPr="0044370F">
        <w:rPr>
          <w:rStyle w:val="a8"/>
          <w:rFonts w:asciiTheme="majorBidi" w:hAnsiTheme="majorBidi" w:cstheme="majorBidi"/>
          <w:sz w:val="24"/>
          <w:szCs w:val="24"/>
        </w:rPr>
        <w:footnoteReference w:id="94"/>
      </w:r>
      <w:r w:rsidRPr="0044370F">
        <w:rPr>
          <w:rFonts w:ascii="Times New Roman" w:hAnsi="Times New Roman"/>
          <w:sz w:val="24"/>
        </w:rPr>
        <w:t>, document-based</w:t>
      </w:r>
      <w:r w:rsidRPr="0044370F">
        <w:rPr>
          <w:rStyle w:val="a8"/>
          <w:rFonts w:asciiTheme="majorBidi" w:hAnsiTheme="majorBidi" w:cstheme="majorBidi"/>
          <w:sz w:val="24"/>
          <w:szCs w:val="24"/>
        </w:rPr>
        <w:footnoteReference w:id="95"/>
      </w:r>
      <w:r w:rsidRPr="0044370F">
        <w:rPr>
          <w:rFonts w:ascii="Times New Roman" w:hAnsi="Times New Roman"/>
          <w:sz w:val="24"/>
        </w:rPr>
        <w:t xml:space="preserve"> comparative research design to analyze how digital technology firms act as quasi-sovereign geopolitical actors. Grounded in a constructivist epistemology and interpretive tradition, the approach </w:t>
      </w:r>
      <w:r w:rsidRPr="0044370F">
        <w:rPr>
          <w:rFonts w:ascii="Times New Roman" w:eastAsia="Times New Roman" w:hAnsi="Times New Roman" w:cs="Times New Roman"/>
          <w:sz w:val="24"/>
          <w:szCs w:val="24"/>
          <w:lang w:eastAsia="en-IL"/>
        </w:rPr>
        <w:t>aligns</w:t>
      </w:r>
      <w:r w:rsidRPr="0044370F">
        <w:rPr>
          <w:rFonts w:ascii="Times New Roman" w:hAnsi="Times New Roman"/>
          <w:sz w:val="24"/>
        </w:rPr>
        <w:t xml:space="preserve"> with the dissertation's theoretical foundation.</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Rather than quantifying influence, the research seeks to understand how power and sovereignty are socially constructed and enacted through texts and organizational practices.</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Qualitative research allows for deep contextual exploration. Following Yin’s</w:t>
      </w:r>
      <w:r w:rsidRPr="0044370F">
        <w:rPr>
          <w:rStyle w:val="a8"/>
          <w:rFonts w:asciiTheme="majorBidi" w:hAnsiTheme="majorBidi" w:cstheme="majorBidi"/>
          <w:sz w:val="24"/>
          <w:szCs w:val="24"/>
        </w:rPr>
        <w:footnoteReference w:id="96"/>
      </w:r>
      <w:r w:rsidRPr="0044370F">
        <w:rPr>
          <w:rFonts w:ascii="Times New Roman" w:hAnsi="Times New Roman"/>
          <w:sz w:val="24"/>
        </w:rPr>
        <w:t xml:space="preserve"> guidance, case studies are appropriate for addressing “how” and “why” questions about contemporary phenomena in real-world settings.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lastRenderedPageBreak/>
        <w:t>In this context, the rise of digital corporations as global actors is best understood through interpretive analysis of their policies, governance documents, and discursive strategies.</w:t>
      </w:r>
      <w:r w:rsidRPr="0044370F">
        <w:rPr>
          <w:rFonts w:ascii="Times New Roman" w:eastAsia="Times New Roman" w:hAnsi="Times New Roman" w:cs="Times New Roman"/>
          <w:sz w:val="24"/>
          <w:szCs w:val="24"/>
          <w:lang w:eastAsia="en-IL"/>
        </w:rPr>
        <w:t xml:space="preserve"> </w:t>
      </w:r>
      <w:r w:rsidRPr="0044370F">
        <w:rPr>
          <w:rFonts w:ascii="Times New Roman" w:hAnsi="Times New Roman"/>
          <w:sz w:val="24"/>
        </w:rPr>
        <w:t xml:space="preserve">The comparative case study approach permits cross-case analysis and theoretical generalization.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Each case</w:t>
      </w:r>
      <w:r w:rsidRPr="0044370F">
        <w:rPr>
          <w:rFonts w:ascii="Times New Roman" w:eastAsia="Times New Roman" w:hAnsi="Times New Roman" w:cs="Times New Roman"/>
          <w:sz w:val="24"/>
          <w:szCs w:val="24"/>
          <w:lang w:eastAsia="en-IL"/>
        </w:rPr>
        <w:t>,</w:t>
      </w:r>
      <w:r w:rsidRPr="0044370F">
        <w:rPr>
          <w:rFonts w:ascii="Times New Roman" w:hAnsi="Times New Roman"/>
          <w:sz w:val="24"/>
        </w:rPr>
        <w:t xml:space="preserve"> Meta, Huawei, and SAP</w:t>
      </w:r>
      <w:r w:rsidRPr="0044370F">
        <w:rPr>
          <w:rFonts w:ascii="Times New Roman" w:eastAsia="Times New Roman" w:hAnsi="Times New Roman" w:cs="Times New Roman"/>
          <w:sz w:val="24"/>
          <w:szCs w:val="24"/>
          <w:lang w:eastAsia="en-IL"/>
        </w:rPr>
        <w:t>,</w:t>
      </w:r>
      <w:r w:rsidRPr="0044370F">
        <w:rPr>
          <w:rFonts w:ascii="Times New Roman" w:hAnsi="Times New Roman"/>
          <w:sz w:val="24"/>
        </w:rPr>
        <w:t xml:space="preserve"> is examined in detail to observe how they manifest quasi-sovereign traits across </w:t>
      </w:r>
      <w:r w:rsidRPr="0044370F">
        <w:rPr>
          <w:rFonts w:ascii="Times New Roman" w:eastAsia="Times New Roman" w:hAnsi="Times New Roman" w:cs="Times New Roman"/>
          <w:sz w:val="24"/>
          <w:szCs w:val="24"/>
          <w:lang w:eastAsia="en-IL"/>
        </w:rPr>
        <w:t xml:space="preserve">different </w:t>
      </w:r>
      <w:r w:rsidRPr="0044370F">
        <w:rPr>
          <w:rFonts w:ascii="Times New Roman" w:hAnsi="Times New Roman"/>
          <w:sz w:val="24"/>
        </w:rPr>
        <w:t>political and cultural contexts. Yin</w:t>
      </w:r>
      <w:r w:rsidRPr="0044370F">
        <w:rPr>
          <w:rStyle w:val="a8"/>
          <w:rFonts w:asciiTheme="majorBidi" w:hAnsiTheme="majorBidi" w:cstheme="majorBidi"/>
          <w:sz w:val="24"/>
          <w:szCs w:val="24"/>
        </w:rPr>
        <w:footnoteReference w:id="97"/>
      </w:r>
      <w:r w:rsidRPr="0044370F">
        <w:rPr>
          <w:rFonts w:ascii="Times New Roman" w:hAnsi="Times New Roman"/>
          <w:sz w:val="24"/>
        </w:rPr>
        <w:t xml:space="preserve"> and Stake</w:t>
      </w:r>
      <w:r w:rsidRPr="0044370F">
        <w:rPr>
          <w:rStyle w:val="a8"/>
          <w:rFonts w:asciiTheme="majorBidi" w:hAnsiTheme="majorBidi" w:cstheme="majorBidi"/>
          <w:sz w:val="24"/>
          <w:szCs w:val="24"/>
        </w:rPr>
        <w:footnoteReference w:id="98"/>
      </w:r>
      <w:r w:rsidRPr="0044370F">
        <w:rPr>
          <w:rFonts w:ascii="Times New Roman" w:hAnsi="Times New Roman"/>
          <w:sz w:val="24"/>
        </w:rPr>
        <w:t xml:space="preserve"> support the use of multiple cases for replication </w:t>
      </w:r>
      <w:r w:rsidRPr="0044370F">
        <w:rPr>
          <w:rFonts w:asciiTheme="majorBidi" w:eastAsiaTheme="minorEastAsia" w:hAnsiTheme="majorBidi" w:cstheme="majorBidi"/>
          <w:sz w:val="24"/>
          <w:szCs w:val="24"/>
          <w:lang w:bidi="ar-SA"/>
        </w:rPr>
        <w:t>logic and theoretical insight. George and Bennett</w:t>
      </w:r>
      <w:r w:rsidRPr="0044370F">
        <w:rPr>
          <w:rStyle w:val="a8"/>
          <w:rFonts w:asciiTheme="majorBidi" w:eastAsiaTheme="minorEastAsia" w:hAnsiTheme="majorBidi" w:cstheme="majorBidi"/>
          <w:sz w:val="24"/>
          <w:szCs w:val="24"/>
          <w:lang w:bidi="ar-SA"/>
        </w:rPr>
        <w:footnoteReference w:id="99"/>
      </w:r>
      <w:r w:rsidRPr="0044370F">
        <w:rPr>
          <w:rFonts w:asciiTheme="majorBidi" w:eastAsiaTheme="minorEastAsia" w:hAnsiTheme="majorBidi" w:cstheme="majorBidi"/>
          <w:sz w:val="24"/>
          <w:szCs w:val="24"/>
          <w:lang w:bidi="ar-SA"/>
        </w:rPr>
        <w:t xml:space="preserve"> emphasize structured, focused</w:t>
      </w:r>
      <w:r w:rsidRPr="0044370F">
        <w:rPr>
          <w:rFonts w:ascii="Times New Roman" w:hAnsi="Times New Roman"/>
          <w:sz w:val="24"/>
        </w:rPr>
        <w:t xml:space="preserve"> comparison, which this study applies by using consistent analytical dimensions and indicators</w:t>
      </w:r>
      <w:r w:rsidRPr="0044370F">
        <w:rPr>
          <w:rFonts w:ascii="Times New Roman" w:eastAsia="Times New Roman" w:hAnsi="Times New Roman" w:cs="Times New Roman"/>
          <w:sz w:val="24"/>
          <w:szCs w:val="24"/>
          <w:lang w:eastAsia="en-IL"/>
        </w:rPr>
        <w:t xml:space="preserve"> across cases</w:t>
      </w:r>
      <w:r w:rsidRPr="0044370F">
        <w:rPr>
          <w:rFonts w:ascii="Times New Roman" w:hAnsi="Times New Roman"/>
          <w:sz w:val="24"/>
        </w:rPr>
        <w: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the analysis relies on corporate documents and public communications, these materials are treated as strategic artifacts rather than transparent representations of organizational reality. Corporate claims regarding responsibility, neutrality, or legitimacy are examined critically and assessed against regulatory actions, third-party investigations, and observable institutional effects. This analytical distance is essential for distinguishing between asserted legitimacy and effective authority.</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The analytical framework developed in Chapter 3 directly structures the empirical analysis presented in this chapter. Each of the four dimensions</w:t>
      </w:r>
      <w:r w:rsidRPr="0044370F">
        <w:rPr>
          <w:rStyle w:val="a5"/>
          <w:rFonts w:eastAsiaTheme="majorEastAsia" w:hint="cs"/>
          <w:i w:val="0"/>
          <w:iCs w:val="0"/>
          <w:rtl/>
        </w:rPr>
        <w:t xml:space="preserve">: </w:t>
      </w:r>
      <w:r w:rsidRPr="0044370F">
        <w:rPr>
          <w:rStyle w:val="a5"/>
          <w:rFonts w:eastAsiaTheme="majorEastAsia"/>
          <w:i w:val="0"/>
          <w:iCs w:val="0"/>
        </w:rPr>
        <w:t xml:space="preserve">strategic resource control, structural embeddedness, normative legitimacy, and infrastructural power, was translated into a set of empirical indicators that guided document selection, coding, and interpretation. This concept-indicator-evidence mapping ensured that theoretical claims were consistently operationalized across all three cases, enabling structured comparison while remaining sensitive to contextual variation. </w:t>
      </w:r>
    </w:p>
    <w:p w:rsidR="0060194B" w:rsidRPr="0044370F" w:rsidRDefault="003119A6" w:rsidP="0060194B">
      <w:pPr>
        <w:pStyle w:val="NormalWeb"/>
        <w:spacing w:line="360" w:lineRule="auto"/>
        <w:jc w:val="both"/>
        <w:rPr>
          <w:i/>
          <w:iCs/>
        </w:rPr>
      </w:pPr>
      <w:r w:rsidRPr="0044370F">
        <w:rPr>
          <w:rStyle w:val="a5"/>
          <w:rFonts w:eastAsiaTheme="majorEastAsia"/>
          <w:i w:val="0"/>
          <w:iCs w:val="0"/>
        </w:rPr>
        <w:t xml:space="preserve">This way, </w:t>
      </w:r>
      <w:r w:rsidR="0060194B" w:rsidRPr="0044370F">
        <w:rPr>
          <w:rStyle w:val="a5"/>
          <w:rFonts w:eastAsiaTheme="majorEastAsia"/>
          <w:i w:val="0"/>
          <w:iCs w:val="0"/>
        </w:rPr>
        <w:t>Chapter 4 operationalizes the theoretical architecture of Chapter 3 without reducing it to mechanical measurement.</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p>
    <w:p w:rsidR="0060194B" w:rsidRPr="0044370F" w:rsidRDefault="0060194B" w:rsidP="006460CE">
      <w:pPr>
        <w:pStyle w:val="2"/>
        <w:rPr>
          <w:rFonts w:eastAsia="Times New Roman"/>
          <w:lang w:eastAsia="en-IL"/>
        </w:rPr>
      </w:pPr>
      <w:bookmarkStart w:id="89" w:name="_Toc222652769"/>
      <w:r w:rsidRPr="0044370F">
        <w:rPr>
          <w:rFonts w:eastAsia="Times New Roman"/>
          <w:lang w:eastAsia="en-IL"/>
        </w:rPr>
        <w:lastRenderedPageBreak/>
        <w:t>4.2</w:t>
      </w:r>
      <w:r w:rsidRPr="0044370F">
        <w:rPr>
          <w:rFonts w:eastAsia="Times New Roman"/>
          <w:lang w:eastAsia="en-IL"/>
        </w:rPr>
        <w:tab/>
        <w:t>Data Collection and Document Selection</w:t>
      </w:r>
      <w:bookmarkEnd w:id="89"/>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hAnsi="Times New Roman"/>
          <w:sz w:val="24"/>
        </w:rPr>
        <w:t>Document analysis</w:t>
      </w:r>
      <w:r w:rsidRPr="0044370F">
        <w:rPr>
          <w:rStyle w:val="a8"/>
          <w:rFonts w:ascii="Times New Roman" w:hAnsi="Times New Roman"/>
          <w:sz w:val="24"/>
        </w:rPr>
        <w:footnoteReference w:id="100"/>
      </w:r>
      <w:r w:rsidRPr="0044370F">
        <w:rPr>
          <w:rFonts w:ascii="Times New Roman" w:hAnsi="Times New Roman"/>
          <w:sz w:val="24"/>
        </w:rPr>
        <w:t xml:space="preserve"> is the primary method of data collection. </w:t>
      </w:r>
      <w:r w:rsidRPr="0044370F">
        <w:rPr>
          <w:rFonts w:ascii="Times New Roman" w:eastAsia="Times New Roman" w:hAnsi="Times New Roman" w:cs="Times New Roman"/>
          <w:sz w:val="24"/>
          <w:szCs w:val="24"/>
          <w:lang w:eastAsia="en-IL"/>
        </w:rPr>
        <w:t xml:space="preserve">A broad corpus of documents was compiled for each case, including corporate </w:t>
      </w:r>
      <w:r w:rsidRPr="0044370F">
        <w:rPr>
          <w:rFonts w:ascii="Times New Roman" w:hAnsi="Times New Roman"/>
          <w:sz w:val="24"/>
        </w:rPr>
        <w:t xml:space="preserve">reports, policy frameworks, public statements, legal filings, </w:t>
      </w:r>
      <w:r w:rsidRPr="0044370F">
        <w:rPr>
          <w:rFonts w:ascii="Times New Roman" w:eastAsia="Times New Roman" w:hAnsi="Times New Roman" w:cs="Times New Roman"/>
          <w:sz w:val="24"/>
          <w:szCs w:val="24"/>
          <w:lang w:eastAsia="en-IL"/>
        </w:rPr>
        <w:t xml:space="preserve">technical standards documents, </w:t>
      </w:r>
      <w:r w:rsidRPr="0044370F">
        <w:rPr>
          <w:rFonts w:ascii="Times New Roman" w:hAnsi="Times New Roman"/>
          <w:sz w:val="24"/>
        </w:rPr>
        <w:t>and third-party evaluations</w:t>
      </w:r>
      <w:r w:rsidRPr="0044370F">
        <w:rPr>
          <w:rFonts w:ascii="Times New Roman" w:eastAsia="Times New Roman" w:hAnsi="Times New Roman" w:cs="Times New Roman"/>
          <w:sz w:val="24"/>
          <w:szCs w:val="24"/>
          <w:lang w:eastAsia="en-IL"/>
        </w:rPr>
        <w:t xml:space="preserve">.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These materials </w:t>
      </w:r>
      <w:r w:rsidRPr="0044370F">
        <w:rPr>
          <w:rFonts w:ascii="Times New Roman" w:hAnsi="Times New Roman"/>
          <w:sz w:val="24"/>
        </w:rPr>
        <w:t>provide an empirical basis</w:t>
      </w:r>
      <w:r w:rsidRPr="0044370F">
        <w:rPr>
          <w:rStyle w:val="a8"/>
          <w:rFonts w:ascii="Times New Roman" w:hAnsi="Times New Roman"/>
          <w:sz w:val="24"/>
        </w:rPr>
        <w:footnoteReference w:id="101"/>
      </w:r>
      <w:r w:rsidRPr="0044370F">
        <w:rPr>
          <w:rFonts w:ascii="Times New Roman" w:eastAsia="Times New Roman" w:hAnsi="Times New Roman" w:cs="Times New Roman"/>
          <w:sz w:val="24"/>
          <w:szCs w:val="24"/>
          <w:lang w:eastAsia="en-IL"/>
        </w:rPr>
        <w:t>and enable an</w:t>
      </w:r>
      <w:r w:rsidRPr="0044370F">
        <w:rPr>
          <w:rFonts w:ascii="Times New Roman" w:hAnsi="Times New Roman"/>
          <w:sz w:val="24"/>
        </w:rPr>
        <w:t xml:space="preserve"> unobtrusive examination of organizational behavior over time and across jurisdictions. </w:t>
      </w:r>
      <w:r w:rsidRPr="0044370F">
        <w:rPr>
          <w:rFonts w:ascii="Times New Roman" w:eastAsia="Times New Roman" w:hAnsi="Times New Roman" w:cs="Times New Roman"/>
          <w:sz w:val="24"/>
          <w:szCs w:val="24"/>
          <w:lang w:eastAsia="en-IL"/>
        </w:rPr>
        <w:t>The documents were selected based on clear inclusion criteria to</w:t>
      </w:r>
      <w:r w:rsidRPr="0044370F">
        <w:rPr>
          <w:rFonts w:ascii="Times New Roman" w:hAnsi="Times New Roman"/>
          <w:sz w:val="24"/>
        </w:rPr>
        <w:t xml:space="preserve"> ensure </w:t>
      </w:r>
      <w:r w:rsidRPr="0044370F">
        <w:rPr>
          <w:rFonts w:ascii="Times New Roman" w:eastAsia="Times New Roman" w:hAnsi="Times New Roman" w:cs="Times New Roman"/>
          <w:sz w:val="24"/>
          <w:szCs w:val="24"/>
          <w:lang w:eastAsia="en-IL"/>
        </w:rPr>
        <w:t>relevance and credibility</w:t>
      </w:r>
      <w:r w:rsidRPr="0044370F">
        <w:rPr>
          <w:rStyle w:val="a8"/>
          <w:rFonts w:ascii="Times New Roman" w:eastAsia="Times New Roman" w:hAnsi="Times New Roman" w:cs="Times New Roman"/>
          <w:sz w:val="24"/>
          <w:szCs w:val="24"/>
          <w:lang w:eastAsia="en-IL"/>
        </w:rPr>
        <w:footnoteReference w:id="102"/>
      </w:r>
      <w:r w:rsidRPr="0044370F">
        <w:rPr>
          <w:rFonts w:ascii="Times New Roman" w:eastAsia="Times New Roman" w:hAnsi="Times New Roman" w:cs="Times New Roman"/>
          <w:sz w:val="24"/>
          <w:szCs w:val="24"/>
          <w:lang w:eastAsia="en-IL"/>
        </w:rPr>
        <w:t xml:space="preserve">. Specifically, priority was given to documents that directly relate to the research questions and analytical dimensions (strategic resource control, structural embeddedness, normative legitimacy, infrastructural power).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6"/>
          <w:szCs w:val="26"/>
          <w:lang w:eastAsia="en-IL"/>
        </w:rPr>
        <w:t>Inclusion criteria included</w:t>
      </w:r>
      <w:r w:rsidRPr="0044370F">
        <w:rPr>
          <w:rStyle w:val="a8"/>
          <w:rFonts w:ascii="Times New Roman" w:eastAsia="Times New Roman" w:hAnsi="Times New Roman" w:cs="Times New Roman"/>
          <w:b/>
          <w:bCs/>
          <w:sz w:val="26"/>
          <w:szCs w:val="26"/>
          <w:lang w:eastAsia="en-IL"/>
        </w:rPr>
        <w:footnoteReference w:id="103"/>
      </w:r>
      <w:r w:rsidRPr="0044370F">
        <w:rPr>
          <w:rFonts w:ascii="Times New Roman" w:eastAsia="Times New Roman" w:hAnsi="Times New Roman" w:cs="Times New Roman"/>
          <w:sz w:val="24"/>
          <w:szCs w:val="24"/>
          <w:lang w:eastAsia="en-IL"/>
        </w:rPr>
        <w:t xml:space="preserve">: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(1) </w:t>
      </w:r>
      <w:r w:rsidRPr="0044370F">
        <w:rPr>
          <w:rFonts w:ascii="Times New Roman" w:eastAsia="Times New Roman" w:hAnsi="Times New Roman" w:cs="Times New Roman"/>
          <w:b/>
          <w:bCs/>
          <w:sz w:val="24"/>
          <w:szCs w:val="24"/>
          <w:lang w:eastAsia="en-IL"/>
        </w:rPr>
        <w:t>Relevance</w:t>
      </w:r>
      <w:r w:rsidRPr="0044370F">
        <w:rPr>
          <w:rFonts w:ascii="Times New Roman" w:eastAsia="Times New Roman" w:hAnsi="Times New Roman" w:cs="Times New Roman"/>
          <w:sz w:val="24"/>
          <w:szCs w:val="24"/>
          <w:lang w:eastAsia="en-IL"/>
        </w:rPr>
        <w:t xml:space="preserve">: the document addresses corporate governance, strategy, or interactions with state or society pertinent to quasi-sovereignty;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(2) </w:t>
      </w:r>
      <w:r w:rsidRPr="0044370F">
        <w:rPr>
          <w:rFonts w:ascii="Times New Roman" w:eastAsia="Times New Roman" w:hAnsi="Times New Roman" w:cs="Times New Roman"/>
          <w:b/>
          <w:bCs/>
          <w:sz w:val="24"/>
          <w:szCs w:val="24"/>
          <w:lang w:eastAsia="en-IL"/>
        </w:rPr>
        <w:t>Authenticity and Credibility</w:t>
      </w:r>
      <w:r w:rsidRPr="0044370F">
        <w:rPr>
          <w:rFonts w:ascii="Times New Roman" w:eastAsia="Times New Roman" w:hAnsi="Times New Roman" w:cs="Times New Roman"/>
          <w:sz w:val="24"/>
          <w:szCs w:val="24"/>
          <w:lang w:eastAsia="en-IL"/>
        </w:rPr>
        <w:t xml:space="preserve">: the source is original or from a reputable author (e.g., official company publication or credible independent body), ensuring the content is genuine and accurate;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(3) </w:t>
      </w:r>
      <w:r w:rsidRPr="0044370F">
        <w:rPr>
          <w:rFonts w:ascii="Times New Roman" w:eastAsia="Times New Roman" w:hAnsi="Times New Roman" w:cs="Times New Roman"/>
          <w:b/>
          <w:bCs/>
          <w:sz w:val="24"/>
          <w:szCs w:val="24"/>
          <w:lang w:eastAsia="en-IL"/>
        </w:rPr>
        <w:t>Representativeness</w:t>
      </w:r>
      <w:r w:rsidRPr="0044370F">
        <w:rPr>
          <w:rFonts w:ascii="Times New Roman" w:eastAsia="Times New Roman" w:hAnsi="Times New Roman" w:cs="Times New Roman"/>
          <w:sz w:val="24"/>
          <w:szCs w:val="24"/>
          <w:lang w:eastAsia="en-IL"/>
        </w:rPr>
        <w:t xml:space="preserve">: the document reflects typical or significant viewpoints rather than isolated anomalies; and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(4) </w:t>
      </w:r>
      <w:r w:rsidRPr="0044370F">
        <w:rPr>
          <w:rFonts w:ascii="Times New Roman" w:eastAsia="Times New Roman" w:hAnsi="Times New Roman" w:cs="Times New Roman"/>
          <w:b/>
          <w:bCs/>
          <w:sz w:val="24"/>
          <w:szCs w:val="24"/>
          <w:lang w:eastAsia="en-IL"/>
        </w:rPr>
        <w:t>Clarity of Meaning</w:t>
      </w:r>
      <w:r w:rsidRPr="0044370F">
        <w:rPr>
          <w:rFonts w:ascii="Times New Roman" w:eastAsia="Times New Roman" w:hAnsi="Times New Roman" w:cs="Times New Roman"/>
          <w:sz w:val="24"/>
          <w:szCs w:val="24"/>
          <w:lang w:eastAsia="en-IL"/>
        </w:rPr>
        <w:t>: The content is comprehensible and rich enough to support interpretive analysis. These criteria align with established guidelines for qualitative document analysis. By vetting documents for authenticity (verifying origin and reliability), credibility (honesty and accuracy of content), representativeness (typicality of the evidence), and meaning (clarity and contextual relevance), the research safeguarded the quality of data used.</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Using these criteria</w:t>
      </w:r>
      <w:r w:rsidRPr="0044370F">
        <w:rPr>
          <w:rFonts w:ascii="Times New Roman" w:hAnsi="Times New Roman"/>
          <w:sz w:val="24"/>
        </w:rPr>
        <w:t xml:space="preserve">, the study </w:t>
      </w:r>
      <w:r w:rsidRPr="0044370F">
        <w:rPr>
          <w:rFonts w:ascii="Times New Roman" w:eastAsia="Times New Roman" w:hAnsi="Times New Roman" w:cs="Times New Roman"/>
          <w:sz w:val="24"/>
          <w:szCs w:val="24"/>
          <w:lang w:eastAsia="en-IL"/>
        </w:rPr>
        <w:t xml:space="preserve">gathered a robust set of documents spanning approximately the last decade (circa 2015-2025) to capture both historical and recent developments.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search strategy was iterative: initial documents were identified via company websites and academic databases, and a snowball sampling technique followed, in which references within those documents led to additional sources. Triangulation was employed to cross-verify facts and interpretations; for instance, a claim made by a company source was checked against independent reporting or scholarly work.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eastAsia="Times New Roman" w:hAnsi="Times New Roman" w:cs="Times New Roman"/>
          <w:sz w:val="24"/>
          <w:szCs w:val="24"/>
          <w:lang w:eastAsia="en-IL"/>
        </w:rPr>
        <w:t>This approach of</w:t>
      </w:r>
      <w:r w:rsidRPr="0044370F">
        <w:rPr>
          <w:rFonts w:ascii="Times New Roman" w:hAnsi="Times New Roman"/>
          <w:sz w:val="24"/>
        </w:rPr>
        <w:t xml:space="preserve"> cross-referencing corporate narratives</w:t>
      </w:r>
      <w:r w:rsidRPr="0044370F">
        <w:rPr>
          <w:rFonts w:ascii="Times New Roman" w:eastAsia="Times New Roman" w:hAnsi="Times New Roman" w:cs="Times New Roman"/>
          <w:sz w:val="24"/>
          <w:szCs w:val="24"/>
          <w:lang w:eastAsia="en-IL"/>
        </w:rPr>
        <w:t xml:space="preserve"> with</w:t>
      </w:r>
      <w:r w:rsidRPr="0044370F">
        <w:rPr>
          <w:rFonts w:ascii="Times New Roman" w:hAnsi="Times New Roman"/>
          <w:sz w:val="24"/>
        </w:rPr>
        <w:t xml:space="preserve"> regulatory texts, media coverage, and academic critiques</w:t>
      </w:r>
      <w:r w:rsidRPr="0044370F">
        <w:rPr>
          <w:rFonts w:ascii="Times New Roman" w:eastAsia="Times New Roman" w:hAnsi="Times New Roman" w:cs="Times New Roman"/>
          <w:sz w:val="24"/>
          <w:szCs w:val="24"/>
          <w:lang w:eastAsia="en-IL"/>
        </w:rPr>
        <w:t xml:space="preserve"> </w:t>
      </w:r>
      <w:r w:rsidRPr="0044370F">
        <w:rPr>
          <w:rFonts w:ascii="Times New Roman" w:hAnsi="Times New Roman"/>
          <w:sz w:val="24"/>
        </w:rPr>
        <w:t xml:space="preserve">allows </w:t>
      </w:r>
      <w:r w:rsidRPr="0044370F">
        <w:rPr>
          <w:rFonts w:ascii="Times New Roman" w:eastAsia="Times New Roman" w:hAnsi="Times New Roman" w:cs="Times New Roman"/>
          <w:sz w:val="24"/>
          <w:szCs w:val="24"/>
          <w:lang w:eastAsia="en-IL"/>
        </w:rPr>
        <w:t>the identification of</w:t>
      </w:r>
      <w:r w:rsidRPr="0044370F">
        <w:rPr>
          <w:rFonts w:ascii="Times New Roman" w:hAnsi="Times New Roman"/>
          <w:sz w:val="24"/>
        </w:rPr>
        <w:t xml:space="preserve"> patterns and contradictions in corporate discourse and action</w:t>
      </w:r>
      <w:r w:rsidRPr="0044370F">
        <w:rPr>
          <w:rFonts w:ascii="Times New Roman" w:eastAsia="Times New Roman" w:hAnsi="Times New Roman" w:cs="Times New Roman"/>
          <w:sz w:val="24"/>
          <w:szCs w:val="24"/>
          <w:lang w:eastAsia="en-IL"/>
        </w:rPr>
        <w:t>, thereby strengthening the validity of findings</w:t>
      </w:r>
      <w:r w:rsidRPr="0044370F">
        <w:rPr>
          <w:rFonts w:ascii="Times New Roman" w:hAnsi="Times New Roman"/>
          <w:sz w:val="24"/>
        </w:rPr>
        <w:t>.</w:t>
      </w:r>
    </w:p>
    <w:p w:rsidR="0060194B" w:rsidRPr="0044370F" w:rsidRDefault="0060194B" w:rsidP="0060194B">
      <w:pPr>
        <w:spacing w:after="12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Document-based research facilitates systematic comparison across cases and contexts, but it is subject to inherent limitations. Corporate documents are curated to reflect strategic self-presentation, and regulatory or media sources often emphasize controversy or conflict. These constraints restrict direct access to internal decision-making processes and may privilege officially articulated narratives over informal practices. This study addresses these limitations by triangulating multiple document types and sources, while acknowledging that such strategies mitigate but do not fully eliminate interpretive bias.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Document analysis was conducted through qualitative thematic coding. Documents were coded manually using a structured codebook derived from the four analytical dimensions developed in Chapter 3. For each case, approximately 40-60 core documents were coded, including corporate reports, policy statements, regulatory filings, and independent assessments. Coding focused on identifying recurring patterns, contradictions, and framings related to strategic resources, embeddedness, legitimacy, and infrastructure. Analytical consistency was maintained through iterative comparison across cases and constant reference to the theoretical framework.</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A structured codebook was developed prior to full coding and refined iteratively during analysis. The codebook was organized around the four analytical dimensions and their core sub-mechanisms (for example, within infrastructural power: access control, standard-setting, lock-in effects). Documents were coded for both explicit claims (such as stated governance roles or ethical</w:t>
      </w:r>
      <w:r w:rsidRPr="0044370F">
        <w:rPr>
          <w:rStyle w:val="a5"/>
          <w:rFonts w:eastAsiaTheme="majorEastAsia"/>
        </w:rPr>
        <w:t xml:space="preserve"> </w:t>
      </w:r>
      <w:r w:rsidRPr="0044370F">
        <w:rPr>
          <w:rStyle w:val="a5"/>
          <w:rFonts w:eastAsiaTheme="majorEastAsia"/>
          <w:i w:val="0"/>
          <w:iCs w:val="0"/>
        </w:rPr>
        <w:lastRenderedPageBreak/>
        <w:t xml:space="preserve">commitments) and implicit signals (such as institutional positioning, dependency creation, or boundary-setting practices). </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This approach ensured internal analytical consistency while allowing inductive sensitivity to case-specific dynamics.</w:t>
      </w:r>
    </w:p>
    <w:p w:rsidR="0060194B" w:rsidRPr="0044370F" w:rsidRDefault="0060194B" w:rsidP="006460CE">
      <w:pPr>
        <w:pStyle w:val="3"/>
      </w:pPr>
      <w:bookmarkStart w:id="90" w:name="_Toc222652770"/>
      <w:r w:rsidRPr="0044370F">
        <w:t xml:space="preserve">Table </w:t>
      </w:r>
      <w:r w:rsidR="009E2790" w:rsidRPr="0044370F">
        <w:rPr>
          <w:rFonts w:hint="cs"/>
          <w:szCs w:val="28"/>
          <w:rtl/>
        </w:rPr>
        <w:t>5</w:t>
      </w:r>
      <w:r w:rsidRPr="0044370F">
        <w:t>: Illustrative Structure of the Analytical Codebook</w:t>
      </w:r>
      <w:bookmarkEnd w:id="90"/>
    </w:p>
    <w:tbl>
      <w:tblPr>
        <w:tblStyle w:val="5-5"/>
        <w:tblW w:w="0" w:type="auto"/>
        <w:tblLook w:val="04A0" w:firstRow="1" w:lastRow="0" w:firstColumn="1" w:lastColumn="0" w:noHBand="0" w:noVBand="1"/>
      </w:tblPr>
      <w:tblGrid>
        <w:gridCol w:w="2208"/>
        <w:gridCol w:w="3845"/>
        <w:gridCol w:w="3297"/>
      </w:tblGrid>
      <w:tr w:rsidR="0060194B" w:rsidRPr="0044370F" w:rsidTr="00051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9A7A3"/>
            <w:hideMark/>
          </w:tcPr>
          <w:p w:rsidR="0060194B" w:rsidRPr="0044370F" w:rsidRDefault="0060194B" w:rsidP="00051764">
            <w:pP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Analytical Dimension</w:t>
            </w:r>
          </w:p>
        </w:tc>
        <w:tc>
          <w:tcPr>
            <w:tcW w:w="0" w:type="auto"/>
            <w:shd w:val="clear" w:color="auto" w:fill="89A7A3"/>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Sub-Indicators</w:t>
            </w:r>
          </w:p>
        </w:tc>
        <w:tc>
          <w:tcPr>
            <w:tcW w:w="0" w:type="auto"/>
            <w:shd w:val="clear" w:color="auto" w:fill="89A7A3"/>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Typical Documentary Evidence</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7A992"/>
            <w:hideMark/>
          </w:tcPr>
          <w:p w:rsidR="0060194B" w:rsidRPr="0044370F" w:rsidRDefault="0060194B" w:rsidP="00051764">
            <w:pP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Strategic Resource Control</w:t>
            </w:r>
          </w:p>
        </w:tc>
        <w:tc>
          <w:tcPr>
            <w:tcW w:w="0" w:type="auto"/>
            <w:shd w:val="clear" w:color="auto" w:fill="C6E6CB"/>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Ownership of data, algorithms, infrastructure; M&amp;A activity; R&amp;D investment</w:t>
            </w:r>
          </w:p>
        </w:tc>
        <w:tc>
          <w:tcPr>
            <w:tcW w:w="0" w:type="auto"/>
            <w:shd w:val="clear" w:color="auto" w:fill="C6E6CB"/>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Annual reports, patent databases, technical white papers</w:t>
            </w:r>
          </w:p>
        </w:tc>
      </w:tr>
      <w:tr w:rsidR="0060194B" w:rsidRPr="0044370F" w:rsidTr="00051764">
        <w:tc>
          <w:tcPr>
            <w:cnfStyle w:val="001000000000" w:firstRow="0" w:lastRow="0" w:firstColumn="1" w:lastColumn="0" w:oddVBand="0" w:evenVBand="0" w:oddHBand="0" w:evenHBand="0" w:firstRowFirstColumn="0" w:firstRowLastColumn="0" w:lastRowFirstColumn="0" w:lastRowLastColumn="0"/>
            <w:tcW w:w="0" w:type="auto"/>
            <w:shd w:val="clear" w:color="auto" w:fill="87A992"/>
            <w:hideMark/>
          </w:tcPr>
          <w:p w:rsidR="0060194B" w:rsidRPr="0044370F" w:rsidRDefault="0060194B" w:rsidP="00051764">
            <w:pP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Structural Embeddedness</w:t>
            </w:r>
          </w:p>
        </w:tc>
        <w:tc>
          <w:tcPr>
            <w:tcW w:w="0" w:type="auto"/>
            <w:shd w:val="clear" w:color="auto" w:fill="D9D9D9" w:themeFill="background1" w:themeFillShade="D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Participation in standards bodies; supply-chain integration; regulatory access</w:t>
            </w:r>
          </w:p>
        </w:tc>
        <w:tc>
          <w:tcPr>
            <w:tcW w:w="0" w:type="auto"/>
            <w:shd w:val="clear" w:color="auto" w:fill="D9D9D9" w:themeFill="background1" w:themeFillShade="D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WTO/OECD reports, policy documents, partnership agreements</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7A992"/>
            <w:hideMark/>
          </w:tcPr>
          <w:p w:rsidR="0060194B" w:rsidRPr="0044370F" w:rsidRDefault="0060194B" w:rsidP="00051764">
            <w:pP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Normative Legitimacy</w:t>
            </w:r>
          </w:p>
        </w:tc>
        <w:tc>
          <w:tcPr>
            <w:tcW w:w="0" w:type="auto"/>
            <w:shd w:val="clear" w:color="auto" w:fill="C6E6CB"/>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Ethical pledges; oversight bodies; ESG reporting; crisis responses</w:t>
            </w:r>
          </w:p>
        </w:tc>
        <w:tc>
          <w:tcPr>
            <w:tcW w:w="0" w:type="auto"/>
            <w:shd w:val="clear" w:color="auto" w:fill="C6E6CB"/>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Transparency reports, CSR disclosures, media analysis</w:t>
            </w:r>
          </w:p>
        </w:tc>
      </w:tr>
      <w:tr w:rsidR="0060194B" w:rsidRPr="0044370F" w:rsidTr="00051764">
        <w:tc>
          <w:tcPr>
            <w:cnfStyle w:val="001000000000" w:firstRow="0" w:lastRow="0" w:firstColumn="1" w:lastColumn="0" w:oddVBand="0" w:evenVBand="0" w:oddHBand="0" w:evenHBand="0" w:firstRowFirstColumn="0" w:firstRowLastColumn="0" w:lastRowFirstColumn="0" w:lastRowLastColumn="0"/>
            <w:tcW w:w="0" w:type="auto"/>
            <w:shd w:val="clear" w:color="auto" w:fill="87A992"/>
            <w:hideMark/>
          </w:tcPr>
          <w:p w:rsidR="0060194B" w:rsidRPr="0044370F" w:rsidRDefault="0060194B" w:rsidP="00051764">
            <w:pP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Infrastructural Power</w:t>
            </w:r>
          </w:p>
        </w:tc>
        <w:tc>
          <w:tcPr>
            <w:tcW w:w="0" w:type="auto"/>
            <w:shd w:val="clear" w:color="auto" w:fill="D9D9D9" w:themeFill="background1" w:themeFillShade="D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Platform architectures; access control; interoperability constraints</w:t>
            </w:r>
          </w:p>
        </w:tc>
        <w:tc>
          <w:tcPr>
            <w:tcW w:w="0" w:type="auto"/>
            <w:shd w:val="clear" w:color="auto" w:fill="D9D9D9" w:themeFill="background1" w:themeFillShade="D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Terms of service, developer policies, technical audits</w:t>
            </w:r>
          </w:p>
        </w:tc>
      </w:tr>
    </w:tbl>
    <w:p w:rsidR="0060194B" w:rsidRPr="0044370F" w:rsidRDefault="0060194B" w:rsidP="006460CE">
      <w:pPr>
        <w:pStyle w:val="3"/>
      </w:pPr>
      <w:bookmarkStart w:id="91" w:name="_Toc222652771"/>
      <w:r w:rsidRPr="0044370F">
        <w:rPr>
          <w:rStyle w:val="a4"/>
          <w:rFonts w:eastAsiaTheme="majorEastAsia"/>
          <w:b/>
          <w:bCs/>
        </w:rPr>
        <w:t xml:space="preserve">Table </w:t>
      </w:r>
      <w:r w:rsidR="009E2790" w:rsidRPr="0044370F">
        <w:rPr>
          <w:rStyle w:val="a4"/>
          <w:rFonts w:eastAsiaTheme="majorEastAsia" w:hint="cs"/>
          <w:b/>
          <w:bCs/>
          <w:szCs w:val="28"/>
          <w:rtl/>
        </w:rPr>
        <w:t>6</w:t>
      </w:r>
      <w:r w:rsidRPr="0044370F">
        <w:rPr>
          <w:rStyle w:val="a4"/>
          <w:rFonts w:eastAsiaTheme="majorEastAsia"/>
          <w:b/>
          <w:bCs/>
        </w:rPr>
        <w:t>: Documentary Source Coverage Across Cases</w:t>
      </w:r>
      <w:bookmarkEnd w:id="91"/>
    </w:p>
    <w:tbl>
      <w:tblPr>
        <w:tblStyle w:val="5"/>
        <w:tblW w:w="0" w:type="auto"/>
        <w:tblLook w:val="04A0" w:firstRow="1" w:lastRow="0" w:firstColumn="1" w:lastColumn="0" w:noHBand="0" w:noVBand="1"/>
      </w:tblPr>
      <w:tblGrid>
        <w:gridCol w:w="872"/>
        <w:gridCol w:w="1759"/>
        <w:gridCol w:w="1688"/>
        <w:gridCol w:w="1987"/>
        <w:gridCol w:w="3044"/>
      </w:tblGrid>
      <w:tr w:rsidR="0060194B" w:rsidRPr="0044370F" w:rsidTr="00051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E74B5" w:themeFill="accent1" w:themeFillShade="BF"/>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Case</w:t>
            </w:r>
          </w:p>
        </w:tc>
        <w:tc>
          <w:tcPr>
            <w:tcW w:w="0" w:type="auto"/>
            <w:shd w:val="clear" w:color="auto" w:fill="2E74B5" w:themeFill="accent1" w:themeFillShade="BF"/>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Corporate-Authored Sources</w:t>
            </w:r>
          </w:p>
        </w:tc>
        <w:tc>
          <w:tcPr>
            <w:tcW w:w="0" w:type="auto"/>
            <w:shd w:val="clear" w:color="auto" w:fill="2E74B5" w:themeFill="accent1" w:themeFillShade="BF"/>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Regulatory / Legal Sources</w:t>
            </w:r>
          </w:p>
        </w:tc>
        <w:tc>
          <w:tcPr>
            <w:tcW w:w="0" w:type="auto"/>
            <w:shd w:val="clear" w:color="auto" w:fill="2E74B5" w:themeFill="accent1" w:themeFillShade="BF"/>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Independent Third-Party Sources</w:t>
            </w:r>
          </w:p>
        </w:tc>
        <w:tc>
          <w:tcPr>
            <w:tcW w:w="0" w:type="auto"/>
            <w:shd w:val="clear" w:color="auto" w:fill="2E74B5" w:themeFill="accent1" w:themeFillShade="BF"/>
            <w:hideMark/>
          </w:tcPr>
          <w:p w:rsidR="0060194B" w:rsidRPr="0044370F" w:rsidRDefault="0060194B" w:rsidP="00051764">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Notes on Data Context</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22A35" w:themeFill="text2" w:themeFillShade="80"/>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Meta</w:t>
            </w:r>
          </w:p>
        </w:tc>
        <w:tc>
          <w:tcPr>
            <w:tcW w:w="0" w:type="auto"/>
            <w:shd w:val="clear" w:color="auto" w:fill="ACB9CA" w:themeFill="text2" w:themeFillTint="66"/>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ACB9CA" w:themeFill="text2" w:themeFillTint="66"/>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ACB9CA" w:themeFill="text2" w:themeFillTint="66"/>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ACB9CA" w:themeFill="text2" w:themeFillTint="66"/>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High public visibility; extensive regulatory scrutiny</w:t>
            </w:r>
          </w:p>
        </w:tc>
      </w:tr>
      <w:tr w:rsidR="0060194B" w:rsidRPr="0044370F" w:rsidTr="00051764">
        <w:tc>
          <w:tcPr>
            <w:cnfStyle w:val="001000000000" w:firstRow="0" w:lastRow="0" w:firstColumn="1" w:lastColumn="0" w:oddVBand="0" w:evenVBand="0" w:oddHBand="0" w:evenHBand="0" w:firstRowFirstColumn="0" w:firstRowLastColumn="0" w:lastRowFirstColumn="0" w:lastRowLastColumn="0"/>
            <w:tcW w:w="0" w:type="auto"/>
            <w:shd w:val="clear" w:color="auto" w:fill="222A35" w:themeFill="text2" w:themeFillShade="80"/>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Huawei</w:t>
            </w:r>
          </w:p>
        </w:tc>
        <w:tc>
          <w:tcPr>
            <w:tcW w:w="0" w:type="auto"/>
            <w:shd w:val="clear" w:color="auto" w:fill="8496B0" w:themeFill="text2" w:themeFillTint="9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8496B0" w:themeFill="text2" w:themeFillTint="9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8496B0" w:themeFill="text2" w:themeFillTint="9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8496B0" w:themeFill="text2" w:themeFillTint="99"/>
            <w:hideMark/>
          </w:tcPr>
          <w:p w:rsidR="0060194B" w:rsidRPr="0044370F" w:rsidRDefault="0060194B" w:rsidP="0005176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Lower corporate transparency; higher reliance on external assessments</w:t>
            </w:r>
          </w:p>
        </w:tc>
      </w:tr>
      <w:tr w:rsidR="0060194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22A35" w:themeFill="text2" w:themeFillShade="80"/>
            <w:hideMark/>
          </w:tcPr>
          <w:p w:rsidR="0060194B" w:rsidRPr="0044370F" w:rsidRDefault="0060194B" w:rsidP="00051764">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SAP</w:t>
            </w:r>
          </w:p>
        </w:tc>
        <w:tc>
          <w:tcPr>
            <w:tcW w:w="0" w:type="auto"/>
            <w:shd w:val="clear" w:color="auto" w:fill="323E4F" w:themeFill="text2" w:themeFillShade="BF"/>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323E4F" w:themeFill="text2" w:themeFillShade="BF"/>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323E4F" w:themeFill="text2" w:themeFillShade="BF"/>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Segoe UI Symbol" w:eastAsia="Times New Roman" w:hAnsi="Segoe UI Symbol" w:cs="Segoe UI Symbol"/>
                <w:sz w:val="20"/>
                <w:szCs w:val="20"/>
                <w:lang w:val="en-US"/>
              </w:rPr>
              <w:t>✔</w:t>
            </w:r>
          </w:p>
        </w:tc>
        <w:tc>
          <w:tcPr>
            <w:tcW w:w="0" w:type="auto"/>
            <w:shd w:val="clear" w:color="auto" w:fill="323E4F" w:themeFill="text2" w:themeFillShade="BF"/>
            <w:hideMark/>
          </w:tcPr>
          <w:p w:rsidR="0060194B" w:rsidRPr="0044370F" w:rsidRDefault="0060194B" w:rsidP="0005176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High institutional transparency; low public controversy</w:t>
            </w:r>
          </w:p>
        </w:tc>
      </w:tr>
    </w:tbl>
    <w:p w:rsidR="0060194B" w:rsidRPr="0044370F" w:rsidRDefault="0060194B" w:rsidP="0060194B">
      <w:pPr>
        <w:rPr>
          <w:lang w:bidi="ar-SA"/>
        </w:rPr>
      </w:pPr>
    </w:p>
    <w:p w:rsidR="0060194B" w:rsidRPr="0044370F" w:rsidRDefault="0060194B" w:rsidP="00CB68A1">
      <w:pPr>
        <w:pStyle w:val="NormalWeb"/>
        <w:spacing w:line="360" w:lineRule="auto"/>
        <w:jc w:val="both"/>
        <w:rPr>
          <w:rStyle w:val="a5"/>
          <w:rFonts w:eastAsiaTheme="majorEastAsia"/>
          <w:i w:val="0"/>
          <w:iCs w:val="0"/>
        </w:rPr>
      </w:pPr>
      <w:r w:rsidRPr="0044370F">
        <w:rPr>
          <w:rStyle w:val="a5"/>
          <w:rFonts w:eastAsiaTheme="majorEastAsia"/>
          <w:i w:val="0"/>
          <w:iCs w:val="0"/>
        </w:rPr>
        <w:t xml:space="preserve">Table </w:t>
      </w:r>
      <w:r w:rsidR="00CB68A1" w:rsidRPr="0044370F">
        <w:rPr>
          <w:rStyle w:val="a5"/>
          <w:rFonts w:eastAsiaTheme="majorEastAsia"/>
          <w:i w:val="0"/>
          <w:iCs w:val="0"/>
        </w:rPr>
        <w:t>6</w:t>
      </w:r>
      <w:r w:rsidRPr="0044370F">
        <w:rPr>
          <w:rStyle w:val="a5"/>
          <w:rFonts w:eastAsiaTheme="majorEastAsia"/>
          <w:i w:val="0"/>
          <w:iCs w:val="0"/>
        </w:rPr>
        <w:t xml:space="preserve"> complements the analytical codebook (Table </w:t>
      </w:r>
      <w:r w:rsidR="00CB68A1" w:rsidRPr="0044370F">
        <w:rPr>
          <w:rStyle w:val="a5"/>
          <w:rFonts w:eastAsiaTheme="majorEastAsia"/>
          <w:i w:val="0"/>
          <w:iCs w:val="0"/>
        </w:rPr>
        <w:t>5</w:t>
      </w:r>
      <w:r w:rsidRPr="0044370F">
        <w:rPr>
          <w:rStyle w:val="a5"/>
          <w:rFonts w:eastAsiaTheme="majorEastAsia"/>
          <w:i w:val="0"/>
          <w:iCs w:val="0"/>
        </w:rPr>
        <w:t xml:space="preserve">) by demonstrating cross-case comparability at the level of source composition. While Table </w:t>
      </w:r>
      <w:r w:rsidR="00CB68A1" w:rsidRPr="0044370F">
        <w:rPr>
          <w:rStyle w:val="a5"/>
          <w:rFonts w:eastAsiaTheme="majorEastAsia"/>
          <w:i w:val="0"/>
          <w:iCs w:val="0"/>
        </w:rPr>
        <w:t>5</w:t>
      </w:r>
      <w:r w:rsidRPr="0044370F">
        <w:rPr>
          <w:rStyle w:val="a5"/>
          <w:rFonts w:eastAsiaTheme="majorEastAsia"/>
          <w:i w:val="0"/>
          <w:iCs w:val="0"/>
        </w:rPr>
        <w:t xml:space="preserve"> specifies how documents were coded and interpreted, Table 7 confirms that each case is supported by a balanced mix of corporate, regulatory, and independent sources. Differences in visibility and transparency across cases are acknowledged and analytically accounted for rather than treated as sources of bias.</w:t>
      </w:r>
    </w:p>
    <w:p w:rsidR="0060194B" w:rsidRPr="0044370F" w:rsidRDefault="0060194B" w:rsidP="0060194B">
      <w:pPr>
        <w:pStyle w:val="NormalWeb"/>
        <w:spacing w:line="360" w:lineRule="auto"/>
        <w:jc w:val="both"/>
        <w:rPr>
          <w:i/>
          <w:iCs/>
        </w:rPr>
      </w:pPr>
    </w:p>
    <w:p w:rsidR="0060194B" w:rsidRPr="0044370F" w:rsidRDefault="0060194B" w:rsidP="006460CE">
      <w:pPr>
        <w:pStyle w:val="3"/>
        <w:rPr>
          <w:lang w:eastAsia="en-IL"/>
        </w:rPr>
      </w:pPr>
      <w:bookmarkStart w:id="92" w:name="_Toc222652772"/>
      <w:r w:rsidRPr="0044370F">
        <w:rPr>
          <w:lang w:eastAsia="en-IL"/>
        </w:rPr>
        <w:lastRenderedPageBreak/>
        <w:t>4.2.1</w:t>
      </w:r>
      <w:r w:rsidRPr="0044370F">
        <w:rPr>
          <w:lang w:eastAsia="en-IL"/>
        </w:rPr>
        <w:tab/>
        <w:t>Addressing Access Limitations</w:t>
      </w:r>
      <w:bookmarkEnd w:id="92"/>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research design anticipated and mitigated limitations in data access. In some cases, especially with Huawei, certain internal or proprietary documents and data were not publicly available due to corporate secrecy, national security concerns, or language barriers. To address this, the study incorporated translated materials and independent analyses.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For example, key Huawei</w:t>
      </w:r>
      <w:r w:rsidRPr="0044370F">
        <w:rPr>
          <w:rStyle w:val="a8"/>
          <w:rFonts w:ascii="Times New Roman" w:eastAsia="Times New Roman" w:hAnsi="Times New Roman" w:cs="Times New Roman"/>
          <w:sz w:val="24"/>
          <w:szCs w:val="24"/>
          <w:lang w:eastAsia="en-IL"/>
        </w:rPr>
        <w:footnoteReference w:id="104"/>
      </w:r>
      <w:r w:rsidRPr="0044370F">
        <w:rPr>
          <w:rFonts w:ascii="Times New Roman" w:eastAsia="Times New Roman" w:hAnsi="Times New Roman" w:cs="Times New Roman"/>
          <w:sz w:val="24"/>
          <w:szCs w:val="24"/>
          <w:lang w:eastAsia="en-IL"/>
        </w:rPr>
        <w:t xml:space="preserve"> documents originally in Chinese (such as white policy papers</w:t>
      </w:r>
      <w:r w:rsidRPr="0044370F">
        <w:rPr>
          <w:rStyle w:val="a8"/>
          <w:rFonts w:ascii="Times New Roman" w:eastAsia="Times New Roman" w:hAnsi="Times New Roman" w:cs="Times New Roman"/>
          <w:sz w:val="24"/>
          <w:szCs w:val="24"/>
          <w:lang w:eastAsia="en-IL"/>
        </w:rPr>
        <w:footnoteReference w:id="105"/>
      </w:r>
      <w:r w:rsidRPr="0044370F">
        <w:rPr>
          <w:rFonts w:ascii="Times New Roman" w:eastAsia="Times New Roman" w:hAnsi="Times New Roman" w:cs="Times New Roman"/>
          <w:sz w:val="24"/>
          <w:szCs w:val="24"/>
          <w:lang w:eastAsia="en-IL"/>
        </w:rPr>
        <w:t xml:space="preserve"> or sustainability reports) were consulted in official English translation when available, ensuring that language did not impede analysis. In instances where primary data on Huawei’s operations were restricted, for instance, details on its government contracts or internal decision-making, the gap was bridged by drawing on reputable third-party sources.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These included reports by industry analysts, government assessments, and research by think tanks and academic institutions that have examined Huawei’s activities. By doing so, the study leverages external observations to infer Huawei’s behavior and strategies, reducing reliance on potentially inaccessible internal data.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lang w:eastAsia="en-IL"/>
        </w:rPr>
      </w:pPr>
      <w:r w:rsidRPr="0044370F">
        <w:rPr>
          <w:rFonts w:ascii="Times New Roman" w:eastAsia="Times New Roman" w:hAnsi="Times New Roman" w:cs="Times New Roman"/>
          <w:sz w:val="24"/>
          <w:szCs w:val="24"/>
          <w:lang w:eastAsia="en-IL"/>
        </w:rPr>
        <w:t>Additionally, independent cybersecurity audits and legal proceedings (e.g., U.S. or EU court cases involving Huawei) provided further insights into the company’s practices. Overall, limitations</w:t>
      </w:r>
      <w:r w:rsidRPr="0044370F">
        <w:rPr>
          <w:rStyle w:val="a8"/>
          <w:rFonts w:ascii="Times New Roman" w:eastAsia="Times New Roman" w:hAnsi="Times New Roman" w:cs="Times New Roman"/>
          <w:sz w:val="24"/>
          <w:szCs w:val="24"/>
          <w:lang w:eastAsia="en-IL"/>
        </w:rPr>
        <w:footnoteReference w:id="106"/>
      </w:r>
      <w:r w:rsidRPr="0044370F">
        <w:rPr>
          <w:rFonts w:ascii="Times New Roman" w:eastAsia="Times New Roman" w:hAnsi="Times New Roman" w:cs="Times New Roman"/>
          <w:sz w:val="24"/>
          <w:szCs w:val="24"/>
          <w:lang w:eastAsia="en-IL"/>
        </w:rPr>
        <w:t xml:space="preserve"> such as access constraints were mitigated through creative sourcing and triangulation. When one type of document was unavailable, others (like news investigations or partner organizations’ reports) served as proxies. </w:t>
      </w:r>
    </w:p>
    <w:p w:rsidR="0060194B" w:rsidRPr="0044370F" w:rsidRDefault="0060194B" w:rsidP="0060194B">
      <w:pPr>
        <w:spacing w:before="100"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adaptive approach was essential for Huawei’s case, ensuring that the analysis remains evidence-based despite the company’s opaque areas.</w:t>
      </w:r>
    </w:p>
    <w:p w:rsidR="0060194B" w:rsidRPr="0044370F" w:rsidRDefault="0060194B" w:rsidP="0060194B">
      <w:pPr>
        <w:spacing w:before="100" w:beforeAutospacing="1" w:after="100" w:afterAutospacing="1" w:line="360" w:lineRule="auto"/>
        <w:rPr>
          <w:rFonts w:ascii="Times New Roman" w:hAnsi="Times New Roman"/>
          <w:sz w:val="24"/>
        </w:rPr>
      </w:pPr>
      <w:r w:rsidRPr="0044370F">
        <w:rPr>
          <w:rFonts w:ascii="Times New Roman" w:eastAsia="Times New Roman" w:hAnsi="Times New Roman" w:cs="Times New Roman"/>
          <w:sz w:val="24"/>
          <w:szCs w:val="24"/>
        </w:rPr>
        <w:lastRenderedPageBreak/>
        <w:t>The interpretive stance of this research</w:t>
      </w:r>
      <w:r w:rsidRPr="0044370F">
        <w:rPr>
          <w:rFonts w:ascii="Times New Roman" w:hAnsi="Times New Roman"/>
          <w:sz w:val="24"/>
        </w:rPr>
        <w:t xml:space="preserve"> accepts the constructed nature of meaning and reconstructs how firms exercise authority through institutional and technical arrangements.</w:t>
      </w:r>
      <w:r w:rsidRPr="0044370F">
        <w:rPr>
          <w:rFonts w:ascii="Times New Roman" w:eastAsia="Times New Roman" w:hAnsi="Times New Roman" w:cs="Times New Roman"/>
          <w:sz w:val="24"/>
          <w:szCs w:val="24"/>
        </w:rPr>
        <w:t xml:space="preserve"> In practice, this meant analyzing documents not just for literal content but for underlying narratives, metaphors, and framings that signal how each company envisions its role in the world. Coding and thematic analysis were applied to the documents, guided by the theoretical framework. Each document was examined for evidence of the four analytical dimensions (defined in Chapter 3) and for language that connects corporate actions to sovereignty-like claims. The analytical process was iterative and reflexive, acknowledging that my perspective may influence how I interpret texts. However, by maintaining a chain of evidence (citing sources and providing context for interpretations) and by comparing findings across multiple documents and cases, the study enhances the trustworthiness of its conclusions.</w:t>
      </w:r>
    </w:p>
    <w:p w:rsidR="0060194B" w:rsidRPr="0044370F" w:rsidRDefault="0060194B" w:rsidP="006460CE">
      <w:pPr>
        <w:pStyle w:val="3"/>
      </w:pPr>
      <w:bookmarkStart w:id="93" w:name="_Toc222652773"/>
      <w:r w:rsidRPr="0044370F">
        <w:t>4.2.2</w:t>
      </w:r>
      <w:r w:rsidRPr="0044370F">
        <w:tab/>
        <w:t>Reflexivity and Positionality</w:t>
      </w:r>
      <w:bookmarkEnd w:id="93"/>
    </w:p>
    <w:p w:rsidR="0060194B" w:rsidRPr="0044370F" w:rsidRDefault="0060194B" w:rsidP="0060194B">
      <w:pPr>
        <w:pStyle w:val="NormalWeb"/>
        <w:spacing w:line="360" w:lineRule="auto"/>
        <w:jc w:val="both"/>
      </w:pPr>
      <w:r w:rsidRPr="0044370F">
        <w:t>This dissertation adopts a reflexive stance by acknowledging the analytical position from which corporate power is examined. The study is situated within business administration and treats multinational technology corporations as organizational and strategic actors. This positioning foregrounds questions of agency, resource mobilization, and institutional design, while drawing selectively on international relations, political economy, and science and technology studies to interpret broader structures of authority and governance.</w:t>
      </w:r>
    </w:p>
    <w:p w:rsidR="0060194B" w:rsidRPr="0044370F" w:rsidRDefault="0060194B" w:rsidP="0060194B">
      <w:pPr>
        <w:pStyle w:val="NormalWeb"/>
        <w:spacing w:line="360" w:lineRule="auto"/>
        <w:jc w:val="both"/>
        <w:rPr>
          <w:rtl/>
        </w:rPr>
      </w:pPr>
      <w:r w:rsidRPr="0044370F">
        <w:t xml:space="preserve">Reflexivity is particularly relevant given the asymmetry of power between the researcher and the research subjects. The corporations examined operate through opaque decision-making processes and proprietary systems that limit direct access. </w:t>
      </w:r>
    </w:p>
    <w:p w:rsidR="0060194B" w:rsidRPr="0044370F" w:rsidRDefault="0060194B" w:rsidP="0060194B">
      <w:pPr>
        <w:pStyle w:val="NormalWeb"/>
        <w:spacing w:line="360" w:lineRule="auto"/>
        <w:jc w:val="both"/>
        <w:rPr>
          <w:rtl/>
        </w:rPr>
      </w:pPr>
      <w:r w:rsidRPr="0044370F">
        <w:t xml:space="preserve">Accordingly, the analysis relies on publicly available materials and observable effects, such as infrastructural dependencies, regulatory interactions, and systemic outcomes. </w:t>
      </w:r>
    </w:p>
    <w:p w:rsidR="0060194B" w:rsidRPr="0044370F" w:rsidRDefault="0060194B" w:rsidP="0060194B">
      <w:pPr>
        <w:pStyle w:val="NormalWeb"/>
        <w:spacing w:line="360" w:lineRule="auto"/>
        <w:jc w:val="both"/>
      </w:pPr>
      <w:r w:rsidRPr="0044370F">
        <w:t>These access limitations are not treated as weaknesses but as characteristic features of contemporary corporate authority and are central to the phenomenon under investigation.</w:t>
      </w:r>
    </w:p>
    <w:p w:rsidR="0060194B" w:rsidRPr="0044370F" w:rsidRDefault="0060194B" w:rsidP="0060194B">
      <w:pPr>
        <w:pStyle w:val="NormalWeb"/>
        <w:spacing w:line="360" w:lineRule="auto"/>
        <w:jc w:val="both"/>
        <w:rPr>
          <w:rtl/>
        </w:rPr>
      </w:pPr>
      <w:r w:rsidRPr="0044370F">
        <w:lastRenderedPageBreak/>
        <w:t xml:space="preserve">Finally, the study maintains a clear distinction between analytical explanation and normative evaluation. While the concept of corporate quasi-sovereignty has political significance, the dissertation does not assess its desirability. </w:t>
      </w:r>
    </w:p>
    <w:p w:rsidR="0060194B" w:rsidRPr="0044370F" w:rsidRDefault="0060194B" w:rsidP="0060194B">
      <w:pPr>
        <w:pStyle w:val="NormalWeb"/>
        <w:spacing w:line="360" w:lineRule="auto"/>
        <w:jc w:val="both"/>
        <w:rPr>
          <w:rtl/>
        </w:rPr>
      </w:pPr>
      <w:r w:rsidRPr="0044370F">
        <w:t>Instead, it aims to clarify how authority is constructed and exercised in practice. This reflexive positioning supports analytical rigor and ensures that the claims advanced remain proportionate, transparent, and consistent with the study’s explanatory objectives.</w:t>
      </w:r>
    </w:p>
    <w:p w:rsidR="0060194B" w:rsidRPr="0044370F" w:rsidRDefault="0060194B" w:rsidP="0060194B">
      <w:pPr>
        <w:spacing w:after="12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analysis is informed by training in business administration and strategic analysis, both of which emphasize organizational agency and resource mobilization. Additionally, the researcher's position as a Western-based scholar and reliance on publicly accessible English-language sources may limit visibility of alternative perspectives, particularly in the Huawei case. </w:t>
      </w:r>
    </w:p>
    <w:p w:rsidR="0060194B" w:rsidRPr="0044370F" w:rsidRDefault="0060194B" w:rsidP="0060194B">
      <w:pPr>
        <w:pStyle w:val="NormalWeb"/>
        <w:spacing w:line="360" w:lineRule="auto"/>
        <w:jc w:val="both"/>
      </w:pPr>
      <w:r w:rsidRPr="0044370F">
        <w:rPr>
          <w:rStyle w:val="a5"/>
          <w:rFonts w:eastAsiaTheme="majorEastAsia"/>
          <w:i w:val="0"/>
          <w:iCs w:val="0"/>
        </w:rPr>
        <w:t xml:space="preserve">The analysis is informed by Western academic frameworks that may privilege liberal conceptions of transparency, accountability, and governance. This potential bias is most salient in the Huawei case, where alternative state-corporate relations and norms of legitimacy operate. To mitigate this, the study incorporates non-Western sources, regional policy documents, and comparative framing that avoids normative judgment, focusing instead on observable </w:t>
      </w:r>
      <w:r w:rsidRPr="0044370F">
        <w:t>institutional effects and patterns of authority</w:t>
      </w:r>
      <w:r w:rsidRPr="0044370F">
        <w:rPr>
          <w:rStyle w:val="a5"/>
          <w:rFonts w:eastAsiaTheme="majorEastAsia"/>
        </w:rPr>
        <w:t>.</w:t>
      </w:r>
    </w:p>
    <w:p w:rsidR="0060194B" w:rsidRPr="0044370F" w:rsidRDefault="0060194B" w:rsidP="006460CE">
      <w:pPr>
        <w:pStyle w:val="2"/>
      </w:pPr>
      <w:r w:rsidRPr="0044370F">
        <w:t xml:space="preserve"> </w:t>
      </w:r>
      <w:bookmarkStart w:id="94" w:name="_Toc222652774"/>
      <w:r w:rsidRPr="0044370F">
        <w:t>4.</w:t>
      </w:r>
      <w:r w:rsidRPr="0044370F">
        <w:rPr>
          <w:b w:val="0"/>
          <w:bCs/>
          <w:szCs w:val="36"/>
          <w:rtl/>
        </w:rPr>
        <w:t>3</w:t>
      </w:r>
      <w:r w:rsidRPr="0044370F">
        <w:tab/>
        <w:t xml:space="preserve"> Case Study 1: Meta Inc.</w:t>
      </w:r>
      <w:bookmarkEnd w:id="94"/>
    </w:p>
    <w:p w:rsidR="0060194B" w:rsidRPr="0044370F" w:rsidRDefault="0060194B" w:rsidP="006460CE">
      <w:pPr>
        <w:pStyle w:val="3"/>
      </w:pPr>
      <w:bookmarkStart w:id="95" w:name="_Toc222652775"/>
      <w:r w:rsidRPr="0044370F">
        <w:t>4.3.1</w:t>
      </w:r>
      <w:r w:rsidRPr="0044370F">
        <w:tab/>
        <w:t>Introduction</w:t>
      </w:r>
      <w:bookmarkEnd w:id="95"/>
      <w:r w:rsidRPr="0044370F">
        <w:t xml:space="preserve">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Meta Platforms, Inc. is examined as a paradigmatic case of platform-centric quasi-sovereignty. As a U.S.-based social media and digital infrastructure firm, Meta exerts transnational influence</w:t>
      </w:r>
      <w:r w:rsidRPr="0044370F">
        <w:rPr>
          <w:rStyle w:val="a8"/>
          <w:rFonts w:ascii="Times New Roman" w:hAnsi="Times New Roman"/>
          <w:sz w:val="24"/>
        </w:rPr>
        <w:footnoteReference w:id="107"/>
      </w:r>
      <w:r w:rsidRPr="0044370F">
        <w:rPr>
          <w:rFonts w:ascii="Times New Roman" w:hAnsi="Times New Roman"/>
          <w:sz w:val="24"/>
        </w:rPr>
        <w:t xml:space="preserve"> through the scale of its user base, </w:t>
      </w:r>
      <w:r w:rsidRPr="0044370F">
        <w:rPr>
          <w:rFonts w:ascii="Times New Roman" w:eastAsia="Times New Roman" w:hAnsi="Times New Roman" w:cs="Times New Roman"/>
          <w:sz w:val="24"/>
          <w:szCs w:val="24"/>
          <w:lang w:eastAsia="en-IL"/>
        </w:rPr>
        <w:t xml:space="preserve">its </w:t>
      </w:r>
      <w:r w:rsidRPr="0044370F">
        <w:rPr>
          <w:rFonts w:ascii="Times New Roman" w:hAnsi="Times New Roman"/>
          <w:sz w:val="24"/>
        </w:rPr>
        <w:t>governance mechanisms, and</w:t>
      </w:r>
      <w:r w:rsidRPr="0044370F">
        <w:rPr>
          <w:rFonts w:ascii="Times New Roman" w:eastAsia="Times New Roman" w:hAnsi="Times New Roman" w:cs="Times New Roman"/>
          <w:sz w:val="24"/>
          <w:szCs w:val="24"/>
          <w:lang w:eastAsia="en-IL"/>
        </w:rPr>
        <w:t xml:space="preserve"> its</w:t>
      </w:r>
      <w:r w:rsidRPr="0044370F">
        <w:rPr>
          <w:rFonts w:ascii="Times New Roman" w:hAnsi="Times New Roman"/>
          <w:sz w:val="24"/>
        </w:rPr>
        <w:t xml:space="preserve"> control over digital public spheres. This case analyzes Meta's behavior across the four analytical dimensions</w:t>
      </w:r>
      <w:r w:rsidRPr="0044370F">
        <w:rPr>
          <w:rFonts w:ascii="Times New Roman" w:eastAsia="Times New Roman" w:hAnsi="Times New Roman" w:cs="Times New Roman"/>
          <w:sz w:val="24"/>
          <w:szCs w:val="24"/>
          <w:lang w:eastAsia="en-IL"/>
        </w:rPr>
        <w:t>, providing illustrative examples and case-specific details for each</w:t>
      </w:r>
      <w:r w:rsidRPr="0044370F">
        <w:rPr>
          <w:rFonts w:ascii="Times New Roman" w:hAnsi="Times New Roman"/>
          <w:sz w:val="24"/>
        </w:rPr>
        <w:t>.</w:t>
      </w:r>
    </w:p>
    <w:p w:rsidR="006460CE" w:rsidRPr="0044370F" w:rsidRDefault="006460CE" w:rsidP="0060194B">
      <w:pPr>
        <w:spacing w:before="100" w:beforeAutospacing="1" w:after="100" w:afterAutospacing="1" w:line="360" w:lineRule="auto"/>
        <w:jc w:val="both"/>
        <w:rPr>
          <w:rFonts w:ascii="Times New Roman" w:hAnsi="Times New Roman"/>
          <w:sz w:val="24"/>
        </w:rPr>
      </w:pPr>
    </w:p>
    <w:p w:rsidR="0060194B" w:rsidRPr="0044370F" w:rsidRDefault="0060194B" w:rsidP="00023CA0">
      <w:pPr>
        <w:pStyle w:val="3"/>
      </w:pPr>
      <w:bookmarkStart w:id="96" w:name="_Toc222652776"/>
      <w:r w:rsidRPr="0044370F">
        <w:lastRenderedPageBreak/>
        <w:t>4.3.2</w:t>
      </w:r>
      <w:r w:rsidRPr="0044370F">
        <w:tab/>
        <w:t>Strategic Resource Control</w:t>
      </w:r>
      <w:bookmarkEnd w:id="96"/>
    </w:p>
    <w:p w:rsidR="0060194B" w:rsidRPr="0044370F" w:rsidRDefault="0060194B" w:rsidP="0060194B">
      <w:pPr>
        <w:spacing w:before="100"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Meta’s strategic control of resources is evident in its ownership of core digital infrastructure and assets that confer competitive advantage and geopolitical weight. The company controls vast physical and digital resources, including dozens of </w:t>
      </w:r>
      <w:proofErr w:type="spellStart"/>
      <w:r w:rsidRPr="0044370F">
        <w:rPr>
          <w:rFonts w:ascii="Times New Roman" w:eastAsia="Times New Roman" w:hAnsi="Times New Roman" w:cs="Times New Roman"/>
          <w:sz w:val="24"/>
          <w:szCs w:val="24"/>
        </w:rPr>
        <w:t>hyperscale</w:t>
      </w:r>
      <w:proofErr w:type="spellEnd"/>
      <w:r w:rsidRPr="0044370F">
        <w:rPr>
          <w:rFonts w:ascii="Times New Roman" w:eastAsia="Times New Roman" w:hAnsi="Times New Roman" w:cs="Times New Roman"/>
          <w:sz w:val="24"/>
          <w:szCs w:val="24"/>
        </w:rPr>
        <w:t xml:space="preserve"> data centers worldwide, an extensive content delivery network, and proprietary algorithms that power its platforms. Meta has also expanded its ecosystem through high-profile acquisitions (Instagram, WhatsApp, Oculus), which not only brought in large user communities but also key technologies and datasets. These assets form a self-reinforcing network effect. Dominance in digital advertising (Meta’s main revenue source) further solidifies its resource base, as advertising profits are reinvested in infrastructure and R&amp;D (e.g., artificial intelligence capabilities and global connectivity projects). An illustrative case of Meta’s resource control is its investment in internet backbone infrastructure. Meta has poured substantial capital into undersea fiber-optic cables</w:t>
      </w:r>
      <w:r w:rsidRPr="0044370F">
        <w:rPr>
          <w:rStyle w:val="a8"/>
          <w:rFonts w:ascii="Times New Roman" w:eastAsia="Times New Roman" w:hAnsi="Times New Roman" w:cs="Times New Roman"/>
          <w:sz w:val="24"/>
          <w:szCs w:val="24"/>
        </w:rPr>
        <w:footnoteReference w:id="108"/>
      </w:r>
      <w:r w:rsidRPr="0044370F">
        <w:rPr>
          <w:rFonts w:ascii="Times New Roman" w:eastAsia="Times New Roman" w:hAnsi="Times New Roman" w:cs="Times New Roman"/>
          <w:sz w:val="24"/>
          <w:szCs w:val="24"/>
        </w:rPr>
        <w:t xml:space="preserve"> and terrestrial network links. Notably, together with Google, </w:t>
      </w:r>
      <w:r w:rsidRPr="0044370F">
        <w:rPr>
          <w:rFonts w:ascii="Times New Roman" w:eastAsia="Times New Roman" w:hAnsi="Times New Roman" w:cs="Times New Roman"/>
          <w:b/>
          <w:bCs/>
          <w:sz w:val="24"/>
          <w:szCs w:val="24"/>
        </w:rPr>
        <w:t>Meta accounted for roughly 80% of recent investments in new transatlantic internet cables</w:t>
      </w:r>
      <w:r w:rsidRPr="0044370F">
        <w:rPr>
          <w:rFonts w:ascii="Times New Roman" w:eastAsia="Times New Roman" w:hAnsi="Times New Roman" w:cs="Times New Roman"/>
          <w:sz w:val="24"/>
          <w:szCs w:val="24"/>
        </w:rPr>
        <w:t>. By funding and building private submarine cable projects (such as the 2Africa cable</w:t>
      </w:r>
      <w:r w:rsidRPr="0044370F">
        <w:rPr>
          <w:rStyle w:val="a8"/>
          <w:rFonts w:ascii="Times New Roman" w:eastAsia="Times New Roman" w:hAnsi="Times New Roman" w:cs="Times New Roman"/>
          <w:sz w:val="24"/>
          <w:szCs w:val="24"/>
        </w:rPr>
        <w:footnoteReference w:id="109"/>
      </w:r>
      <w:r w:rsidRPr="0044370F">
        <w:rPr>
          <w:rFonts w:ascii="Times New Roman" w:eastAsia="Times New Roman" w:hAnsi="Times New Roman" w:cs="Times New Roman"/>
          <w:sz w:val="24"/>
          <w:szCs w:val="24"/>
        </w:rPr>
        <w:t xml:space="preserve"> encircling the African continent</w:t>
      </w:r>
      <w:r w:rsidRPr="0044370F">
        <w:rPr>
          <w:rStyle w:val="a8"/>
          <w:rFonts w:ascii="Times New Roman" w:eastAsia="Times New Roman" w:hAnsi="Times New Roman" w:cs="Times New Roman"/>
          <w:sz w:val="24"/>
          <w:szCs w:val="24"/>
        </w:rPr>
        <w:footnoteReference w:id="110"/>
      </w:r>
      <w:r w:rsidRPr="0044370F">
        <w:rPr>
          <w:rFonts w:ascii="Times New Roman" w:eastAsia="Times New Roman" w:hAnsi="Times New Roman" w:cs="Times New Roman"/>
          <w:sz w:val="24"/>
          <w:szCs w:val="24"/>
        </w:rPr>
        <w:t xml:space="preserve">), Meta is effectively taking ownership of critical communication pipelines. This direct control over data transmission routes enhances Meta’s capacity to move data across borders swiftly and cheaply, comparatively independent of traditional telecom providers. Such initiatives strengthen Meta’s bargaining power with governments and network operators, since Meta-owned infrastructure can route around bottlenecks or unfriendly jurisdictions. </w:t>
      </w:r>
    </w:p>
    <w:p w:rsidR="0060194B" w:rsidRPr="0044370F" w:rsidRDefault="0060194B" w:rsidP="0060194B">
      <w:pPr>
        <w:spacing w:before="100"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Meta’s control over strategic resources, user data, social networks, computational infrastructure, and connectivity endows it with a form of leverage previously reserved for sovereign entities</w:t>
      </w:r>
      <w:r w:rsidRPr="0044370F">
        <w:rPr>
          <w:rStyle w:val="a8"/>
          <w:rFonts w:ascii="Times New Roman" w:eastAsia="Times New Roman" w:hAnsi="Times New Roman" w:cs="Times New Roman"/>
          <w:sz w:val="24"/>
          <w:szCs w:val="24"/>
        </w:rPr>
        <w:footnoteReference w:id="111"/>
      </w:r>
      <w:r w:rsidRPr="0044370F">
        <w:rPr>
          <w:rFonts w:ascii="Times New Roman" w:eastAsia="Times New Roman" w:hAnsi="Times New Roman" w:cs="Times New Roman"/>
          <w:sz w:val="24"/>
          <w:szCs w:val="24"/>
        </w:rPr>
        <w:t>. The sheer scale is also noteworthy: as of 2023, Meta's family of apps serves nearly 3</w:t>
      </w:r>
      <w:r w:rsidRPr="0044370F">
        <w:rPr>
          <w:rFonts w:ascii="Times New Roman" w:eastAsia="Times New Roman" w:hAnsi="Times New Roman" w:cs="Times New Roman"/>
          <w:b/>
          <w:bCs/>
          <w:sz w:val="24"/>
          <w:szCs w:val="24"/>
        </w:rPr>
        <w:t xml:space="preserve"> billion</w:t>
      </w:r>
      <w:r w:rsidRPr="0044370F">
        <w:rPr>
          <w:rFonts w:ascii="Times New Roman" w:eastAsia="Times New Roman" w:hAnsi="Times New Roman" w:cs="Times New Roman"/>
          <w:sz w:val="24"/>
          <w:szCs w:val="24"/>
        </w:rPr>
        <w:t xml:space="preserve"> monthly active users globally, generating a volume of social and behavioral data that few nations can rival. This unprecedented aggregation of users and data is a strategic resource in its own right, allowing Meta to influence global communication patterns and amass economic power.</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assets do not merely confer competitive advantage but function as strategic resources that enable Meta to shape informational environments at a population scale, reinforcing its quasi-sovereign authority.</w:t>
      </w:r>
    </w:p>
    <w:p w:rsidR="0060194B" w:rsidRPr="0044370F" w:rsidRDefault="0060194B" w:rsidP="00023CA0">
      <w:pPr>
        <w:pStyle w:val="3"/>
        <w:rPr>
          <w:lang w:eastAsia="en-IL"/>
        </w:rPr>
      </w:pPr>
      <w:bookmarkStart w:id="97" w:name="_Toc222652777"/>
      <w:r w:rsidRPr="0044370F">
        <w:rPr>
          <w:lang w:eastAsia="en-IL"/>
        </w:rPr>
        <w:t>4.3.3</w:t>
      </w:r>
      <w:r w:rsidRPr="0044370F">
        <w:rPr>
          <w:lang w:eastAsia="en-IL"/>
        </w:rPr>
        <w:tab/>
        <w:t>Structural Embeddedness</w:t>
      </w:r>
      <w:bookmarkEnd w:id="97"/>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Meta’s structural embeddedness is evident in its deep integration into global internet governance structures and legal and regulatory regimes, though it is coupled with an opportunistic use of jurisdictional differences</w:t>
      </w:r>
      <w:r w:rsidRPr="0044370F">
        <w:rPr>
          <w:rStyle w:val="a8"/>
          <w:rFonts w:ascii="Times New Roman" w:eastAsia="Times New Roman" w:hAnsi="Times New Roman" w:cs="Times New Roman"/>
          <w:sz w:val="24"/>
          <w:szCs w:val="24"/>
          <w:lang w:eastAsia="en-IL"/>
        </w:rPr>
        <w:footnoteReference w:id="112"/>
      </w:r>
      <w:r w:rsidRPr="0044370F">
        <w:rPr>
          <w:rFonts w:ascii="Times New Roman" w:eastAsia="Times New Roman" w:hAnsi="Times New Roman" w:cs="Times New Roman"/>
          <w:sz w:val="24"/>
          <w:szCs w:val="24"/>
          <w:lang w:eastAsia="en-IL"/>
        </w:rPr>
        <w:t>. On one hand, Meta is enmeshed in the fabric of international data flows and policy dialogues</w:t>
      </w:r>
      <w:r w:rsidRPr="0044370F">
        <w:rPr>
          <w:rStyle w:val="a8"/>
          <w:rFonts w:ascii="Times New Roman" w:eastAsia="Times New Roman" w:hAnsi="Times New Roman" w:cs="Times New Roman"/>
          <w:sz w:val="24"/>
          <w:szCs w:val="24"/>
          <w:lang w:eastAsia="en-IL"/>
        </w:rPr>
        <w:footnoteReference w:id="113"/>
      </w:r>
      <w:r w:rsidRPr="0044370F">
        <w:rPr>
          <w:rFonts w:ascii="Times New Roman" w:eastAsia="Times New Roman" w:hAnsi="Times New Roman" w:cs="Times New Roman"/>
          <w:sz w:val="24"/>
          <w:szCs w:val="24"/>
          <w:lang w:eastAsia="en-IL"/>
        </w:rPr>
        <w:t>. Its services operate in practically every country</w:t>
      </w:r>
      <w:r w:rsidRPr="0044370F">
        <w:rPr>
          <w:rStyle w:val="a8"/>
          <w:rFonts w:ascii="Times New Roman" w:eastAsia="Times New Roman" w:hAnsi="Times New Roman" w:cs="Times New Roman"/>
          <w:sz w:val="24"/>
          <w:szCs w:val="24"/>
          <w:lang w:eastAsia="en-IL"/>
        </w:rPr>
        <w:footnoteReference w:id="114"/>
      </w:r>
      <w:r w:rsidRPr="0044370F">
        <w:rPr>
          <w:rFonts w:ascii="Times New Roman" w:eastAsia="Times New Roman" w:hAnsi="Times New Roman" w:cs="Times New Roman"/>
          <w:sz w:val="24"/>
          <w:szCs w:val="24"/>
          <w:lang w:eastAsia="en-IL"/>
        </w:rPr>
        <w:t xml:space="preserve"> (except where blocked, as in China), which means Meta must interface</w:t>
      </w:r>
      <w:r w:rsidRPr="0044370F">
        <w:rPr>
          <w:rStyle w:val="a8"/>
          <w:rFonts w:ascii="Times New Roman" w:eastAsia="Times New Roman" w:hAnsi="Times New Roman" w:cs="Times New Roman"/>
          <w:sz w:val="24"/>
          <w:szCs w:val="24"/>
          <w:lang w:eastAsia="en-IL"/>
        </w:rPr>
        <w:footnoteReference w:id="115"/>
      </w:r>
      <w:r w:rsidRPr="0044370F">
        <w:rPr>
          <w:rFonts w:ascii="Times New Roman" w:eastAsia="Times New Roman" w:hAnsi="Times New Roman" w:cs="Times New Roman"/>
          <w:sz w:val="24"/>
          <w:szCs w:val="24"/>
          <w:lang w:eastAsia="en-IL"/>
        </w:rPr>
        <w:t xml:space="preserve"> with a variety of national regulations (data protection laws like the EU’s GDPR</w:t>
      </w:r>
      <w:r w:rsidRPr="0044370F">
        <w:rPr>
          <w:rStyle w:val="a8"/>
          <w:rFonts w:ascii="Times New Roman" w:eastAsia="Times New Roman" w:hAnsi="Times New Roman" w:cs="Times New Roman"/>
          <w:sz w:val="24"/>
          <w:szCs w:val="24"/>
          <w:lang w:eastAsia="en-IL"/>
        </w:rPr>
        <w:footnoteReference w:id="116"/>
      </w:r>
      <w:r w:rsidRPr="0044370F">
        <w:rPr>
          <w:rFonts w:ascii="Times New Roman" w:eastAsia="Times New Roman" w:hAnsi="Times New Roman" w:cs="Times New Roman"/>
          <w:sz w:val="24"/>
          <w:szCs w:val="24"/>
          <w:lang w:eastAsia="en-IL"/>
        </w:rPr>
        <w:t xml:space="preserve">, content regulations in Germany’s </w:t>
      </w:r>
      <w:proofErr w:type="spellStart"/>
      <w:r w:rsidRPr="0044370F">
        <w:rPr>
          <w:rFonts w:ascii="Times New Roman" w:eastAsia="Times New Roman" w:hAnsi="Times New Roman" w:cs="Times New Roman"/>
          <w:sz w:val="24"/>
          <w:szCs w:val="24"/>
          <w:lang w:eastAsia="en-IL"/>
        </w:rPr>
        <w:t>NetzDG</w:t>
      </w:r>
      <w:proofErr w:type="spellEnd"/>
      <w:r w:rsidRPr="0044370F">
        <w:rPr>
          <w:rStyle w:val="a8"/>
          <w:rFonts w:ascii="Times New Roman" w:eastAsia="Times New Roman" w:hAnsi="Times New Roman" w:cs="Times New Roman"/>
          <w:sz w:val="24"/>
          <w:szCs w:val="24"/>
          <w:lang w:eastAsia="en-IL"/>
        </w:rPr>
        <w:footnoteReference w:id="117"/>
      </w:r>
      <w:r w:rsidRPr="0044370F">
        <w:rPr>
          <w:rFonts w:ascii="Times New Roman" w:eastAsia="Times New Roman" w:hAnsi="Times New Roman" w:cs="Times New Roman"/>
          <w:sz w:val="24"/>
          <w:szCs w:val="24"/>
          <w:lang w:eastAsia="en-IL"/>
        </w:rPr>
        <w:t xml:space="preserve">, etc.). The company is a consistent actor in multilateral discussions on internet policy and standards, for instance, participating in forums on privacy, cybersecurity, and platform governance. Meta’s </w:t>
      </w:r>
      <w:r w:rsidRPr="0044370F">
        <w:rPr>
          <w:rFonts w:ascii="Times New Roman" w:eastAsia="Times New Roman" w:hAnsi="Times New Roman" w:cs="Times New Roman"/>
          <w:sz w:val="24"/>
          <w:szCs w:val="24"/>
          <w:lang w:eastAsia="en-IL"/>
        </w:rPr>
        <w:lastRenderedPageBreak/>
        <w:t>partnerships with governments</w:t>
      </w:r>
      <w:r w:rsidRPr="0044370F">
        <w:rPr>
          <w:rStyle w:val="a8"/>
          <w:rFonts w:ascii="Times New Roman" w:eastAsia="Times New Roman" w:hAnsi="Times New Roman" w:cs="Times New Roman"/>
          <w:sz w:val="24"/>
          <w:szCs w:val="24"/>
          <w:lang w:eastAsia="en-IL"/>
        </w:rPr>
        <w:footnoteReference w:id="118"/>
      </w:r>
      <w:r w:rsidRPr="0044370F">
        <w:rPr>
          <w:rFonts w:ascii="Times New Roman" w:eastAsia="Times New Roman" w:hAnsi="Times New Roman" w:cs="Times New Roman"/>
          <w:sz w:val="24"/>
          <w:szCs w:val="24"/>
          <w:lang w:eastAsia="en-IL"/>
        </w:rPr>
        <w:t xml:space="preserve"> and NGOs (such as initiatives to increase internet access or digital literacy) further tie it into development and governance networks. On the other hand, Meta also leverages structural gaps and arbitrage opportunities in the international system. A prime example is the company’s tax and corporate structure. Meta famously established its European headquarters in Dublin</w:t>
      </w:r>
      <w:r w:rsidRPr="0044370F">
        <w:rPr>
          <w:rStyle w:val="a8"/>
          <w:rFonts w:ascii="Times New Roman" w:eastAsia="Times New Roman" w:hAnsi="Times New Roman" w:cs="Times New Roman"/>
          <w:sz w:val="24"/>
          <w:szCs w:val="24"/>
          <w:lang w:eastAsia="en-IL"/>
        </w:rPr>
        <w:footnoteReference w:id="119"/>
      </w:r>
      <w:r w:rsidRPr="0044370F">
        <w:rPr>
          <w:rFonts w:ascii="Times New Roman" w:eastAsia="Times New Roman" w:hAnsi="Times New Roman" w:cs="Times New Roman"/>
          <w:sz w:val="24"/>
          <w:szCs w:val="24"/>
          <w:lang w:eastAsia="en-IL"/>
        </w:rPr>
        <w:t xml:space="preserve">, Ireland, benefiting from Ireland’s low corporate tax rates and business-friendly regulations. Through intra-company arrangements, Meta routed profits from higher-tax jurisdictions to Ireland for many years, essentially </w:t>
      </w:r>
      <w:r w:rsidRPr="0044370F">
        <w:rPr>
          <w:rFonts w:ascii="Times New Roman" w:eastAsia="Times New Roman" w:hAnsi="Times New Roman" w:cs="Times New Roman"/>
          <w:b/>
          <w:bCs/>
          <w:sz w:val="24"/>
          <w:szCs w:val="24"/>
          <w:lang w:eastAsia="en-IL"/>
        </w:rPr>
        <w:t>“parking profits”</w:t>
      </w:r>
      <w:r w:rsidRPr="0044370F">
        <w:rPr>
          <w:rFonts w:ascii="Times New Roman" w:eastAsia="Times New Roman" w:hAnsi="Times New Roman" w:cs="Times New Roman"/>
          <w:sz w:val="24"/>
          <w:szCs w:val="24"/>
          <w:lang w:eastAsia="en-IL"/>
        </w:rPr>
        <w:t xml:space="preserve"> in a low-tax jurisdiction</w:t>
      </w:r>
      <w:r w:rsidRPr="0044370F">
        <w:rPr>
          <w:rStyle w:val="a8"/>
          <w:rFonts w:ascii="Times New Roman" w:eastAsia="Times New Roman" w:hAnsi="Times New Roman" w:cs="Times New Roman"/>
          <w:sz w:val="24"/>
          <w:szCs w:val="24"/>
          <w:lang w:eastAsia="en-IL"/>
        </w:rPr>
        <w:footnoteReference w:id="120"/>
      </w:r>
      <w:r w:rsidRPr="0044370F">
        <w:rPr>
          <w:rFonts w:ascii="Times New Roman" w:eastAsia="Times New Roman" w:hAnsi="Times New Roman" w:cs="Times New Roman"/>
          <w:sz w:val="24"/>
          <w:szCs w:val="24"/>
          <w:lang w:eastAsia="en-IL"/>
        </w:rPr>
        <w:t xml:space="preserve">. In 2016 alone, Meta generated over €12.6 billion in revenue through its Irish subsidiary while paying only about €30 million in Irish taxes, a strategy similar to that of other tech firms exploiting loopholes before global tax reforms. This ability to choose favorable legal environments for different facets of its operations (tax domicile in Ireland, content policy team in the US under Section 230, data storage in jurisdictions with weaker surveillance laws, etc.) demonstrates Meta’s </w:t>
      </w:r>
      <w:r w:rsidRPr="0044370F">
        <w:rPr>
          <w:rFonts w:ascii="Times New Roman" w:eastAsia="Times New Roman" w:hAnsi="Times New Roman" w:cs="Times New Roman"/>
          <w:b/>
          <w:bCs/>
          <w:sz w:val="24"/>
          <w:szCs w:val="24"/>
          <w:lang w:eastAsia="en-IL"/>
        </w:rPr>
        <w:t>structural agility</w:t>
      </w:r>
      <w:r w:rsidRPr="0044370F">
        <w:rPr>
          <w:rFonts w:ascii="Times New Roman" w:eastAsia="Times New Roman" w:hAnsi="Times New Roman" w:cs="Times New Roman"/>
          <w:sz w:val="24"/>
          <w:szCs w:val="24"/>
          <w:lang w:eastAsia="en-IL"/>
        </w:rPr>
        <w:t>. Additionally, Meta’s platforms have become embedded in civic and economic structures worldwide: businesses depend on Facebook and Instagram for marketing, politicians use them for communication, and communities rely on WhatsApp for essential services. This entrenchment means that many governments find Meta’s presence indispensable (for economic activity and citizen engagement) even as they grapple with regulating it. As a result, Meta often negotiates with states as a quasi-sovereign peer, leveraging its structural position to push back against regulations it deems too onerous or to shape new regulatory frameworks in its favor. The structural embeddedness is thus two-fold: integration into existing structures (legal, economic, social) and exploitation of the transnational character of cyberspace to transcend any single country’s control.</w:t>
      </w:r>
    </w:p>
    <w:p w:rsidR="003119A6" w:rsidRPr="0044370F" w:rsidRDefault="003119A6"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p>
    <w:p w:rsidR="0060194B" w:rsidRPr="0044370F" w:rsidRDefault="0060194B" w:rsidP="00023CA0">
      <w:pPr>
        <w:pStyle w:val="3"/>
      </w:pPr>
      <w:bookmarkStart w:id="98" w:name="_Toc222652778"/>
      <w:r w:rsidRPr="0044370F">
        <w:lastRenderedPageBreak/>
        <w:t>4.3.4</w:t>
      </w:r>
      <w:r w:rsidRPr="0044370F">
        <w:tab/>
        <w:t>Normative Legitimacy</w:t>
      </w:r>
      <w:bookmarkEnd w:id="98"/>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Normative legitimacy, the acceptance of Meta’s authority as appropriate or rightful, is a central yet contentious aspect of Meta’s strategy, especially after repeated public crises that have eroded trust. Meta has made high-profile efforts to bolster its legitimacy in the eyes of users, regulators, and civil society. For instance, after the Cambridge </w:t>
      </w:r>
      <w:proofErr w:type="spellStart"/>
      <w:r w:rsidRPr="0044370F">
        <w:rPr>
          <w:rFonts w:ascii="Times New Roman" w:eastAsia="Times New Roman" w:hAnsi="Times New Roman" w:cs="Times New Roman"/>
          <w:sz w:val="24"/>
          <w:szCs w:val="24"/>
          <w:lang w:eastAsia="en-IL"/>
        </w:rPr>
        <w:t>Analytica</w:t>
      </w:r>
      <w:proofErr w:type="spellEnd"/>
      <w:r w:rsidRPr="0044370F">
        <w:rPr>
          <w:rStyle w:val="a8"/>
          <w:rFonts w:ascii="Times New Roman" w:eastAsia="Times New Roman" w:hAnsi="Times New Roman" w:cs="Times New Roman"/>
          <w:sz w:val="24"/>
          <w:szCs w:val="24"/>
          <w:lang w:eastAsia="en-IL"/>
        </w:rPr>
        <w:footnoteReference w:id="121"/>
      </w:r>
      <w:r w:rsidRPr="0044370F">
        <w:rPr>
          <w:rFonts w:ascii="Times New Roman" w:eastAsia="Times New Roman" w:hAnsi="Times New Roman" w:cs="Times New Roman"/>
          <w:sz w:val="24"/>
          <w:szCs w:val="24"/>
          <w:lang w:eastAsia="en-IL"/>
        </w:rPr>
        <w:t xml:space="preserve"> scandal in 2018 (in which up to 87 million users’ data were misappropriated for political profiling), Meta undertook an extensive public relations and policy response. The company’s leaders issued formal apologies, tightened data-sharing policies, and implemented new privacy controls to prevent similar breaches. Meta began publishing regular </w:t>
      </w:r>
      <w:r w:rsidRPr="0044370F">
        <w:rPr>
          <w:rFonts w:ascii="Times New Roman" w:eastAsia="Times New Roman" w:hAnsi="Times New Roman" w:cs="Times New Roman"/>
          <w:b/>
          <w:bCs/>
          <w:sz w:val="24"/>
          <w:szCs w:val="24"/>
          <w:lang w:eastAsia="en-IL"/>
        </w:rPr>
        <w:t>“Community Standards Enforcement Reports”</w:t>
      </w:r>
      <w:r w:rsidRPr="0044370F">
        <w:rPr>
          <w:rFonts w:ascii="Times New Roman" w:eastAsia="Times New Roman" w:hAnsi="Times New Roman" w:cs="Times New Roman"/>
          <w:sz w:val="24"/>
          <w:szCs w:val="24"/>
          <w:lang w:eastAsia="en-IL"/>
        </w:rPr>
        <w:t xml:space="preserve">, detailing how many fake accounts, hate speech posts, or terrorist propaganda pieces it removes, an attempt to be transparent about its content moderation performance. It also released ethical AI guidelines and conducted external audits on issues like privacy and civil rights. One of Meta’s most innovative efforts to enhance legitimacy was the creation of the </w:t>
      </w:r>
      <w:r w:rsidRPr="0044370F">
        <w:rPr>
          <w:rFonts w:ascii="Times New Roman" w:eastAsia="Times New Roman" w:hAnsi="Times New Roman" w:cs="Times New Roman"/>
          <w:b/>
          <w:bCs/>
          <w:sz w:val="24"/>
          <w:szCs w:val="24"/>
          <w:lang w:eastAsia="en-IL"/>
        </w:rPr>
        <w:t>Oversight Board</w:t>
      </w:r>
      <w:r w:rsidRPr="0044370F">
        <w:rPr>
          <w:rFonts w:ascii="Times New Roman" w:eastAsia="Times New Roman" w:hAnsi="Times New Roman" w:cs="Times New Roman"/>
          <w:sz w:val="24"/>
          <w:szCs w:val="24"/>
          <w:lang w:eastAsia="en-IL"/>
        </w:rPr>
        <w:t xml:space="preserve"> in 2020</w:t>
      </w:r>
      <w:r w:rsidRPr="0044370F">
        <w:rPr>
          <w:rStyle w:val="a8"/>
          <w:rFonts w:ascii="Times New Roman" w:eastAsia="Times New Roman" w:hAnsi="Times New Roman" w:cs="Times New Roman"/>
          <w:sz w:val="24"/>
          <w:szCs w:val="24"/>
          <w:lang w:eastAsia="en-IL"/>
        </w:rPr>
        <w:footnoteReference w:id="122"/>
      </w:r>
      <w:r w:rsidRPr="0044370F">
        <w:rPr>
          <w:rFonts w:ascii="Times New Roman" w:eastAsia="Times New Roman" w:hAnsi="Times New Roman" w:cs="Times New Roman"/>
          <w:sz w:val="24"/>
          <w:szCs w:val="24"/>
          <w:lang w:eastAsia="en-IL"/>
        </w:rPr>
        <w:t xml:space="preserve">, an independent body of experts tasked with reviewing and overturning the company’s content moderation decisions. The Oversight Board is often described as a “Supreme Court” for Facebook content, intended to demonstrate Meta’s commitment to accountability and free expression principles by subjecting itself to an external check. For example, the Board was called to rule on the suspension of former U.S. President Donald Trump’s Meta account in 2021, a decision with far-reaching political implications. By outsourcing such contentious decisions, Meta aims to demonstrate adherence to rule-of-law-like processes rather than arbitrary power. Despite these efforts, Meta’s legitimacy remains hotly contested across stakeholder groups. Users and advocacy groups often question whether transparency reports and advisory boards meaningfully constrain Meta’s power </w:t>
      </w:r>
      <w:r w:rsidRPr="0044370F">
        <w:rPr>
          <w:rFonts w:ascii="Times New Roman" w:eastAsia="Times New Roman" w:hAnsi="Times New Roman" w:cs="Times New Roman"/>
          <w:sz w:val="24"/>
          <w:szCs w:val="24"/>
          <w:lang w:eastAsia="en-IL"/>
        </w:rPr>
        <w:lastRenderedPageBreak/>
        <w:t xml:space="preserve">or are merely window dressing. The Cambridge </w:t>
      </w:r>
      <w:proofErr w:type="spellStart"/>
      <w:r w:rsidRPr="0044370F">
        <w:rPr>
          <w:rFonts w:ascii="Times New Roman" w:eastAsia="Times New Roman" w:hAnsi="Times New Roman" w:cs="Times New Roman"/>
          <w:sz w:val="24"/>
          <w:szCs w:val="24"/>
          <w:lang w:eastAsia="en-IL"/>
        </w:rPr>
        <w:t>Analytica</w:t>
      </w:r>
      <w:proofErr w:type="spellEnd"/>
      <w:r w:rsidRPr="0044370F">
        <w:rPr>
          <w:rFonts w:ascii="Times New Roman" w:eastAsia="Times New Roman" w:hAnsi="Times New Roman" w:cs="Times New Roman"/>
          <w:sz w:val="24"/>
          <w:szCs w:val="24"/>
          <w:lang w:eastAsia="en-IL"/>
        </w:rPr>
        <w:t xml:space="preserve"> episode, in particular, had a lasting impact on public opinion, highlighting that Meta’s business model (targeted advertising based on personal data) can conflict with societal norms around privacy and informed consent. Misinformation and harmful content on Meta’s platforms have also led to normative critiques: for instance, Facebook was widely criticized for its role in spreading misinformation during elections and crises. Although Meta responded by investing in fact-checking partnerships and AI moderation tools, critics argue that the company still struggles to consistently enforce its own standards.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Meta actively seeks normative legitimacy through initiatives espousing transparency, oversight, and ethical principles. It engages with normative frameworks by aligning itself with free speech values, digital rights discourse, and corporate social responsibility programs. However, given the magnitude of its influence, Meta’s every misstep, from data leaks to algorithmic biases, is scrutinized, and its legitimacy is fragile. The push-and-pull between Meta and global society over what constitutes responsible conduct underscores that Meta’s sovereignty-like position lacks the uncontested legitimacy that nation-states might enjoy; Meta must continuously earn (or repair) its normative standing.</w:t>
      </w:r>
    </w:p>
    <w:p w:rsidR="0060194B" w:rsidRPr="0044370F" w:rsidRDefault="0060194B" w:rsidP="00023CA0">
      <w:pPr>
        <w:pStyle w:val="3"/>
        <w:rPr>
          <w:lang w:eastAsia="en-IL"/>
        </w:rPr>
      </w:pPr>
      <w:bookmarkStart w:id="99" w:name="_Toc222652779"/>
      <w:r w:rsidRPr="0044370F">
        <w:rPr>
          <w:lang w:eastAsia="en-IL"/>
        </w:rPr>
        <w:t>4.3.5</w:t>
      </w:r>
      <w:r w:rsidRPr="0044370F">
        <w:rPr>
          <w:lang w:eastAsia="en-IL"/>
        </w:rPr>
        <w:tab/>
        <w:t>Infrastructural Power</w:t>
      </w:r>
      <w:bookmarkEnd w:id="99"/>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Meta’s infrastructural power lies in its ability to structure information environments for </w:t>
      </w:r>
      <w:r w:rsidRPr="0044370F">
        <w:rPr>
          <w:rFonts w:ascii="Times New Roman" w:eastAsia="Times New Roman" w:hAnsi="Times New Roman" w:cs="Times New Roman"/>
          <w:b/>
          <w:bCs/>
          <w:sz w:val="24"/>
          <w:szCs w:val="24"/>
          <w:lang w:eastAsia="en-IL"/>
        </w:rPr>
        <w:t>billions</w:t>
      </w:r>
      <w:r w:rsidRPr="0044370F">
        <w:rPr>
          <w:rFonts w:ascii="Times New Roman" w:eastAsia="Times New Roman" w:hAnsi="Times New Roman" w:cs="Times New Roman"/>
          <w:sz w:val="24"/>
          <w:szCs w:val="24"/>
          <w:lang w:eastAsia="en-IL"/>
        </w:rPr>
        <w:t xml:space="preserve"> of users, effectively operating as a privatized infrastructure of communication and social interaction</w:t>
      </w:r>
      <w:r w:rsidRPr="0044370F">
        <w:rPr>
          <w:rStyle w:val="a8"/>
          <w:rFonts w:ascii="Times New Roman" w:eastAsia="Times New Roman" w:hAnsi="Times New Roman" w:cs="Times New Roman"/>
          <w:sz w:val="24"/>
          <w:szCs w:val="24"/>
          <w:lang w:eastAsia="en-IL"/>
        </w:rPr>
        <w:footnoteReference w:id="123"/>
      </w:r>
      <w:r w:rsidRPr="0044370F">
        <w:rPr>
          <w:rFonts w:ascii="Times New Roman" w:eastAsia="Times New Roman" w:hAnsi="Times New Roman" w:cs="Times New Roman"/>
          <w:sz w:val="24"/>
          <w:szCs w:val="24"/>
          <w:lang w:eastAsia="en-IL"/>
        </w:rPr>
        <w:t xml:space="preserve">. Through its platforms (Facebook, WhatsApp, Instagram) and underlying algorithms, Meta governs the flow of information, shapes public discourse, and even influences societal behavior. The company’s content moderation policies determine which forms of speech and expression are permissible, a role akin to legislating global speech norms. Its news feed algorithms and recommendation systems act as powerful gatekeepers of attention, determining which news or viewpoints gain visibility. In this way, Meta exercises a form of power traditionally associated with state or public institutions (such as media regulators or public broadcasters).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To illustrate Meta’s influence on infrastructure, one can look at </w:t>
      </w:r>
      <w:r w:rsidRPr="0044370F">
        <w:rPr>
          <w:rFonts w:ascii="Times New Roman" w:eastAsia="Times New Roman" w:hAnsi="Times New Roman" w:cs="Times New Roman"/>
          <w:b/>
          <w:bCs/>
          <w:sz w:val="24"/>
          <w:szCs w:val="24"/>
          <w:lang w:eastAsia="en-IL"/>
        </w:rPr>
        <w:t>Free Basics</w:t>
      </w:r>
      <w:r w:rsidRPr="0044370F">
        <w:rPr>
          <w:rStyle w:val="a8"/>
          <w:rFonts w:ascii="Times New Roman" w:eastAsia="Times New Roman" w:hAnsi="Times New Roman" w:cs="Times New Roman"/>
          <w:b/>
          <w:bCs/>
          <w:sz w:val="24"/>
          <w:szCs w:val="24"/>
          <w:lang w:eastAsia="en-IL"/>
        </w:rPr>
        <w:footnoteReference w:id="124"/>
      </w:r>
      <w:r w:rsidRPr="0044370F">
        <w:rPr>
          <w:rFonts w:ascii="Times New Roman" w:eastAsia="Times New Roman" w:hAnsi="Times New Roman" w:cs="Times New Roman"/>
          <w:sz w:val="24"/>
          <w:szCs w:val="24"/>
          <w:lang w:eastAsia="en-IL"/>
        </w:rPr>
        <w:t>, Meta’s initiative to provide free but limited internet access in developing countries. Launched under the Internet.org umbrella, Free Basics offers users access to Facebook and a selection of other websites without data charges. While presented as a humanitarian effort to “connect the unconnected,” it effectively positioned Meta as the gatekeeper of first-time internet experiences for millions of users. This raised concerns that Meta was defining the contours of the internet for these populations, steering them toward certain content and away from the open web. Indeed, regulators in some countries saw this as an overreach of private infrastructural power. In India, the telecom authority banned Free Basics in 2016 for violating net neutrality principles (arguing that Facebook’s privileged zero-rated content would unfairly shape usage). The Free Basics episode demonstrated that Meta’s control over infrastructure (even in the form of an app) could collide with normative expectations about open, non-discriminatory networks, a tension between private power and public internet governance. Another aspect of infrastructural power is Meta’s role in critical societal functions. For instance, during natural disasters or emergencies, Facebook has often been used as a platform for coordination (people marking themselves “safe” during crises, disseminating emergency information), essentially becoming part of the emergency response infrastructure in some places. Similarly, WhatsApp has become an essential service in many countries for everyday communication, business transactions, and political campaigning. Outages</w:t>
      </w:r>
      <w:r w:rsidRPr="0044370F">
        <w:rPr>
          <w:rStyle w:val="a8"/>
          <w:rFonts w:ascii="Times New Roman" w:eastAsia="Times New Roman" w:hAnsi="Times New Roman" w:cs="Times New Roman"/>
          <w:sz w:val="24"/>
          <w:szCs w:val="24"/>
          <w:lang w:eastAsia="en-IL"/>
        </w:rPr>
        <w:footnoteReference w:id="125"/>
      </w:r>
      <w:r w:rsidRPr="0044370F">
        <w:rPr>
          <w:rFonts w:ascii="Times New Roman" w:eastAsia="Times New Roman" w:hAnsi="Times New Roman" w:cs="Times New Roman"/>
          <w:sz w:val="24"/>
          <w:szCs w:val="24"/>
          <w:lang w:eastAsia="en-IL"/>
        </w:rPr>
        <w:t xml:space="preserve"> or changes in these platforms can have immediate, wide-ranging impacts, as seen in the global Facebook outage of October 2021, which disrupted not only social communications but also business operations that rely on Facebook’s login or WhatsApp messaging. This ubiquity gives Meta infrastructural leverage: governments and organizations must work with or through Meta to reach the populace.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In response, Meta has at times negotiated directly with governments on matters like internet expansion (e.g., partnerships to build Wi-Fi hotspots or fiber networks in underserved areas) and election integrity measures, roles that blur the line between corporate service provider and public utility. </w:t>
      </w:r>
    </w:p>
    <w:p w:rsidR="0060194B" w:rsidRPr="0044370F" w:rsidRDefault="0060194B" w:rsidP="00023CA0">
      <w:pPr>
        <w:pStyle w:val="3"/>
        <w:rPr>
          <w:rtl/>
          <w:lang w:eastAsia="en-IL"/>
        </w:rPr>
      </w:pPr>
      <w:bookmarkStart w:id="100" w:name="_Toc222652780"/>
      <w:r w:rsidRPr="0044370F">
        <w:rPr>
          <w:lang w:eastAsia="en-IL"/>
        </w:rPr>
        <w:t xml:space="preserve">4.3.6 </w:t>
      </w:r>
      <w:r w:rsidRPr="0044370F">
        <w:rPr>
          <w:lang w:eastAsia="en-IL"/>
        </w:rPr>
        <w:tab/>
        <w:t>Conclusion</w:t>
      </w:r>
      <w:bookmarkEnd w:id="100"/>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lang w:eastAsia="en-IL"/>
        </w:rPr>
      </w:pPr>
      <w:r w:rsidRPr="0044370F">
        <w:rPr>
          <w:rFonts w:ascii="Times New Roman" w:eastAsia="Times New Roman" w:hAnsi="Times New Roman" w:cs="Times New Roman"/>
          <w:sz w:val="24"/>
          <w:szCs w:val="24"/>
          <w:lang w:eastAsia="en-IL"/>
        </w:rPr>
        <w:t xml:space="preserve">In summary, Meta’s infrastructural power is the capacity to govern through the systems it provides quietly, shaping how information flows and communities form in ways users might take for granted. It is a power exercised not by decree but by design, the design of platforms, algorithms, and networks that billions rely upon. This power often has sovereign-like reach (transcending borders) and can undercut state authority (for example, when Facebook’s encryption policies clash with law enforcement needs). </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configuration aligns closely with debates in international relations and international political economy concerning private authority and platform governance. Meta’s infrastructural control illustrates how non-state actors can exercise rule-making power through the design and operation of socio-technical systems rather than through formal legal sovereignty. By structuring information flows, setting de facto rules of participation, and negotiating directly with states over regulatory and governance concerns, Meta operates as a private authority that shapes public outcomes at scale. This form of authority is exercised through infrastructure rather than institutions, reinforcing the framework’s claim that sovereignty-like power in the digital age increasingly emerges from control over platforms and systems that organize social life.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The Meta case exemplifies how a platform corporation can assert sovereignty-like power in both symbolic and operational domains. Its internal governance structures mimic public institutions (for instance, the quasi-judicial Oversight Board), while its global presence forces it into regulatory negotiations akin to diplomacy. However, as seen, Meta’s legitimacy and accountability mechanisms remain under intense scrutiny. The company’s central role in shaping digital public life means that questions of who governs Meta, and how Meta governs others, are persistent and unresolved, reflecting the complexities of quasi-sovereign corporate power.</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Taken together, the Meta case illustrates a platform-centric configuration of corporate quasi-sovereignty characterized by high visibility, contested legitimacy, and infrastructural control over digital public spheres. Its authority operates primarily through normative and informational mechanisms rather than formal state alignment, distinguishing it from the other cases examined.</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Among the three cases, Meta represents the most normatively contested configuration of corporate quasi-sovereignty, where infrastructural reach and discursive governance outpace formal mechanisms of accountability.</w:t>
      </w:r>
    </w:p>
    <w:p w:rsidR="0060194B" w:rsidRPr="0044370F" w:rsidRDefault="0060194B" w:rsidP="00023CA0">
      <w:pPr>
        <w:pStyle w:val="2"/>
      </w:pPr>
      <w:bookmarkStart w:id="101" w:name="_Toc222652781"/>
      <w:r w:rsidRPr="0044370F">
        <w:t xml:space="preserve">4.4 </w:t>
      </w:r>
      <w:r w:rsidRPr="0044370F">
        <w:tab/>
        <w:t>Case Study 2</w:t>
      </w:r>
      <w:r w:rsidRPr="0044370F">
        <w:rPr>
          <w:rFonts w:eastAsia="Times New Roman" w:cs="Times New Roman"/>
          <w:bCs/>
          <w:lang w:eastAsia="en-IL"/>
        </w:rPr>
        <w:t xml:space="preserve">: </w:t>
      </w:r>
      <w:r w:rsidRPr="0044370F">
        <w:t xml:space="preserve">Huawei </w:t>
      </w:r>
      <w:r w:rsidRPr="0044370F">
        <w:rPr>
          <w:rFonts w:eastAsia="Times New Roman" w:cs="Times New Roman"/>
          <w:bCs/>
          <w:lang w:eastAsia="en-IL"/>
        </w:rPr>
        <w:t>Technologies Co., Ltd.</w:t>
      </w:r>
      <w:bookmarkEnd w:id="101"/>
    </w:p>
    <w:p w:rsidR="0060194B" w:rsidRPr="0044370F" w:rsidRDefault="0060194B" w:rsidP="00023CA0">
      <w:pPr>
        <w:pStyle w:val="3"/>
      </w:pPr>
      <w:bookmarkStart w:id="102" w:name="_Toc222652782"/>
      <w:r w:rsidRPr="0044370F">
        <w:t>4.4.1</w:t>
      </w:r>
      <w:r w:rsidRPr="0044370F">
        <w:tab/>
        <w:t>Introduction</w:t>
      </w:r>
      <w:bookmarkEnd w:id="102"/>
      <w:r w:rsidRPr="0044370F">
        <w:t xml:space="preserve">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Huawei Technologies, a leading Chinese telecommunications and information technology firm, represents a state-aligned model of quasi-sovereign corporate power</w:t>
      </w:r>
      <w:r w:rsidRPr="0044370F">
        <w:rPr>
          <w:rStyle w:val="a8"/>
          <w:rFonts w:ascii="Times New Roman" w:hAnsi="Times New Roman"/>
          <w:sz w:val="24"/>
        </w:rPr>
        <w:footnoteReference w:id="126"/>
      </w:r>
      <w:r w:rsidRPr="0044370F">
        <w:rPr>
          <w:rFonts w:ascii="Times New Roman" w:hAnsi="Times New Roman"/>
          <w:sz w:val="24"/>
        </w:rPr>
        <w:t xml:space="preserve">. Its operations, strategic partnerships, and global influence position it at the intersection of corporate and geopolitical authority. This case examines how Huawei manifests the four analytical dimensions within its </w:t>
      </w:r>
      <w:r w:rsidRPr="0044370F">
        <w:rPr>
          <w:rFonts w:ascii="Times New Roman" w:eastAsia="Times New Roman" w:hAnsi="Times New Roman" w:cs="Times New Roman"/>
          <w:sz w:val="24"/>
          <w:szCs w:val="24"/>
          <w:lang w:eastAsia="en-IL"/>
        </w:rPr>
        <w:t xml:space="preserve">unique </w:t>
      </w:r>
      <w:r w:rsidRPr="0044370F">
        <w:rPr>
          <w:rFonts w:ascii="Times New Roman" w:hAnsi="Times New Roman"/>
          <w:sz w:val="24"/>
        </w:rPr>
        <w:t>state-capitalist context</w:t>
      </w:r>
      <w:r w:rsidRPr="0044370F">
        <w:rPr>
          <w:rFonts w:ascii="Times New Roman" w:eastAsia="Times New Roman" w:hAnsi="Times New Roman" w:cs="Times New Roman"/>
          <w:sz w:val="24"/>
          <w:szCs w:val="24"/>
          <w:lang w:eastAsia="en-IL"/>
        </w:rPr>
        <w:t>, again adding illustrative examples and details to deepen the analysis</w:t>
      </w:r>
      <w:r w:rsidRPr="0044370F">
        <w:rPr>
          <w:rFonts w:ascii="Times New Roman" w:hAnsi="Times New Roman"/>
          <w:sz w:val="24"/>
        </w:rPr>
        <w:t>.</w:t>
      </w:r>
    </w:p>
    <w:p w:rsidR="0060194B" w:rsidRPr="0044370F" w:rsidRDefault="0060194B" w:rsidP="00023CA0">
      <w:pPr>
        <w:pStyle w:val="3"/>
        <w:rPr>
          <w:rtl/>
          <w:lang w:eastAsia="en-IL"/>
        </w:rPr>
      </w:pPr>
      <w:bookmarkStart w:id="103" w:name="_Toc222652783"/>
      <w:r w:rsidRPr="0044370F">
        <w:rPr>
          <w:lang w:eastAsia="en-IL"/>
        </w:rPr>
        <w:t>4.4.2</w:t>
      </w:r>
      <w:r w:rsidRPr="0044370F">
        <w:rPr>
          <w:lang w:eastAsia="en-IL"/>
        </w:rPr>
        <w:tab/>
        <w:t>Strategic Resource Control</w:t>
      </w:r>
      <w:bookmarkEnd w:id="103"/>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Huawei’s strategic resource control is built on its dominance in telecom hardware, its vast intellectual property holdings, and sustained investment in cutting-edge R&amp;D</w:t>
      </w:r>
      <w:r w:rsidRPr="0044370F">
        <w:rPr>
          <w:rStyle w:val="a8"/>
          <w:rFonts w:ascii="Times New Roman" w:eastAsia="Times New Roman" w:hAnsi="Times New Roman" w:cs="Times New Roman"/>
          <w:sz w:val="24"/>
          <w:szCs w:val="24"/>
          <w:lang w:eastAsia="en-IL"/>
        </w:rPr>
        <w:footnoteReference w:id="127"/>
      </w:r>
      <w:r w:rsidRPr="0044370F">
        <w:rPr>
          <w:rFonts w:ascii="Times New Roman" w:eastAsia="Times New Roman" w:hAnsi="Times New Roman" w:cs="Times New Roman"/>
          <w:sz w:val="24"/>
          <w:szCs w:val="24"/>
          <w:lang w:eastAsia="en-IL"/>
        </w:rPr>
        <w:t xml:space="preserve">. The company is one of the world’s largest producers of telecommunications equipment, from smartphone handsets to the complex switches and routers that underpin global networks. Crucially, Huawei has established a commanding position in </w:t>
      </w:r>
      <w:r w:rsidRPr="0044370F">
        <w:rPr>
          <w:rFonts w:ascii="Times New Roman" w:eastAsia="Times New Roman" w:hAnsi="Times New Roman" w:cs="Times New Roman"/>
          <w:b/>
          <w:bCs/>
          <w:sz w:val="24"/>
          <w:szCs w:val="24"/>
          <w:lang w:eastAsia="en-IL"/>
        </w:rPr>
        <w:t>5G (fifth-generation) network technology</w:t>
      </w:r>
      <w:r w:rsidRPr="0044370F">
        <w:rPr>
          <w:rStyle w:val="a8"/>
          <w:rFonts w:ascii="Times New Roman" w:eastAsia="Times New Roman" w:hAnsi="Times New Roman" w:cs="Times New Roman"/>
          <w:b/>
          <w:bCs/>
          <w:sz w:val="24"/>
          <w:szCs w:val="24"/>
          <w:lang w:eastAsia="en-IL"/>
        </w:rPr>
        <w:footnoteReference w:id="128"/>
      </w:r>
      <w:r w:rsidRPr="0044370F">
        <w:rPr>
          <w:rFonts w:ascii="Times New Roman" w:eastAsia="Times New Roman" w:hAnsi="Times New Roman" w:cs="Times New Roman"/>
          <w:sz w:val="24"/>
          <w:szCs w:val="24"/>
          <w:lang w:eastAsia="en-IL"/>
        </w:rPr>
        <w:t xml:space="preserve">. As of 2020, Huawei held the largest number of declared 5G standard-essential patents among any company worldwide, giving it a technological edge and a stream of licensing revenue even in markets where its equipment might be banned. This patent dominance means that rival telecom firms (and by </w:t>
      </w:r>
      <w:r w:rsidRPr="0044370F">
        <w:rPr>
          <w:rFonts w:ascii="Times New Roman" w:eastAsia="Times New Roman" w:hAnsi="Times New Roman" w:cs="Times New Roman"/>
          <w:sz w:val="24"/>
          <w:szCs w:val="24"/>
          <w:lang w:eastAsia="en-IL"/>
        </w:rPr>
        <w:lastRenderedPageBreak/>
        <w:t xml:space="preserve">extension, Western telecom operators) often have to pay Huawei royalties, underscoring Huawei’s control over strategic knowledge resources.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addition to patents, Huawei’s control extends to manufacturing and supply chains: it operates numerous manufacturing plants (for semiconductors, optical components, etc.) and has proprietary chip design capabilities (through its </w:t>
      </w:r>
      <w:proofErr w:type="spellStart"/>
      <w:r w:rsidRPr="0044370F">
        <w:rPr>
          <w:rFonts w:ascii="Times New Roman" w:eastAsia="Times New Roman" w:hAnsi="Times New Roman" w:cs="Times New Roman"/>
          <w:sz w:val="24"/>
          <w:szCs w:val="24"/>
          <w:lang w:eastAsia="en-IL"/>
        </w:rPr>
        <w:t>HiSilicon</w:t>
      </w:r>
      <w:proofErr w:type="spellEnd"/>
      <w:r w:rsidRPr="0044370F">
        <w:rPr>
          <w:rFonts w:ascii="Times New Roman" w:eastAsia="Times New Roman" w:hAnsi="Times New Roman" w:cs="Times New Roman"/>
          <w:sz w:val="24"/>
          <w:szCs w:val="24"/>
          <w:lang w:eastAsia="en-IL"/>
        </w:rPr>
        <w:t xml:space="preserve"> division), though U.S. sanctions have challenged this in recent years. Huawei’s relentless focus on research is a strategic choice to control its technological destiny. In 2022, Huawei invested an astonishing US$23.2 billion (CNY 161.5 billion) in R&amp;D, which was about 25% of its annual revenue, one of the highest R&amp;D intensities in the world. This consistent investment (over $100 billion in the last decade) has enabled Huawei to innovate in 5G, artificial intelligence, cloud computing, and other domains despite external pressures. By outspending competitors in R&amp;D (for comparison, Cisco spent only about $6.8 billion in 2022), Huawei ensures it can develop homegrown alternatives and reduce its reliance on foreign technology.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Another aspect of resource control is Huawei’s accumulation of human capital and talent. With roughly 200,000 employees and more than half in R&amp;D roles, Huawei has an enormous pool of engineers and experts. This talent pool allows Huawei to rapidly develop new products and customize solutions for different markets (e.g., providing budget-friendly networking gear for developing countries or tailor-made government surveillance systems reportedly sold in some countries).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Huawei’s acquisitions</w:t>
      </w:r>
      <w:r w:rsidRPr="0044370F">
        <w:rPr>
          <w:rStyle w:val="a8"/>
          <w:rFonts w:ascii="Times New Roman" w:eastAsia="Times New Roman" w:hAnsi="Times New Roman" w:cs="Times New Roman"/>
          <w:sz w:val="24"/>
          <w:szCs w:val="24"/>
          <w:lang w:eastAsia="en-IL"/>
        </w:rPr>
        <w:footnoteReference w:id="129"/>
      </w:r>
      <w:r w:rsidRPr="0044370F">
        <w:rPr>
          <w:rFonts w:ascii="Times New Roman" w:eastAsia="Times New Roman" w:hAnsi="Times New Roman" w:cs="Times New Roman"/>
          <w:sz w:val="24"/>
          <w:szCs w:val="24"/>
          <w:lang w:eastAsia="en-IL"/>
        </w:rPr>
        <w:t xml:space="preserve"> have been relatively modest (partly due to scrutiny abroad). Still, it has formed strategic alliances and joint ventures that extend its reach, for example, in cloud services (partnerships with local cloud providers in Asia) and device manufacturing (investments in smaller tech firms to bolster component supply). The net effect of these efforts is a broad base of strategic resources firmly under Huawei’s control: intellectual property, manufacturing capacity, technical expertise, and a diversified product portfolio (spanning consumer devices, telecom infrastructure, and enterprise solutions).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These resources give Huawei considerable geopolitical leverage. The company’s products often serve as the backbone of communication in countries around the world, potentially giving it the ability to influence or access critical systems (raising the much-debated espionage concerns). Even discussions of excluding Huawei from a country’s 5G network illustrate its power: governments have had to weigh the cost of losing Huawei’s advanced, often cost-effective technology against security concerns. Thus, Huawei’s strategic resources are not only economic assets but instruments of international influence, prized by allies (for development benefits) and feared by adversaries (as possible security Trojan horses).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concentration of technological knowledge reinforces Huawei’s strategic control of resources not only as a market advantage but also as a source of geopolitical leverage consistent with the framework’s definition of quasi-sovereign authority.</w:t>
      </w:r>
    </w:p>
    <w:p w:rsidR="0060194B" w:rsidRPr="0044370F" w:rsidRDefault="0060194B" w:rsidP="00023CA0">
      <w:pPr>
        <w:pStyle w:val="3"/>
        <w:rPr>
          <w:lang w:eastAsia="en-IL"/>
        </w:rPr>
      </w:pPr>
      <w:bookmarkStart w:id="104" w:name="_Toc222652784"/>
      <w:r w:rsidRPr="0044370F">
        <w:rPr>
          <w:lang w:eastAsia="en-IL"/>
        </w:rPr>
        <w:t>4.4.3</w:t>
      </w:r>
      <w:r w:rsidRPr="0044370F">
        <w:rPr>
          <w:lang w:eastAsia="en-IL"/>
        </w:rPr>
        <w:tab/>
        <w:t>Structural Embeddedness</w:t>
      </w:r>
      <w:bookmarkEnd w:id="104"/>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Huawei’s structural embeddedness is amplified by its centrality in global supply chains, its integration into international standards bodies, and its alignment with the Chinese state’s geopolitical and economic networks.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On a global scale, Huawei operates in over 170 countries and regions, making it as ubiquitous as any multinational</w:t>
      </w:r>
      <w:r w:rsidRPr="0044370F">
        <w:rPr>
          <w:rStyle w:val="a8"/>
          <w:rFonts w:ascii="Times New Roman" w:eastAsia="Times New Roman" w:hAnsi="Times New Roman" w:cs="Times New Roman"/>
          <w:sz w:val="24"/>
          <w:szCs w:val="24"/>
          <w:lang w:eastAsia="en-IL"/>
        </w:rPr>
        <w:footnoteReference w:id="130"/>
      </w:r>
      <w:r w:rsidRPr="0044370F">
        <w:rPr>
          <w:rFonts w:ascii="Times New Roman" w:eastAsia="Times New Roman" w:hAnsi="Times New Roman" w:cs="Times New Roman"/>
          <w:sz w:val="24"/>
          <w:szCs w:val="24"/>
          <w:lang w:eastAsia="en-IL"/>
        </w:rPr>
        <w:t>. It installs and services telecom networks across Asia, Europe, Africa, and Latin America</w:t>
      </w:r>
      <w:r w:rsidRPr="0044370F">
        <w:rPr>
          <w:rStyle w:val="a8"/>
          <w:rFonts w:ascii="Times New Roman" w:eastAsia="Times New Roman" w:hAnsi="Times New Roman" w:cs="Times New Roman"/>
          <w:sz w:val="24"/>
          <w:szCs w:val="24"/>
          <w:lang w:eastAsia="en-IL"/>
        </w:rPr>
        <w:footnoteReference w:id="131"/>
      </w:r>
      <w:r w:rsidRPr="0044370F">
        <w:rPr>
          <w:rFonts w:ascii="Times New Roman" w:eastAsia="Times New Roman" w:hAnsi="Times New Roman" w:cs="Times New Roman"/>
          <w:sz w:val="24"/>
          <w:szCs w:val="24"/>
          <w:lang w:eastAsia="en-IL"/>
        </w:rPr>
        <w:t xml:space="preserve">. This global operational footprint means Huawei has a seat at numerous tables, from technical standard-setting meetings to trade negotiations, and is deeply enmeshed in the telecom infrastructure of many nations. A salient example is Huawei’s extensive participation in </w:t>
      </w:r>
      <w:r w:rsidRPr="0044370F">
        <w:rPr>
          <w:rFonts w:ascii="Times New Roman" w:eastAsia="Times New Roman" w:hAnsi="Times New Roman" w:cs="Times New Roman"/>
          <w:b/>
          <w:bCs/>
          <w:sz w:val="24"/>
          <w:szCs w:val="24"/>
          <w:lang w:eastAsia="en-IL"/>
        </w:rPr>
        <w:t>international standardization organizations</w:t>
      </w:r>
      <w:r w:rsidRPr="0044370F">
        <w:rPr>
          <w:rStyle w:val="a8"/>
          <w:rFonts w:ascii="Times New Roman" w:eastAsia="Times New Roman" w:hAnsi="Times New Roman" w:cs="Times New Roman"/>
          <w:b/>
          <w:bCs/>
          <w:sz w:val="24"/>
          <w:szCs w:val="24"/>
          <w:lang w:eastAsia="en-IL"/>
        </w:rPr>
        <w:footnoteReference w:id="132"/>
      </w:r>
      <w:r w:rsidRPr="0044370F">
        <w:rPr>
          <w:rFonts w:ascii="Times New Roman" w:eastAsia="Times New Roman" w:hAnsi="Times New Roman" w:cs="Times New Roman"/>
          <w:sz w:val="24"/>
          <w:szCs w:val="24"/>
          <w:lang w:eastAsia="en-IL"/>
        </w:rPr>
        <w:t xml:space="preserve">. Huawei is an active member of over 600 standards bodies and industry alliances, including influential ones such as the 3rd Generation </w:t>
      </w:r>
      <w:r w:rsidRPr="0044370F">
        <w:rPr>
          <w:rFonts w:ascii="Times New Roman" w:eastAsia="Times New Roman" w:hAnsi="Times New Roman" w:cs="Times New Roman"/>
          <w:sz w:val="24"/>
          <w:szCs w:val="24"/>
          <w:lang w:eastAsia="en-IL"/>
        </w:rPr>
        <w:lastRenderedPageBreak/>
        <w:t xml:space="preserve">Partnership Project (3GPP) for mobile standards, the International Telecommunication Union (ITU), and the International Standards Organization (ISO).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By contributing technical proposals and leadership to these bodies, Huawei not only stays ahead on emerging standards but also helps shape the technical rules of the game, embedding its technology in global norms. In some cases, Huawei’s technical standards have become default choices in developing markets (e.g., its proprietary protocols for certain network management tasks), creating dependencies that tie other actors to Huawei’s ecosystem.</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Structurally, Huawei often embeds itself through </w:t>
      </w:r>
      <w:r w:rsidRPr="0044370F">
        <w:rPr>
          <w:rFonts w:ascii="Times New Roman" w:eastAsia="Times New Roman" w:hAnsi="Times New Roman" w:cs="Times New Roman"/>
          <w:b/>
          <w:bCs/>
          <w:sz w:val="24"/>
          <w:szCs w:val="24"/>
          <w:lang w:eastAsia="en-IL"/>
        </w:rPr>
        <w:t>public-private partnerships and financing deals</w:t>
      </w:r>
      <w:r w:rsidRPr="0044370F">
        <w:rPr>
          <w:rFonts w:ascii="Times New Roman" w:eastAsia="Times New Roman" w:hAnsi="Times New Roman" w:cs="Times New Roman"/>
          <w:sz w:val="24"/>
          <w:szCs w:val="24"/>
          <w:lang w:eastAsia="en-IL"/>
        </w:rPr>
        <w:t xml:space="preserve">. The company has provided vendor-financed equipment deals to telecom operators in countries with scarce capital, effectively positioning itself as a long-term partner. Many African and Asian countries welcomed Huawei to build their 3G/4G networks on generous credit terms, thereby establishing Huawei as a fixture in their telecom sectors.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Chinese state banks often back such financing as part of China’s diplomatic outreach (e.g., the Digital Silk Road component of the Belt and Road Initiative</w:t>
      </w:r>
      <w:r w:rsidRPr="0044370F">
        <w:rPr>
          <w:rStyle w:val="a8"/>
          <w:rFonts w:ascii="Times New Roman" w:eastAsia="Times New Roman" w:hAnsi="Times New Roman" w:cs="Times New Roman"/>
          <w:sz w:val="24"/>
          <w:szCs w:val="24"/>
          <w:lang w:eastAsia="en-IL"/>
        </w:rPr>
        <w:footnoteReference w:id="133"/>
      </w:r>
      <w:r w:rsidRPr="0044370F">
        <w:rPr>
          <w:rFonts w:ascii="Times New Roman" w:eastAsia="Times New Roman" w:hAnsi="Times New Roman" w:cs="Times New Roman"/>
          <w:sz w:val="24"/>
          <w:szCs w:val="24"/>
          <w:lang w:eastAsia="en-IL"/>
        </w:rPr>
        <w:t>). Huawei’s fortunes thus intertwine with Chinese foreign policy; it builds critical digital infrastructure as Chinese loans finance national development. A case in point: Huawei has built significant parts of the telecom networks in countries like Pakistan, Kenya, and Malaysia, often as part of larger bilateral agreements. This means Huawei’s technology is deeply embedded in those societies’ communications, making any disentanglement difficult.</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Within China’s state-capitalist framework, Huawei enjoys domestic embeddedness that strengthens its global hand. It collaborates with state agencies on national projects (such as Smart City initiatives, surveillance systems, and e-government platforms). These projects give Huawei a platform to refine technologies that it can later export. Huawei’s structural position is further boosted by Chinese government support in international arenas; for instance, Chinese diplomats </w:t>
      </w:r>
      <w:r w:rsidRPr="0044370F">
        <w:rPr>
          <w:rFonts w:ascii="Times New Roman" w:eastAsia="Times New Roman" w:hAnsi="Times New Roman" w:cs="Times New Roman"/>
          <w:sz w:val="24"/>
          <w:szCs w:val="24"/>
          <w:lang w:eastAsia="en-IL"/>
        </w:rPr>
        <w:lastRenderedPageBreak/>
        <w:t>have lobbied on behalf of Huawei when countries consider bans, effectively treating Huawei as an extension of the state’s interests.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However, structural embeddedness has a dual nature for Huawei. In friendly environments (China itself and many Global South countries seeking affordable tech), Huawei is integrated and even encouraged. In adversarial environments (the US, Australia, Japan, parts of Europe), Huawei faces ejection from structures, such as being </w:t>
      </w:r>
      <w:proofErr w:type="spellStart"/>
      <w:r w:rsidRPr="0044370F">
        <w:rPr>
          <w:rFonts w:ascii="Times New Roman" w:eastAsia="Times New Roman" w:hAnsi="Times New Roman" w:cs="Times New Roman"/>
          <w:sz w:val="24"/>
          <w:szCs w:val="24"/>
          <w:lang w:eastAsia="en-IL"/>
        </w:rPr>
        <w:t>blocklisted</w:t>
      </w:r>
      <w:proofErr w:type="spellEnd"/>
      <w:r w:rsidRPr="0044370F">
        <w:rPr>
          <w:rFonts w:ascii="Times New Roman" w:eastAsia="Times New Roman" w:hAnsi="Times New Roman" w:cs="Times New Roman"/>
          <w:sz w:val="24"/>
          <w:szCs w:val="24"/>
          <w:lang w:eastAsia="en-IL"/>
        </w:rPr>
        <w:t xml:space="preserve"> from procurement or excluded from supply chains. The very centrality of Huawei in telecom networks became a point of vulnerability when Western governments acted to excise it for security reasons. Nonetheless, even where banned, Huawei’s embedded prior presence continues to have effects (e.g., U.S. rural carriers that installed Huawei equipment must spend considerable sums to rip and replace it). The structural entanglement is hard to undo quickly.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Huawei’s structural embeddedness</w:t>
      </w:r>
      <w:r w:rsidRPr="0044370F">
        <w:rPr>
          <w:rStyle w:val="a8"/>
          <w:rFonts w:ascii="Times New Roman" w:eastAsia="Times New Roman" w:hAnsi="Times New Roman" w:cs="Times New Roman"/>
          <w:sz w:val="24"/>
          <w:szCs w:val="24"/>
          <w:lang w:eastAsia="en-IL"/>
        </w:rPr>
        <w:footnoteReference w:id="134"/>
      </w:r>
      <w:r w:rsidRPr="0044370F">
        <w:rPr>
          <w:rFonts w:ascii="Times New Roman" w:eastAsia="Times New Roman" w:hAnsi="Times New Roman" w:cs="Times New Roman"/>
          <w:sz w:val="24"/>
          <w:szCs w:val="24"/>
          <w:lang w:eastAsia="en-IL"/>
        </w:rPr>
        <w:t xml:space="preserve"> can be seen in its involvement in </w:t>
      </w:r>
      <w:r w:rsidRPr="0044370F">
        <w:rPr>
          <w:rFonts w:ascii="Times New Roman" w:eastAsia="Times New Roman" w:hAnsi="Times New Roman" w:cs="Times New Roman"/>
          <w:b/>
          <w:bCs/>
          <w:sz w:val="24"/>
          <w:szCs w:val="24"/>
          <w:lang w:eastAsia="en-IL"/>
        </w:rPr>
        <w:t>global governance structures</w:t>
      </w:r>
      <w:r w:rsidRPr="0044370F">
        <w:rPr>
          <w:rFonts w:ascii="Times New Roman" w:eastAsia="Times New Roman" w:hAnsi="Times New Roman" w:cs="Times New Roman"/>
          <w:sz w:val="24"/>
          <w:szCs w:val="24"/>
          <w:lang w:eastAsia="en-IL"/>
        </w:rPr>
        <w:t xml:space="preserve"> (standards and industry collaborations) and physical infrastructures. It has woven itself into the fabric of many national networks and international regimes. Through the Belt and Road Initiative’s digital dimension, Huawei is effectively exporting a Chinese-aligned digital infrastructure model, binding participant countries into a shared technological sphere. This structural connectivity augments Huawei’s quasi-sovereign character; it sometimes negotiates with foreign governments not just as a company selling products, but as a strategic partner whose decisions (or exclusion) carry national-level consequences.</w:t>
      </w:r>
    </w:p>
    <w:p w:rsidR="0060194B" w:rsidRPr="0044370F" w:rsidRDefault="0060194B" w:rsidP="00023CA0">
      <w:pPr>
        <w:pStyle w:val="3"/>
        <w:rPr>
          <w:lang w:eastAsia="en-IL"/>
        </w:rPr>
      </w:pPr>
      <w:bookmarkStart w:id="105" w:name="_Toc222652785"/>
      <w:r w:rsidRPr="0044370F">
        <w:rPr>
          <w:lang w:eastAsia="en-IL"/>
        </w:rPr>
        <w:t>4.4.4</w:t>
      </w:r>
      <w:r w:rsidRPr="0044370F">
        <w:rPr>
          <w:lang w:eastAsia="en-IL"/>
        </w:rPr>
        <w:tab/>
        <w:t>Normative Legitimacy</w:t>
      </w:r>
      <w:bookmarkEnd w:id="105"/>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In terms of normative legitimacy, Huawei actively works to project an image of trustworthiness, global citizenship, and technological benevolence, yet its legitimacy is sharply contested, especially in Western countries</w:t>
      </w:r>
      <w:r w:rsidRPr="0044370F">
        <w:rPr>
          <w:rStyle w:val="a8"/>
          <w:rFonts w:ascii="Times New Roman" w:eastAsia="Times New Roman" w:hAnsi="Times New Roman" w:cs="Times New Roman"/>
          <w:sz w:val="24"/>
          <w:szCs w:val="24"/>
          <w:lang w:eastAsia="en-IL"/>
        </w:rPr>
        <w:footnoteReference w:id="135"/>
      </w:r>
      <w:r w:rsidRPr="0044370F">
        <w:rPr>
          <w:rFonts w:ascii="Times New Roman" w:eastAsia="Times New Roman" w:hAnsi="Times New Roman" w:cs="Times New Roman"/>
          <w:sz w:val="24"/>
          <w:szCs w:val="24"/>
          <w:lang w:eastAsia="en-IL"/>
        </w:rPr>
        <w:t xml:space="preserve">. Huawei’s narrative emphasizes themes of </w:t>
      </w:r>
      <w:r w:rsidRPr="0044370F">
        <w:rPr>
          <w:rFonts w:ascii="Times New Roman" w:eastAsia="Times New Roman" w:hAnsi="Times New Roman" w:cs="Times New Roman"/>
          <w:b/>
          <w:bCs/>
          <w:sz w:val="24"/>
          <w:szCs w:val="24"/>
          <w:lang w:eastAsia="en-IL"/>
        </w:rPr>
        <w:t>trust, security, affordability, and mutual benefit</w:t>
      </w:r>
      <w:r w:rsidRPr="0044370F">
        <w:rPr>
          <w:rFonts w:ascii="Times New Roman" w:eastAsia="Times New Roman" w:hAnsi="Times New Roman" w:cs="Times New Roman"/>
          <w:sz w:val="24"/>
          <w:szCs w:val="24"/>
          <w:lang w:eastAsia="en-IL"/>
        </w:rPr>
        <w:t xml:space="preserve">. For instance, in emerging markets, Huawei markets itself as a provider of connectivity to the underserved, often using slogans that emphasize bridging the digital divide. The company publishes annual </w:t>
      </w:r>
      <w:r w:rsidRPr="0044370F">
        <w:rPr>
          <w:rFonts w:ascii="Times New Roman" w:eastAsia="Times New Roman" w:hAnsi="Times New Roman" w:cs="Times New Roman"/>
          <w:b/>
          <w:bCs/>
          <w:sz w:val="24"/>
          <w:szCs w:val="24"/>
          <w:lang w:eastAsia="en-IL"/>
        </w:rPr>
        <w:t>Sustainability Reports</w:t>
      </w:r>
      <w:r w:rsidRPr="0044370F">
        <w:rPr>
          <w:rFonts w:ascii="Times New Roman" w:eastAsia="Times New Roman" w:hAnsi="Times New Roman" w:cs="Times New Roman"/>
          <w:sz w:val="24"/>
          <w:szCs w:val="24"/>
          <w:lang w:eastAsia="en-IL"/>
        </w:rPr>
        <w:t xml:space="preserve"> and </w:t>
      </w:r>
      <w:r w:rsidRPr="0044370F">
        <w:rPr>
          <w:rFonts w:ascii="Times New Roman" w:eastAsia="Times New Roman" w:hAnsi="Times New Roman" w:cs="Times New Roman"/>
          <w:b/>
          <w:bCs/>
          <w:sz w:val="24"/>
          <w:szCs w:val="24"/>
          <w:lang w:eastAsia="en-IL"/>
        </w:rPr>
        <w:t>Cybersecurity white papers</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sz w:val="24"/>
          <w:szCs w:val="24"/>
          <w:lang w:eastAsia="en-IL"/>
        </w:rPr>
        <w:lastRenderedPageBreak/>
        <w:t xml:space="preserve">to demonstrate transparency and alignment with international norms. Huawei has opened </w:t>
      </w:r>
      <w:r w:rsidRPr="0044370F">
        <w:rPr>
          <w:rFonts w:ascii="Times New Roman" w:eastAsia="Times New Roman" w:hAnsi="Times New Roman" w:cs="Times New Roman"/>
          <w:b/>
          <w:bCs/>
          <w:sz w:val="24"/>
          <w:szCs w:val="24"/>
          <w:lang w:eastAsia="en-IL"/>
        </w:rPr>
        <w:t>Cyber Security Evaluation Centers</w:t>
      </w:r>
      <w:r w:rsidRPr="0044370F">
        <w:rPr>
          <w:rFonts w:ascii="Times New Roman" w:eastAsia="Times New Roman" w:hAnsi="Times New Roman" w:cs="Times New Roman"/>
          <w:sz w:val="24"/>
          <w:szCs w:val="24"/>
          <w:lang w:eastAsia="en-IL"/>
        </w:rPr>
        <w:t xml:space="preserve"> in countries such as the United Kingdom, Belgium, and Canada, where government-approved experts can inspect Huawei’s source code and equipment for vulnerabilities</w:t>
      </w:r>
      <w:r w:rsidRPr="0044370F">
        <w:rPr>
          <w:rStyle w:val="a8"/>
          <w:rFonts w:ascii="Times New Roman" w:eastAsia="Times New Roman" w:hAnsi="Times New Roman" w:cs="Times New Roman"/>
          <w:sz w:val="24"/>
          <w:szCs w:val="24"/>
          <w:lang w:eastAsia="en-IL"/>
        </w:rPr>
        <w:footnoteReference w:id="136"/>
      </w:r>
      <w:r w:rsidRPr="0044370F">
        <w:rPr>
          <w:rFonts w:ascii="Times New Roman" w:eastAsia="Times New Roman" w:hAnsi="Times New Roman" w:cs="Times New Roman"/>
          <w:sz w:val="24"/>
          <w:szCs w:val="24"/>
          <w:lang w:eastAsia="en-IL"/>
        </w:rPr>
        <w:t>. The flagship facility in Brussels (opened 2019) was explicitly designed to reassure the EU of Huawei’s commitment to openness and collaboration on security issues. These centers allow stakeholders to verify Huawei’s products in a controlled environment, an unusual step for a private company and part of Huawei’s campaign to be seen as a reliable partner.</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 also seeks legitimacy through social responsibility and talent development initiatives. One example is the </w:t>
      </w:r>
      <w:r w:rsidRPr="0044370F">
        <w:rPr>
          <w:rFonts w:ascii="Times New Roman" w:eastAsia="Times New Roman" w:hAnsi="Times New Roman" w:cs="Times New Roman"/>
          <w:b/>
          <w:bCs/>
          <w:sz w:val="24"/>
          <w:szCs w:val="24"/>
          <w:lang w:eastAsia="en-IL"/>
        </w:rPr>
        <w:t>“Seeds for the Future”</w:t>
      </w:r>
      <w:r w:rsidRPr="0044370F">
        <w:rPr>
          <w:rFonts w:ascii="Times New Roman" w:eastAsia="Times New Roman" w:hAnsi="Times New Roman" w:cs="Times New Roman"/>
          <w:sz w:val="24"/>
          <w:szCs w:val="24"/>
          <w:lang w:eastAsia="en-IL"/>
        </w:rPr>
        <w:t xml:space="preserve"> program</w:t>
      </w:r>
      <w:r w:rsidRPr="0044370F">
        <w:rPr>
          <w:rStyle w:val="a8"/>
          <w:rFonts w:ascii="Times New Roman" w:eastAsia="Times New Roman" w:hAnsi="Times New Roman" w:cs="Times New Roman"/>
          <w:sz w:val="24"/>
          <w:szCs w:val="24"/>
          <w:lang w:eastAsia="en-IL"/>
        </w:rPr>
        <w:footnoteReference w:id="137"/>
      </w:r>
      <w:r w:rsidRPr="0044370F">
        <w:rPr>
          <w:rFonts w:ascii="Times New Roman" w:eastAsia="Times New Roman" w:hAnsi="Times New Roman" w:cs="Times New Roman"/>
          <w:sz w:val="24"/>
          <w:szCs w:val="24"/>
          <w:lang w:eastAsia="en-IL"/>
        </w:rPr>
        <w:t>, through which Huawei invests in ICT training for young people around the world (operating in over 150 countries and benefiting thousands of students</w:t>
      </w:r>
      <w:r w:rsidRPr="0044370F">
        <w:rPr>
          <w:rStyle w:val="a8"/>
          <w:rFonts w:ascii="Times New Roman" w:eastAsia="Times New Roman" w:hAnsi="Times New Roman" w:cs="Times New Roman"/>
          <w:sz w:val="24"/>
          <w:szCs w:val="24"/>
          <w:lang w:eastAsia="en-IL"/>
        </w:rPr>
        <w:footnoteReference w:id="138"/>
      </w:r>
      <w:r w:rsidRPr="0044370F">
        <w:rPr>
          <w:rFonts w:ascii="Times New Roman" w:eastAsia="Times New Roman" w:hAnsi="Times New Roman" w:cs="Times New Roman"/>
          <w:sz w:val="24"/>
          <w:szCs w:val="24"/>
          <w:lang w:eastAsia="en-IL"/>
        </w:rPr>
        <w:t xml:space="preserve">). By contributing to local education and skills development, Huawei seeks to integrate into communities and be seen as a long-term stakeholder in national development, not just a profit-seeking vendor. Additionally, Huawei often points out that it is an </w:t>
      </w:r>
      <w:r w:rsidRPr="0044370F">
        <w:rPr>
          <w:rFonts w:ascii="Times New Roman" w:eastAsia="Times New Roman" w:hAnsi="Times New Roman" w:cs="Times New Roman"/>
          <w:b/>
          <w:bCs/>
          <w:sz w:val="24"/>
          <w:szCs w:val="24"/>
          <w:lang w:eastAsia="en-IL"/>
        </w:rPr>
        <w:t>employee-owned company</w:t>
      </w:r>
      <w:r w:rsidRPr="0044370F">
        <w:rPr>
          <w:rFonts w:ascii="Times New Roman" w:eastAsia="Times New Roman" w:hAnsi="Times New Roman" w:cs="Times New Roman"/>
          <w:sz w:val="24"/>
          <w:szCs w:val="24"/>
          <w:lang w:eastAsia="en-IL"/>
        </w:rPr>
        <w:t xml:space="preserve"> (technically, a collective ownership by a union-controlled entity for its employees) to argue that it’s not a straightforward arm of the Chinese state or dominated by any single owner.</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Despite these efforts, Huawei’s normative legitimacy faces significant hurdles, predominantly due to concerns about its relationship with the Chinese government and the security of its technology. In liberal democracies, the narrative often cast is that Huawei is </w:t>
      </w:r>
      <w:r w:rsidRPr="0044370F">
        <w:rPr>
          <w:rFonts w:ascii="Times New Roman" w:eastAsia="Times New Roman" w:hAnsi="Times New Roman" w:cs="Times New Roman"/>
          <w:b/>
          <w:bCs/>
          <w:sz w:val="24"/>
          <w:szCs w:val="24"/>
          <w:lang w:eastAsia="en-IL"/>
        </w:rPr>
        <w:t>beholden to the Chinese Communist Party (CCP)</w:t>
      </w:r>
      <w:r w:rsidRPr="0044370F">
        <w:rPr>
          <w:rFonts w:ascii="Times New Roman" w:eastAsia="Times New Roman" w:hAnsi="Times New Roman" w:cs="Times New Roman"/>
          <w:sz w:val="24"/>
          <w:szCs w:val="24"/>
          <w:lang w:eastAsia="en-IL"/>
        </w:rPr>
        <w:t xml:space="preserve"> or could be compelled under China’s National Intelligence Law to assist in state espionage. The United States, Australia, the UK, Japan, and others have, by 2020-2021, </w:t>
      </w:r>
      <w:r w:rsidRPr="0044370F">
        <w:rPr>
          <w:rFonts w:ascii="Times New Roman" w:eastAsia="Times New Roman" w:hAnsi="Times New Roman" w:cs="Times New Roman"/>
          <w:sz w:val="24"/>
          <w:szCs w:val="24"/>
          <w:lang w:eastAsia="en-IL"/>
        </w:rPr>
        <w:lastRenderedPageBreak/>
        <w:t xml:space="preserve">imposed sweeping restrictions or outright bans on Huawei’s participation in their 5G networks. U.S. officials have gone so far as to urge allies to exclude Huawei, framing it as a matter of protecting national security and even of choosing sides in a geopolitical contest. These actions have undoubtedly damaged Huawei’s legitimacy in many eyes: its ban by multiple advanced economies signals that it is not a “normal” company in the global marketplace. Huawei, for its part, consistently denies that it poses any security threat. Company founder Ren </w:t>
      </w:r>
      <w:proofErr w:type="spellStart"/>
      <w:r w:rsidRPr="0044370F">
        <w:rPr>
          <w:rFonts w:ascii="Times New Roman" w:eastAsia="Times New Roman" w:hAnsi="Times New Roman" w:cs="Times New Roman"/>
          <w:sz w:val="24"/>
          <w:szCs w:val="24"/>
          <w:lang w:eastAsia="en-IL"/>
        </w:rPr>
        <w:t>Zhengfei</w:t>
      </w:r>
      <w:proofErr w:type="spellEnd"/>
      <w:r w:rsidRPr="0044370F">
        <w:rPr>
          <w:rFonts w:ascii="Times New Roman" w:eastAsia="Times New Roman" w:hAnsi="Times New Roman" w:cs="Times New Roman"/>
          <w:sz w:val="24"/>
          <w:szCs w:val="24"/>
          <w:lang w:eastAsia="en-IL"/>
        </w:rPr>
        <w:t xml:space="preserve"> has given international media interviews underscoring Huawei’s independence; he famously said he would “shut the company down” rather than obey any Chinese government order to intercept communications. Whether such assurances are believed is another matter; trust deficits persist.</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Furthermore, controversies such as allegations of intellectual property theft (Huawei has been accused in the past of misappropriating technology from Western companies) and sanctions violations (e.g., the 2018 arrest of Huawei's CFO, </w:t>
      </w:r>
      <w:proofErr w:type="spellStart"/>
      <w:r w:rsidRPr="0044370F">
        <w:rPr>
          <w:rFonts w:ascii="Times New Roman" w:eastAsia="Times New Roman" w:hAnsi="Times New Roman" w:cs="Times New Roman"/>
          <w:sz w:val="24"/>
          <w:szCs w:val="24"/>
          <w:lang w:eastAsia="en-IL"/>
        </w:rPr>
        <w:t>Meng</w:t>
      </w:r>
      <w:proofErr w:type="spellEnd"/>
      <w:r w:rsidRPr="0044370F">
        <w:rPr>
          <w:rFonts w:ascii="Times New Roman" w:eastAsia="Times New Roman" w:hAnsi="Times New Roman" w:cs="Times New Roman"/>
          <w:sz w:val="24"/>
          <w:szCs w:val="24"/>
          <w:lang w:eastAsia="en-IL"/>
        </w:rPr>
        <w:t xml:space="preserve"> </w:t>
      </w:r>
      <w:proofErr w:type="spellStart"/>
      <w:r w:rsidRPr="0044370F">
        <w:rPr>
          <w:rFonts w:ascii="Times New Roman" w:eastAsia="Times New Roman" w:hAnsi="Times New Roman" w:cs="Times New Roman"/>
          <w:sz w:val="24"/>
          <w:szCs w:val="24"/>
          <w:lang w:eastAsia="en-IL"/>
        </w:rPr>
        <w:t>Wanzhou</w:t>
      </w:r>
      <w:proofErr w:type="spellEnd"/>
      <w:r w:rsidRPr="0044370F">
        <w:rPr>
          <w:rFonts w:ascii="Times New Roman" w:eastAsia="Times New Roman" w:hAnsi="Times New Roman" w:cs="Times New Roman"/>
          <w:sz w:val="24"/>
          <w:szCs w:val="24"/>
          <w:lang w:eastAsia="en-IL"/>
        </w:rPr>
        <w:t>, in Canada on U.S. charges related to Iran sanctions evasion) have eroded Huawei’s image in the West. In contrast, in many non-Western countries, Huawei’s legitimacy is less politicized. There, Huawei is seen as a purveyor of quality yet affordable tech; governments appreciate its willingness to transfer skills and establish local offices, and its close ties with Chinese development finance are viewed pragmatically as an advantage.</w:t>
      </w:r>
    </w:p>
    <w:p w:rsidR="0060194B" w:rsidRPr="0044370F" w:rsidRDefault="0060194B" w:rsidP="003119A6">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Huawei’s normative legitimacy is a tale of two worlds: </w:t>
      </w:r>
      <w:r w:rsidRPr="0044370F">
        <w:rPr>
          <w:rFonts w:ascii="Times New Roman" w:eastAsia="Times New Roman" w:hAnsi="Times New Roman" w:cs="Times New Roman"/>
          <w:b/>
          <w:bCs/>
          <w:sz w:val="24"/>
          <w:szCs w:val="24"/>
          <w:lang w:eastAsia="en-IL"/>
        </w:rPr>
        <w:t>contested in the West, cautiously accepted or even welcomed in much of the Global South</w:t>
      </w:r>
      <w:r w:rsidRPr="0044370F">
        <w:rPr>
          <w:rFonts w:ascii="Times New Roman" w:eastAsia="Times New Roman" w:hAnsi="Times New Roman" w:cs="Times New Roman"/>
          <w:sz w:val="24"/>
          <w:szCs w:val="24"/>
          <w:lang w:eastAsia="en-IL"/>
        </w:rPr>
        <w:t>. Huawei strives to adhere to global standards, but the shadow of geopolitical rivalry means its legitimacy will likely remain conditional. For this study’s purposes, Huawei illustrates how a corporation’s legitimacy can be entangled with national identity and international politics. Huawei’s case demonstrates that normative legitimacy for a quasi-sovereign firm can vary widely across contexts; it must continuously negotiate its right to operate and be trusted in different sovereign environments.</w:t>
      </w:r>
    </w:p>
    <w:p w:rsidR="0060194B" w:rsidRPr="0044370F" w:rsidRDefault="0060194B" w:rsidP="00023CA0">
      <w:pPr>
        <w:pStyle w:val="3"/>
      </w:pPr>
      <w:bookmarkStart w:id="106" w:name="_Toc222652786"/>
      <w:r w:rsidRPr="0044370F">
        <w:t>4.4.5</w:t>
      </w:r>
      <w:r w:rsidRPr="0044370F">
        <w:tab/>
        <w:t>Infrastructural Power</w:t>
      </w:r>
      <w:bookmarkEnd w:id="106"/>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lang w:eastAsia="en-IL"/>
        </w:rPr>
      </w:pPr>
      <w:r w:rsidRPr="0044370F">
        <w:rPr>
          <w:rFonts w:ascii="Times New Roman" w:eastAsia="Times New Roman" w:hAnsi="Times New Roman" w:cs="Times New Roman"/>
          <w:sz w:val="24"/>
          <w:szCs w:val="24"/>
          <w:lang w:eastAsia="en-IL"/>
        </w:rPr>
        <w:t xml:space="preserve">Huawei’s infrastructural power stems from its role as a provider of critical backbone technologies that enable communication networks worldwide. Unlike Meta’s user-facing platforms, Huawei’s influence is often behind the scenes, yet no less consequential. By supplying the equipment that </w:t>
      </w:r>
      <w:r w:rsidRPr="0044370F">
        <w:rPr>
          <w:rFonts w:ascii="Times New Roman" w:eastAsia="Times New Roman" w:hAnsi="Times New Roman" w:cs="Times New Roman"/>
          <w:sz w:val="24"/>
          <w:szCs w:val="24"/>
          <w:lang w:eastAsia="en-IL"/>
        </w:rPr>
        <w:lastRenderedPageBreak/>
        <w:t>constitutes national telecom infrastructures</w:t>
      </w:r>
      <w:r w:rsidRPr="0044370F">
        <w:rPr>
          <w:rStyle w:val="a8"/>
          <w:rFonts w:ascii="Times New Roman" w:eastAsia="Times New Roman" w:hAnsi="Times New Roman" w:cs="Times New Roman"/>
          <w:sz w:val="24"/>
          <w:szCs w:val="24"/>
          <w:lang w:eastAsia="en-IL"/>
        </w:rPr>
        <w:footnoteReference w:id="139"/>
      </w:r>
      <w:r w:rsidRPr="0044370F">
        <w:rPr>
          <w:rFonts w:ascii="Times New Roman" w:eastAsia="Times New Roman" w:hAnsi="Times New Roman" w:cs="Times New Roman"/>
          <w:sz w:val="24"/>
          <w:szCs w:val="24"/>
          <w:lang w:eastAsia="en-IL"/>
        </w:rPr>
        <w:t xml:space="preserve">, such as cellular base stations, fiber-optic cables, core network switches, and undersea cables, Huawei effectively </w:t>
      </w:r>
      <w:r w:rsidRPr="0044370F">
        <w:rPr>
          <w:rFonts w:ascii="Times New Roman" w:eastAsia="Times New Roman" w:hAnsi="Times New Roman" w:cs="Times New Roman"/>
          <w:b/>
          <w:bCs/>
          <w:sz w:val="24"/>
          <w:szCs w:val="24"/>
          <w:lang w:eastAsia="en-IL"/>
        </w:rPr>
        <w:t>lays the pipes</w:t>
      </w:r>
      <w:r w:rsidRPr="0044370F">
        <w:rPr>
          <w:rFonts w:ascii="Times New Roman" w:eastAsia="Times New Roman" w:hAnsi="Times New Roman" w:cs="Times New Roman"/>
          <w:sz w:val="24"/>
          <w:szCs w:val="24"/>
          <w:lang w:eastAsia="en-IL"/>
        </w:rPr>
        <w:t xml:space="preserve"> through which digital information flows. This position allows Huawei to set de facto standards and influence network architectures, especially in countries where it is the dominant supplier. For example, in many African nations, Huawei’s market share for telecom equipment has been very high (in some cases, a majority of 3G/4G sites), meaning the entire national communication grid runs on Huawei’s technology. This gives Huawei a systemic presence: upgrades, maintenance, and cybersecurity for those networks are inherently tied to Huawei’s capabilities and decisions. </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One quantitative indicator of Huawei’s infrastructural reach is its share of the global telecom equipment market. By 2023</w:t>
      </w:r>
      <w:r w:rsidRPr="0044370F">
        <w:rPr>
          <w:rStyle w:val="a8"/>
          <w:rFonts w:ascii="Times New Roman" w:eastAsia="Times New Roman" w:hAnsi="Times New Roman" w:cs="Times New Roman"/>
          <w:sz w:val="24"/>
          <w:szCs w:val="24"/>
          <w:lang w:eastAsia="en-IL"/>
        </w:rPr>
        <w:footnoteReference w:id="140"/>
      </w:r>
      <w:r w:rsidRPr="0044370F">
        <w:rPr>
          <w:rFonts w:ascii="Times New Roman" w:eastAsia="Times New Roman" w:hAnsi="Times New Roman" w:cs="Times New Roman"/>
          <w:sz w:val="24"/>
          <w:szCs w:val="24"/>
          <w:lang w:eastAsia="en-IL"/>
        </w:rPr>
        <w:t>, Huawei accounted for roughly 30% of worldwide telecom equipment revenue, making it the leading supplier. This share actually grew despite U.S. sanctions, largely due to continued business in China and other countries. Such dominance implies that Huawei likely influences global telecommunications standards and trends. Indeed, Huawei has been a key driver of 5G deployment; by providing end-to-end 5G solutions (such as antennas, core networks, and software), it has set technical benchmarks that competitors sometimes follow to ensure interoperability.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Huawei’s infrastructural power also has a </w:t>
      </w:r>
      <w:r w:rsidR="00DD3FE9" w:rsidRPr="0044370F">
        <w:rPr>
          <w:rFonts w:ascii="Times New Roman" w:eastAsia="Times New Roman" w:hAnsi="Times New Roman" w:cs="Times New Roman"/>
          <w:sz w:val="24"/>
          <w:szCs w:val="24"/>
          <w:lang w:eastAsia="en-IL"/>
        </w:rPr>
        <w:t>cyber-governance</w:t>
      </w:r>
      <w:r w:rsidRPr="0044370F">
        <w:rPr>
          <w:rFonts w:ascii="Times New Roman" w:eastAsia="Times New Roman" w:hAnsi="Times New Roman" w:cs="Times New Roman"/>
          <w:sz w:val="24"/>
          <w:szCs w:val="24"/>
          <w:lang w:eastAsia="en-IL"/>
        </w:rPr>
        <w:t xml:space="preserve"> dimension. When Huawei provides network infrastructure, it often integrates proprietary network management systems and cloud platforms (for example, its Huawei Cloud services for governments or enterprises). These systems can influence how data is stored, filtered, and secured. In countries where Huawei installs national data centers or safe city surveillance systems, it effectively structures how data is collected and used for governance functions (such as policing or traffic management). This raises questions akin to those of sovereignty: if a city’s surveillance cameras and data analytics are run by Huawei, does Huawei hold a form of infrastructural authority over urban governance? Some analysts argue that by exporting “smart city” solutions, Huawei extends Chinese-style surveillance norms, demonstrating the power of infrastructure to carry political values.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heme="majorBidi" w:eastAsia="Times New Roman" w:hAnsiTheme="majorBidi" w:cstheme="majorBidi"/>
          <w:sz w:val="24"/>
          <w:szCs w:val="24"/>
          <w:lang w:eastAsia="en-IL"/>
        </w:rPr>
        <w:lastRenderedPageBreak/>
        <w:t xml:space="preserve">Another layer of infrastructural power </w:t>
      </w:r>
      <w:r w:rsidRPr="0044370F">
        <w:rPr>
          <w:rFonts w:asciiTheme="majorBidi" w:hAnsiTheme="majorBidi" w:cstheme="majorBidi"/>
          <w:sz w:val="24"/>
          <w:szCs w:val="24"/>
        </w:rPr>
        <w:t xml:space="preserve">concerns the perceived </w:t>
      </w:r>
      <w:r w:rsidRPr="0044370F">
        <w:rPr>
          <w:rFonts w:asciiTheme="majorBidi" w:eastAsia="Times New Roman" w:hAnsiTheme="majorBidi" w:cstheme="majorBidi"/>
          <w:sz w:val="24"/>
          <w:szCs w:val="24"/>
          <w:lang w:eastAsia="en-IL"/>
        </w:rPr>
        <w:t>capability to disrupt</w:t>
      </w:r>
      <w:r w:rsidRPr="0044370F">
        <w:rPr>
          <w:rStyle w:val="a8"/>
          <w:rFonts w:asciiTheme="majorBidi" w:eastAsia="Times New Roman" w:hAnsiTheme="majorBidi" w:cstheme="majorBidi"/>
          <w:sz w:val="24"/>
          <w:szCs w:val="24"/>
          <w:lang w:eastAsia="en-IL"/>
        </w:rPr>
        <w:footnoteReference w:id="141"/>
      </w:r>
      <w:r w:rsidRPr="0044370F">
        <w:rPr>
          <w:rFonts w:asciiTheme="majorBidi" w:eastAsia="Times New Roman" w:hAnsiTheme="majorBidi" w:cstheme="majorBidi"/>
          <w:sz w:val="24"/>
          <w:szCs w:val="24"/>
          <w:lang w:eastAsia="en-IL"/>
        </w:rPr>
        <w:t xml:space="preserve"> or</w:t>
      </w:r>
      <w:r w:rsidRPr="0044370F">
        <w:rPr>
          <w:rFonts w:ascii="Times New Roman" w:eastAsia="Times New Roman" w:hAnsi="Times New Roman" w:cs="Times New Roman"/>
          <w:sz w:val="24"/>
          <w:szCs w:val="24"/>
          <w:lang w:eastAsia="en-IL"/>
        </w:rPr>
        <w:t xml:space="preserve"> alter networks if it chose to (which is a core of the security debate). While there is no public evidence that Huawei has done so maliciously, Western security officials worry that hidden “backdoors” could exist</w:t>
      </w:r>
      <w:r w:rsidRPr="0044370F">
        <w:rPr>
          <w:rStyle w:val="a8"/>
          <w:rFonts w:ascii="Times New Roman" w:eastAsia="Times New Roman" w:hAnsi="Times New Roman" w:cs="Times New Roman"/>
          <w:sz w:val="24"/>
          <w:szCs w:val="24"/>
          <w:lang w:eastAsia="en-IL"/>
        </w:rPr>
        <w:footnoteReference w:id="142"/>
      </w:r>
      <w:r w:rsidRPr="0044370F">
        <w:rPr>
          <w:rFonts w:ascii="Times New Roman" w:eastAsia="Times New Roman" w:hAnsi="Times New Roman" w:cs="Times New Roman"/>
          <w:sz w:val="24"/>
          <w:szCs w:val="24"/>
          <w:lang w:eastAsia="en-IL"/>
        </w:rPr>
        <w:t xml:space="preserve">, or that Huawei could remotely push updates to equipment. This </w:t>
      </w:r>
      <w:r w:rsidRPr="0044370F">
        <w:rPr>
          <w:rFonts w:ascii="Times New Roman" w:eastAsia="Times New Roman" w:hAnsi="Times New Roman" w:cs="Times New Roman"/>
          <w:i/>
          <w:iCs/>
          <w:sz w:val="24"/>
          <w:szCs w:val="24"/>
          <w:lang w:eastAsia="en-IL"/>
        </w:rPr>
        <w:t>hypothetical</w:t>
      </w:r>
      <w:r w:rsidRPr="0044370F">
        <w:rPr>
          <w:rFonts w:ascii="Times New Roman" w:eastAsia="Times New Roman" w:hAnsi="Times New Roman" w:cs="Times New Roman"/>
          <w:sz w:val="24"/>
          <w:szCs w:val="24"/>
          <w:lang w:eastAsia="en-IL"/>
        </w:rPr>
        <w:t xml:space="preserve"> power, whether exercised or not, influences how states behave (leading to bans or heavy oversight). </w:t>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 xml:space="preserve">Analytically, it is important to distinguish between empirically verified practices, widely reported but contested allegations, and theoretical implications derived from infrastructural control. While no public evidence confirms the existence of intentional backdoors in Huawei equipment, the geopolitical effects of such concerns are empirically observable in state behavior, including bans, regulatory scrutiny, and alliance coordination. </w:t>
      </w:r>
    </w:p>
    <w:p w:rsidR="0060194B" w:rsidRPr="0044370F" w:rsidRDefault="0060194B" w:rsidP="0060194B">
      <w:pPr>
        <w:pStyle w:val="NormalWeb"/>
        <w:spacing w:line="360" w:lineRule="auto"/>
        <w:jc w:val="both"/>
        <w:rPr>
          <w:i/>
          <w:iCs/>
        </w:rPr>
      </w:pPr>
      <w:r w:rsidRPr="0044370F">
        <w:rPr>
          <w:rStyle w:val="a5"/>
          <w:rFonts w:eastAsiaTheme="majorEastAsia"/>
          <w:i w:val="0"/>
          <w:iCs w:val="0"/>
        </w:rPr>
        <w:t>This study treats these dynamics not as proof of misconduct, but as evidence of how infrastructural power generates perceived risks that translate into political and regulatory outcomes.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lang w:eastAsia="en-IL"/>
        </w:rPr>
      </w:pPr>
      <w:r w:rsidRPr="0044370F">
        <w:rPr>
          <w:rFonts w:ascii="Times New Roman" w:eastAsia="Times New Roman" w:hAnsi="Times New Roman" w:cs="Times New Roman"/>
          <w:sz w:val="24"/>
          <w:szCs w:val="24"/>
          <w:lang w:eastAsia="en-IL"/>
        </w:rPr>
        <w:t>Huawei’s role in undersea cables is also expanding. It has a subsidiary, Huawei Marine Networks</w:t>
      </w:r>
      <w:r w:rsidRPr="0044370F">
        <w:rPr>
          <w:rStyle w:val="a8"/>
          <w:rFonts w:ascii="Times New Roman" w:eastAsia="Times New Roman" w:hAnsi="Times New Roman" w:cs="Times New Roman"/>
          <w:sz w:val="24"/>
          <w:szCs w:val="24"/>
          <w:lang w:eastAsia="en-IL"/>
        </w:rPr>
        <w:footnoteReference w:id="143"/>
      </w:r>
      <w:r w:rsidRPr="0044370F">
        <w:rPr>
          <w:rFonts w:ascii="Times New Roman" w:eastAsia="Times New Roman" w:hAnsi="Times New Roman" w:cs="Times New Roman"/>
          <w:sz w:val="24"/>
          <w:szCs w:val="24"/>
          <w:lang w:eastAsia="en-IL"/>
        </w:rPr>
        <w:t xml:space="preserve"> (now divested to another Chinese firm, HMN Tech), which has built numerous submarine cables connecting Asia, Africa, and Europe. By being present in the physical linking of continents, Huawei contributes to the global internet’s topology. In a way, just as historical great powers built railways or canals to extend influence, Huawei’s cable projects (often co-financed by Chinese entities) extend China’s digital footprint. The </w:t>
      </w:r>
      <w:r w:rsidRPr="0044370F">
        <w:rPr>
          <w:rFonts w:ascii="Times New Roman" w:eastAsia="Times New Roman" w:hAnsi="Times New Roman" w:cs="Times New Roman"/>
          <w:b/>
          <w:bCs/>
          <w:sz w:val="24"/>
          <w:szCs w:val="24"/>
          <w:lang w:eastAsia="en-IL"/>
        </w:rPr>
        <w:t>infrastructural power</w:t>
      </w:r>
      <w:r w:rsidRPr="0044370F">
        <w:rPr>
          <w:rFonts w:ascii="Times New Roman" w:eastAsia="Times New Roman" w:hAnsi="Times New Roman" w:cs="Times New Roman"/>
          <w:sz w:val="24"/>
          <w:szCs w:val="24"/>
          <w:lang w:eastAsia="en-IL"/>
        </w:rPr>
        <w:t xml:space="preserve"> here is subtle: </w:t>
      </w:r>
      <w:r w:rsidRPr="0044370F">
        <w:rPr>
          <w:rFonts w:ascii="Times New Roman" w:eastAsia="Times New Roman" w:hAnsi="Times New Roman" w:cs="Times New Roman"/>
          <w:sz w:val="24"/>
          <w:szCs w:val="24"/>
          <w:lang w:eastAsia="en-IL"/>
        </w:rPr>
        <w:lastRenderedPageBreak/>
        <w:t>control over cables can mean preferred routing for data, and the possibility (for states like China) of greater oversight of data flows.</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 Huawei’s case, infrastructural power functions as a direct causal mechanism linking corporate capability to geopolitical leverage. Control over national telecommunications infrastructure reinforces long-term structural embeddedness, creating dependencies that extend beyond market relations into the domain of state security and governance. Once embedded, Huawei’s technological systems become difficult to replace without significant economic and political cost, enabling the firm to operate as a strategic intermediary between states and global networks. This sequence, technical control, infrastructural dependence, and geopolitical leverage, demonstrates how infrastructural power can translate corporate presence into sovereignty-like authority without formal political mandate.</w:t>
      </w:r>
    </w:p>
    <w:p w:rsidR="0060194B" w:rsidRPr="0044370F" w:rsidRDefault="0060194B" w:rsidP="00023CA0">
      <w:pPr>
        <w:pStyle w:val="3"/>
      </w:pPr>
      <w:bookmarkStart w:id="107" w:name="_Toc222652787"/>
      <w:r w:rsidRPr="0044370F">
        <w:t xml:space="preserve">4.4.6 </w:t>
      </w:r>
      <w:r w:rsidRPr="0044370F">
        <w:tab/>
        <w:t>Conclusion</w:t>
      </w:r>
      <w:bookmarkEnd w:id="107"/>
      <w:r w:rsidRPr="0044370F">
        <w:t xml:space="preserve">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eastAsia="Times New Roman" w:hAnsi="Times New Roman" w:cs="Times New Roman"/>
          <w:sz w:val="24"/>
          <w:szCs w:val="24"/>
          <w:lang w:eastAsia="en-IL"/>
        </w:rPr>
        <w:t xml:space="preserve">In summary, Huawei’s infrastructural power is about </w:t>
      </w:r>
      <w:r w:rsidRPr="0044370F">
        <w:rPr>
          <w:rFonts w:ascii="Times New Roman" w:eastAsia="Times New Roman" w:hAnsi="Times New Roman" w:cs="Times New Roman"/>
          <w:b/>
          <w:bCs/>
          <w:sz w:val="24"/>
          <w:szCs w:val="24"/>
          <w:lang w:eastAsia="en-IL"/>
        </w:rPr>
        <w:t>quiet control and enablement</w:t>
      </w:r>
      <w:r w:rsidRPr="0044370F">
        <w:rPr>
          <w:rFonts w:ascii="Times New Roman" w:eastAsia="Times New Roman" w:hAnsi="Times New Roman" w:cs="Times New Roman"/>
          <w:sz w:val="24"/>
          <w:szCs w:val="24"/>
          <w:lang w:eastAsia="en-IL"/>
        </w:rPr>
        <w:t xml:space="preserve">. Huawei enables many countries’ basic communications, a power that, in turn, means turning off that equipment could cripple economies and governments. It also quietly controls technical parameters and standards through which information flows, thus indirectly governing aspects of the digital realm. This form of power is often exercised in partnership with states (especially the Chinese state or host governments that choose Huawei equipment), blurring lines between public and private control. In Huawei’s case, we see how a </w:t>
      </w:r>
      <w:r w:rsidRPr="0044370F">
        <w:rPr>
          <w:rFonts w:ascii="Times New Roman" w:hAnsi="Times New Roman"/>
          <w:sz w:val="24"/>
        </w:rPr>
        <w:t xml:space="preserve">tech firm can become both an agent </w:t>
      </w:r>
      <w:r w:rsidRPr="0044370F">
        <w:rPr>
          <w:rFonts w:ascii="Times New Roman" w:hAnsi="Times New Roman"/>
          <w:i/>
          <w:sz w:val="24"/>
        </w:rPr>
        <w:t>and</w:t>
      </w:r>
      <w:r w:rsidRPr="0044370F">
        <w:rPr>
          <w:rFonts w:ascii="Times New Roman" w:hAnsi="Times New Roman"/>
          <w:sz w:val="24"/>
        </w:rPr>
        <w:t xml:space="preserve"> an instrument of state power, </w:t>
      </w:r>
      <w:r w:rsidRPr="0044370F">
        <w:rPr>
          <w:rFonts w:ascii="Times New Roman" w:eastAsia="Times New Roman" w:hAnsi="Times New Roman" w:cs="Times New Roman"/>
          <w:sz w:val="24"/>
          <w:szCs w:val="24"/>
          <w:lang w:eastAsia="en-IL"/>
        </w:rPr>
        <w:t>leveraging its infrastructure to serve</w:t>
      </w:r>
      <w:r w:rsidRPr="0044370F">
        <w:rPr>
          <w:rFonts w:ascii="Times New Roman" w:hAnsi="Times New Roman"/>
          <w:sz w:val="24"/>
        </w:rPr>
        <w:t xml:space="preserve"> geopolitical </w:t>
      </w:r>
      <w:r w:rsidRPr="0044370F">
        <w:rPr>
          <w:rFonts w:ascii="Times New Roman" w:eastAsia="Times New Roman" w:hAnsi="Times New Roman" w:cs="Times New Roman"/>
          <w:sz w:val="24"/>
          <w:szCs w:val="24"/>
          <w:lang w:eastAsia="en-IL"/>
        </w:rPr>
        <w:t>objectives. The company’s</w:t>
      </w:r>
      <w:r w:rsidRPr="0044370F">
        <w:rPr>
          <w:rFonts w:ascii="Times New Roman" w:hAnsi="Times New Roman"/>
          <w:sz w:val="24"/>
        </w:rPr>
        <w:t xml:space="preserve"> expansive </w:t>
      </w:r>
      <w:r w:rsidRPr="0044370F">
        <w:rPr>
          <w:rFonts w:ascii="Times New Roman" w:eastAsia="Times New Roman" w:hAnsi="Times New Roman" w:cs="Times New Roman"/>
          <w:sz w:val="24"/>
          <w:szCs w:val="24"/>
          <w:lang w:eastAsia="en-IL"/>
        </w:rPr>
        <w:t>installations</w:t>
      </w:r>
      <w:r w:rsidRPr="0044370F">
        <w:rPr>
          <w:rFonts w:ascii="Times New Roman" w:hAnsi="Times New Roman"/>
          <w:sz w:val="24"/>
        </w:rPr>
        <w:t xml:space="preserve">, diplomatic entanglements, and </w:t>
      </w:r>
      <w:r w:rsidRPr="0044370F">
        <w:rPr>
          <w:rFonts w:ascii="Times New Roman" w:eastAsia="Times New Roman" w:hAnsi="Times New Roman" w:cs="Times New Roman"/>
          <w:sz w:val="24"/>
          <w:szCs w:val="24"/>
          <w:lang w:eastAsia="en-IL"/>
        </w:rPr>
        <w:t xml:space="preserve">the controversies around them </w:t>
      </w:r>
      <w:r w:rsidRPr="0044370F">
        <w:rPr>
          <w:rFonts w:ascii="Times New Roman" w:hAnsi="Times New Roman"/>
          <w:sz w:val="24"/>
        </w:rPr>
        <w:t xml:space="preserve">reveal the multiple registers in which quasi-sovereignty </w:t>
      </w:r>
      <w:r w:rsidRPr="0044370F">
        <w:rPr>
          <w:rFonts w:ascii="Times New Roman" w:eastAsia="Times New Roman" w:hAnsi="Times New Roman" w:cs="Times New Roman"/>
          <w:sz w:val="24"/>
          <w:szCs w:val="24"/>
          <w:lang w:eastAsia="en-IL"/>
        </w:rPr>
        <w:t>operates, from tangible networks of fiber and towers to intangible networks of alliances and norms</w:t>
      </w:r>
      <w:r w:rsidRPr="0044370F">
        <w:rPr>
          <w:rFonts w:ascii="Times New Roman" w:hAnsi="Times New Roman"/>
          <w:sz w:val="24"/>
        </w:rPr>
        <w:t>.</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rtl/>
          <w:lang w:eastAsia="en-IL"/>
        </w:rPr>
      </w:pPr>
      <w:r w:rsidRPr="0044370F">
        <w:rPr>
          <w:rFonts w:ascii="Times New Roman" w:eastAsia="Times New Roman" w:hAnsi="Times New Roman" w:cs="Times New Roman"/>
          <w:sz w:val="24"/>
          <w:szCs w:val="24"/>
          <w:lang w:eastAsia="en-IL"/>
        </w:rPr>
        <w:t>Huawei’s case ultimately illustrates how a corporation with deep state ties and a commanding tech portfolio can assume roles traditionally associated with sovereign states. Huawei acts as a bridge between China’s national interests and other countries’ development needs, all through its corporate operations. The dual perception of Huawei, innovative tech champion versus alleged security threat, underscores that infrastructural power without broad legitimacy can provoke significant resistance. This tension is a recurring theme in analyzing corporate quasi-sovereignty.</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Huawei, therefore, constitutes a critical “hard case” for the framework, demonstrating that corporate quasi-sovereignty can both reinforce and complicate state sovereignty rather than reconfigure it.</w:t>
      </w:r>
    </w:p>
    <w:p w:rsidR="0060194B" w:rsidRPr="0044370F" w:rsidRDefault="0060194B" w:rsidP="00023CA0">
      <w:pPr>
        <w:pStyle w:val="2"/>
        <w:rPr>
          <w:rtl/>
        </w:rPr>
      </w:pPr>
      <w:bookmarkStart w:id="108" w:name="_Toc222652788"/>
      <w:r w:rsidRPr="0044370F">
        <w:t xml:space="preserve">4.5 </w:t>
      </w:r>
      <w:r w:rsidRPr="0044370F">
        <w:tab/>
        <w:t>Case Study 3</w:t>
      </w:r>
      <w:r w:rsidRPr="0044370F">
        <w:rPr>
          <w:rFonts w:eastAsia="Times New Roman" w:cs="Times New Roman"/>
          <w:bCs/>
          <w:lang w:eastAsia="en-IL"/>
        </w:rPr>
        <w:t xml:space="preserve">: </w:t>
      </w:r>
      <w:r w:rsidRPr="0044370F">
        <w:t xml:space="preserve">SAP </w:t>
      </w:r>
      <w:r w:rsidRPr="0044370F">
        <w:rPr>
          <w:rFonts w:eastAsia="Times New Roman" w:cs="Times New Roman"/>
          <w:bCs/>
          <w:lang w:eastAsia="en-IL"/>
        </w:rPr>
        <w:t>SE</w:t>
      </w:r>
      <w:bookmarkEnd w:id="108"/>
    </w:p>
    <w:p w:rsidR="0060194B" w:rsidRPr="0044370F" w:rsidRDefault="0060194B" w:rsidP="00023CA0">
      <w:pPr>
        <w:pStyle w:val="3"/>
      </w:pPr>
      <w:bookmarkStart w:id="109" w:name="_Toc222652789"/>
      <w:r w:rsidRPr="0044370F">
        <w:t>4.5.1</w:t>
      </w:r>
      <w:r w:rsidRPr="0044370F">
        <w:tab/>
        <w:t>Introduction</w:t>
      </w:r>
      <w:bookmarkEnd w:id="109"/>
      <w:r w:rsidRPr="0044370F">
        <w:t xml:space="preserve">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 xml:space="preserve">SAP SE, headquartered in Germany, represents a distinctive model of quasi-sovereign corporate influence </w:t>
      </w:r>
      <w:r w:rsidRPr="0044370F">
        <w:rPr>
          <w:rFonts w:ascii="Times New Roman" w:eastAsia="Times New Roman" w:hAnsi="Times New Roman" w:cs="Times New Roman"/>
          <w:sz w:val="24"/>
          <w:szCs w:val="24"/>
          <w:lang w:eastAsia="en-IL"/>
        </w:rPr>
        <w:t xml:space="preserve">achieved </w:t>
      </w:r>
      <w:r w:rsidRPr="0044370F">
        <w:rPr>
          <w:rFonts w:ascii="Times New Roman" w:hAnsi="Times New Roman"/>
          <w:sz w:val="24"/>
        </w:rPr>
        <w:t>through enterprise software</w:t>
      </w:r>
      <w:r w:rsidRPr="0044370F">
        <w:rPr>
          <w:rFonts w:ascii="Times New Roman" w:eastAsia="Times New Roman" w:hAnsi="Times New Roman" w:cs="Times New Roman"/>
          <w:sz w:val="24"/>
          <w:szCs w:val="24"/>
          <w:lang w:eastAsia="en-IL"/>
        </w:rPr>
        <w:t xml:space="preserve"> and digital standards.</w:t>
      </w:r>
      <w:r w:rsidRPr="0044370F">
        <w:rPr>
          <w:rFonts w:ascii="Times New Roman" w:hAnsi="Times New Roman"/>
          <w:sz w:val="24"/>
        </w:rPr>
        <w:t xml:space="preserve"> As Europe’s largest technology company</w:t>
      </w:r>
      <w:r w:rsidRPr="0044370F">
        <w:rPr>
          <w:rFonts w:ascii="Times New Roman" w:eastAsia="Times New Roman" w:hAnsi="Times New Roman" w:cs="Times New Roman"/>
          <w:sz w:val="24"/>
          <w:szCs w:val="24"/>
          <w:lang w:eastAsia="en-IL"/>
        </w:rPr>
        <w:t xml:space="preserve"> and a global leader in business software</w:t>
      </w:r>
      <w:r w:rsidRPr="0044370F">
        <w:rPr>
          <w:rFonts w:ascii="Times New Roman" w:hAnsi="Times New Roman"/>
          <w:sz w:val="24"/>
        </w:rPr>
        <w:t>, SAP operates in highly regulated environments and delivers critical digital infrastructure for both private firms and public institutions. This case explores SAP’s manifestation of the four dimensions of corporate power</w:t>
      </w:r>
      <w:r w:rsidRPr="0044370F">
        <w:rPr>
          <w:rFonts w:ascii="Times New Roman" w:eastAsia="Times New Roman" w:hAnsi="Times New Roman" w:cs="Times New Roman"/>
          <w:sz w:val="24"/>
          <w:szCs w:val="24"/>
          <w:lang w:eastAsia="en-IL"/>
        </w:rPr>
        <w:t>, enriching the analysis with concrete examples and specifics</w:t>
      </w:r>
      <w:r w:rsidRPr="0044370F">
        <w:rPr>
          <w:rStyle w:val="a8"/>
          <w:rFonts w:ascii="Times New Roman" w:eastAsia="Times New Roman" w:hAnsi="Times New Roman" w:cs="Times New Roman"/>
          <w:sz w:val="24"/>
          <w:szCs w:val="24"/>
          <w:lang w:eastAsia="en-IL"/>
        </w:rPr>
        <w:footnoteReference w:id="144"/>
      </w:r>
      <w:r w:rsidRPr="0044370F">
        <w:rPr>
          <w:rFonts w:ascii="Times New Roman" w:hAnsi="Times New Roman"/>
          <w:sz w:val="24"/>
        </w:rPr>
        <w:t>.</w:t>
      </w:r>
    </w:p>
    <w:p w:rsidR="0060194B" w:rsidRPr="0044370F" w:rsidRDefault="0060194B" w:rsidP="00023CA0">
      <w:pPr>
        <w:pStyle w:val="3"/>
        <w:rPr>
          <w:lang w:eastAsia="en-IL"/>
        </w:rPr>
      </w:pPr>
      <w:bookmarkStart w:id="110" w:name="_Toc222652790"/>
      <w:r w:rsidRPr="0044370F">
        <w:rPr>
          <w:lang w:eastAsia="en-IL"/>
        </w:rPr>
        <w:t>4.5.2</w:t>
      </w:r>
      <w:r w:rsidRPr="0044370F">
        <w:rPr>
          <w:lang w:eastAsia="en-IL"/>
        </w:rPr>
        <w:tab/>
        <w:t>Strategic Resource Control</w:t>
      </w:r>
      <w:bookmarkEnd w:id="110"/>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SAP’s strategic resource control is rooted in its proprietary software platforms and its dominance</w:t>
      </w:r>
      <w:r w:rsidRPr="0044370F">
        <w:rPr>
          <w:rStyle w:val="a8"/>
          <w:rFonts w:ascii="Times New Roman" w:eastAsia="Times New Roman" w:hAnsi="Times New Roman" w:cs="Times New Roman"/>
          <w:sz w:val="24"/>
          <w:szCs w:val="24"/>
          <w:lang w:eastAsia="en-IL"/>
        </w:rPr>
        <w:footnoteReference w:id="145"/>
      </w:r>
      <w:r w:rsidRPr="0044370F">
        <w:rPr>
          <w:rFonts w:ascii="Times New Roman" w:eastAsia="Times New Roman" w:hAnsi="Times New Roman" w:cs="Times New Roman"/>
          <w:sz w:val="24"/>
          <w:szCs w:val="24"/>
          <w:lang w:eastAsia="en-IL"/>
        </w:rPr>
        <w:t xml:space="preserve"> in enterprise resource planning (ERP) systems that many organizations rely on for core operations</w:t>
      </w:r>
      <w:r w:rsidRPr="0044370F">
        <w:rPr>
          <w:rStyle w:val="a8"/>
          <w:rFonts w:ascii="Times New Roman" w:eastAsia="Times New Roman" w:hAnsi="Times New Roman" w:cs="Times New Roman"/>
          <w:sz w:val="24"/>
          <w:szCs w:val="24"/>
          <w:lang w:eastAsia="en-IL"/>
        </w:rPr>
        <w:footnoteReference w:id="146"/>
      </w:r>
      <w:r w:rsidRPr="0044370F">
        <w:rPr>
          <w:rFonts w:ascii="Times New Roman" w:eastAsia="Times New Roman" w:hAnsi="Times New Roman" w:cs="Times New Roman"/>
          <w:sz w:val="24"/>
          <w:szCs w:val="24"/>
          <w:lang w:eastAsia="en-IL"/>
        </w:rPr>
        <w:t xml:space="preserve">. SAP’s flagship ERP software (such as SAP S/4HANA) and related enterprise applications (such as supply chain management and customer relationship management) are deeply embedded in the workflows of companies across industries. These software systems, and the data they handle, constitute strategic resources because they effectively </w:t>
      </w:r>
      <w:r w:rsidRPr="0044370F">
        <w:rPr>
          <w:rFonts w:ascii="Times New Roman" w:eastAsia="Times New Roman" w:hAnsi="Times New Roman" w:cs="Times New Roman"/>
          <w:b/>
          <w:bCs/>
          <w:sz w:val="24"/>
          <w:szCs w:val="24"/>
          <w:lang w:eastAsia="en-IL"/>
        </w:rPr>
        <w:t>encode business processes and rules</w:t>
      </w:r>
      <w:r w:rsidRPr="0044370F">
        <w:rPr>
          <w:rFonts w:ascii="Times New Roman" w:eastAsia="Times New Roman" w:hAnsi="Times New Roman" w:cs="Times New Roman"/>
          <w:sz w:val="24"/>
          <w:szCs w:val="24"/>
          <w:lang w:eastAsia="en-IL"/>
        </w:rPr>
        <w:t xml:space="preserve">. By owning the software that hundreds of thousands of businesses use to run their finances, logistics, and human resources, SAP exerts control over the essential infrastructure of the global economy. A striking statistic often cited is that </w:t>
      </w:r>
      <w:r w:rsidRPr="0044370F">
        <w:rPr>
          <w:rFonts w:ascii="Times New Roman" w:eastAsia="Times New Roman" w:hAnsi="Times New Roman" w:cs="Times New Roman"/>
          <w:b/>
          <w:bCs/>
          <w:sz w:val="24"/>
          <w:szCs w:val="24"/>
          <w:lang w:eastAsia="en-IL"/>
        </w:rPr>
        <w:t>77% of the world's transaction revenue passes through an SAP system at some point</w:t>
      </w:r>
      <w:r w:rsidRPr="0044370F">
        <w:rPr>
          <w:rFonts w:ascii="Times New Roman" w:eastAsia="Times New Roman" w:hAnsi="Times New Roman" w:cs="Times New Roman"/>
          <w:sz w:val="24"/>
          <w:szCs w:val="24"/>
          <w:lang w:eastAsia="en-IL"/>
        </w:rPr>
        <w:t xml:space="preserve">. This indicates that when goods are bought, sold, or accounted for, chances are an SAP database or program is involved in recording </w:t>
      </w:r>
      <w:r w:rsidRPr="0044370F">
        <w:rPr>
          <w:rFonts w:ascii="Times New Roman" w:eastAsia="Times New Roman" w:hAnsi="Times New Roman" w:cs="Times New Roman"/>
          <w:sz w:val="24"/>
          <w:szCs w:val="24"/>
          <w:lang w:eastAsia="en-IL"/>
        </w:rPr>
        <w:lastRenderedPageBreak/>
        <w:t>or processing that transaction. Such pervasiveness is a strategic asset for SAP; it gives the company unparalleled insight into and influence over enterprise best practices and data flows.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 has also strategically expanded its resource base through selective acquisitions and the development of new technologies. For example, SAP acquired </w:t>
      </w:r>
      <w:proofErr w:type="spellStart"/>
      <w:r w:rsidRPr="0044370F">
        <w:rPr>
          <w:rFonts w:ascii="Times New Roman" w:eastAsia="Times New Roman" w:hAnsi="Times New Roman" w:cs="Times New Roman"/>
          <w:b/>
          <w:bCs/>
          <w:sz w:val="24"/>
          <w:szCs w:val="24"/>
          <w:lang w:eastAsia="en-IL"/>
        </w:rPr>
        <w:t>Ariba</w:t>
      </w:r>
      <w:proofErr w:type="spellEnd"/>
      <w:r w:rsidRPr="0044370F">
        <w:rPr>
          <w:rStyle w:val="a8"/>
          <w:rFonts w:ascii="Times New Roman" w:eastAsia="Times New Roman" w:hAnsi="Times New Roman" w:cs="Times New Roman"/>
          <w:b/>
          <w:bCs/>
          <w:sz w:val="24"/>
          <w:szCs w:val="24"/>
          <w:lang w:eastAsia="en-IL"/>
        </w:rPr>
        <w:footnoteReference w:id="147"/>
      </w:r>
      <w:r w:rsidRPr="0044370F">
        <w:rPr>
          <w:rFonts w:ascii="Times New Roman" w:eastAsia="Times New Roman" w:hAnsi="Times New Roman" w:cs="Times New Roman"/>
          <w:sz w:val="24"/>
          <w:szCs w:val="24"/>
          <w:lang w:eastAsia="en-IL"/>
        </w:rPr>
        <w:t xml:space="preserve"> (a leading online procurement network) in 2012, </w:t>
      </w:r>
      <w:r w:rsidRPr="0044370F">
        <w:rPr>
          <w:rFonts w:ascii="Times New Roman" w:eastAsia="Times New Roman" w:hAnsi="Times New Roman" w:cs="Times New Roman"/>
          <w:b/>
          <w:bCs/>
          <w:sz w:val="24"/>
          <w:szCs w:val="24"/>
          <w:lang w:eastAsia="en-IL"/>
        </w:rPr>
        <w:t>Concur</w:t>
      </w:r>
      <w:r w:rsidRPr="0044370F">
        <w:rPr>
          <w:rStyle w:val="a8"/>
          <w:rFonts w:ascii="Times New Roman" w:eastAsia="Times New Roman" w:hAnsi="Times New Roman" w:cs="Times New Roman"/>
          <w:b/>
          <w:bCs/>
          <w:sz w:val="24"/>
          <w:szCs w:val="24"/>
          <w:lang w:eastAsia="en-IL"/>
        </w:rPr>
        <w:footnoteReference w:id="148"/>
      </w:r>
      <w:r w:rsidRPr="0044370F">
        <w:rPr>
          <w:rFonts w:ascii="Times New Roman" w:eastAsia="Times New Roman" w:hAnsi="Times New Roman" w:cs="Times New Roman"/>
          <w:sz w:val="24"/>
          <w:szCs w:val="24"/>
          <w:lang w:eastAsia="en-IL"/>
        </w:rPr>
        <w:t xml:space="preserve"> (travel and expense management) in 2014, and </w:t>
      </w:r>
      <w:proofErr w:type="spellStart"/>
      <w:r w:rsidRPr="0044370F">
        <w:rPr>
          <w:rFonts w:ascii="Times New Roman" w:eastAsia="Times New Roman" w:hAnsi="Times New Roman" w:cs="Times New Roman"/>
          <w:b/>
          <w:bCs/>
          <w:sz w:val="24"/>
          <w:szCs w:val="24"/>
          <w:lang w:eastAsia="en-IL"/>
        </w:rPr>
        <w:t>Qualtrics</w:t>
      </w:r>
      <w:proofErr w:type="spellEnd"/>
      <w:r w:rsidRPr="0044370F">
        <w:rPr>
          <w:rStyle w:val="a8"/>
          <w:rFonts w:ascii="Times New Roman" w:eastAsia="Times New Roman" w:hAnsi="Times New Roman" w:cs="Times New Roman"/>
          <w:b/>
          <w:bCs/>
          <w:sz w:val="24"/>
          <w:szCs w:val="24"/>
          <w:lang w:eastAsia="en-IL"/>
        </w:rPr>
        <w:footnoteReference w:id="149"/>
      </w:r>
      <w:r w:rsidRPr="0044370F">
        <w:rPr>
          <w:rFonts w:ascii="Times New Roman" w:eastAsia="Times New Roman" w:hAnsi="Times New Roman" w:cs="Times New Roman"/>
          <w:sz w:val="24"/>
          <w:szCs w:val="24"/>
          <w:lang w:eastAsia="en-IL"/>
        </w:rPr>
        <w:t xml:space="preserve"> (experience management and survey platform) in 2018. Each acquisition brought under SAP’s control a new repository of data and users: </w:t>
      </w:r>
      <w:proofErr w:type="spellStart"/>
      <w:r w:rsidRPr="0044370F">
        <w:rPr>
          <w:rFonts w:ascii="Times New Roman" w:eastAsia="Times New Roman" w:hAnsi="Times New Roman" w:cs="Times New Roman"/>
          <w:sz w:val="24"/>
          <w:szCs w:val="24"/>
          <w:lang w:eastAsia="en-IL"/>
        </w:rPr>
        <w:t>Ariba</w:t>
      </w:r>
      <w:proofErr w:type="spellEnd"/>
      <w:r w:rsidRPr="0044370F">
        <w:rPr>
          <w:rFonts w:ascii="Times New Roman" w:eastAsia="Times New Roman" w:hAnsi="Times New Roman" w:cs="Times New Roman"/>
          <w:sz w:val="24"/>
          <w:szCs w:val="24"/>
          <w:lang w:eastAsia="en-IL"/>
        </w:rPr>
        <w:t xml:space="preserve"> links millions of suppliers and buyers, effectively controlling a big slice of B2B procurement transactions; Concur processes travel data for countless corporations; </w:t>
      </w:r>
      <w:proofErr w:type="spellStart"/>
      <w:r w:rsidRPr="0044370F">
        <w:rPr>
          <w:rFonts w:ascii="Times New Roman" w:eastAsia="Times New Roman" w:hAnsi="Times New Roman" w:cs="Times New Roman"/>
          <w:sz w:val="24"/>
          <w:szCs w:val="24"/>
          <w:lang w:eastAsia="en-IL"/>
        </w:rPr>
        <w:t>Qualtrics</w:t>
      </w:r>
      <w:proofErr w:type="spellEnd"/>
      <w:r w:rsidRPr="0044370F">
        <w:rPr>
          <w:rFonts w:ascii="Times New Roman" w:eastAsia="Times New Roman" w:hAnsi="Times New Roman" w:cs="Times New Roman"/>
          <w:sz w:val="24"/>
          <w:szCs w:val="24"/>
          <w:lang w:eastAsia="en-IL"/>
        </w:rPr>
        <w:t xml:space="preserve"> collects customer and employee sentiment data. By integrating these into its cloud portfolio, SAP created a comprehensive suite of services that lock in clients. The strategic logic is that a company using SAP for ERP</w:t>
      </w:r>
      <w:r w:rsidRPr="0044370F">
        <w:rPr>
          <w:rStyle w:val="a8"/>
          <w:rFonts w:ascii="Times New Roman" w:eastAsia="Times New Roman" w:hAnsi="Times New Roman" w:cs="Times New Roman"/>
          <w:sz w:val="24"/>
          <w:szCs w:val="24"/>
          <w:lang w:eastAsia="en-IL"/>
        </w:rPr>
        <w:footnoteReference w:id="150"/>
      </w:r>
      <w:r w:rsidRPr="0044370F">
        <w:rPr>
          <w:rFonts w:ascii="Times New Roman" w:eastAsia="Times New Roman" w:hAnsi="Times New Roman" w:cs="Times New Roman"/>
          <w:sz w:val="24"/>
          <w:szCs w:val="24"/>
          <w:lang w:eastAsia="en-IL"/>
        </w:rPr>
        <w:t xml:space="preserve"> will be inclined to use SAP for procurement, travel booking, analytics, etc., leading to end-to-end SAP ecosystems within organizations.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Another resource SAP controls is industry-specific expertise. Over the decades, SAP has built industry solutions (for sectors such as oil &amp; gas, retail, public sector, and banking) that embed specialized knowledge (e.g., regulatory compliance rules, tax calculations, and supply chain models for each industry). This intellectual capital means SAP is not just selling software, but codified know-how. A government or a Fortune 500 firm implementing SAP is effectively adopting SAP’s operating model (often re-engineering internal processes to fit SAP’s templates). This creates a dependency on SAP’s continued support and updates, and also diffuses SAP’s approach as a de facto standard in those sectors.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SAP’s large global customer base (over 400,000 customers in 180+ countries) itself is a strategic asset. The community of SAP users, partners, and certified consultants is vast. SAP curates this community through its annual events (such as the SAPPHIRE conference) and user groups, shaping discourse on enterprise tech. It can mobilize user demand to influence platform directions (for instance, pushing for specific regulations or standards that favor integrated software </w:t>
      </w:r>
      <w:r w:rsidRPr="0044370F">
        <w:rPr>
          <w:rFonts w:ascii="Times New Roman" w:eastAsia="Times New Roman" w:hAnsi="Times New Roman" w:cs="Times New Roman"/>
          <w:sz w:val="24"/>
          <w:szCs w:val="24"/>
          <w:lang w:eastAsia="en-IL"/>
        </w:rPr>
        <w:lastRenderedPageBreak/>
        <w:t xml:space="preserve">solutions). In the 2010s, SAP strategically pushed its customers toward cloud-based subscriptions (SAP Cloud, </w:t>
      </w:r>
      <w:r w:rsidR="00DD3FE9" w:rsidRPr="0044370F">
        <w:rPr>
          <w:rFonts w:ascii="Times New Roman" w:eastAsia="Times New Roman" w:hAnsi="Times New Roman" w:cs="Times New Roman"/>
          <w:sz w:val="24"/>
          <w:szCs w:val="24"/>
          <w:lang w:eastAsia="en-IL"/>
        </w:rPr>
        <w:t>Success Factors</w:t>
      </w:r>
      <w:r w:rsidRPr="0044370F">
        <w:rPr>
          <w:rFonts w:ascii="Times New Roman" w:eastAsia="Times New Roman" w:hAnsi="Times New Roman" w:cs="Times New Roman"/>
          <w:sz w:val="24"/>
          <w:szCs w:val="24"/>
          <w:lang w:eastAsia="en-IL"/>
        </w:rPr>
        <w:t xml:space="preserve"> for HR, etc.), leveraging its incumbency to shift the market towards its new offerings.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 controls resources that are less flashy than data centers or consumer data, but compelling: the </w:t>
      </w:r>
      <w:r w:rsidRPr="0044370F">
        <w:rPr>
          <w:rFonts w:ascii="Times New Roman" w:eastAsia="Times New Roman" w:hAnsi="Times New Roman" w:cs="Times New Roman"/>
          <w:i/>
          <w:iCs/>
          <w:sz w:val="24"/>
          <w:szCs w:val="24"/>
          <w:lang w:eastAsia="en-IL"/>
        </w:rPr>
        <w:t>business processes and data of global commerce</w:t>
      </w:r>
      <w:r w:rsidRPr="0044370F">
        <w:rPr>
          <w:rFonts w:ascii="Times New Roman" w:eastAsia="Times New Roman" w:hAnsi="Times New Roman" w:cs="Times New Roman"/>
          <w:sz w:val="24"/>
          <w:szCs w:val="24"/>
          <w:lang w:eastAsia="en-IL"/>
        </w:rPr>
        <w:t xml:space="preserve">. Its software is deeply entrenched in how organizations function. This control over embedded IT systems translates into a steady revenue stream (via licensing and support contracts) and a kind of soft power. SAP can decide to discontinue support for an old system or change a software feature, and thousands of companies must adapt. SAP’s role is akin to a private </w:t>
      </w:r>
      <w:r w:rsidRPr="0044370F">
        <w:rPr>
          <w:rFonts w:ascii="Times New Roman" w:eastAsia="Times New Roman" w:hAnsi="Times New Roman" w:cs="Times New Roman"/>
          <w:i/>
          <w:iCs/>
          <w:sz w:val="24"/>
          <w:szCs w:val="24"/>
          <w:lang w:eastAsia="en-IL"/>
        </w:rPr>
        <w:t>standard-setter</w:t>
      </w:r>
      <w:r w:rsidRPr="0044370F">
        <w:rPr>
          <w:rFonts w:ascii="Times New Roman" w:eastAsia="Times New Roman" w:hAnsi="Times New Roman" w:cs="Times New Roman"/>
          <w:sz w:val="24"/>
          <w:szCs w:val="24"/>
          <w:lang w:eastAsia="en-IL"/>
        </w:rPr>
        <w:t xml:space="preserve"> for doing business. By having that strategic grip on the nerve system of enterprise operations, SAP demonstrates a quieter but potent form of resource control in the digital age.</w:t>
      </w:r>
    </w:p>
    <w:p w:rsidR="0060194B" w:rsidRPr="0044370F" w:rsidRDefault="0060194B" w:rsidP="00023CA0">
      <w:pPr>
        <w:pStyle w:val="3"/>
        <w:rPr>
          <w:lang w:eastAsia="en-IL"/>
        </w:rPr>
      </w:pPr>
      <w:bookmarkStart w:id="111" w:name="_Toc222652791"/>
      <w:r w:rsidRPr="0044370F">
        <w:rPr>
          <w:lang w:eastAsia="en-IL"/>
        </w:rPr>
        <w:t>4.5.3</w:t>
      </w:r>
      <w:r w:rsidRPr="0044370F">
        <w:rPr>
          <w:lang w:eastAsia="en-IL"/>
        </w:rPr>
        <w:tab/>
        <w:t>Structural Embeddedness</w:t>
      </w:r>
      <w:bookmarkEnd w:id="111"/>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b/>
          <w:bCs/>
          <w:sz w:val="28"/>
          <w:szCs w:val="28"/>
          <w:lang w:eastAsia="en-IL"/>
        </w:rPr>
      </w:pPr>
      <w:r w:rsidRPr="0044370F">
        <w:rPr>
          <w:rFonts w:ascii="Times New Roman" w:eastAsia="Times New Roman" w:hAnsi="Times New Roman" w:cs="Times New Roman"/>
          <w:sz w:val="24"/>
          <w:szCs w:val="24"/>
          <w:lang w:eastAsia="en-IL"/>
        </w:rPr>
        <w:t>SAP’s structural embeddedness is evident in its deep integration with both economic institutions and regulatory frameworks worldwide</w:t>
      </w:r>
      <w:r w:rsidRPr="0044370F">
        <w:rPr>
          <w:rStyle w:val="a8"/>
          <w:rFonts w:ascii="Times New Roman" w:eastAsia="Times New Roman" w:hAnsi="Times New Roman" w:cs="Times New Roman"/>
          <w:sz w:val="24"/>
          <w:szCs w:val="24"/>
          <w:lang w:eastAsia="en-IL"/>
        </w:rPr>
        <w:footnoteReference w:id="151"/>
      </w:r>
      <w:r w:rsidRPr="0044370F">
        <w:rPr>
          <w:rFonts w:ascii="Times New Roman" w:eastAsia="Times New Roman" w:hAnsi="Times New Roman" w:cs="Times New Roman"/>
          <w:sz w:val="24"/>
          <w:szCs w:val="24"/>
          <w:lang w:eastAsia="en-IL"/>
        </w:rPr>
        <w:t>. As the provider of critical software to over 90% of the Forbes Global 2000 companies and numerous public-sector agencies, SAP is interwoven into the functioning of global business operations. For instance, many Fortune 500 firms cannot run their financial reporting, supply chain planning, or payroll without SAP systems, making SAP a backbone of corporate infrastructure globally. Additionally, SAP is embedded in government operations: it is the ERP provider for many national, state, and municipal governments</w:t>
      </w:r>
      <w:r w:rsidRPr="0044370F">
        <w:rPr>
          <w:rStyle w:val="a8"/>
          <w:rFonts w:ascii="Times New Roman" w:eastAsia="Times New Roman" w:hAnsi="Times New Roman" w:cs="Times New Roman"/>
          <w:sz w:val="24"/>
          <w:szCs w:val="24"/>
          <w:lang w:eastAsia="en-IL"/>
        </w:rPr>
        <w:footnoteReference w:id="152"/>
      </w:r>
      <w:r w:rsidRPr="0044370F">
        <w:rPr>
          <w:rFonts w:ascii="Times New Roman" w:eastAsia="Times New Roman" w:hAnsi="Times New Roman" w:cs="Times New Roman"/>
          <w:sz w:val="24"/>
          <w:szCs w:val="24"/>
          <w:lang w:eastAsia="en-IL"/>
        </w:rPr>
        <w:t xml:space="preserve"> (Germany’s federal government uses SAP for budgeting and HR, the US Department of Defense has had SAP implementations, etc.). When public institutions adopt SAP, the company becomes part of the administrative machinery, indirectly influencing how records are kept and services delivered. This presence in both private and public sectors means SAP often participates in high-level discussions on IT policy, public procurement standards, and data governance.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One clear example of SAP’s engagement with structural and policy frameworks is its involvement in </w:t>
      </w:r>
      <w:r w:rsidRPr="0044370F">
        <w:rPr>
          <w:rFonts w:ascii="Times New Roman" w:eastAsia="Times New Roman" w:hAnsi="Times New Roman" w:cs="Times New Roman"/>
          <w:b/>
          <w:bCs/>
          <w:sz w:val="24"/>
          <w:szCs w:val="24"/>
          <w:lang w:eastAsia="en-IL"/>
        </w:rPr>
        <w:t>international and regional initiatives on digital sovereignty and data standards</w:t>
      </w:r>
      <w:r w:rsidRPr="0044370F">
        <w:rPr>
          <w:rFonts w:ascii="Times New Roman" w:eastAsia="Times New Roman" w:hAnsi="Times New Roman" w:cs="Times New Roman"/>
          <w:sz w:val="24"/>
          <w:szCs w:val="24"/>
          <w:lang w:eastAsia="en-IL"/>
        </w:rPr>
        <w:t xml:space="preserve">. SAP was among the founding members of Europe’s </w:t>
      </w:r>
      <w:r w:rsidRPr="0044370F">
        <w:rPr>
          <w:rFonts w:ascii="Times New Roman" w:eastAsia="Times New Roman" w:hAnsi="Times New Roman" w:cs="Times New Roman"/>
          <w:b/>
          <w:bCs/>
          <w:sz w:val="24"/>
          <w:szCs w:val="24"/>
          <w:lang w:eastAsia="en-IL"/>
        </w:rPr>
        <w:t>GAIA-X</w:t>
      </w:r>
      <w:r w:rsidRPr="0044370F">
        <w:rPr>
          <w:rStyle w:val="a8"/>
          <w:rFonts w:ascii="Times New Roman" w:eastAsia="Times New Roman" w:hAnsi="Times New Roman" w:cs="Times New Roman"/>
          <w:b/>
          <w:bCs/>
          <w:sz w:val="24"/>
          <w:szCs w:val="24"/>
          <w:lang w:eastAsia="en-IL"/>
        </w:rPr>
        <w:footnoteReference w:id="153"/>
      </w:r>
      <w:r w:rsidRPr="0044370F">
        <w:rPr>
          <w:rFonts w:ascii="Times New Roman" w:eastAsia="Times New Roman" w:hAnsi="Times New Roman" w:cs="Times New Roman"/>
          <w:sz w:val="24"/>
          <w:szCs w:val="24"/>
          <w:lang w:eastAsia="en-IL"/>
        </w:rPr>
        <w:t xml:space="preserve"> project, an initiative to build a federated, sovereign European cloud infrastructure. By taking part in GAIA-X’s development (alongside governments and other firms), SAP helps shape the rules for cloud data portability, security, and interoperability in Europe. This aligns with SAP’s interest in an open marketplace where its services can interoperate, as well as Europe’s interest in reducing its dependency on non-European tech giants. Similarly, SAP is a member of the </w:t>
      </w:r>
      <w:r w:rsidRPr="0044370F">
        <w:rPr>
          <w:rFonts w:ascii="Times New Roman" w:eastAsia="Times New Roman" w:hAnsi="Times New Roman" w:cs="Times New Roman"/>
          <w:b/>
          <w:bCs/>
          <w:sz w:val="24"/>
          <w:szCs w:val="24"/>
          <w:lang w:eastAsia="en-IL"/>
        </w:rPr>
        <w:t>International Data Spaces Association (IDSA)</w:t>
      </w:r>
      <w:r w:rsidRPr="0044370F">
        <w:rPr>
          <w:rFonts w:ascii="Times New Roman" w:eastAsia="Times New Roman" w:hAnsi="Times New Roman" w:cs="Times New Roman"/>
          <w:sz w:val="24"/>
          <w:szCs w:val="24"/>
          <w:lang w:eastAsia="en-IL"/>
        </w:rPr>
        <w:t>, which defines an architecture for secure data exchange between organizations. Through IDSA, SAP contributes to setting norms on how data can be shared while respecting privacy and confidentiality, norms that could underpin future regulations or standard business contracts. These roles illustrate SAP acting almost as a quasi-regulatory actor, using its technical expertise and market position to influence the creation of standards that it then implements in its products.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SAP’s embeddedness in legal compliance systems is another dimension. SAP software is often updated to reflect new regulations, tax changes, accounting standards such as IFRS, and data protection laws such as GDPR</w:t>
      </w:r>
      <w:r w:rsidRPr="0044370F">
        <w:rPr>
          <w:rStyle w:val="a8"/>
          <w:rFonts w:ascii="Times New Roman" w:eastAsia="Times New Roman" w:hAnsi="Times New Roman" w:cs="Times New Roman"/>
          <w:sz w:val="24"/>
          <w:szCs w:val="24"/>
          <w:lang w:eastAsia="en-IL"/>
        </w:rPr>
        <w:footnoteReference w:id="154"/>
      </w:r>
      <w:r w:rsidRPr="0044370F">
        <w:rPr>
          <w:rFonts w:ascii="Times New Roman" w:eastAsia="Times New Roman" w:hAnsi="Times New Roman" w:cs="Times New Roman"/>
          <w:sz w:val="24"/>
          <w:szCs w:val="24"/>
          <w:lang w:eastAsia="en-IL"/>
        </w:rPr>
        <w:t xml:space="preserve">. In fact, SAP usually works closely with regulators and standards bodies to ensure its software meets new requirements before they take effect. For instance, when GDPR was being rolled out in the EU, SAP added features for consent tracking and data anonymization in its software, essentially embedding the legal norms into code. Moreover, SAP engages in partnerships such as the </w:t>
      </w:r>
      <w:r w:rsidRPr="0044370F">
        <w:rPr>
          <w:rFonts w:ascii="Times New Roman" w:eastAsia="Times New Roman" w:hAnsi="Times New Roman" w:cs="Times New Roman"/>
          <w:b/>
          <w:bCs/>
          <w:sz w:val="24"/>
          <w:szCs w:val="24"/>
          <w:lang w:eastAsia="en-IL"/>
        </w:rPr>
        <w:t>UN Global Compact</w:t>
      </w:r>
      <w:r w:rsidRPr="0044370F">
        <w:rPr>
          <w:rFonts w:ascii="Times New Roman" w:eastAsia="Times New Roman" w:hAnsi="Times New Roman" w:cs="Times New Roman"/>
          <w:sz w:val="24"/>
          <w:szCs w:val="24"/>
          <w:lang w:eastAsia="en-IL"/>
        </w:rPr>
        <w:t>, serving as an early signatory and committing to principles that align business with UN values. While largely voluntary, these commitments signal SAP’s integration into global governance conversations around corporate responsibility and transparency.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Additionally, SAP’s training and certification ecosystem structurally embeds it into labor markets. Millions of professionals are trained in SAP software; SAP collaborates with universities and </w:t>
      </w:r>
      <w:r w:rsidRPr="0044370F">
        <w:rPr>
          <w:rFonts w:ascii="Times New Roman" w:eastAsia="Times New Roman" w:hAnsi="Times New Roman" w:cs="Times New Roman"/>
          <w:sz w:val="24"/>
          <w:szCs w:val="24"/>
          <w:lang w:eastAsia="en-IL"/>
        </w:rPr>
        <w:lastRenderedPageBreak/>
        <w:t>institutes to integrate its modules into curricula. This creates a workforce aligned with SAP, which in turn encourages companies to stick with SAP (because talent is readily available).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From a geopolitical perspective, SAP (unlike Meta or Huawei) tends to fly under the radar and adapt to host-country rules without sparking open conflict. For instance, SAP operates in China in compliance with data localization laws by using local cloud providers, embedding itself by adapting to structural constraints rather than challenging them. In places like the Middle East, SAP has supported local initiatives aligned with government visions (e.g., helping Gulf states implement digital government programs), thereby cementing its position as a trusted partner in national development.</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SAP’s structural embeddedness can be characterized as </w:t>
      </w:r>
      <w:r w:rsidRPr="0044370F">
        <w:rPr>
          <w:rFonts w:ascii="Times New Roman" w:eastAsia="Times New Roman" w:hAnsi="Times New Roman" w:cs="Times New Roman"/>
          <w:b/>
          <w:bCs/>
          <w:sz w:val="24"/>
          <w:szCs w:val="24"/>
          <w:lang w:eastAsia="en-IL"/>
        </w:rPr>
        <w:t>institutional and normative embedding</w:t>
      </w:r>
      <w:r w:rsidRPr="0044370F">
        <w:rPr>
          <w:rFonts w:ascii="Times New Roman" w:eastAsia="Times New Roman" w:hAnsi="Times New Roman" w:cs="Times New Roman"/>
          <w:sz w:val="24"/>
          <w:szCs w:val="24"/>
          <w:lang w:eastAsia="en-IL"/>
        </w:rPr>
        <w:t>. It aligns closely with established institutions (companies, governments, standard bodies) and embeds its technology so deeply that it becomes part of the institutional fabric. By actively engaging in policy and standards development, SAP both anticipates and influences structural conditions, ensuring that the evolving digital governance environment remains favorable or at least navigable for its business model. SAP’s case shows that a corporation can achieve quasi-sovereign integration not by overtly defying regulations but by helping to craft and internalize them, essentially becoming a pillar of the existing order.</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SAP’s embeddedness exemplifies a form of institutional power exercised through procedural standardization rather than direct political engagement. By encoding administrative rules, compliance requirements, and reporting logics into software architectures, SAP effectively shapes how organizations and public institutions operate on a day-to-day basis. This mode of authority aligns with institutionalist accounts of power, in which governance is enacted through </w:t>
      </w:r>
      <w:proofErr w:type="spellStart"/>
      <w:r w:rsidRPr="0044370F">
        <w:rPr>
          <w:rFonts w:ascii="Times New Roman" w:eastAsia="Times New Roman" w:hAnsi="Times New Roman" w:cs="Times New Roman"/>
          <w:sz w:val="24"/>
          <w:szCs w:val="24"/>
        </w:rPr>
        <w:t>routinization</w:t>
      </w:r>
      <w:proofErr w:type="spellEnd"/>
      <w:r w:rsidRPr="0044370F">
        <w:rPr>
          <w:rFonts w:ascii="Times New Roman" w:eastAsia="Times New Roman" w:hAnsi="Times New Roman" w:cs="Times New Roman"/>
          <w:sz w:val="24"/>
          <w:szCs w:val="24"/>
        </w:rPr>
        <w:t>, standard-setting, and dependency rather than overt control. SAP’s influence thus operates below the threshold of public visibility, yet exerts durable effects on governance outcomes.</w:t>
      </w:r>
    </w:p>
    <w:p w:rsidR="00023CA0" w:rsidRPr="0044370F" w:rsidRDefault="00023CA0" w:rsidP="0060194B">
      <w:pPr>
        <w:spacing w:beforeAutospacing="1" w:after="100" w:afterAutospacing="1" w:line="360" w:lineRule="auto"/>
        <w:jc w:val="both"/>
        <w:rPr>
          <w:rFonts w:ascii="Times New Roman" w:eastAsia="Times New Roman" w:hAnsi="Times New Roman" w:cs="Times New Roman"/>
          <w:sz w:val="24"/>
          <w:szCs w:val="24"/>
        </w:rPr>
      </w:pPr>
    </w:p>
    <w:p w:rsidR="00023CA0" w:rsidRPr="0044370F" w:rsidRDefault="00023CA0" w:rsidP="0060194B">
      <w:pPr>
        <w:spacing w:beforeAutospacing="1" w:after="100" w:afterAutospacing="1" w:line="360" w:lineRule="auto"/>
        <w:jc w:val="both"/>
        <w:rPr>
          <w:rFonts w:ascii="Times New Roman" w:eastAsia="Times New Roman" w:hAnsi="Times New Roman" w:cs="Times New Roman"/>
          <w:sz w:val="24"/>
          <w:szCs w:val="24"/>
        </w:rPr>
      </w:pPr>
    </w:p>
    <w:p w:rsidR="0060194B" w:rsidRPr="0044370F" w:rsidRDefault="0060194B" w:rsidP="00023CA0">
      <w:pPr>
        <w:pStyle w:val="3"/>
        <w:rPr>
          <w:lang w:eastAsia="en-IL"/>
        </w:rPr>
      </w:pPr>
      <w:bookmarkStart w:id="112" w:name="_Toc222652792"/>
      <w:r w:rsidRPr="0044370F">
        <w:rPr>
          <w:lang w:eastAsia="en-IL"/>
        </w:rPr>
        <w:lastRenderedPageBreak/>
        <w:t>4.5.4</w:t>
      </w:r>
      <w:r w:rsidRPr="0044370F">
        <w:rPr>
          <w:lang w:eastAsia="en-IL"/>
        </w:rPr>
        <w:tab/>
        <w:t>Normative Legitimacy</w:t>
      </w:r>
      <w:bookmarkEnd w:id="112"/>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hAnsi="Times New Roman"/>
          <w:sz w:val="24"/>
        </w:rPr>
        <w:t xml:space="preserve">SAP projects an image of </w:t>
      </w:r>
      <w:r w:rsidRPr="0044370F">
        <w:rPr>
          <w:rFonts w:ascii="Times New Roman" w:eastAsia="Times New Roman" w:hAnsi="Times New Roman" w:cs="Times New Roman"/>
          <w:sz w:val="24"/>
          <w:szCs w:val="24"/>
          <w:lang w:eastAsia="en-IL"/>
        </w:rPr>
        <w:t>strong normative legitimacy, characterized by its commitment to legal compliance, ethical business</w:t>
      </w:r>
      <w:r w:rsidRPr="0044370F">
        <w:rPr>
          <w:rFonts w:ascii="Times New Roman" w:hAnsi="Times New Roman"/>
          <w:sz w:val="24"/>
        </w:rPr>
        <w:t>, and social responsibility</w:t>
      </w:r>
      <w:r w:rsidRPr="0044370F">
        <w:rPr>
          <w:rStyle w:val="a8"/>
          <w:rFonts w:ascii="Times New Roman" w:hAnsi="Times New Roman"/>
          <w:sz w:val="24"/>
        </w:rPr>
        <w:footnoteReference w:id="155"/>
      </w:r>
      <w:r w:rsidRPr="0044370F">
        <w:rPr>
          <w:rFonts w:ascii="Times New Roman" w:eastAsia="Times New Roman" w:hAnsi="Times New Roman" w:cs="Times New Roman"/>
          <w:sz w:val="24"/>
          <w:szCs w:val="24"/>
          <w:lang w:eastAsia="en-IL"/>
        </w:rPr>
        <w:t>.</w:t>
      </w:r>
      <w:r w:rsidRPr="0044370F">
        <w:rPr>
          <w:rFonts w:ascii="Times New Roman" w:hAnsi="Times New Roman"/>
          <w:sz w:val="24"/>
        </w:rPr>
        <w:t xml:space="preserve"> Unlike </w:t>
      </w:r>
      <w:r w:rsidRPr="0044370F">
        <w:rPr>
          <w:rFonts w:ascii="Times New Roman" w:eastAsia="Times New Roman" w:hAnsi="Times New Roman" w:cs="Times New Roman"/>
          <w:sz w:val="24"/>
          <w:szCs w:val="24"/>
          <w:lang w:eastAsia="en-IL"/>
        </w:rPr>
        <w:t xml:space="preserve">obvious consumer tech companies, SAP has maintained a relatively low public profile, and its </w:t>
      </w:r>
      <w:r w:rsidRPr="0044370F">
        <w:rPr>
          <w:rFonts w:ascii="Times New Roman" w:hAnsi="Times New Roman"/>
          <w:sz w:val="24"/>
        </w:rPr>
        <w:t xml:space="preserve">legitimacy is </w:t>
      </w:r>
      <w:r w:rsidRPr="0044370F">
        <w:rPr>
          <w:rFonts w:ascii="Times New Roman" w:eastAsia="Times New Roman" w:hAnsi="Times New Roman" w:cs="Times New Roman"/>
          <w:sz w:val="24"/>
          <w:szCs w:val="24"/>
          <w:lang w:eastAsia="en-IL"/>
        </w:rPr>
        <w:t>seldom</w:t>
      </w:r>
      <w:r w:rsidRPr="0044370F">
        <w:rPr>
          <w:rFonts w:ascii="Times New Roman" w:hAnsi="Times New Roman"/>
          <w:sz w:val="24"/>
        </w:rPr>
        <w:t xml:space="preserve"> publicly contested</w:t>
      </w:r>
      <w:r w:rsidRPr="0044370F">
        <w:rPr>
          <w:rFonts w:ascii="Times New Roman" w:eastAsia="Times New Roman" w:hAnsi="Times New Roman" w:cs="Times New Roman"/>
          <w:sz w:val="24"/>
          <w:szCs w:val="24"/>
          <w:lang w:eastAsia="en-IL"/>
        </w:rPr>
        <w:t xml:space="preserve">. This is partly because SAP deals with business-to-business and government markets, meaning it is not typically at the center of public controversies or mass user movements. However, the </w:t>
      </w:r>
      <w:r w:rsidRPr="0044370F">
        <w:rPr>
          <w:rFonts w:ascii="Times New Roman" w:eastAsia="Times New Roman" w:hAnsi="Times New Roman" w:cs="Times New Roman"/>
          <w:i/>
          <w:iCs/>
          <w:sz w:val="24"/>
          <w:szCs w:val="24"/>
          <w:lang w:eastAsia="en-IL"/>
        </w:rPr>
        <w:t>absence</w:t>
      </w:r>
      <w:r w:rsidRPr="0044370F">
        <w:rPr>
          <w:rFonts w:ascii="Times New Roman" w:eastAsia="Times New Roman" w:hAnsi="Times New Roman" w:cs="Times New Roman"/>
          <w:sz w:val="24"/>
          <w:szCs w:val="24"/>
          <w:lang w:eastAsia="en-IL"/>
        </w:rPr>
        <w:t xml:space="preserve"> of controversy itself speaks to SAP's alignment with prevailing norms.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One pillar of SAP’s legitimacy is its reputation for </w:t>
      </w:r>
      <w:r w:rsidRPr="0044370F">
        <w:rPr>
          <w:rFonts w:ascii="Times New Roman" w:eastAsia="Times New Roman" w:hAnsi="Times New Roman" w:cs="Times New Roman"/>
          <w:b/>
          <w:bCs/>
          <w:sz w:val="24"/>
          <w:szCs w:val="24"/>
          <w:lang w:eastAsia="en-IL"/>
        </w:rPr>
        <w:t>compliance and integrity</w:t>
      </w:r>
      <w:r w:rsidRPr="0044370F">
        <w:rPr>
          <w:rFonts w:ascii="Times New Roman" w:eastAsia="Times New Roman" w:hAnsi="Times New Roman" w:cs="Times New Roman"/>
          <w:sz w:val="24"/>
          <w:szCs w:val="24"/>
          <w:lang w:eastAsia="en-IL"/>
        </w:rPr>
        <w:t xml:space="preserve">. SAP operates in some of the most strictly regulated domains (e.g., public sector finance, healthcare data, defense contracting via its software) and therefore places heavy emphasis on meeting all regulatory standards. SAP’s products are routinely certified for </w:t>
      </w:r>
      <w:proofErr w:type="spellStart"/>
      <w:r w:rsidRPr="0044370F">
        <w:rPr>
          <w:rFonts w:ascii="Times New Roman" w:eastAsia="Times New Roman" w:hAnsi="Times New Roman" w:cs="Times New Roman" w:hint="cs"/>
          <w:sz w:val="24"/>
          <w:szCs w:val="24"/>
          <w:rtl/>
          <w:lang w:eastAsia="en-IL"/>
        </w:rPr>
        <w:t>international</w:t>
      </w:r>
      <w:proofErr w:type="spellEnd"/>
      <w:r w:rsidRPr="0044370F">
        <w:rPr>
          <w:rFonts w:ascii="Times New Roman" w:eastAsia="Times New Roman" w:hAnsi="Times New Roman" w:cs="Times New Roman" w:hint="cs"/>
          <w:sz w:val="24"/>
          <w:szCs w:val="24"/>
          <w:rtl/>
          <w:lang w:eastAsia="en-IL"/>
        </w:rPr>
        <w:t xml:space="preserve"> </w:t>
      </w:r>
      <w:proofErr w:type="spellStart"/>
      <w:r w:rsidRPr="0044370F">
        <w:rPr>
          <w:rFonts w:ascii="Times New Roman" w:eastAsia="Times New Roman" w:hAnsi="Times New Roman" w:cs="Times New Roman" w:hint="cs"/>
          <w:sz w:val="24"/>
          <w:szCs w:val="24"/>
          <w:rtl/>
          <w:lang w:eastAsia="en-IL"/>
        </w:rPr>
        <w:t>standards</w:t>
      </w:r>
      <w:proofErr w:type="spellEnd"/>
      <w:r w:rsidRPr="0044370F">
        <w:rPr>
          <w:rFonts w:ascii="Times New Roman" w:eastAsia="Times New Roman" w:hAnsi="Times New Roman" w:cs="Times New Roman" w:hint="cs"/>
          <w:sz w:val="24"/>
          <w:szCs w:val="24"/>
          <w:rtl/>
          <w:lang w:eastAsia="en-IL"/>
        </w:rPr>
        <w:t xml:space="preserve"> </w:t>
      </w:r>
      <w:proofErr w:type="spellStart"/>
      <w:r w:rsidRPr="0044370F">
        <w:rPr>
          <w:rFonts w:ascii="Times New Roman" w:eastAsia="Times New Roman" w:hAnsi="Times New Roman" w:cs="Times New Roman" w:hint="cs"/>
          <w:sz w:val="24"/>
          <w:szCs w:val="24"/>
          <w:rtl/>
          <w:lang w:eastAsia="en-IL"/>
        </w:rPr>
        <w:t>such</w:t>
      </w:r>
      <w:proofErr w:type="spellEnd"/>
      <w:r w:rsidRPr="0044370F">
        <w:rPr>
          <w:rFonts w:ascii="Times New Roman" w:eastAsia="Times New Roman" w:hAnsi="Times New Roman" w:cs="Times New Roman" w:hint="cs"/>
          <w:sz w:val="24"/>
          <w:szCs w:val="24"/>
          <w:rtl/>
          <w:lang w:eastAsia="en-IL"/>
        </w:rPr>
        <w:t xml:space="preserve"> </w:t>
      </w:r>
      <w:proofErr w:type="spellStart"/>
      <w:r w:rsidRPr="0044370F">
        <w:rPr>
          <w:rFonts w:ascii="Times New Roman" w:eastAsia="Times New Roman" w:hAnsi="Times New Roman" w:cs="Times New Roman" w:hint="cs"/>
          <w:sz w:val="24"/>
          <w:szCs w:val="24"/>
          <w:rtl/>
          <w:lang w:eastAsia="en-IL"/>
        </w:rPr>
        <w:t>as</w:t>
      </w:r>
      <w:proofErr w:type="spellEnd"/>
      <w:r w:rsidRPr="0044370F">
        <w:rPr>
          <w:rFonts w:ascii="Times New Roman" w:eastAsia="Times New Roman" w:hAnsi="Times New Roman" w:cs="Times New Roman"/>
          <w:sz w:val="24"/>
          <w:szCs w:val="24"/>
          <w:lang w:eastAsia="en-IL"/>
        </w:rPr>
        <w:t xml:space="preserve"> ISO 9001 (quality management) and ISO 27001</w:t>
      </w:r>
      <w:r w:rsidRPr="0044370F">
        <w:rPr>
          <w:rStyle w:val="a8"/>
          <w:rFonts w:ascii="Times New Roman" w:eastAsia="Times New Roman" w:hAnsi="Times New Roman" w:cs="Times New Roman"/>
          <w:sz w:val="24"/>
          <w:szCs w:val="24"/>
          <w:lang w:eastAsia="en-IL"/>
        </w:rPr>
        <w:footnoteReference w:id="156"/>
      </w:r>
      <w:r w:rsidRPr="0044370F">
        <w:rPr>
          <w:rFonts w:ascii="Times New Roman" w:eastAsia="Times New Roman" w:hAnsi="Times New Roman" w:cs="Times New Roman"/>
          <w:sz w:val="24"/>
          <w:szCs w:val="24"/>
          <w:lang w:eastAsia="en-IL"/>
        </w:rPr>
        <w:t xml:space="preserve"> (information security management). The company has internal controls and audit mechanisms to ensure that its software development and consulting practices comply with laws such as anti-bribery statutes (SAP, for instance, enhanced its compliance program following a bribery incident in South Africa years ago). SAP publicly endorses frameworks such as the UN Global Compact, having been among the first 50 signatories to the initiative. This signals commitment to tenets of human rights, labor standards, environmental stewardship, and anti-corruption. By aligning with the UNGC and reporting progress, SAP gains global recognition for its corporate conduct standards.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Corporate social responsibility (CSR) is another area where SAP seeks normative approval. The company invests in sustainability programs, aiming for carbon neutrality in its operations and helping customers track their carbon footprints through SAP software. SAP co-founded the </w:t>
      </w:r>
      <w:r w:rsidRPr="0044370F">
        <w:rPr>
          <w:rFonts w:ascii="Times New Roman" w:eastAsia="Times New Roman" w:hAnsi="Times New Roman" w:cs="Times New Roman"/>
          <w:b/>
          <w:bCs/>
          <w:sz w:val="24"/>
          <w:szCs w:val="24"/>
          <w:lang w:eastAsia="en-IL"/>
        </w:rPr>
        <w:t>Value Balancing Alliance</w:t>
      </w:r>
      <w:r w:rsidRPr="0044370F">
        <w:rPr>
          <w:rFonts w:ascii="Times New Roman" w:eastAsia="Times New Roman" w:hAnsi="Times New Roman" w:cs="Times New Roman"/>
          <w:sz w:val="24"/>
          <w:szCs w:val="24"/>
          <w:lang w:eastAsia="en-IL"/>
        </w:rPr>
        <w:t xml:space="preserve">, an initiative to develop methodologies for companies to measure and disclose environmental and social value alongside financial results. These actions position SAP as a leader in integrating sustainability into business, consistent with European corporate norms. SAP also </w:t>
      </w:r>
      <w:r w:rsidRPr="0044370F">
        <w:rPr>
          <w:rFonts w:ascii="Times New Roman" w:eastAsia="Times New Roman" w:hAnsi="Times New Roman" w:cs="Times New Roman"/>
          <w:sz w:val="24"/>
          <w:szCs w:val="24"/>
          <w:lang w:eastAsia="en-IL"/>
        </w:rPr>
        <w:lastRenderedPageBreak/>
        <w:t>promotes diversity and inclusion internally, frequently winning accolades as a top employer, which bolsters its legitimacy as a socially conscious company.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SAP’s legitimacy is also maintained through the trust of its clients. Because SAP handles critical processes and sensitive data for enterprises and governments, trust is paramount. SAP has avoided major data breach scandals or misuse-of-data allegations that have plagued consumer tech companies, in part because it doesn’t monetize data in the same way; its revenue comes from software licenses and services, not advertising. This business model inherently aligns better with customer interests in data protection. Furthermore, SAP often works closely with customers in user groups to incorporate feedback, showing responsiveness and co-development, which reinforces stakeholder trust.</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While SAP’s public legitimacy is strong, it is worth noting that no large company is without issues. SAP has faced isolated criticisms or legal issues, for example, it paid a settlement over a cloud software contract issue in 2015, and the South Africa</w:t>
      </w:r>
      <w:r w:rsidRPr="0044370F">
        <w:rPr>
          <w:rStyle w:val="a8"/>
          <w:rFonts w:ascii="Times New Roman" w:eastAsia="Times New Roman" w:hAnsi="Times New Roman" w:cs="Times New Roman"/>
          <w:sz w:val="24"/>
          <w:szCs w:val="24"/>
          <w:lang w:eastAsia="en-IL"/>
        </w:rPr>
        <w:footnoteReference w:id="157"/>
      </w:r>
      <w:r w:rsidRPr="0044370F">
        <w:rPr>
          <w:rFonts w:ascii="Times New Roman" w:eastAsia="Times New Roman" w:hAnsi="Times New Roman" w:cs="Times New Roman"/>
          <w:sz w:val="24"/>
          <w:szCs w:val="24"/>
          <w:lang w:eastAsia="en-IL"/>
        </w:rPr>
        <w:t xml:space="preserve"> corruption case (involving third-party sales agents bribing officials) briefly hurt its image</w:t>
      </w:r>
      <w:r w:rsidRPr="0044370F">
        <w:rPr>
          <w:rStyle w:val="a8"/>
          <w:rFonts w:ascii="Times New Roman" w:eastAsia="Times New Roman" w:hAnsi="Times New Roman" w:cs="Times New Roman"/>
          <w:sz w:val="24"/>
          <w:szCs w:val="24"/>
          <w:lang w:eastAsia="en-IL"/>
        </w:rPr>
        <w:footnoteReference w:id="158"/>
      </w:r>
      <w:r w:rsidRPr="0044370F">
        <w:rPr>
          <w:rFonts w:ascii="Times New Roman" w:eastAsia="Times New Roman" w:hAnsi="Times New Roman" w:cs="Times New Roman"/>
          <w:sz w:val="24"/>
          <w:szCs w:val="24"/>
          <w:lang w:eastAsia="en-IL"/>
        </w:rPr>
        <w:t>. However, SAP’s response was to apologize, cooperate with investigations, and improve compliance, steps that helped restore confidence. The fact that these issues did not balloon into existential crises or global backlash indicates that SAP’s overall reservoir of goodwill and legitimacy is substantial.</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the context of quasi-sovereign power, SAP’s normative legitimacy is interesting because it underpins the quiet influence SAP has. Customers and regulators generally perceive SAP as a </w:t>
      </w:r>
      <w:r w:rsidRPr="0044370F">
        <w:rPr>
          <w:rFonts w:ascii="Times New Roman" w:eastAsia="Times New Roman" w:hAnsi="Times New Roman" w:cs="Times New Roman"/>
          <w:i/>
          <w:iCs/>
          <w:sz w:val="24"/>
          <w:szCs w:val="24"/>
          <w:lang w:eastAsia="en-IL"/>
        </w:rPr>
        <w:t>neutral, technical actor</w:t>
      </w:r>
      <w:r w:rsidRPr="0044370F">
        <w:rPr>
          <w:rFonts w:ascii="Times New Roman" w:eastAsia="Times New Roman" w:hAnsi="Times New Roman" w:cs="Times New Roman"/>
          <w:sz w:val="24"/>
          <w:szCs w:val="24"/>
          <w:lang w:eastAsia="en-IL"/>
        </w:rPr>
        <w:t>, more like an infrastructure company or consultancy than a domineering tech giant. This perception allows SAP to effect changes (like standardizing processes) with little resistance. For instance, when SAP nudges its clients toward a new practice (such as adopting cloud-based HR systems that incorporate global best practices on diversity reporting), clients accept it as part of modernization, not as SAP imposing values, even though, indirectly, SAP is spreading certain norms (like transparency or efficiency).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SAP’s normative legitimacy arises from </w:t>
      </w:r>
      <w:r w:rsidRPr="0044370F">
        <w:rPr>
          <w:rFonts w:ascii="Times New Roman" w:eastAsia="Times New Roman" w:hAnsi="Times New Roman" w:cs="Times New Roman"/>
          <w:b/>
          <w:bCs/>
          <w:sz w:val="24"/>
          <w:szCs w:val="24"/>
          <w:lang w:eastAsia="en-IL"/>
        </w:rPr>
        <w:t>consistent alignment with societal and legal</w:t>
      </w:r>
      <w:r w:rsidRPr="0044370F">
        <w:rPr>
          <w:rFonts w:ascii="Times New Roman" w:hAnsi="Times New Roman"/>
          <w:b/>
          <w:sz w:val="24"/>
        </w:rPr>
        <w:t xml:space="preserve"> expectations</w:t>
      </w:r>
      <w:r w:rsidRPr="0044370F">
        <w:rPr>
          <w:rFonts w:ascii="Times New Roman" w:hAnsi="Times New Roman"/>
          <w:sz w:val="24"/>
        </w:rPr>
        <w:t>.</w:t>
      </w:r>
      <w:r w:rsidRPr="0044370F">
        <w:rPr>
          <w:rFonts w:ascii="Times New Roman" w:eastAsia="Times New Roman" w:hAnsi="Times New Roman" w:cs="Times New Roman"/>
          <w:sz w:val="24"/>
          <w:szCs w:val="24"/>
          <w:lang w:eastAsia="en-IL"/>
        </w:rPr>
        <w:t xml:space="preserve"> By being a champion of compliance, an early supporter of global initiatives for good corporate behavior, and largely avoiding consumer-facing missteps, SAP maintains a credible, if somewhat background, public image. Its authority, therefore, is seen as more </w:t>
      </w:r>
      <w:r w:rsidRPr="0044370F">
        <w:rPr>
          <w:rFonts w:ascii="Times New Roman" w:eastAsia="Times New Roman" w:hAnsi="Times New Roman" w:cs="Times New Roman"/>
          <w:b/>
          <w:bCs/>
          <w:sz w:val="24"/>
          <w:szCs w:val="24"/>
          <w:lang w:eastAsia="en-IL"/>
        </w:rPr>
        <w:t>technocratic than ideological</w:t>
      </w:r>
      <w:r w:rsidRPr="0044370F">
        <w:rPr>
          <w:rFonts w:ascii="Times New Roman" w:eastAsia="Times New Roman" w:hAnsi="Times New Roman" w:cs="Times New Roman"/>
          <w:sz w:val="24"/>
          <w:szCs w:val="24"/>
          <w:lang w:eastAsia="en-IL"/>
        </w:rPr>
        <w:t>. SAP is trusted to get the job done correctly and securely, rather than to engage in political or social engineering. This form of legitimacy is by design and essential to SAP’s quasi-sovereign position: stakeholders grant SAP broad influence over their systems precisely because they trust its integrity and competence.</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compliance-oriented legitimacy aligns with the framework’s conception of normative authority as acceptance through institutional trust rather than public visibility.</w:t>
      </w:r>
    </w:p>
    <w:p w:rsidR="0060194B" w:rsidRPr="0044370F" w:rsidRDefault="0060194B" w:rsidP="00023CA0">
      <w:pPr>
        <w:pStyle w:val="3"/>
        <w:rPr>
          <w:lang w:eastAsia="en-IL"/>
        </w:rPr>
      </w:pPr>
      <w:bookmarkStart w:id="113" w:name="_Toc222652793"/>
      <w:r w:rsidRPr="0044370F">
        <w:t>4.5.5</w:t>
      </w:r>
      <w:r w:rsidRPr="0044370F">
        <w:tab/>
        <w:t xml:space="preserve">Infrastructural </w:t>
      </w:r>
      <w:r w:rsidRPr="0044370F">
        <w:rPr>
          <w:lang w:eastAsia="en-IL"/>
        </w:rPr>
        <w:t>Power</w:t>
      </w:r>
      <w:bookmarkEnd w:id="113"/>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Infrastructural </w:t>
      </w:r>
      <w:r w:rsidRPr="0044370F">
        <w:rPr>
          <w:rFonts w:ascii="Times New Roman" w:hAnsi="Times New Roman"/>
          <w:sz w:val="24"/>
        </w:rPr>
        <w:t xml:space="preserve">power </w:t>
      </w:r>
      <w:r w:rsidRPr="0044370F">
        <w:rPr>
          <w:rFonts w:ascii="Times New Roman" w:eastAsia="Times New Roman" w:hAnsi="Times New Roman" w:cs="Times New Roman"/>
          <w:sz w:val="24"/>
          <w:szCs w:val="24"/>
          <w:lang w:eastAsia="en-IL"/>
        </w:rPr>
        <w:t xml:space="preserve">for SAP </w:t>
      </w:r>
      <w:r w:rsidRPr="0044370F">
        <w:rPr>
          <w:rFonts w:ascii="Times New Roman" w:hAnsi="Times New Roman"/>
          <w:sz w:val="24"/>
        </w:rPr>
        <w:t xml:space="preserve">resides in </w:t>
      </w:r>
      <w:r w:rsidRPr="0044370F">
        <w:rPr>
          <w:rFonts w:ascii="Times New Roman" w:eastAsia="Times New Roman" w:hAnsi="Times New Roman" w:cs="Times New Roman"/>
          <w:sz w:val="24"/>
          <w:szCs w:val="24"/>
          <w:lang w:eastAsia="en-IL"/>
        </w:rPr>
        <w:t>its</w:t>
      </w:r>
      <w:r w:rsidRPr="0044370F">
        <w:rPr>
          <w:rFonts w:ascii="Times New Roman" w:hAnsi="Times New Roman"/>
          <w:sz w:val="24"/>
        </w:rPr>
        <w:t xml:space="preserve"> ability to define and embed digital standards across industries</w:t>
      </w:r>
      <w:r w:rsidRPr="0044370F">
        <w:rPr>
          <w:rFonts w:ascii="Times New Roman" w:eastAsia="Times New Roman" w:hAnsi="Times New Roman" w:cs="Times New Roman"/>
          <w:sz w:val="24"/>
          <w:szCs w:val="24"/>
          <w:lang w:eastAsia="en-IL"/>
        </w:rPr>
        <w:t xml:space="preserve"> and governments through the diffusion of its software</w:t>
      </w:r>
      <w:r w:rsidRPr="0044370F">
        <w:rPr>
          <w:rStyle w:val="a8"/>
          <w:rFonts w:ascii="Times New Roman" w:eastAsia="Times New Roman" w:hAnsi="Times New Roman" w:cs="Times New Roman"/>
          <w:sz w:val="24"/>
          <w:szCs w:val="24"/>
          <w:lang w:eastAsia="en-IL"/>
        </w:rPr>
        <w:footnoteReference w:id="159"/>
      </w:r>
      <w:r w:rsidRPr="0044370F">
        <w:rPr>
          <w:rFonts w:ascii="Times New Roman" w:eastAsia="Times New Roman" w:hAnsi="Times New Roman" w:cs="Times New Roman"/>
          <w:sz w:val="24"/>
          <w:szCs w:val="24"/>
          <w:lang w:eastAsia="en-IL"/>
        </w:rPr>
        <w:t xml:space="preserve">. SAP’s products often include predefined business process templates, data schemas, and best-practice models. When an organization implements SAP, it frequently adapts its internal processes to match SAP’s recommended process flows (since customizing the software is possible but costly and complex, many opt to adjust their ways of working to the “SAP way”). </w:t>
      </w:r>
      <w:r w:rsidR="00DD3FE9" w:rsidRPr="0044370F">
        <w:rPr>
          <w:rFonts w:ascii="Times New Roman" w:eastAsia="Times New Roman" w:hAnsi="Times New Roman" w:cs="Times New Roman"/>
          <w:sz w:val="24"/>
          <w:szCs w:val="24"/>
          <w:lang w:eastAsia="en-IL"/>
        </w:rPr>
        <w:t>This means SAP’s design decision</w:t>
      </w:r>
      <w:r w:rsidRPr="0044370F">
        <w:rPr>
          <w:rFonts w:ascii="Times New Roman" w:eastAsia="Times New Roman" w:hAnsi="Times New Roman" w:cs="Times New Roman"/>
          <w:sz w:val="24"/>
          <w:szCs w:val="24"/>
          <w:lang w:eastAsia="en-IL"/>
        </w:rPr>
        <w:t xml:space="preserve"> effectively </w:t>
      </w:r>
      <w:proofErr w:type="gramStart"/>
      <w:r w:rsidRPr="0044370F">
        <w:rPr>
          <w:rFonts w:ascii="Times New Roman" w:eastAsia="Times New Roman" w:hAnsi="Times New Roman" w:cs="Times New Roman"/>
          <w:sz w:val="24"/>
          <w:szCs w:val="24"/>
          <w:lang w:eastAsia="en-IL"/>
        </w:rPr>
        <w:t>propagate</w:t>
      </w:r>
      <w:proofErr w:type="gramEnd"/>
      <w:r w:rsidRPr="0044370F">
        <w:rPr>
          <w:rFonts w:ascii="Times New Roman" w:eastAsia="Times New Roman" w:hAnsi="Times New Roman" w:cs="Times New Roman"/>
          <w:sz w:val="24"/>
          <w:szCs w:val="24"/>
          <w:lang w:eastAsia="en-IL"/>
        </w:rPr>
        <w:t xml:space="preserve"> into</w:t>
      </w:r>
      <w:r w:rsidRPr="0044370F">
        <w:rPr>
          <w:rFonts w:ascii="Times New Roman" w:hAnsi="Times New Roman"/>
          <w:sz w:val="24"/>
        </w:rPr>
        <w:t xml:space="preserve"> organizational </w:t>
      </w:r>
      <w:r w:rsidRPr="0044370F">
        <w:rPr>
          <w:rFonts w:ascii="Times New Roman" w:eastAsia="Times New Roman" w:hAnsi="Times New Roman" w:cs="Times New Roman"/>
          <w:sz w:val="24"/>
          <w:szCs w:val="24"/>
          <w:lang w:eastAsia="en-IL"/>
        </w:rPr>
        <w:t xml:space="preserve">structures worldwide. For example, SAP’s financial accounting module carries assumptions about how transactions are recorded and reported; companies that use it will largely align their chart of accounts and financial period definitions with SAP’s standards. Over time, this has led to a convergence of business practices, sometimes called the </w:t>
      </w:r>
      <w:r w:rsidRPr="0044370F">
        <w:rPr>
          <w:rFonts w:ascii="Times New Roman" w:eastAsia="Times New Roman" w:hAnsi="Times New Roman" w:cs="Times New Roman"/>
          <w:b/>
          <w:bCs/>
          <w:sz w:val="24"/>
          <w:szCs w:val="24"/>
          <w:lang w:eastAsia="en-IL"/>
        </w:rPr>
        <w:t>“SAP standard”</w:t>
      </w:r>
      <w:r w:rsidRPr="0044370F">
        <w:rPr>
          <w:rFonts w:ascii="Times New Roman" w:eastAsia="Times New Roman" w:hAnsi="Times New Roman" w:cs="Times New Roman"/>
          <w:sz w:val="24"/>
          <w:szCs w:val="24"/>
          <w:lang w:eastAsia="en-IL"/>
        </w:rPr>
        <w:t>, especially among large enterprises.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A concrete illustration is how SAP has influenced </w:t>
      </w:r>
      <w:r w:rsidRPr="0044370F">
        <w:rPr>
          <w:rFonts w:ascii="Times New Roman" w:eastAsia="Times New Roman" w:hAnsi="Times New Roman" w:cs="Times New Roman"/>
          <w:b/>
          <w:bCs/>
          <w:sz w:val="24"/>
          <w:szCs w:val="24"/>
          <w:lang w:eastAsia="en-IL"/>
        </w:rPr>
        <w:t>supply chain and procurement processes</w:t>
      </w:r>
      <w:r w:rsidRPr="0044370F">
        <w:rPr>
          <w:rFonts w:ascii="Times New Roman" w:eastAsia="Times New Roman" w:hAnsi="Times New Roman" w:cs="Times New Roman"/>
          <w:sz w:val="24"/>
          <w:szCs w:val="24"/>
          <w:lang w:eastAsia="en-IL"/>
        </w:rPr>
        <w:t xml:space="preserve">. Through SAP’s ERP and its </w:t>
      </w:r>
      <w:proofErr w:type="spellStart"/>
      <w:r w:rsidRPr="0044370F">
        <w:rPr>
          <w:rFonts w:ascii="Times New Roman" w:eastAsia="Times New Roman" w:hAnsi="Times New Roman" w:cs="Times New Roman"/>
          <w:sz w:val="24"/>
          <w:szCs w:val="24"/>
          <w:lang w:eastAsia="en-IL"/>
        </w:rPr>
        <w:t>Ariba</w:t>
      </w:r>
      <w:proofErr w:type="spellEnd"/>
      <w:r w:rsidRPr="0044370F">
        <w:rPr>
          <w:rFonts w:ascii="Times New Roman" w:eastAsia="Times New Roman" w:hAnsi="Times New Roman" w:cs="Times New Roman"/>
          <w:sz w:val="24"/>
          <w:szCs w:val="24"/>
          <w:lang w:eastAsia="en-IL"/>
        </w:rPr>
        <w:t xml:space="preserve"> network, many firms have adopted electronic procurement workflows that SAP advocates (like three-way matching of purchase orders, goods receipts, and invoices as a standard control). Governments using SAP for public finance management might adopt SAP-supported reporting formats, which could indirectly push them toward specific public </w:t>
      </w:r>
      <w:r w:rsidRPr="0044370F">
        <w:rPr>
          <w:rFonts w:ascii="Times New Roman" w:eastAsia="Times New Roman" w:hAnsi="Times New Roman" w:cs="Times New Roman"/>
          <w:sz w:val="24"/>
          <w:szCs w:val="24"/>
          <w:lang w:eastAsia="en-IL"/>
        </w:rPr>
        <w:lastRenderedPageBreak/>
        <w:t xml:space="preserve">accounting standards. In Germany, the introduction of SAP in public administration has been part of a broader effort to shift from </w:t>
      </w:r>
      <w:proofErr w:type="spellStart"/>
      <w:r w:rsidRPr="0044370F">
        <w:rPr>
          <w:rFonts w:ascii="Times New Roman" w:eastAsia="Times New Roman" w:hAnsi="Times New Roman" w:cs="Times New Roman"/>
          <w:sz w:val="24"/>
          <w:szCs w:val="24"/>
          <w:lang w:eastAsia="en-IL"/>
        </w:rPr>
        <w:t>cameralistic</w:t>
      </w:r>
      <w:proofErr w:type="spellEnd"/>
      <w:r w:rsidRPr="0044370F">
        <w:rPr>
          <w:rFonts w:ascii="Times New Roman" w:eastAsia="Times New Roman" w:hAnsi="Times New Roman" w:cs="Times New Roman"/>
          <w:sz w:val="24"/>
          <w:szCs w:val="24"/>
          <w:lang w:eastAsia="en-IL"/>
        </w:rPr>
        <w:t xml:space="preserve"> to double-entry bookkeeping in the public sector, highlighting how software can nudge institutional change.</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eastAsia="Times New Roman" w:hAnsi="Times New Roman" w:cs="Times New Roman"/>
          <w:sz w:val="24"/>
          <w:szCs w:val="24"/>
          <w:lang w:eastAsia="en-IL"/>
        </w:rPr>
        <w:t>Moreover, SAP’s systems come with built-in</w:t>
      </w:r>
      <w:r w:rsidRPr="0044370F">
        <w:rPr>
          <w:rFonts w:ascii="Times New Roman" w:hAnsi="Times New Roman"/>
          <w:sz w:val="24"/>
        </w:rPr>
        <w:t xml:space="preserve"> </w:t>
      </w:r>
      <w:r w:rsidRPr="0044370F">
        <w:rPr>
          <w:rFonts w:ascii="Times New Roman" w:hAnsi="Times New Roman"/>
          <w:b/>
          <w:sz w:val="24"/>
        </w:rPr>
        <w:t>data classifications</w:t>
      </w:r>
      <w:r w:rsidRPr="0044370F">
        <w:rPr>
          <w:rFonts w:ascii="Times New Roman" w:eastAsia="Times New Roman" w:hAnsi="Times New Roman" w:cs="Times New Roman"/>
          <w:b/>
          <w:bCs/>
          <w:sz w:val="24"/>
          <w:szCs w:val="24"/>
          <w:lang w:eastAsia="en-IL"/>
        </w:rPr>
        <w:t xml:space="preserve"> and definitions</w:t>
      </w:r>
      <w:r w:rsidRPr="0044370F">
        <w:rPr>
          <w:rFonts w:ascii="Times New Roman" w:eastAsia="Times New Roman" w:hAnsi="Times New Roman" w:cs="Times New Roman"/>
          <w:sz w:val="24"/>
          <w:szCs w:val="24"/>
          <w:lang w:eastAsia="en-IL"/>
        </w:rPr>
        <w:t>, for instance, what constitutes a “customer” or “material” in a database. Industries that lacked digital standards often coalesced around SAP’s definitions once enough companies adopted SAP. In this way, SAP’s code and configuration become</w:t>
      </w:r>
      <w:r w:rsidRPr="0044370F">
        <w:rPr>
          <w:rFonts w:ascii="Times New Roman" w:hAnsi="Times New Roman"/>
          <w:sz w:val="24"/>
        </w:rPr>
        <w:t xml:space="preserve"> a form of </w:t>
      </w:r>
      <w:r w:rsidRPr="0044370F">
        <w:rPr>
          <w:rFonts w:ascii="Times New Roman" w:hAnsi="Times New Roman"/>
          <w:i/>
          <w:sz w:val="24"/>
        </w:rPr>
        <w:t>silent governance</w:t>
      </w:r>
      <w:r w:rsidRPr="0044370F">
        <w:rPr>
          <w:rFonts w:ascii="Times New Roman" w:eastAsia="Times New Roman" w:hAnsi="Times New Roman" w:cs="Times New Roman"/>
          <w:sz w:val="24"/>
          <w:szCs w:val="24"/>
          <w:lang w:eastAsia="en-IL"/>
        </w:rPr>
        <w:t>: rules that are not laws but have de facto authority because deviating from them either incurs high cost or loss of interoperability. Companies in a supply chain might all use SAP, so they decide to exchange data in SAP’s native formats, effectively accepting SAP’s protocols as an industry norm</w:t>
      </w:r>
      <w:r w:rsidRPr="0044370F">
        <w:rPr>
          <w:rFonts w:ascii="Times New Roman" w:hAnsi="Times New Roman"/>
          <w:sz w:val="24"/>
        </w:rPr>
        <w:t>.</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The infrastructural nature of SAP’s power is also evident in its indispensability. If SAP systems go down, critical operations halt, manufacturing lines pause (because the execution systems can’t get instructions), financial closings are delayed, and even hospitals might see disruptions (as some use SAP for resource scheduling). This dependency gives SAP influence not by exerting it actively, but by the latent consequence of its absence. As with a public utility, the functioning of society’s infrastructure (in this case, its economic and administrative infrastructure) depends on SAP’s continuous operation. In 2020, when SAP announced the eventual end-of-support for its older ERP platform (ECC) and pushed customers to migrate to S/4HANA, there was significant concern and lobbying by users to extend deadlines, showing that SAP’s decisions can dictate planning horizons for thousands of organizations’ IT strategies.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Another aspect is how SAP’s platforms serve as </w:t>
      </w:r>
      <w:r w:rsidRPr="0044370F">
        <w:rPr>
          <w:rFonts w:ascii="Times New Roman" w:eastAsia="Times New Roman" w:hAnsi="Times New Roman" w:cs="Times New Roman"/>
          <w:b/>
          <w:bCs/>
          <w:sz w:val="24"/>
          <w:szCs w:val="24"/>
          <w:lang w:eastAsia="en-IL"/>
        </w:rPr>
        <w:t>ecosystems for third-party innovation</w:t>
      </w:r>
      <w:r w:rsidRPr="0044370F">
        <w:rPr>
          <w:rFonts w:ascii="Times New Roman" w:eastAsia="Times New Roman" w:hAnsi="Times New Roman" w:cs="Times New Roman"/>
          <w:sz w:val="24"/>
          <w:szCs w:val="24"/>
          <w:lang w:eastAsia="en-IL"/>
        </w:rPr>
        <w:t>. Many third-party add-ons and modules plug into SAP systems (ranging from tax calculation engines to industry-specific analytics). SAP curates this through its SAP Store and partner programs. By controlling this ecosystem, SAP influences which solutions thrive and what functionality is available to end-users. In effect, SAP becomes the infrastructural base upon which other software companies build niche solutions, much like an operating system for enterprise operations. This positions SAP at the center of a network of vendors and consultants, reinforcing its centrality.</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SAP’s infrastructural power is characterized by </w:t>
      </w:r>
      <w:r w:rsidRPr="0044370F">
        <w:rPr>
          <w:rFonts w:ascii="Times New Roman" w:eastAsia="Times New Roman" w:hAnsi="Times New Roman" w:cs="Times New Roman"/>
          <w:b/>
          <w:bCs/>
          <w:sz w:val="24"/>
          <w:szCs w:val="24"/>
          <w:lang w:eastAsia="en-IL"/>
        </w:rPr>
        <w:t>pervasiveness and normativity</w:t>
      </w:r>
      <w:r w:rsidRPr="0044370F">
        <w:rPr>
          <w:rFonts w:ascii="Times New Roman" w:eastAsia="Times New Roman" w:hAnsi="Times New Roman" w:cs="Times New Roman"/>
          <w:sz w:val="24"/>
          <w:szCs w:val="24"/>
          <w:lang w:eastAsia="en-IL"/>
        </w:rPr>
        <w:t>: its software quietly governs how work is done across myriad contexts without appearing to govern directly. It is a form of rule-setting through tools; if you use the tool, you follow the rules embedded in it. This power is systemic rather than symbolic; SAP does not issue policy pronouncements, but the cumulative effect of millions of daily transactions processed through SAP software is a harmonization of practice according to SAP’s logic. Importantly, SAP’s infrastructural influence tends to operate within and support existing legal and regulatory frameworks (unlike Meta’s, which sometimes challenges them). SAP enables companies to comply with regulations more easily (by updating software) and to improve efficiency in line with state economic goals (such as digitization and transparency). Therefore, SAP’s infrastructural power often complements state power, which may explain why it faces little political opposition.</w:t>
      </w:r>
    </w:p>
    <w:p w:rsidR="0060194B" w:rsidRPr="0044370F" w:rsidRDefault="0060194B" w:rsidP="00023CA0">
      <w:pPr>
        <w:pStyle w:val="3"/>
        <w:rPr>
          <w:lang w:eastAsia="en-IL"/>
        </w:rPr>
      </w:pPr>
      <w:bookmarkStart w:id="114" w:name="_Toc222652794"/>
      <w:r w:rsidRPr="0044370F">
        <w:rPr>
          <w:lang w:eastAsia="en-IL"/>
        </w:rPr>
        <w:t>4.5.6</w:t>
      </w:r>
      <w:r w:rsidRPr="0044370F">
        <w:rPr>
          <w:lang w:eastAsia="en-IL"/>
        </w:rPr>
        <w:tab/>
        <w:t>Conclusion</w:t>
      </w:r>
      <w:bookmarkEnd w:id="114"/>
      <w:r w:rsidRPr="0044370F">
        <w:rPr>
          <w:lang w:eastAsia="en-IL"/>
        </w:rPr>
        <w:t xml:space="preserve"> </w:t>
      </w:r>
    </w:p>
    <w:p w:rsidR="0060194B" w:rsidRPr="0044370F" w:rsidRDefault="0060194B" w:rsidP="0060194B">
      <w:pPr>
        <w:spacing w:before="100" w:beforeAutospacing="1" w:after="100" w:afterAutospacing="1" w:line="360" w:lineRule="auto"/>
        <w:jc w:val="both"/>
        <w:rPr>
          <w:rFonts w:ascii="Times New Roman" w:hAnsi="Times New Roman"/>
          <w:sz w:val="24"/>
        </w:rPr>
      </w:pPr>
      <w:r w:rsidRPr="0044370F">
        <w:rPr>
          <w:rFonts w:ascii="Times New Roman" w:hAnsi="Times New Roman"/>
          <w:sz w:val="24"/>
        </w:rPr>
        <w:t xml:space="preserve">The SAP case illustrates how </w:t>
      </w:r>
      <w:r w:rsidRPr="0044370F">
        <w:rPr>
          <w:rFonts w:ascii="Times New Roman" w:eastAsia="Times New Roman" w:hAnsi="Times New Roman" w:cs="Times New Roman"/>
          <w:sz w:val="24"/>
          <w:szCs w:val="24"/>
          <w:lang w:eastAsia="en-IL"/>
        </w:rPr>
        <w:t xml:space="preserve">corporate </w:t>
      </w:r>
      <w:r w:rsidRPr="0044370F">
        <w:rPr>
          <w:rFonts w:ascii="Times New Roman" w:hAnsi="Times New Roman"/>
          <w:sz w:val="24"/>
        </w:rPr>
        <w:t>power can be</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b/>
          <w:bCs/>
          <w:sz w:val="24"/>
          <w:szCs w:val="24"/>
          <w:lang w:eastAsia="en-IL"/>
        </w:rPr>
        <w:t>quietly</w:t>
      </w:r>
      <w:r w:rsidRPr="0044370F">
        <w:rPr>
          <w:rFonts w:ascii="Times New Roman" w:hAnsi="Times New Roman"/>
          <w:b/>
          <w:sz w:val="24"/>
        </w:rPr>
        <w:t xml:space="preserve"> exercised through embeddedness, standardization, and technical neutrality</w:t>
      </w:r>
      <w:r w:rsidRPr="0044370F">
        <w:rPr>
          <w:rFonts w:ascii="Times New Roman" w:hAnsi="Times New Roman"/>
          <w:sz w:val="24"/>
        </w:rPr>
        <w:t xml:space="preserve">. SAP governs not through public </w:t>
      </w:r>
      <w:r w:rsidRPr="0044370F">
        <w:rPr>
          <w:rFonts w:ascii="Times New Roman" w:eastAsia="Times New Roman" w:hAnsi="Times New Roman" w:cs="Times New Roman"/>
          <w:sz w:val="24"/>
          <w:szCs w:val="24"/>
          <w:lang w:eastAsia="en-IL"/>
        </w:rPr>
        <w:t>drama</w:t>
      </w:r>
      <w:r w:rsidRPr="0044370F">
        <w:rPr>
          <w:rFonts w:ascii="Times New Roman" w:hAnsi="Times New Roman"/>
          <w:sz w:val="24"/>
        </w:rPr>
        <w:t xml:space="preserve"> or </w:t>
      </w:r>
      <w:r w:rsidRPr="0044370F">
        <w:rPr>
          <w:rFonts w:ascii="Times New Roman" w:eastAsia="Times New Roman" w:hAnsi="Times New Roman" w:cs="Times New Roman"/>
          <w:sz w:val="24"/>
          <w:szCs w:val="24"/>
          <w:lang w:eastAsia="en-IL"/>
        </w:rPr>
        <w:t>overt assertions of autonomy</w:t>
      </w:r>
      <w:r w:rsidRPr="0044370F">
        <w:rPr>
          <w:rFonts w:ascii="Times New Roman" w:hAnsi="Times New Roman"/>
          <w:sz w:val="24"/>
        </w:rPr>
        <w:t xml:space="preserve">, but by </w:t>
      </w:r>
      <w:r w:rsidRPr="0044370F">
        <w:rPr>
          <w:rFonts w:ascii="Times New Roman" w:hAnsi="Times New Roman"/>
          <w:i/>
          <w:sz w:val="24"/>
        </w:rPr>
        <w:t xml:space="preserve">defining the rules </w:t>
      </w:r>
      <w:r w:rsidRPr="0044370F">
        <w:rPr>
          <w:rFonts w:ascii="Times New Roman" w:eastAsia="Times New Roman" w:hAnsi="Times New Roman" w:cs="Times New Roman"/>
          <w:i/>
          <w:iCs/>
          <w:sz w:val="24"/>
          <w:szCs w:val="24"/>
          <w:lang w:eastAsia="en-IL"/>
        </w:rPr>
        <w:t>under the hood</w:t>
      </w:r>
      <w:r w:rsidRPr="0044370F">
        <w:rPr>
          <w:rFonts w:ascii="Times New Roman" w:eastAsia="Times New Roman" w:hAnsi="Times New Roman" w:cs="Times New Roman"/>
          <w:sz w:val="24"/>
          <w:szCs w:val="24"/>
          <w:lang w:eastAsia="en-IL"/>
        </w:rPr>
        <w:t>. Its influence flows through code and enterprise architectures, a form of soft governance that is rarely headline-grabbing but deeply consequential. This underscores a key insight of quasi-sovereignty: that not all corporate power mimics the flamboyance of state sovereignty; some of it is subtle, operating in lockstep with states and firms, and yet shaping the very possibilities of action within the digital economy</w:t>
      </w:r>
      <w:r w:rsidRPr="0044370F">
        <w:rPr>
          <w:rFonts w:ascii="Times New Roman" w:hAnsi="Times New Roman"/>
          <w:sz w:val="24"/>
        </w:rPr>
        <w:t>.</w:t>
      </w:r>
    </w:p>
    <w:p w:rsidR="0060194B" w:rsidRPr="0044370F" w:rsidRDefault="0060194B" w:rsidP="00023CA0">
      <w:pPr>
        <w:pStyle w:val="2"/>
      </w:pPr>
      <w:bookmarkStart w:id="115" w:name="_Toc222652795"/>
      <w:r w:rsidRPr="0044370F">
        <w:t>4.6 Comparative Analysis and Synthesis</w:t>
      </w:r>
      <w:bookmarkEnd w:id="115"/>
    </w:p>
    <w:p w:rsidR="0060194B" w:rsidRPr="0044370F" w:rsidRDefault="0060194B" w:rsidP="0060194B">
      <w:pPr>
        <w:spacing w:before="100" w:beforeAutospacing="1" w:after="100" w:afterAutospacing="1" w:line="360" w:lineRule="auto"/>
        <w:jc w:val="both"/>
        <w:rPr>
          <w:rFonts w:ascii="Times New Roman" w:hAnsi="Times New Roman"/>
          <w:sz w:val="24"/>
          <w:rtl/>
        </w:rPr>
      </w:pPr>
      <w:r w:rsidRPr="0044370F">
        <w:rPr>
          <w:rFonts w:ascii="Times New Roman" w:hAnsi="Times New Roman"/>
          <w:sz w:val="24"/>
        </w:rPr>
        <w:t>This section synthesizes the findings across the three case studies</w:t>
      </w:r>
      <w:r w:rsidRPr="0044370F">
        <w:rPr>
          <w:rFonts w:ascii="Times New Roman" w:eastAsia="Times New Roman" w:hAnsi="Times New Roman" w:cs="Times New Roman"/>
          <w:sz w:val="24"/>
          <w:szCs w:val="24"/>
          <w:lang w:eastAsia="en-IL"/>
        </w:rPr>
        <w:t xml:space="preserve">: </w:t>
      </w:r>
      <w:r w:rsidRPr="0044370F">
        <w:rPr>
          <w:rFonts w:ascii="Times New Roman" w:hAnsi="Times New Roman"/>
          <w:sz w:val="24"/>
        </w:rPr>
        <w:t>Meta, Huawei, and SAP</w:t>
      </w:r>
      <w:r w:rsidRPr="0044370F">
        <w:rPr>
          <w:rFonts w:ascii="Times New Roman" w:eastAsia="Times New Roman" w:hAnsi="Times New Roman" w:cs="Times New Roman"/>
          <w:sz w:val="24"/>
          <w:szCs w:val="24"/>
          <w:lang w:eastAsia="en-IL"/>
        </w:rPr>
        <w:t>,</w:t>
      </w:r>
      <w:r w:rsidRPr="0044370F">
        <w:rPr>
          <w:rFonts w:ascii="Times New Roman" w:hAnsi="Times New Roman"/>
          <w:sz w:val="24"/>
        </w:rPr>
        <w:t xml:space="preserve"> highlighting both convergences and divergences in their expressions of quasi-sovereign corporate power</w:t>
      </w:r>
      <w:r w:rsidRPr="0044370F">
        <w:rPr>
          <w:rStyle w:val="a8"/>
          <w:rFonts w:ascii="Times New Roman" w:hAnsi="Times New Roman"/>
          <w:sz w:val="24"/>
        </w:rPr>
        <w:footnoteReference w:id="160"/>
      </w:r>
      <w:r w:rsidRPr="0044370F">
        <w:rPr>
          <w:rFonts w:ascii="Times New Roman" w:eastAsia="Times New Roman" w:hAnsi="Times New Roman" w:cs="Times New Roman"/>
          <w:sz w:val="24"/>
          <w:szCs w:val="24"/>
          <w:lang w:eastAsia="en-IL"/>
        </w:rPr>
        <w:t xml:space="preserve">. </w:t>
      </w:r>
      <w:r w:rsidRPr="0044370F">
        <w:rPr>
          <w:rFonts w:ascii="Times New Roman" w:hAnsi="Times New Roman"/>
          <w:sz w:val="24"/>
        </w:rPr>
        <w:t xml:space="preserve">Despite vast differences in geography, governance models, and business domains, all three firms exhibit </w:t>
      </w:r>
      <w:r w:rsidRPr="0044370F">
        <w:rPr>
          <w:rFonts w:ascii="Times New Roman" w:eastAsia="Times New Roman" w:hAnsi="Times New Roman" w:cs="Times New Roman"/>
          <w:sz w:val="24"/>
          <w:szCs w:val="24"/>
          <w:lang w:eastAsia="en-IL"/>
        </w:rPr>
        <w:t xml:space="preserve">forms of </w:t>
      </w:r>
      <w:r w:rsidRPr="0044370F">
        <w:rPr>
          <w:rFonts w:ascii="Times New Roman" w:hAnsi="Times New Roman"/>
          <w:sz w:val="24"/>
        </w:rPr>
        <w:t xml:space="preserve">authority that </w:t>
      </w:r>
      <w:r w:rsidRPr="0044370F">
        <w:rPr>
          <w:rFonts w:ascii="Times New Roman" w:eastAsia="Times New Roman" w:hAnsi="Times New Roman" w:cs="Times New Roman"/>
          <w:sz w:val="24"/>
          <w:szCs w:val="24"/>
          <w:lang w:eastAsia="en-IL"/>
        </w:rPr>
        <w:t>transcend</w:t>
      </w:r>
      <w:r w:rsidRPr="0044370F">
        <w:rPr>
          <w:rFonts w:ascii="Times New Roman" w:hAnsi="Times New Roman"/>
          <w:sz w:val="24"/>
        </w:rPr>
        <w:t xml:space="preserve"> market logic and </w:t>
      </w:r>
      <w:r w:rsidRPr="0044370F">
        <w:rPr>
          <w:rFonts w:ascii="Times New Roman" w:eastAsia="Times New Roman" w:hAnsi="Times New Roman" w:cs="Times New Roman"/>
          <w:sz w:val="24"/>
          <w:szCs w:val="24"/>
          <w:lang w:eastAsia="en-IL"/>
        </w:rPr>
        <w:t>enter</w:t>
      </w:r>
      <w:r w:rsidRPr="0044370F">
        <w:rPr>
          <w:rFonts w:ascii="Times New Roman" w:hAnsi="Times New Roman"/>
          <w:sz w:val="24"/>
        </w:rPr>
        <w:t xml:space="preserve"> the domain of rule-making, norm-shaping, and infrastructural control.</w:t>
      </w:r>
    </w:p>
    <w:p w:rsidR="0060194B" w:rsidRPr="0044370F" w:rsidRDefault="003119A6" w:rsidP="0060194B">
      <w:pPr>
        <w:pStyle w:val="NormalWeb"/>
        <w:spacing w:line="360" w:lineRule="auto"/>
        <w:jc w:val="both"/>
        <w:rPr>
          <w:i/>
          <w:iCs/>
        </w:rPr>
      </w:pPr>
      <w:r w:rsidRPr="0044370F">
        <w:rPr>
          <w:rStyle w:val="a5"/>
          <w:rFonts w:eastAsiaTheme="majorEastAsia"/>
          <w:i w:val="0"/>
          <w:iCs w:val="0"/>
        </w:rPr>
        <w:lastRenderedPageBreak/>
        <w:t xml:space="preserve">The following Figure, </w:t>
      </w:r>
      <w:r w:rsidR="0060194B" w:rsidRPr="0044370F">
        <w:rPr>
          <w:rStyle w:val="a5"/>
          <w:rFonts w:eastAsiaTheme="majorEastAsia"/>
          <w:i w:val="0"/>
          <w:iCs w:val="0"/>
        </w:rPr>
        <w:t>provides a visual summary of these comparative patterns by mapping the distinct trajectories through which quasi-sovereign authority is exercised across the three cases.</w:t>
      </w:r>
    </w:p>
    <w:p w:rsidR="0060194B" w:rsidRPr="0044370F" w:rsidRDefault="0060194B" w:rsidP="00023CA0">
      <w:pPr>
        <w:pStyle w:val="3"/>
        <w:rPr>
          <w:rStyle w:val="a5"/>
          <w:i w:val="0"/>
          <w:iCs w:val="0"/>
        </w:rPr>
      </w:pPr>
      <w:bookmarkStart w:id="116" w:name="_Toc222652796"/>
      <w:r w:rsidRPr="0044370F">
        <w:rPr>
          <w:rStyle w:val="a5"/>
          <w:i w:val="0"/>
          <w:iCs w:val="0"/>
        </w:rPr>
        <w:t>Figure 3: Three Trajectories of Corporate Quasi-Sovereignty</w:t>
      </w:r>
      <w:bookmarkEnd w:id="116"/>
    </w:p>
    <w:p w:rsidR="0060194B" w:rsidRPr="0044370F" w:rsidRDefault="0060194B" w:rsidP="0060194B">
      <w:pPr>
        <w:pStyle w:val="NormalWeb"/>
        <w:spacing w:line="360" w:lineRule="auto"/>
        <w:jc w:val="both"/>
        <w:rPr>
          <w:rStyle w:val="a5"/>
          <w:rFonts w:eastAsiaTheme="majorEastAsia"/>
          <w:i w:val="0"/>
          <w:iCs w:val="0"/>
          <w:rtl/>
        </w:rPr>
      </w:pPr>
      <w:r w:rsidRPr="0044370F">
        <w:rPr>
          <w:rFonts w:cstheme="majorBidi" w:hint="cs"/>
          <w:noProof/>
          <w:rtl/>
        </w:rPr>
        <w:drawing>
          <wp:inline distT="0" distB="0" distL="0" distR="0" wp14:anchorId="20DC1F03" wp14:editId="379E7076">
            <wp:extent cx="5999457" cy="3362325"/>
            <wp:effectExtent l="0" t="0" r="190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jectories of Corporate Quasi-Sovereignty (1).png"/>
                    <pic:cNvPicPr/>
                  </pic:nvPicPr>
                  <pic:blipFill rotWithShape="1">
                    <a:blip r:embed="rId11" cstate="print">
                      <a:extLst>
                        <a:ext uri="{28A0092B-C50C-407E-A947-70E740481C1C}">
                          <a14:useLocalDpi xmlns:a14="http://schemas.microsoft.com/office/drawing/2010/main" val="0"/>
                        </a:ext>
                      </a:extLst>
                    </a:blip>
                    <a:srcRect t="24297" b="20530"/>
                    <a:stretch/>
                  </pic:blipFill>
                  <pic:spPr bwMode="auto">
                    <a:xfrm>
                      <a:off x="0" y="0"/>
                      <a:ext cx="6014894" cy="3370976"/>
                    </a:xfrm>
                    <a:prstGeom prst="rect">
                      <a:avLst/>
                    </a:prstGeom>
                    <a:ln>
                      <a:noFill/>
                    </a:ln>
                    <a:extLst>
                      <a:ext uri="{53640926-AAD7-44D8-BBD7-CCE9431645EC}">
                        <a14:shadowObscured xmlns:a14="http://schemas.microsoft.com/office/drawing/2010/main"/>
                      </a:ext>
                    </a:extLst>
                  </pic:spPr>
                </pic:pic>
              </a:graphicData>
            </a:graphic>
          </wp:inline>
        </w:drawing>
      </w:r>
    </w:p>
    <w:p w:rsidR="0060194B" w:rsidRPr="0044370F" w:rsidRDefault="0060194B" w:rsidP="0060194B">
      <w:pPr>
        <w:pStyle w:val="NormalWeb"/>
        <w:spacing w:line="360" w:lineRule="auto"/>
        <w:jc w:val="both"/>
        <w:rPr>
          <w:rStyle w:val="a5"/>
          <w:rFonts w:eastAsiaTheme="majorEastAsia"/>
          <w:i w:val="0"/>
          <w:iCs w:val="0"/>
        </w:rPr>
      </w:pPr>
      <w:r w:rsidRPr="0044370F">
        <w:rPr>
          <w:rStyle w:val="a5"/>
          <w:rFonts w:eastAsiaTheme="majorEastAsia"/>
          <w:i w:val="0"/>
          <w:iCs w:val="0"/>
        </w:rPr>
        <w:t xml:space="preserve">The figure presents a conceptual scatter diagram illustrating three distinct configurations of corporate quasi-sovereignty. </w:t>
      </w:r>
      <w:r w:rsidRPr="0044370F">
        <w:rPr>
          <w:rStyle w:val="a5"/>
          <w:rFonts w:eastAsiaTheme="majorEastAsia"/>
          <w:b/>
          <w:bCs/>
          <w:i w:val="0"/>
          <w:iCs w:val="0"/>
        </w:rPr>
        <w:t>Meta</w:t>
      </w:r>
      <w:r w:rsidRPr="0044370F">
        <w:rPr>
          <w:rStyle w:val="a5"/>
          <w:rFonts w:eastAsiaTheme="majorEastAsia"/>
          <w:i w:val="0"/>
          <w:iCs w:val="0"/>
        </w:rPr>
        <w:t xml:space="preserve"> represents a platform-centric trajectory characterized by discursive authority and high public and political contestation. </w:t>
      </w:r>
      <w:r w:rsidRPr="0044370F">
        <w:rPr>
          <w:rStyle w:val="a5"/>
          <w:rFonts w:eastAsiaTheme="majorEastAsia"/>
          <w:b/>
          <w:bCs/>
          <w:i w:val="0"/>
          <w:iCs w:val="0"/>
        </w:rPr>
        <w:t>Huawei</w:t>
      </w:r>
      <w:r w:rsidRPr="0044370F">
        <w:rPr>
          <w:rStyle w:val="a5"/>
          <w:rFonts w:eastAsiaTheme="majorEastAsia"/>
          <w:i w:val="0"/>
          <w:iCs w:val="0"/>
        </w:rPr>
        <w:t xml:space="preserve"> exemplifies an infrastructure-centric, state-aligned trajectory marked by geopolitical contestation. </w:t>
      </w:r>
      <w:r w:rsidRPr="0044370F">
        <w:rPr>
          <w:rStyle w:val="a5"/>
          <w:rFonts w:eastAsiaTheme="majorEastAsia"/>
          <w:b/>
          <w:bCs/>
          <w:i w:val="0"/>
          <w:iCs w:val="0"/>
        </w:rPr>
        <w:t>SAP</w:t>
      </w:r>
      <w:r w:rsidRPr="0044370F">
        <w:rPr>
          <w:rStyle w:val="a5"/>
          <w:rFonts w:eastAsiaTheme="majorEastAsia"/>
          <w:i w:val="0"/>
          <w:iCs w:val="0"/>
        </w:rPr>
        <w:t xml:space="preserve"> reflects an institutionalized trajectory in which authority is exercised quietly through standardization and embedded trust. Together, the trajectories demonstrate that corporate quasi-sovereignty is not a uniform condition but a set of differentiated pathways shaped by sectoral position, infrastructural role, and legitimacy profile.</w:t>
      </w:r>
    </w:p>
    <w:p w:rsidR="003119A6" w:rsidRPr="0044370F" w:rsidRDefault="003119A6" w:rsidP="0060194B">
      <w:pPr>
        <w:pStyle w:val="NormalWeb"/>
        <w:spacing w:line="360" w:lineRule="auto"/>
        <w:jc w:val="both"/>
        <w:rPr>
          <w:rStyle w:val="a5"/>
          <w:rFonts w:eastAsiaTheme="majorEastAsia"/>
          <w:i w:val="0"/>
          <w:iCs w:val="0"/>
        </w:rPr>
      </w:pPr>
    </w:p>
    <w:p w:rsidR="003119A6" w:rsidRPr="0044370F" w:rsidRDefault="003119A6" w:rsidP="0060194B">
      <w:pPr>
        <w:pStyle w:val="NormalWeb"/>
        <w:spacing w:line="360" w:lineRule="auto"/>
        <w:jc w:val="both"/>
        <w:rPr>
          <w:rStyle w:val="a5"/>
          <w:rFonts w:eastAsiaTheme="majorEastAsia"/>
          <w:i w:val="0"/>
          <w:iCs w:val="0"/>
        </w:rPr>
      </w:pPr>
    </w:p>
    <w:p w:rsidR="003119A6" w:rsidRPr="0044370F" w:rsidRDefault="003119A6" w:rsidP="0060194B">
      <w:pPr>
        <w:pStyle w:val="NormalWeb"/>
        <w:spacing w:line="360" w:lineRule="auto"/>
        <w:jc w:val="both"/>
        <w:rPr>
          <w:i/>
          <w:iCs/>
        </w:rPr>
      </w:pPr>
    </w:p>
    <w:p w:rsidR="0060194B" w:rsidRPr="0044370F" w:rsidRDefault="0060194B" w:rsidP="00023CA0">
      <w:pPr>
        <w:pStyle w:val="3"/>
      </w:pPr>
      <w:bookmarkStart w:id="117" w:name="_Toc222652797"/>
      <w:r w:rsidRPr="0044370F">
        <w:lastRenderedPageBreak/>
        <w:t>4.6.1</w:t>
      </w:r>
      <w:r w:rsidRPr="0044370F">
        <w:tab/>
        <w:t>Across all cases, four shared features are evident:</w:t>
      </w:r>
      <w:bookmarkEnd w:id="117"/>
    </w:p>
    <w:p w:rsidR="0060194B" w:rsidRPr="0044370F" w:rsidRDefault="0060194B" w:rsidP="0060194B">
      <w:pPr>
        <w:numPr>
          <w:ilvl w:val="0"/>
          <w:numId w:val="8"/>
        </w:numPr>
        <w:spacing w:before="100" w:beforeAutospacing="1" w:after="100" w:afterAutospacing="1" w:line="360" w:lineRule="auto"/>
        <w:jc w:val="both"/>
        <w:rPr>
          <w:rFonts w:ascii="Times New Roman" w:hAnsi="Times New Roman"/>
          <w:sz w:val="24"/>
        </w:rPr>
      </w:pPr>
      <w:r w:rsidRPr="0044370F">
        <w:rPr>
          <w:rFonts w:ascii="Times New Roman" w:hAnsi="Times New Roman"/>
          <w:b/>
          <w:sz w:val="24"/>
        </w:rPr>
        <w:t>Distributed Governance</w:t>
      </w:r>
    </w:p>
    <w:p w:rsidR="0060194B" w:rsidRPr="0044370F" w:rsidRDefault="0060194B" w:rsidP="0060194B">
      <w:pPr>
        <w:spacing w:before="100" w:beforeAutospacing="1" w:after="100" w:afterAutospacing="1" w:line="360" w:lineRule="auto"/>
        <w:ind w:left="360"/>
        <w:jc w:val="both"/>
        <w:rPr>
          <w:rFonts w:ascii="Times New Roman" w:hAnsi="Times New Roman"/>
          <w:sz w:val="24"/>
        </w:rPr>
      </w:pPr>
      <w:r w:rsidRPr="0044370F">
        <w:rPr>
          <w:rFonts w:ascii="Times New Roman" w:hAnsi="Times New Roman"/>
          <w:sz w:val="24"/>
        </w:rPr>
        <w:t>Each firm uses technical systems to enforce rules beyond national boundaries.</w:t>
      </w:r>
      <w:r w:rsidRPr="0044370F">
        <w:rPr>
          <w:rFonts w:ascii="Times New Roman" w:eastAsia="Times New Roman" w:hAnsi="Times New Roman" w:cs="Times New Roman"/>
          <w:sz w:val="24"/>
          <w:szCs w:val="24"/>
          <w:lang w:eastAsia="en-IL"/>
        </w:rPr>
        <w:t xml:space="preserve"> Meta sets and enforces content standards on a global platform; Huawei provides equipment that embeds specific network protocols and surveillance capabilities; SAP codifies business processes that companies worldwide adhere to. In doing so, they each create a layer of private governance atop or alongside traditional governance, distributing authority through technology.</w:t>
      </w:r>
    </w:p>
    <w:p w:rsidR="0060194B" w:rsidRPr="0044370F" w:rsidRDefault="0060194B" w:rsidP="0060194B">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4"/>
          <w:szCs w:val="24"/>
          <w:lang w:eastAsia="en-IL"/>
        </w:rPr>
        <w:t>Blended Authority</w:t>
      </w:r>
    </w:p>
    <w:p w:rsidR="0060194B" w:rsidRPr="0044370F" w:rsidRDefault="0060194B" w:rsidP="0060194B">
      <w:pPr>
        <w:spacing w:before="100" w:beforeAutospacing="1" w:after="100" w:afterAutospacing="1" w:line="360" w:lineRule="auto"/>
        <w:ind w:left="360"/>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All combine market power with other sources of authority, normative, infrastructural, or institutional legitimacy</w:t>
      </w:r>
      <w:r w:rsidRPr="0044370F">
        <w:rPr>
          <w:rStyle w:val="a8"/>
          <w:rFonts w:ascii="Times New Roman" w:eastAsia="Times New Roman" w:hAnsi="Times New Roman" w:cs="Times New Roman"/>
          <w:sz w:val="24"/>
          <w:szCs w:val="24"/>
          <w:lang w:eastAsia="en-IL"/>
        </w:rPr>
        <w:footnoteReference w:id="161"/>
      </w:r>
      <w:r w:rsidRPr="0044370F">
        <w:rPr>
          <w:rFonts w:ascii="Times New Roman" w:eastAsia="Times New Roman" w:hAnsi="Times New Roman" w:cs="Times New Roman"/>
          <w:sz w:val="24"/>
          <w:szCs w:val="24"/>
          <w:lang w:eastAsia="en-IL"/>
        </w:rPr>
        <w:t>. Meta’s market dominance in social networking is bolstered by efforts to present itself as a legitimate curator of speech (normative authority) and by its control over communications infrastructure (infrastructural authority). Huawei’s commercial success in telecom is intertwined with state-derived authority (political backing, alignment with national strategies) and control over essential infrastructure (5G networks). SAP’s economic power in enterprise software is augmented by an image of neutrality and trust (normative legitimacy) and by its products’ integration into institutional frameworks (infrastructural/institutional authority). In each, the corporate form has been augmented with quasi-sovereign attributes: they are not just companies competing in a market, but entities claiming or exercising authority comparable to that of states or public institutions.</w:t>
      </w:r>
    </w:p>
    <w:p w:rsidR="0060194B" w:rsidRPr="0044370F" w:rsidRDefault="0060194B" w:rsidP="0060194B">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4"/>
          <w:szCs w:val="24"/>
          <w:lang w:eastAsia="en-IL"/>
        </w:rPr>
        <w:t>Regulatory Negotiation</w:t>
      </w:r>
    </w:p>
    <w:p w:rsidR="0060194B" w:rsidRPr="0044370F" w:rsidRDefault="0060194B" w:rsidP="0060194B">
      <w:pPr>
        <w:spacing w:before="100" w:beforeAutospacing="1" w:after="100" w:afterAutospacing="1" w:line="360" w:lineRule="auto"/>
        <w:ind w:left="360"/>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Each case shows how firms actively engage with or resist state control through legal, diplomatic, or structural means. Meta frequently finds itself negotiating with regulators, for instance, adapting to EU regulations but also pushing back (as seen in disputes over data transfer rules or content liability). It often plays one jurisdiction against another (seeking light-touch regulation zones). Huawei navigates a dual reality of heavy support and control by the Chinese state and heavy scrutiny and restrictions by other states; it responds with legal </w:t>
      </w:r>
      <w:r w:rsidRPr="0044370F">
        <w:rPr>
          <w:rFonts w:ascii="Times New Roman" w:eastAsia="Times New Roman" w:hAnsi="Times New Roman" w:cs="Times New Roman"/>
          <w:sz w:val="24"/>
          <w:szCs w:val="24"/>
          <w:lang w:eastAsia="en-IL"/>
        </w:rPr>
        <w:lastRenderedPageBreak/>
        <w:t>challenges (e.g., suing the US government over bans), public diplomacy, and by seeking new markets where it faces less resistance. SAP’s engagement is more collaborative: it sits on standards committees, influences the shaping of regulations from within, and thereby negotiates a stable environment for itself, less adversarial but still a form of shaping the regulatory context to its favor. All three illustrate that these corporations are not passive subjects of law; they are proactive actors shaping the law or its implementation, effectively participating in the crafting of the rules by which they are governed.</w:t>
      </w:r>
    </w:p>
    <w:p w:rsidR="0060194B" w:rsidRPr="0044370F" w:rsidRDefault="0060194B" w:rsidP="0060194B">
      <w:pPr>
        <w:numPr>
          <w:ilvl w:val="0"/>
          <w:numId w:val="8"/>
        </w:num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4"/>
          <w:szCs w:val="24"/>
          <w:lang w:eastAsia="en-IL"/>
        </w:rPr>
        <w:t>Systemic Embeddedness</w:t>
      </w:r>
    </w:p>
    <w:p w:rsidR="0060194B" w:rsidRPr="0044370F" w:rsidRDefault="0060194B" w:rsidP="0060194B">
      <w:pPr>
        <w:spacing w:before="100" w:beforeAutospacing="1" w:after="100" w:afterAutospacing="1" w:line="360" w:lineRule="auto"/>
        <w:ind w:left="360"/>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firms are </w:t>
      </w:r>
      <w:r w:rsidRPr="0044370F">
        <w:rPr>
          <w:rFonts w:ascii="Times New Roman" w:eastAsia="Times New Roman" w:hAnsi="Times New Roman" w:cs="Times New Roman"/>
          <w:b/>
          <w:bCs/>
          <w:sz w:val="24"/>
          <w:szCs w:val="24"/>
          <w:lang w:eastAsia="en-IL"/>
        </w:rPr>
        <w:t>indispensable to global systems</w:t>
      </w:r>
      <w:r w:rsidRPr="0044370F">
        <w:rPr>
          <w:rFonts w:ascii="Times New Roman" w:eastAsia="Times New Roman" w:hAnsi="Times New Roman" w:cs="Times New Roman"/>
          <w:sz w:val="24"/>
          <w:szCs w:val="24"/>
          <w:lang w:eastAsia="en-IL"/>
        </w:rPr>
        <w:t xml:space="preserve">, economic, informational, or administrative. Meta is essential to the global information ecosystem; billions rely on it for news, communication, and social connectivity. Huawei is indispensable to the hardware backbone of digital connectivity; Huawei builds a significant portion of global communications infrastructure. SAP is essential to the operations of global business and public administration; from manufacturing supply chains to government budgets, SAP’s footprint means the system wouldn’t function smoothly without it. This embeddedness in systems creates a form of structural power: each is a single point of influence that, if leveraged (or removed), could disrupt large swathes of activity across borders. In essence, they have woven themselves into the </w:t>
      </w:r>
      <w:r w:rsidRPr="0044370F">
        <w:rPr>
          <w:rFonts w:ascii="Times New Roman" w:eastAsia="Times New Roman" w:hAnsi="Times New Roman" w:cs="Times New Roman"/>
          <w:b/>
          <w:bCs/>
          <w:sz w:val="24"/>
          <w:szCs w:val="24"/>
          <w:lang w:eastAsia="en-IL"/>
        </w:rPr>
        <w:t>fabric of globalization</w:t>
      </w:r>
      <w:r w:rsidRPr="0044370F">
        <w:rPr>
          <w:rFonts w:ascii="Times New Roman" w:eastAsia="Times New Roman" w:hAnsi="Times New Roman" w:cs="Times New Roman"/>
          <w:sz w:val="24"/>
          <w:szCs w:val="24"/>
          <w:lang w:eastAsia="en-IL"/>
        </w:rPr>
        <w:t>, such that any serious attempt to constrain them must contend with potential collateral effects on that fabric.</w:t>
      </w:r>
    </w:p>
    <w:p w:rsidR="0060194B" w:rsidRPr="0044370F" w:rsidRDefault="0060194B" w:rsidP="0060194B">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Across cases, several cross-cutting causal mechanisms emerge. Infrastructural power consistently precedes and reinforces structural embeddedness, while high public visibility tends to correlate with contested legitimacy. State alignment amplifies corporate authority in infrastructural firms, whereas platform-based firms rely more heavily on normative acceptance and user conformity. These patterns suggest that quasi-sovereignty is produced through recurrent combinations of mechanisms rather than isolated attributes.</w:t>
      </w:r>
    </w:p>
    <w:p w:rsidR="0060194B" w:rsidRPr="0044370F" w:rsidRDefault="003119A6" w:rsidP="009F0142">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The upcoming table, marked as Table</w:t>
      </w:r>
      <w:r w:rsidR="0060194B" w:rsidRPr="0044370F">
        <w:rPr>
          <w:rFonts w:ascii="Times New Roman" w:eastAsia="Times New Roman" w:hAnsi="Times New Roman" w:cs="Times New Roman"/>
          <w:sz w:val="24"/>
          <w:szCs w:val="24"/>
        </w:rPr>
        <w:t xml:space="preserve"> </w:t>
      </w:r>
      <w:r w:rsidR="009F0142" w:rsidRPr="0044370F">
        <w:rPr>
          <w:rFonts w:ascii="Times New Roman" w:eastAsia="Times New Roman" w:hAnsi="Times New Roman" w:cs="Times New Roman"/>
          <w:sz w:val="24"/>
          <w:szCs w:val="24"/>
        </w:rPr>
        <w:t>7</w:t>
      </w:r>
      <w:r w:rsidR="0060194B" w:rsidRPr="0044370F">
        <w:rPr>
          <w:rFonts w:ascii="Times New Roman" w:eastAsia="Times New Roman" w:hAnsi="Times New Roman" w:cs="Times New Roman"/>
          <w:sz w:val="24"/>
          <w:szCs w:val="24"/>
        </w:rPr>
        <w:t>, summarizes these configurations visually and reinforces the comparative distinctions outlined in the preceding analysis.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Despite these commonalities, the </w:t>
      </w:r>
      <w:r w:rsidRPr="0044370F">
        <w:rPr>
          <w:rFonts w:ascii="Times New Roman" w:hAnsi="Times New Roman"/>
          <w:b/>
          <w:sz w:val="24"/>
        </w:rPr>
        <w:t>differences</w:t>
      </w:r>
      <w:r w:rsidRPr="0044370F">
        <w:rPr>
          <w:rFonts w:ascii="Times New Roman" w:hAnsi="Times New Roman"/>
          <w:sz w:val="24"/>
        </w:rPr>
        <w:t xml:space="preserve"> underscore the importance of context</w:t>
      </w:r>
      <w:r w:rsidRPr="0044370F">
        <w:rPr>
          <w:rFonts w:ascii="Times New Roman" w:eastAsia="Times New Roman" w:hAnsi="Times New Roman" w:cs="Times New Roman"/>
          <w:sz w:val="24"/>
          <w:szCs w:val="24"/>
          <w:lang w:eastAsia="en-IL"/>
        </w:rPr>
        <w:t xml:space="preserve"> and strategy in how quasi-sovereignty manifests: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hAnsi="Times New Roman"/>
          <w:b/>
          <w:sz w:val="24"/>
        </w:rPr>
        <w:t>Meta</w:t>
      </w:r>
      <w:r w:rsidRPr="0044370F">
        <w:rPr>
          <w:rFonts w:ascii="Times New Roman" w:hAnsi="Times New Roman"/>
          <w:sz w:val="24"/>
        </w:rPr>
        <w:t xml:space="preserve"> thrives in </w:t>
      </w:r>
      <w:r w:rsidRPr="0044370F">
        <w:rPr>
          <w:rFonts w:ascii="Times New Roman" w:eastAsia="Times New Roman" w:hAnsi="Times New Roman" w:cs="Times New Roman"/>
          <w:sz w:val="24"/>
          <w:szCs w:val="24"/>
          <w:lang w:eastAsia="en-IL"/>
        </w:rPr>
        <w:t xml:space="preserve">a predominantly </w:t>
      </w:r>
      <w:r w:rsidRPr="0044370F">
        <w:rPr>
          <w:rFonts w:ascii="Times New Roman" w:eastAsia="Times New Roman" w:hAnsi="Times New Roman" w:cs="Times New Roman"/>
          <w:b/>
          <w:bCs/>
          <w:sz w:val="24"/>
          <w:szCs w:val="24"/>
          <w:lang w:eastAsia="en-IL"/>
        </w:rPr>
        <w:t>Western liberal context</w:t>
      </w:r>
      <w:r w:rsidRPr="0044370F">
        <w:rPr>
          <w:rFonts w:ascii="Times New Roman" w:eastAsia="Times New Roman" w:hAnsi="Times New Roman" w:cs="Times New Roman"/>
          <w:sz w:val="24"/>
          <w:szCs w:val="24"/>
          <w:lang w:eastAsia="en-IL"/>
        </w:rPr>
        <w:t xml:space="preserve">, exploiting </w:t>
      </w:r>
      <w:r w:rsidRPr="0044370F">
        <w:rPr>
          <w:rFonts w:ascii="Times New Roman" w:hAnsi="Times New Roman"/>
          <w:sz w:val="24"/>
        </w:rPr>
        <w:t xml:space="preserve">regulatory arbitrage </w:t>
      </w:r>
      <w:r w:rsidRPr="0044370F">
        <w:rPr>
          <w:rFonts w:ascii="Times New Roman" w:eastAsia="Times New Roman" w:hAnsi="Times New Roman" w:cs="Times New Roman"/>
          <w:sz w:val="24"/>
          <w:szCs w:val="24"/>
          <w:lang w:eastAsia="en-IL"/>
        </w:rPr>
        <w:t xml:space="preserve">(taking advantage of the slow or uneven regulation of cyberspace) </w:t>
      </w:r>
      <w:r w:rsidRPr="0044370F">
        <w:rPr>
          <w:rFonts w:ascii="Times New Roman" w:hAnsi="Times New Roman"/>
          <w:sz w:val="24"/>
        </w:rPr>
        <w:t>but struggles with trust</w:t>
      </w:r>
      <w:r w:rsidRPr="0044370F">
        <w:rPr>
          <w:rFonts w:ascii="Times New Roman" w:eastAsia="Times New Roman" w:hAnsi="Times New Roman" w:cs="Times New Roman"/>
          <w:sz w:val="24"/>
          <w:szCs w:val="24"/>
          <w:lang w:eastAsia="en-IL"/>
        </w:rPr>
        <w:t xml:space="preserve"> and legitimacy. Its power play lies in soft power and narrative, shaping speech, knowledge, and social interaction, leading to highly visible conflicts over truth, censorship, and election influence. Meta often emulates state-like functions (oversight board as judiciary, community standards as quasi-law) yet ultimately lacks the full coercive power of a state, relying instead on user conformity and network effects. Meta’s legitimacy crisis highlights that a corporation taking on public governance functions invites scrutiny it may not be fully equipped to handle.</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hAnsi="Times New Roman"/>
          <w:b/>
          <w:sz w:val="24"/>
        </w:rPr>
        <w:t>Huawei</w:t>
      </w:r>
      <w:r w:rsidRPr="0044370F">
        <w:rPr>
          <w:rFonts w:ascii="Times New Roman" w:hAnsi="Times New Roman"/>
          <w:sz w:val="24"/>
        </w:rPr>
        <w:t xml:space="preserve"> leverages </w:t>
      </w:r>
      <w:r w:rsidRPr="0044370F">
        <w:rPr>
          <w:rFonts w:ascii="Times New Roman" w:hAnsi="Times New Roman"/>
          <w:b/>
          <w:sz w:val="24"/>
        </w:rPr>
        <w:t xml:space="preserve">state support </w:t>
      </w:r>
      <w:r w:rsidRPr="0044370F">
        <w:rPr>
          <w:rFonts w:ascii="Times New Roman" w:eastAsia="Times New Roman" w:hAnsi="Times New Roman" w:cs="Times New Roman"/>
          <w:b/>
          <w:bCs/>
          <w:sz w:val="24"/>
          <w:szCs w:val="24"/>
          <w:lang w:eastAsia="en-IL"/>
        </w:rPr>
        <w:t>and an illiberal context</w:t>
      </w:r>
      <w:r w:rsidRPr="0044370F">
        <w:rPr>
          <w:rStyle w:val="a8"/>
          <w:rFonts w:ascii="Times New Roman" w:eastAsia="Times New Roman" w:hAnsi="Times New Roman" w:cs="Times New Roman"/>
          <w:b/>
          <w:bCs/>
          <w:sz w:val="24"/>
          <w:szCs w:val="24"/>
          <w:lang w:eastAsia="en-IL"/>
        </w:rPr>
        <w:footnoteReference w:id="162"/>
      </w:r>
      <w:r w:rsidRPr="0044370F">
        <w:rPr>
          <w:rFonts w:ascii="Times New Roman" w:eastAsia="Times New Roman" w:hAnsi="Times New Roman" w:cs="Times New Roman"/>
          <w:sz w:val="24"/>
          <w:szCs w:val="24"/>
          <w:lang w:eastAsia="en-IL"/>
        </w:rPr>
        <w:t xml:space="preserve">, aligning with China’s model of state-guided capitalism. It demonstrates how state alliances can empower corporate authority. Huawei benefits from diplomatic backing, access to state capital, and a protected, large home market. Still, it can also be constrained by national ties, as its close association with the Chinese state has triggered mistrust </w:t>
      </w:r>
      <w:r w:rsidRPr="0044370F">
        <w:rPr>
          <w:rFonts w:ascii="Times New Roman" w:hAnsi="Times New Roman"/>
          <w:sz w:val="24"/>
        </w:rPr>
        <w:t xml:space="preserve">abroad. </w:t>
      </w:r>
      <w:r w:rsidRPr="0044370F">
        <w:rPr>
          <w:rFonts w:ascii="Times New Roman" w:eastAsia="Times New Roman" w:hAnsi="Times New Roman" w:cs="Times New Roman"/>
          <w:sz w:val="24"/>
          <w:szCs w:val="24"/>
          <w:lang w:eastAsia="en-IL"/>
        </w:rPr>
        <w:t xml:space="preserve">Huawei’s power is </w:t>
      </w:r>
      <w:r w:rsidRPr="0044370F">
        <w:rPr>
          <w:rFonts w:ascii="Times New Roman" w:eastAsia="Times New Roman" w:hAnsi="Times New Roman" w:cs="Times New Roman"/>
          <w:b/>
          <w:bCs/>
          <w:sz w:val="24"/>
          <w:szCs w:val="24"/>
          <w:lang w:eastAsia="en-IL"/>
        </w:rPr>
        <w:t>hard and infrastructural</w:t>
      </w:r>
      <w:r w:rsidRPr="0044370F">
        <w:rPr>
          <w:rFonts w:ascii="Times New Roman" w:eastAsia="Times New Roman" w:hAnsi="Times New Roman" w:cs="Times New Roman"/>
          <w:sz w:val="24"/>
          <w:szCs w:val="24"/>
          <w:lang w:eastAsia="en-IL"/>
        </w:rPr>
        <w:t>, controlling physical networks, patents, and hardware, which is less immediately visible to end-users but very tangible to governments. Its case underscores</w:t>
      </w:r>
      <w:r w:rsidRPr="0044370F">
        <w:rPr>
          <w:rFonts w:ascii="Times New Roman" w:hAnsi="Times New Roman"/>
          <w:sz w:val="24"/>
        </w:rPr>
        <w:t xml:space="preserve"> that quasi-sovereignty </w:t>
      </w:r>
      <w:r w:rsidRPr="0044370F">
        <w:rPr>
          <w:rFonts w:ascii="Times New Roman" w:eastAsia="Times New Roman" w:hAnsi="Times New Roman" w:cs="Times New Roman"/>
          <w:sz w:val="24"/>
          <w:szCs w:val="24"/>
          <w:lang w:eastAsia="en-IL"/>
        </w:rPr>
        <w:t>can sometimes amplify state sovereignty (China’s, in this case) rather than operate apart from it, raising complex issues when a quasi-sovereign firm’s interests align with one state’s geopolitical aims over others.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b/>
          <w:bCs/>
          <w:sz w:val="24"/>
          <w:szCs w:val="24"/>
          <w:lang w:eastAsia="en-IL"/>
        </w:rPr>
        <w:t>SAP</w:t>
      </w:r>
      <w:r w:rsidRPr="0044370F">
        <w:rPr>
          <w:rFonts w:ascii="Times New Roman" w:eastAsia="Times New Roman" w:hAnsi="Times New Roman" w:cs="Times New Roman"/>
          <w:sz w:val="24"/>
          <w:szCs w:val="24"/>
          <w:lang w:eastAsia="en-IL"/>
        </w:rPr>
        <w:t xml:space="preserve"> represents a </w:t>
      </w:r>
      <w:r w:rsidRPr="0044370F">
        <w:rPr>
          <w:rFonts w:ascii="Times New Roman" w:eastAsia="Times New Roman" w:hAnsi="Times New Roman" w:cs="Times New Roman"/>
          <w:b/>
          <w:bCs/>
          <w:sz w:val="24"/>
          <w:szCs w:val="24"/>
          <w:lang w:eastAsia="en-IL"/>
        </w:rPr>
        <w:t>quiet, institutionalized model</w:t>
      </w:r>
      <w:r w:rsidRPr="0044370F">
        <w:rPr>
          <w:rFonts w:ascii="Times New Roman" w:eastAsia="Times New Roman" w:hAnsi="Times New Roman" w:cs="Times New Roman"/>
          <w:sz w:val="24"/>
          <w:szCs w:val="24"/>
          <w:lang w:eastAsia="en-IL"/>
        </w:rPr>
        <w:t xml:space="preserve"> of corporate quasi-sovereignty. It operates mainly in rule-of-law environments, benefiting from stable regulations. Its influence is exercised not through public assertion but through </w:t>
      </w:r>
      <w:r w:rsidRPr="0044370F">
        <w:rPr>
          <w:rFonts w:ascii="Times New Roman" w:eastAsia="Times New Roman" w:hAnsi="Times New Roman" w:cs="Times New Roman"/>
          <w:b/>
          <w:bCs/>
          <w:sz w:val="24"/>
          <w:szCs w:val="24"/>
          <w:lang w:eastAsia="en-IL"/>
        </w:rPr>
        <w:t>ubiquity and indispensability</w:t>
      </w:r>
      <w:r w:rsidRPr="0044370F">
        <w:rPr>
          <w:rFonts w:ascii="Times New Roman" w:eastAsia="Times New Roman" w:hAnsi="Times New Roman" w:cs="Times New Roman"/>
          <w:sz w:val="24"/>
          <w:szCs w:val="24"/>
          <w:lang w:eastAsia="en-IL"/>
        </w:rPr>
        <w:t xml:space="preserve">. SAP’s authority stems from technical standardization and deep integration rather than public persona or political clout. It shows a path of </w:t>
      </w:r>
      <w:r w:rsidRPr="0044370F">
        <w:rPr>
          <w:rFonts w:ascii="Times New Roman" w:eastAsia="Times New Roman" w:hAnsi="Times New Roman" w:cs="Times New Roman"/>
          <w:i/>
          <w:iCs/>
          <w:sz w:val="24"/>
          <w:szCs w:val="24"/>
          <w:lang w:eastAsia="en-IL"/>
        </w:rPr>
        <w:t>collaborative quasi-sovereignty</w:t>
      </w:r>
      <w:r w:rsidRPr="0044370F">
        <w:rPr>
          <w:rFonts w:ascii="Times New Roman" w:eastAsia="Times New Roman" w:hAnsi="Times New Roman" w:cs="Times New Roman"/>
          <w:sz w:val="24"/>
          <w:szCs w:val="24"/>
          <w:lang w:eastAsia="en-IL"/>
        </w:rPr>
        <w:t xml:space="preserve"> - working with states and institutions to become a core part of how they function, thereby gaining a seat at the governance table by default. SAP </w:t>
      </w:r>
      <w:r w:rsidRPr="0044370F">
        <w:rPr>
          <w:rFonts w:ascii="Times New Roman" w:eastAsia="Times New Roman" w:hAnsi="Times New Roman" w:cs="Times New Roman"/>
          <w:sz w:val="24"/>
          <w:szCs w:val="24"/>
          <w:lang w:eastAsia="en-IL"/>
        </w:rPr>
        <w:lastRenderedPageBreak/>
        <w:t>rarely faces a legitimacy crisis because its power is exercised subtly and usually in support of its stakeholders’ efficiency and compliance goals, not in ways that clash with public values.</w:t>
      </w:r>
    </w:p>
    <w:p w:rsidR="0060194B" w:rsidRPr="0044370F" w:rsidRDefault="0060194B" w:rsidP="0060194B">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These differences confirm that quasi-sovereignty is not a one-size-fits-all</w:t>
      </w:r>
      <w:r w:rsidRPr="0044370F">
        <w:rPr>
          <w:rFonts w:ascii="Times New Roman" w:hAnsi="Times New Roman"/>
          <w:sz w:val="24"/>
        </w:rPr>
        <w:t xml:space="preserve"> status but a </w:t>
      </w:r>
      <w:r w:rsidRPr="0044370F">
        <w:rPr>
          <w:rFonts w:ascii="Times New Roman" w:hAnsi="Times New Roman"/>
          <w:b/>
          <w:sz w:val="24"/>
        </w:rPr>
        <w:t>flexible configuration</w:t>
      </w:r>
      <w:r w:rsidRPr="0044370F">
        <w:rPr>
          <w:rFonts w:ascii="Times New Roman" w:hAnsi="Times New Roman"/>
          <w:sz w:val="24"/>
        </w:rPr>
        <w:t xml:space="preserve"> enacted through </w:t>
      </w:r>
      <w:r w:rsidRPr="0044370F">
        <w:rPr>
          <w:rFonts w:ascii="Times New Roman" w:eastAsia="Times New Roman" w:hAnsi="Times New Roman" w:cs="Times New Roman"/>
          <w:sz w:val="24"/>
          <w:szCs w:val="24"/>
          <w:lang w:eastAsia="en-IL"/>
        </w:rPr>
        <w:t xml:space="preserve">different mixes of </w:t>
      </w:r>
      <w:r w:rsidRPr="0044370F">
        <w:rPr>
          <w:rFonts w:ascii="Times New Roman" w:hAnsi="Times New Roman"/>
          <w:sz w:val="24"/>
        </w:rPr>
        <w:t xml:space="preserve">resources, legitimacy, infrastructure, and embedded </w:t>
      </w:r>
      <w:r w:rsidRPr="0044370F">
        <w:rPr>
          <w:rFonts w:ascii="Times New Roman" w:eastAsia="Times New Roman" w:hAnsi="Times New Roman" w:cs="Times New Roman"/>
          <w:sz w:val="24"/>
          <w:szCs w:val="24"/>
          <w:lang w:eastAsia="en-IL"/>
        </w:rPr>
        <w:t>practices</w:t>
      </w:r>
      <w:r w:rsidRPr="0044370F">
        <w:rPr>
          <w:rStyle w:val="a8"/>
          <w:rFonts w:ascii="Times New Roman" w:eastAsia="Times New Roman" w:hAnsi="Times New Roman" w:cs="Times New Roman"/>
          <w:sz w:val="24"/>
          <w:szCs w:val="24"/>
          <w:lang w:eastAsia="en-IL"/>
        </w:rPr>
        <w:footnoteReference w:id="163"/>
      </w:r>
      <w:r w:rsidRPr="0044370F">
        <w:rPr>
          <w:rFonts w:ascii="Times New Roman" w:hAnsi="Times New Roman"/>
          <w:sz w:val="24"/>
        </w:rPr>
        <w:t xml:space="preserve">. Each firm manifests the hybrid framework </w:t>
      </w:r>
      <w:r w:rsidRPr="0044370F">
        <w:rPr>
          <w:rFonts w:ascii="Times New Roman" w:eastAsia="Times New Roman" w:hAnsi="Times New Roman" w:cs="Times New Roman"/>
          <w:sz w:val="24"/>
          <w:szCs w:val="24"/>
          <w:lang w:eastAsia="en-IL"/>
        </w:rPr>
        <w:t xml:space="preserve">of </w:t>
      </w:r>
      <w:r w:rsidR="00960581" w:rsidRPr="0044370F">
        <w:rPr>
          <w:rFonts w:ascii="Times New Roman" w:eastAsia="Times New Roman" w:hAnsi="Times New Roman" w:cs="Times New Roman"/>
          <w:sz w:val="24"/>
          <w:szCs w:val="24"/>
          <w:lang w:eastAsia="en-IL"/>
        </w:rPr>
        <w:t>corporate quasi-sovereignty</w:t>
      </w:r>
      <w:r w:rsidRPr="0044370F">
        <w:rPr>
          <w:rFonts w:ascii="Times New Roman" w:eastAsia="Times New Roman" w:hAnsi="Times New Roman" w:cs="Times New Roman"/>
          <w:sz w:val="24"/>
          <w:szCs w:val="24"/>
          <w:lang w:eastAsia="en-IL"/>
        </w:rPr>
        <w:t xml:space="preserve"> </w:t>
      </w:r>
      <w:r w:rsidRPr="0044370F">
        <w:rPr>
          <w:rFonts w:ascii="Times New Roman" w:hAnsi="Times New Roman"/>
          <w:sz w:val="24"/>
        </w:rPr>
        <w:t xml:space="preserve">in distinct ways, </w:t>
      </w:r>
      <w:r w:rsidRPr="0044370F">
        <w:rPr>
          <w:rFonts w:ascii="Times New Roman" w:eastAsia="Times New Roman" w:hAnsi="Times New Roman" w:cs="Times New Roman"/>
          <w:sz w:val="24"/>
          <w:szCs w:val="24"/>
          <w:lang w:eastAsia="en-IL"/>
        </w:rPr>
        <w:t xml:space="preserve">reflecting its industry sector, home country relations, and strategic choices. The comparative analysis thus supports the dissertation’s theoretical model by demonstrating its applicability across varied contexts: the four analytical dimensions appear valid and useful, yet they are combined differently in each scenario. For example, strategic resource control and infrastructural power are very pronounced in Huawei and Meta, whereas SAP leans more on structural embeddedness and normative legitimacy. Such variances highlight how </w:t>
      </w:r>
      <w:r w:rsidRPr="0044370F">
        <w:rPr>
          <w:rFonts w:ascii="Times New Roman" w:eastAsia="Times New Roman" w:hAnsi="Times New Roman" w:cs="Times New Roman"/>
          <w:b/>
          <w:bCs/>
          <w:sz w:val="24"/>
          <w:szCs w:val="24"/>
          <w:lang w:eastAsia="en-IL"/>
        </w:rPr>
        <w:t>context shapes corporate power</w:t>
      </w:r>
      <w:r w:rsidRPr="0044370F">
        <w:rPr>
          <w:rFonts w:ascii="Times New Roman" w:eastAsia="Times New Roman" w:hAnsi="Times New Roman" w:cs="Times New Roman"/>
          <w:sz w:val="24"/>
          <w:szCs w:val="24"/>
          <w:lang w:eastAsia="en-IL"/>
        </w:rPr>
        <w:t>. A U.S. social media company, a Chinese telecom giant, and a German software firm will naturally deploy their quasi-sovereign capacities in line with their environmental opportunities and constraints.</w:t>
      </w:r>
    </w:p>
    <w:p w:rsidR="0060194B" w:rsidRPr="0044370F" w:rsidRDefault="0060194B" w:rsidP="00023CA0">
      <w:pPr>
        <w:pStyle w:val="3"/>
        <w:rPr>
          <w:lang w:eastAsia="en-IL"/>
        </w:rPr>
      </w:pPr>
      <w:bookmarkStart w:id="118" w:name="_Toc222652798"/>
      <w:r w:rsidRPr="0044370F">
        <w:rPr>
          <w:lang w:eastAsia="en-IL"/>
        </w:rPr>
        <w:t>4.6.2</w:t>
      </w:r>
      <w:r w:rsidRPr="0044370F">
        <w:rPr>
          <w:lang w:eastAsia="en-IL"/>
        </w:rPr>
        <w:tab/>
        <w:t>Conclusion</w:t>
      </w:r>
      <w:bookmarkEnd w:id="118"/>
    </w:p>
    <w:p w:rsidR="003119A6" w:rsidRPr="0044370F" w:rsidRDefault="0060194B" w:rsidP="003119A6">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case comparisons illustrate a key insight: quasi-sovereign corporate power is a spectrum and can be achieved by different routes. What unites Meta, Huawei, and SAP is that they have all, in effect, stepped into roles that affect global governance, whether intentionally or incidentally. They each wield influence that rivals or supplements that of nations in their respective domains. Yet, the </w:t>
      </w:r>
      <w:r w:rsidRPr="0044370F">
        <w:rPr>
          <w:rFonts w:ascii="Times New Roman" w:eastAsia="Times New Roman" w:hAnsi="Times New Roman" w:cs="Times New Roman"/>
          <w:b/>
          <w:bCs/>
          <w:sz w:val="24"/>
          <w:szCs w:val="24"/>
          <w:lang w:eastAsia="en-IL"/>
        </w:rPr>
        <w:t>nature of that influence</w:t>
      </w:r>
      <w:r w:rsidRPr="0044370F">
        <w:rPr>
          <w:rFonts w:ascii="Times New Roman" w:eastAsia="Times New Roman" w:hAnsi="Times New Roman" w:cs="Times New Roman"/>
          <w:sz w:val="24"/>
          <w:szCs w:val="24"/>
          <w:lang w:eastAsia="en-IL"/>
        </w:rPr>
        <w:t>, how it is used, how it is perceived, and how it is checked varies greatly. This confirms</w:t>
      </w:r>
      <w:r w:rsidRPr="0044370F">
        <w:rPr>
          <w:rFonts w:ascii="Times New Roman" w:hAnsi="Times New Roman"/>
          <w:sz w:val="24"/>
        </w:rPr>
        <w:t xml:space="preserve"> the model’s analytical utility</w:t>
      </w:r>
      <w:r w:rsidRPr="0044370F">
        <w:rPr>
          <w:rFonts w:ascii="Times New Roman" w:eastAsia="Times New Roman" w:hAnsi="Times New Roman" w:cs="Times New Roman"/>
          <w:sz w:val="24"/>
          <w:szCs w:val="24"/>
          <w:lang w:eastAsia="en-IL"/>
        </w:rPr>
        <w:t>, showing that it can capture the multifaceted nature of corporate power and that it is sensitive</w:t>
      </w:r>
      <w:r w:rsidRPr="0044370F">
        <w:rPr>
          <w:rFonts w:ascii="Times New Roman" w:hAnsi="Times New Roman"/>
          <w:sz w:val="24"/>
        </w:rPr>
        <w:t xml:space="preserve"> to institutional variation.</w:t>
      </w:r>
      <w:r w:rsidRPr="0044370F">
        <w:rPr>
          <w:rFonts w:ascii="Times New Roman" w:eastAsia="Times New Roman" w:hAnsi="Times New Roman" w:cs="Times New Roman"/>
          <w:sz w:val="24"/>
          <w:szCs w:val="24"/>
          <w:lang w:eastAsia="en-IL"/>
        </w:rPr>
        <w:t xml:space="preserve"> Understanding these nuances is crucial for any policy or theoretical approach seeking to address the rise of quasi-sovereign firms in the international system. Each case provides lessons: the importance of legitimacy and accountability (Meta), the risks and rewards of state alignment (Huawei), and the </w:t>
      </w:r>
      <w:r w:rsidRPr="0044370F">
        <w:rPr>
          <w:rFonts w:ascii="Times New Roman" w:eastAsia="Times New Roman" w:hAnsi="Times New Roman" w:cs="Times New Roman"/>
          <w:sz w:val="24"/>
          <w:szCs w:val="24"/>
          <w:lang w:eastAsia="en-IL"/>
        </w:rPr>
        <w:lastRenderedPageBreak/>
        <w:t>power of being indispensable but low-profile (SAP). Together, they paint a comprehensive picture of the evolving relationship between corporate authority and state sovereignty in the digital era.</w:t>
      </w:r>
    </w:p>
    <w:p w:rsidR="0060194B" w:rsidRPr="0044370F" w:rsidRDefault="0060194B" w:rsidP="00023CA0">
      <w:pPr>
        <w:pStyle w:val="3"/>
        <w:rPr>
          <w:rStyle w:val="a4"/>
          <w:b/>
          <w:bCs/>
          <w:szCs w:val="28"/>
          <w:rtl/>
        </w:rPr>
      </w:pPr>
      <w:bookmarkStart w:id="119" w:name="_Toc222652799"/>
      <w:r w:rsidRPr="0044370F">
        <w:rPr>
          <w:rStyle w:val="a4"/>
          <w:b/>
          <w:bCs/>
        </w:rPr>
        <w:t xml:space="preserve">Table </w:t>
      </w:r>
      <w:r w:rsidR="009E2790" w:rsidRPr="0044370F">
        <w:rPr>
          <w:rStyle w:val="a4"/>
          <w:rFonts w:hint="cs"/>
          <w:b/>
          <w:bCs/>
          <w:szCs w:val="28"/>
          <w:rtl/>
        </w:rPr>
        <w:t>7</w:t>
      </w:r>
      <w:r w:rsidR="003119A6" w:rsidRPr="0044370F">
        <w:rPr>
          <w:rStyle w:val="a4"/>
          <w:b/>
          <w:bCs/>
        </w:rPr>
        <w:t>:</w:t>
      </w:r>
      <w:r w:rsidRPr="0044370F">
        <w:rPr>
          <w:rStyle w:val="a4"/>
          <w:b/>
          <w:bCs/>
        </w:rPr>
        <w:t xml:space="preserve"> </w:t>
      </w:r>
      <w:r w:rsidRPr="0044370F">
        <w:t>Comparative Configurations of Corporate Quasi-Sovereignty</w:t>
      </w:r>
      <w:bookmarkEnd w:id="119"/>
    </w:p>
    <w:tbl>
      <w:tblPr>
        <w:tblStyle w:val="5"/>
        <w:tblW w:w="9356" w:type="dxa"/>
        <w:tblInd w:w="-5" w:type="dxa"/>
        <w:tblLook w:val="04A0" w:firstRow="1" w:lastRow="0" w:firstColumn="1" w:lastColumn="0" w:noHBand="0" w:noVBand="1"/>
      </w:tblPr>
      <w:tblGrid>
        <w:gridCol w:w="1998"/>
        <w:gridCol w:w="2397"/>
        <w:gridCol w:w="2551"/>
        <w:gridCol w:w="2410"/>
      </w:tblGrid>
      <w:tr w:rsidR="0060194B" w:rsidRPr="0044370F" w:rsidTr="00311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hideMark/>
          </w:tcPr>
          <w:p w:rsidR="0060194B" w:rsidRPr="0044370F" w:rsidRDefault="0060194B" w:rsidP="00051764">
            <w:pPr>
              <w:rPr>
                <w:rFonts w:asciiTheme="majorBidi" w:eastAsia="Times New Roman" w:hAnsiTheme="majorBidi" w:cstheme="majorBidi"/>
                <w:sz w:val="24"/>
                <w:szCs w:val="24"/>
                <w:lang w:val="en-US"/>
              </w:rPr>
            </w:pPr>
            <w:r w:rsidRPr="0044370F">
              <w:rPr>
                <w:rFonts w:asciiTheme="majorBidi" w:eastAsia="Times New Roman" w:hAnsiTheme="majorBidi" w:cstheme="majorBidi"/>
                <w:sz w:val="24"/>
                <w:szCs w:val="24"/>
                <w:lang w:val="en-US"/>
              </w:rPr>
              <w:t>Analytical Dimension</w:t>
            </w:r>
          </w:p>
        </w:tc>
        <w:tc>
          <w:tcPr>
            <w:tcW w:w="2397" w:type="dxa"/>
            <w:hideMark/>
          </w:tcPr>
          <w:p w:rsidR="0060194B" w:rsidRPr="0044370F" w:rsidRDefault="0060194B" w:rsidP="0005176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Theme="majorBidi" w:eastAsia="Times New Roman" w:hAnsiTheme="majorBidi" w:cstheme="majorBidi"/>
                <w:sz w:val="24"/>
                <w:szCs w:val="24"/>
                <w:lang w:val="en-US"/>
              </w:rPr>
              <w:t>Meta Platforms (USA)</w:t>
            </w:r>
          </w:p>
        </w:tc>
        <w:tc>
          <w:tcPr>
            <w:tcW w:w="2551" w:type="dxa"/>
            <w:hideMark/>
          </w:tcPr>
          <w:p w:rsidR="0060194B" w:rsidRPr="0044370F" w:rsidRDefault="0060194B" w:rsidP="0005176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Theme="majorBidi" w:eastAsia="Times New Roman" w:hAnsiTheme="majorBidi" w:cstheme="majorBidi"/>
                <w:sz w:val="24"/>
                <w:szCs w:val="24"/>
                <w:lang w:val="en-US"/>
              </w:rPr>
              <w:t>Huawei Technologies (China)</w:t>
            </w:r>
          </w:p>
        </w:tc>
        <w:tc>
          <w:tcPr>
            <w:tcW w:w="2410" w:type="dxa"/>
            <w:hideMark/>
          </w:tcPr>
          <w:p w:rsidR="0060194B" w:rsidRPr="0044370F" w:rsidRDefault="0060194B" w:rsidP="0005176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val="en-US"/>
              </w:rPr>
            </w:pPr>
            <w:r w:rsidRPr="0044370F">
              <w:rPr>
                <w:rFonts w:asciiTheme="majorBidi" w:eastAsia="Times New Roman" w:hAnsiTheme="majorBidi" w:cstheme="majorBidi"/>
                <w:sz w:val="24"/>
                <w:szCs w:val="24"/>
                <w:lang w:val="en-US"/>
              </w:rPr>
              <w:t>SAP SE (Germany)</w:t>
            </w:r>
          </w:p>
        </w:tc>
      </w:tr>
      <w:tr w:rsidR="0060194B" w:rsidRPr="0044370F" w:rsidTr="00311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8EAADB" w:themeFill="accent5" w:themeFillTint="99"/>
            <w:hideMark/>
          </w:tcPr>
          <w:p w:rsidR="0060194B" w:rsidRPr="0044370F" w:rsidRDefault="0060194B" w:rsidP="003119A6">
            <w:pPr>
              <w:rPr>
                <w:rFonts w:asciiTheme="majorBidi" w:eastAsia="Times New Roman" w:hAnsiTheme="majorBidi" w:cstheme="majorBidi"/>
                <w:color w:val="auto"/>
                <w:sz w:val="20"/>
                <w:szCs w:val="20"/>
                <w:lang w:val="en-US"/>
              </w:rPr>
            </w:pPr>
            <w:r w:rsidRPr="0044370F">
              <w:rPr>
                <w:rFonts w:asciiTheme="majorBidi" w:eastAsia="Times New Roman" w:hAnsiTheme="majorBidi" w:cstheme="majorBidi"/>
                <w:color w:val="auto"/>
                <w:sz w:val="20"/>
                <w:szCs w:val="20"/>
                <w:lang w:val="en-US"/>
              </w:rPr>
              <w:t>Strategic Resource Control</w:t>
            </w:r>
          </w:p>
        </w:tc>
        <w:tc>
          <w:tcPr>
            <w:tcW w:w="2397" w:type="dxa"/>
            <w:shd w:val="clear" w:color="auto" w:fill="8EAADB" w:themeFill="accent5" w:themeFillTint="99"/>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control over vast user data, social graphs, proprietary algorithms, advertising infrastructure, and investments in global connectivity (e.g., submarine cables).</w:t>
            </w:r>
          </w:p>
        </w:tc>
        <w:tc>
          <w:tcPr>
            <w:tcW w:w="2551" w:type="dxa"/>
            <w:shd w:val="clear" w:color="auto" w:fill="8EAADB" w:themeFill="accent5" w:themeFillTint="99"/>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Very 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dominance in telecom hardware, ownership of extensive 5G standard-essential patents, massive R&amp;D investment, and control over manufacturing and supply chains.</w:t>
            </w:r>
          </w:p>
        </w:tc>
        <w:tc>
          <w:tcPr>
            <w:tcW w:w="2410" w:type="dxa"/>
            <w:shd w:val="clear" w:color="auto" w:fill="8EAADB" w:themeFill="accent5" w:themeFillTint="99"/>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Medium</w:t>
            </w:r>
            <w:r w:rsidRPr="0044370F">
              <w:rPr>
                <w:rFonts w:asciiTheme="majorBidi" w:eastAsia="Times New Roman" w:hAnsiTheme="majorBidi" w:cstheme="majorBidi"/>
                <w:b/>
                <w:bCs/>
                <w:sz w:val="20"/>
                <w:szCs w:val="20"/>
                <w:rtl/>
                <w:lang w:val="en-US"/>
              </w:rPr>
              <w:t>/</w:t>
            </w:r>
            <w:r w:rsidRPr="0044370F">
              <w:rPr>
                <w:rFonts w:asciiTheme="majorBidi" w:eastAsia="Times New Roman" w:hAnsiTheme="majorBidi" w:cstheme="majorBidi"/>
                <w:b/>
                <w:bCs/>
                <w:sz w:val="20"/>
                <w:szCs w:val="20"/>
                <w:lang w:val="en-US"/>
              </w:rPr>
              <w:t>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proprietary enterprise software platforms (ERP), control over business process data, industry-specific knowledge, and long-term client lock-in.</w:t>
            </w:r>
          </w:p>
        </w:tc>
      </w:tr>
      <w:tr w:rsidR="0060194B" w:rsidRPr="0044370F" w:rsidTr="003119A6">
        <w:tc>
          <w:tcPr>
            <w:cnfStyle w:val="001000000000" w:firstRow="0" w:lastRow="0" w:firstColumn="1" w:lastColumn="0" w:oddVBand="0" w:evenVBand="0" w:oddHBand="0" w:evenHBand="0" w:firstRowFirstColumn="0" w:firstRowLastColumn="0" w:lastRowFirstColumn="0" w:lastRowLastColumn="0"/>
            <w:tcW w:w="1998" w:type="dxa"/>
            <w:shd w:val="clear" w:color="auto" w:fill="F7CAAC" w:themeFill="accent2" w:themeFillTint="66"/>
            <w:hideMark/>
          </w:tcPr>
          <w:p w:rsidR="0060194B" w:rsidRPr="0044370F" w:rsidRDefault="0060194B" w:rsidP="003119A6">
            <w:pPr>
              <w:rPr>
                <w:rFonts w:asciiTheme="majorBidi" w:eastAsia="Times New Roman" w:hAnsiTheme="majorBidi" w:cstheme="majorBidi"/>
                <w:color w:val="auto"/>
                <w:sz w:val="20"/>
                <w:szCs w:val="20"/>
                <w:lang w:val="en-US"/>
              </w:rPr>
            </w:pPr>
            <w:r w:rsidRPr="0044370F">
              <w:rPr>
                <w:rFonts w:asciiTheme="majorBidi" w:eastAsia="Times New Roman" w:hAnsiTheme="majorBidi" w:cstheme="majorBidi"/>
                <w:color w:val="auto"/>
                <w:sz w:val="20"/>
                <w:szCs w:val="20"/>
                <w:lang w:val="en-US"/>
              </w:rPr>
              <w:t>Structural Embeddedness</w:t>
            </w:r>
          </w:p>
        </w:tc>
        <w:tc>
          <w:tcPr>
            <w:tcW w:w="2397" w:type="dxa"/>
            <w:shd w:val="clear" w:color="auto" w:fill="F7CAAC" w:themeFill="accent2" w:themeFillTint="66"/>
            <w:hideMark/>
          </w:tcPr>
          <w:p w:rsidR="0060194B" w:rsidRPr="0044370F" w:rsidRDefault="0060194B" w:rsidP="003119A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deeply integrated into global communication ecosystems, regulatory environments, and economic activity, while exploiting jurisdictional arbitrage.</w:t>
            </w:r>
          </w:p>
        </w:tc>
        <w:tc>
          <w:tcPr>
            <w:tcW w:w="2551" w:type="dxa"/>
            <w:shd w:val="clear" w:color="auto" w:fill="F7CAAC" w:themeFill="accent2" w:themeFillTint="66"/>
            <w:hideMark/>
          </w:tcPr>
          <w:p w:rsidR="0060194B" w:rsidRPr="0044370F" w:rsidRDefault="0060194B" w:rsidP="003119A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Very 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embedded in global telecom infrastructure, international standards bodies, and state-backed financing networks linked to China’s geopolitical strategy.</w:t>
            </w:r>
          </w:p>
        </w:tc>
        <w:tc>
          <w:tcPr>
            <w:tcW w:w="2410" w:type="dxa"/>
            <w:shd w:val="clear" w:color="auto" w:fill="F7CAAC" w:themeFill="accent2" w:themeFillTint="66"/>
            <w:hideMark/>
          </w:tcPr>
          <w:p w:rsidR="0060194B" w:rsidRPr="0044370F" w:rsidRDefault="0060194B" w:rsidP="003119A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Very 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embedded within corporate, governmental, and regulatory institutions worldwide; closely aligned with legal and standards-based governance frameworks.</w:t>
            </w:r>
          </w:p>
        </w:tc>
      </w:tr>
      <w:tr w:rsidR="0060194B" w:rsidRPr="0044370F" w:rsidTr="00311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C5E0B3" w:themeFill="accent6" w:themeFillTint="66"/>
            <w:hideMark/>
          </w:tcPr>
          <w:p w:rsidR="0060194B" w:rsidRPr="0044370F" w:rsidRDefault="0060194B" w:rsidP="003119A6">
            <w:pPr>
              <w:rPr>
                <w:rFonts w:asciiTheme="majorBidi" w:eastAsia="Times New Roman" w:hAnsiTheme="majorBidi" w:cstheme="majorBidi"/>
                <w:color w:val="auto"/>
                <w:sz w:val="20"/>
                <w:szCs w:val="20"/>
                <w:lang w:val="en-US"/>
              </w:rPr>
            </w:pPr>
            <w:r w:rsidRPr="0044370F">
              <w:rPr>
                <w:rFonts w:asciiTheme="majorBidi" w:eastAsia="Times New Roman" w:hAnsiTheme="majorBidi" w:cstheme="majorBidi"/>
                <w:color w:val="auto"/>
                <w:sz w:val="20"/>
                <w:szCs w:val="20"/>
                <w:lang w:val="en-US"/>
              </w:rPr>
              <w:t>Normative Legitimacy</w:t>
            </w:r>
          </w:p>
        </w:tc>
        <w:tc>
          <w:tcPr>
            <w:tcW w:w="2397" w:type="dxa"/>
            <w:shd w:val="clear" w:color="auto" w:fill="C5E0B3" w:themeFill="accent6" w:themeFillTint="66"/>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Contested</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actively pursued through transparency initiatives and the Oversight Board, but persistently challenged by scandals, misinformation, and privacy concerns.</w:t>
            </w:r>
          </w:p>
        </w:tc>
        <w:tc>
          <w:tcPr>
            <w:tcW w:w="2551" w:type="dxa"/>
            <w:shd w:val="clear" w:color="auto" w:fill="C5E0B3" w:themeFill="accent6" w:themeFillTint="66"/>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Highly Polarized</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contested and restricted in many Western states due to security concerns, while accepted or welcomed in parts of the Global South as a development partner.</w:t>
            </w:r>
          </w:p>
        </w:tc>
        <w:tc>
          <w:tcPr>
            <w:tcW w:w="2410" w:type="dxa"/>
            <w:shd w:val="clear" w:color="auto" w:fill="C5E0B3" w:themeFill="accent6" w:themeFillTint="66"/>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Strong and Stable</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grounded in compliance, trust, and alignment with legal, ethical, and sustainability norms; rarely subject to public legitimacy crises.</w:t>
            </w:r>
          </w:p>
        </w:tc>
      </w:tr>
      <w:tr w:rsidR="0060194B" w:rsidRPr="0044370F" w:rsidTr="003119A6">
        <w:tc>
          <w:tcPr>
            <w:cnfStyle w:val="001000000000" w:firstRow="0" w:lastRow="0" w:firstColumn="1" w:lastColumn="0" w:oddVBand="0" w:evenVBand="0" w:oddHBand="0" w:evenHBand="0" w:firstRowFirstColumn="0" w:firstRowLastColumn="0" w:lastRowFirstColumn="0" w:lastRowLastColumn="0"/>
            <w:tcW w:w="1998" w:type="dxa"/>
            <w:shd w:val="clear" w:color="auto" w:fill="FFE599" w:themeFill="accent4" w:themeFillTint="66"/>
            <w:hideMark/>
          </w:tcPr>
          <w:p w:rsidR="0060194B" w:rsidRPr="0044370F" w:rsidRDefault="0060194B" w:rsidP="003119A6">
            <w:pPr>
              <w:rPr>
                <w:rFonts w:asciiTheme="majorBidi" w:eastAsia="Times New Roman" w:hAnsiTheme="majorBidi" w:cstheme="majorBidi"/>
                <w:color w:val="auto"/>
                <w:sz w:val="20"/>
                <w:szCs w:val="20"/>
                <w:lang w:val="en-US"/>
              </w:rPr>
            </w:pPr>
            <w:r w:rsidRPr="0044370F">
              <w:rPr>
                <w:rFonts w:asciiTheme="majorBidi" w:eastAsia="Times New Roman" w:hAnsiTheme="majorBidi" w:cstheme="majorBidi"/>
                <w:color w:val="auto"/>
                <w:sz w:val="20"/>
                <w:szCs w:val="20"/>
                <w:lang w:val="en-US"/>
              </w:rPr>
              <w:t>Infrastructural Power</w:t>
            </w:r>
          </w:p>
        </w:tc>
        <w:tc>
          <w:tcPr>
            <w:tcW w:w="2397" w:type="dxa"/>
            <w:shd w:val="clear" w:color="auto" w:fill="FFE599" w:themeFill="accent4" w:themeFillTint="66"/>
            <w:hideMark/>
          </w:tcPr>
          <w:p w:rsidR="0060194B" w:rsidRPr="0044370F" w:rsidRDefault="0060194B" w:rsidP="003119A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High</w:t>
            </w:r>
            <w:r w:rsidRPr="0044370F">
              <w:rPr>
                <w:rFonts w:asciiTheme="majorBidi" w:eastAsia="Times New Roman" w:hAnsiTheme="majorBidi" w:cstheme="majorBidi"/>
                <w:sz w:val="20"/>
                <w:szCs w:val="20"/>
                <w:rtl/>
                <w:lang w:val="en-US"/>
              </w:rPr>
              <w:t xml:space="preserve">: </w:t>
            </w:r>
            <w:r w:rsidRPr="0044370F">
              <w:rPr>
                <w:rFonts w:asciiTheme="majorBidi" w:eastAsia="Times New Roman" w:hAnsiTheme="majorBidi" w:cstheme="majorBidi"/>
                <w:sz w:val="20"/>
                <w:szCs w:val="20"/>
                <w:lang w:val="en-US"/>
              </w:rPr>
              <w:t>governance of digital public spheres through content moderation systems, ranking algorithms, and communication platforms with global reach.</w:t>
            </w:r>
          </w:p>
        </w:tc>
        <w:tc>
          <w:tcPr>
            <w:tcW w:w="2551" w:type="dxa"/>
            <w:shd w:val="clear" w:color="auto" w:fill="FFE599" w:themeFill="accent4" w:themeFillTint="66"/>
            <w:hideMark/>
          </w:tcPr>
          <w:p w:rsidR="0060194B" w:rsidRPr="0044370F" w:rsidRDefault="0060194B" w:rsidP="003119A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Very 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control over physical communication infrastructure (5G networks, fiber optics, undersea cables) that underpins national connectivity and security.</w:t>
            </w:r>
          </w:p>
        </w:tc>
        <w:tc>
          <w:tcPr>
            <w:tcW w:w="2410" w:type="dxa"/>
            <w:shd w:val="clear" w:color="auto" w:fill="FFE599" w:themeFill="accent4" w:themeFillTint="66"/>
            <w:hideMark/>
          </w:tcPr>
          <w:p w:rsidR="0060194B" w:rsidRPr="0044370F" w:rsidRDefault="0060194B" w:rsidP="003119A6">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szCs w:val="20"/>
                <w:lang w:val="en-US"/>
              </w:rPr>
            </w:pPr>
            <w:r w:rsidRPr="0044370F">
              <w:rPr>
                <w:rFonts w:asciiTheme="majorBidi" w:eastAsia="Times New Roman" w:hAnsiTheme="majorBidi" w:cstheme="majorBidi"/>
                <w:b/>
                <w:bCs/>
                <w:sz w:val="20"/>
                <w:szCs w:val="20"/>
                <w:lang w:val="en-US"/>
              </w:rPr>
              <w:t>High</w:t>
            </w:r>
            <w:r w:rsidRPr="0044370F">
              <w:rPr>
                <w:rFonts w:asciiTheme="majorBidi" w:eastAsia="Times New Roman" w:hAnsiTheme="majorBidi" w:cstheme="majorBidi"/>
                <w:sz w:val="20"/>
                <w:szCs w:val="20"/>
                <w:rtl/>
                <w:lang w:val="en-US"/>
              </w:rPr>
              <w:t>:</w:t>
            </w:r>
            <w:r w:rsidRPr="0044370F">
              <w:rPr>
                <w:rFonts w:asciiTheme="majorBidi" w:eastAsia="Times New Roman" w:hAnsiTheme="majorBidi" w:cstheme="majorBidi"/>
                <w:sz w:val="20"/>
                <w:szCs w:val="20"/>
                <w:lang w:val="en-US"/>
              </w:rPr>
              <w:t xml:space="preserve"> quiet but pervasive governance through enterprise and public-sector software infrastructures that standardize administrative and economic processes.</w:t>
            </w:r>
          </w:p>
        </w:tc>
      </w:tr>
      <w:tr w:rsidR="0060194B" w:rsidRPr="0044370F" w:rsidTr="003119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AEAAAA" w:themeFill="background2" w:themeFillShade="BF"/>
            <w:hideMark/>
          </w:tcPr>
          <w:p w:rsidR="0060194B" w:rsidRPr="0044370F" w:rsidRDefault="0060194B" w:rsidP="003119A6">
            <w:pPr>
              <w:rPr>
                <w:rFonts w:asciiTheme="majorBidi" w:eastAsia="Times New Roman" w:hAnsiTheme="majorBidi" w:cstheme="majorBidi"/>
                <w:color w:val="auto"/>
                <w:lang w:val="en-US"/>
              </w:rPr>
            </w:pPr>
            <w:r w:rsidRPr="0044370F">
              <w:rPr>
                <w:rFonts w:asciiTheme="majorBidi" w:eastAsia="Times New Roman" w:hAnsiTheme="majorBidi" w:cstheme="majorBidi"/>
                <w:color w:val="auto"/>
                <w:lang w:val="en-US"/>
              </w:rPr>
              <w:t>Overall Configuration of Quasi-Sovereignty</w:t>
            </w:r>
          </w:p>
        </w:tc>
        <w:tc>
          <w:tcPr>
            <w:tcW w:w="2397" w:type="dxa"/>
            <w:shd w:val="clear" w:color="auto" w:fill="AEAAAA" w:themeFill="background2" w:themeFillShade="BF"/>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val="en-US"/>
              </w:rPr>
            </w:pPr>
            <w:r w:rsidRPr="0044370F">
              <w:rPr>
                <w:rFonts w:asciiTheme="majorBidi" w:eastAsia="Times New Roman" w:hAnsiTheme="majorBidi" w:cstheme="majorBidi"/>
                <w:b/>
                <w:bCs/>
                <w:lang w:val="en-US"/>
              </w:rPr>
              <w:t>Platform-based, highly visible, normatively fragile, and reliant on user conformity and network effects.</w:t>
            </w:r>
          </w:p>
        </w:tc>
        <w:tc>
          <w:tcPr>
            <w:tcW w:w="2551" w:type="dxa"/>
            <w:shd w:val="clear" w:color="auto" w:fill="AEAAAA" w:themeFill="background2" w:themeFillShade="BF"/>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val="en-US"/>
              </w:rPr>
            </w:pPr>
            <w:r w:rsidRPr="0044370F">
              <w:rPr>
                <w:rFonts w:asciiTheme="majorBidi" w:eastAsia="Times New Roman" w:hAnsiTheme="majorBidi" w:cstheme="majorBidi"/>
                <w:b/>
                <w:bCs/>
                <w:lang w:val="en-US"/>
              </w:rPr>
              <w:t>State-aligned, infrastructure-centric, geopolitically contested, and closely tied to national power projection.</w:t>
            </w:r>
          </w:p>
        </w:tc>
        <w:tc>
          <w:tcPr>
            <w:tcW w:w="2410" w:type="dxa"/>
            <w:shd w:val="clear" w:color="auto" w:fill="AEAAAA" w:themeFill="background2" w:themeFillShade="BF"/>
            <w:hideMark/>
          </w:tcPr>
          <w:p w:rsidR="0060194B" w:rsidRPr="0044370F" w:rsidRDefault="0060194B" w:rsidP="003119A6">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lang w:val="en-US"/>
              </w:rPr>
            </w:pPr>
            <w:r w:rsidRPr="0044370F">
              <w:rPr>
                <w:rFonts w:asciiTheme="majorBidi" w:eastAsia="Times New Roman" w:hAnsiTheme="majorBidi" w:cstheme="majorBidi"/>
                <w:b/>
                <w:bCs/>
                <w:lang w:val="en-US"/>
              </w:rPr>
              <w:t>Institutionalized, low-profile, compliance-oriented, and deeply embedded within existing governance structures.</w:t>
            </w:r>
          </w:p>
        </w:tc>
      </w:tr>
    </w:tbl>
    <w:p w:rsidR="0060194B" w:rsidRPr="0044370F" w:rsidRDefault="0060194B" w:rsidP="009F0142">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This comparative overview visually reinforces the argument developed throughout the chapter: while Meta, Huawei, and SAP all exhibit forms of quasi-sovereign </w:t>
      </w:r>
      <w:r w:rsidR="009F0142" w:rsidRPr="0044370F">
        <w:rPr>
          <w:rFonts w:ascii="Times New Roman" w:eastAsia="Times New Roman" w:hAnsi="Times New Roman" w:cs="Times New Roman"/>
          <w:sz w:val="24"/>
          <w:szCs w:val="24"/>
          <w:lang w:eastAsia="en-IL"/>
        </w:rPr>
        <w:t>actors</w:t>
      </w:r>
      <w:r w:rsidRPr="0044370F">
        <w:rPr>
          <w:rFonts w:ascii="Times New Roman" w:eastAsia="Times New Roman" w:hAnsi="Times New Roman" w:cs="Times New Roman"/>
          <w:sz w:val="24"/>
          <w:szCs w:val="24"/>
          <w:lang w:eastAsia="en-IL"/>
        </w:rPr>
        <w:t xml:space="preserve">, they do so through </w:t>
      </w:r>
      <w:r w:rsidRPr="0044370F">
        <w:rPr>
          <w:rFonts w:ascii="Times New Roman" w:eastAsia="Times New Roman" w:hAnsi="Times New Roman" w:cs="Times New Roman"/>
          <w:i/>
          <w:iCs/>
          <w:sz w:val="24"/>
          <w:szCs w:val="24"/>
          <w:lang w:eastAsia="en-IL"/>
        </w:rPr>
        <w:t>distinct</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i/>
          <w:iCs/>
          <w:sz w:val="24"/>
          <w:szCs w:val="24"/>
          <w:lang w:eastAsia="en-IL"/>
        </w:rPr>
        <w:t>configurations</w:t>
      </w:r>
      <w:r w:rsidRPr="0044370F">
        <w:rPr>
          <w:rFonts w:ascii="Times New Roman" w:eastAsia="Times New Roman" w:hAnsi="Times New Roman" w:cs="Times New Roman"/>
          <w:sz w:val="24"/>
          <w:szCs w:val="24"/>
          <w:lang w:eastAsia="en-IL"/>
        </w:rPr>
        <w:t xml:space="preserve"> shaped by sectoral position, geopolitical context, and strategic orientation. </w:t>
      </w:r>
      <w:r w:rsidRPr="0044370F">
        <w:rPr>
          <w:rFonts w:ascii="Times New Roman" w:eastAsia="Times New Roman" w:hAnsi="Times New Roman" w:cs="Times New Roman"/>
          <w:sz w:val="24"/>
          <w:szCs w:val="24"/>
          <w:lang w:eastAsia="en-IL"/>
        </w:rPr>
        <w:lastRenderedPageBreak/>
        <w:t>The table highlights both shared structural patterns and critical divergences, underscoring the analytical utility of the four-dimensional framework.</w:t>
      </w:r>
    </w:p>
    <w:p w:rsidR="0060194B" w:rsidRPr="0044370F" w:rsidRDefault="0060194B" w:rsidP="0060194B">
      <w:pPr>
        <w:pStyle w:val="NormalWeb"/>
        <w:spacing w:line="360" w:lineRule="auto"/>
        <w:jc w:val="both"/>
      </w:pPr>
      <w:r w:rsidRPr="0044370F">
        <w:t xml:space="preserve">All things considered, the analytical framework's comparative application to Meta, Huawei, and SAP reveals both crucial distinctions and shared patterns in the way businesses function as quasi-sovereign entities. Although corporate authority, infrastructure presence, and cross-border impact are present in all three scenarios, they do so in different ways, influenced by industry, institutional context, and strategic orientation. These results demonstrate the need for in-depth, context-rich analysis and confirm the conceptual usefulness of the four-dimensional model. </w:t>
      </w:r>
      <w:r w:rsidRPr="0044370F">
        <w:br/>
      </w:r>
    </w:p>
    <w:p w:rsidR="0060194B" w:rsidRPr="0044370F" w:rsidRDefault="0060194B" w:rsidP="0060194B">
      <w:pPr>
        <w:pStyle w:val="NormalWeb"/>
        <w:spacing w:line="360" w:lineRule="auto"/>
        <w:jc w:val="both"/>
      </w:pPr>
      <w:r w:rsidRPr="0044370F">
        <w:t>The following chapters build on these empirical findings to examine their theoretical, geopolitical, and governance implications.</w:t>
      </w:r>
    </w:p>
    <w:p w:rsidR="00AD38FB" w:rsidRPr="0044370F" w:rsidRDefault="00AD38FB">
      <w:pPr>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br w:type="page"/>
      </w:r>
    </w:p>
    <w:p w:rsidR="00AD38FB" w:rsidRPr="0044370F" w:rsidRDefault="00AD38FB" w:rsidP="00023CA0">
      <w:pPr>
        <w:pStyle w:val="1"/>
        <w:spacing w:before="0" w:line="240" w:lineRule="auto"/>
      </w:pPr>
      <w:bookmarkStart w:id="120" w:name="_Toc222652800"/>
      <w:r w:rsidRPr="0044370F">
        <w:rPr>
          <w:noProof/>
          <w:szCs w:val="44"/>
          <w:rtl/>
        </w:rPr>
        <w:lastRenderedPageBreak/>
        <w:drawing>
          <wp:anchor distT="0" distB="0" distL="114300" distR="114300" simplePos="0" relativeHeight="251664384" behindDoc="0" locked="0" layoutInCell="1" allowOverlap="1" wp14:anchorId="544D2573" wp14:editId="2EA28AAA">
            <wp:simplePos x="0" y="0"/>
            <wp:positionH relativeFrom="page">
              <wp:posOffset>4302125</wp:posOffset>
            </wp:positionH>
            <wp:positionV relativeFrom="paragraph">
              <wp:posOffset>461010</wp:posOffset>
            </wp:positionV>
            <wp:extent cx="2346325" cy="1040130"/>
            <wp:effectExtent l="0" t="0" r="0" b="7620"/>
            <wp:wrapThrough wrapText="bothSides">
              <wp:wrapPolygon edited="0">
                <wp:start x="0" y="0"/>
                <wp:lineTo x="0" y="21363"/>
                <wp:lineTo x="21395" y="21363"/>
                <wp:lineTo x="21395" y="0"/>
                <wp:lineTo x="0" y="0"/>
              </wp:wrapPolygon>
            </wp:wrapThrough>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png"/>
                    <pic:cNvPicPr/>
                  </pic:nvPicPr>
                  <pic:blipFill rotWithShape="1">
                    <a:blip r:embed="rId12">
                      <a:extLst>
                        <a:ext uri="{28A0092B-C50C-407E-A947-70E740481C1C}">
                          <a14:useLocalDpi xmlns:a14="http://schemas.microsoft.com/office/drawing/2010/main" val="0"/>
                        </a:ext>
                      </a:extLst>
                    </a:blip>
                    <a:srcRect l="7998" t="30352" r="542" b="32114"/>
                    <a:stretch/>
                  </pic:blipFill>
                  <pic:spPr bwMode="auto">
                    <a:xfrm>
                      <a:off x="0" y="0"/>
                      <a:ext cx="2346325" cy="1040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4370F">
        <w:t>Chapter 5</w:t>
      </w:r>
      <w:bookmarkEnd w:id="120"/>
      <w:r w:rsidRPr="0044370F">
        <w:br/>
      </w:r>
      <w:bookmarkStart w:id="121" w:name="_Hlk201431714"/>
    </w:p>
    <w:p w:rsidR="00AD38FB" w:rsidRPr="0044370F" w:rsidRDefault="00AD38FB" w:rsidP="00023CA0">
      <w:pPr>
        <w:pStyle w:val="1"/>
        <w:spacing w:before="0" w:line="240" w:lineRule="auto"/>
      </w:pPr>
      <w:bookmarkStart w:id="122" w:name="_Toc222652801"/>
      <w:r w:rsidRPr="0044370F">
        <w:t xml:space="preserve">Case Study I: </w:t>
      </w:r>
      <w:bookmarkEnd w:id="121"/>
      <w:r w:rsidRPr="0044370F">
        <w:t>Meta Inc. (USA)</w:t>
      </w:r>
      <w:bookmarkEnd w:id="122"/>
    </w:p>
    <w:p w:rsidR="00AD38FB" w:rsidRPr="0044370F" w:rsidRDefault="00AD38FB" w:rsidP="00023CA0">
      <w:pPr>
        <w:pStyle w:val="1"/>
        <w:spacing w:before="0" w:line="240" w:lineRule="auto"/>
      </w:pPr>
      <w:bookmarkStart w:id="123" w:name="_Toc222652802"/>
      <w:r w:rsidRPr="0044370F">
        <w:t>as a Quasi-Sovereign</w:t>
      </w:r>
      <w:bookmarkEnd w:id="123"/>
      <w:r w:rsidRPr="0044370F">
        <w:t xml:space="preserve"> </w:t>
      </w:r>
    </w:p>
    <w:p w:rsidR="00AD38FB" w:rsidRPr="0044370F" w:rsidRDefault="00AD38FB" w:rsidP="00023CA0">
      <w:pPr>
        <w:pStyle w:val="1"/>
        <w:spacing w:before="0" w:line="240" w:lineRule="auto"/>
      </w:pPr>
      <w:bookmarkStart w:id="124" w:name="_Toc222652803"/>
      <w:r w:rsidRPr="0044370F">
        <w:t>Geopolitical Actor</w:t>
      </w:r>
      <w:bookmarkEnd w:id="124"/>
    </w:p>
    <w:p w:rsidR="00023CA0" w:rsidRPr="0044370F" w:rsidRDefault="00023CA0" w:rsidP="00AD38FB">
      <w:pPr>
        <w:spacing w:line="360" w:lineRule="auto"/>
        <w:jc w:val="both"/>
        <w:rPr>
          <w:rStyle w:val="20"/>
        </w:rPr>
      </w:pPr>
    </w:p>
    <w:p w:rsidR="00AD38FB" w:rsidRPr="0044370F" w:rsidRDefault="00AD38FB" w:rsidP="00AD38FB">
      <w:pPr>
        <w:spacing w:line="360" w:lineRule="auto"/>
        <w:jc w:val="both"/>
        <w:rPr>
          <w:rFonts w:asciiTheme="majorBidi" w:hAnsiTheme="majorBidi"/>
          <w:sz w:val="24"/>
          <w:szCs w:val="24"/>
          <w:rtl/>
        </w:rPr>
      </w:pPr>
      <w:bookmarkStart w:id="125" w:name="_Toc222652804"/>
      <w:r w:rsidRPr="0044370F">
        <w:rPr>
          <w:rStyle w:val="20"/>
        </w:rPr>
        <w:t>5.1</w:t>
      </w:r>
      <w:r w:rsidRPr="0044370F">
        <w:rPr>
          <w:rStyle w:val="20"/>
        </w:rPr>
        <w:tab/>
        <w:t>Introduction</w:t>
      </w:r>
      <w:bookmarkEnd w:id="125"/>
      <w:r w:rsidRPr="0044370F">
        <w:rPr>
          <w:rStyle w:val="20"/>
        </w:rPr>
        <w:br/>
      </w:r>
      <w:r w:rsidRPr="0044370F">
        <w:rPr>
          <w:rFonts w:asciiTheme="majorBidi" w:hAnsiTheme="majorBidi"/>
          <w:sz w:val="24"/>
          <w:szCs w:val="24"/>
        </w:rPr>
        <w:t>This chapter applies the analytical framework from Chapter 3 to a detailed case study of Meta Inc. The goal is to explore the extent to which Meta acts as a quasi-sovereign actor. This examination covers its control over strategic resources, infrastructural power, forms and fragilities of normative legitimacy, and structural embeddedness in global systems. Meta, as one of the most influential digital corporations of the 21st century, offers insight into how corporate power can mirror, challenge, or circumvent the authority typically reserved for nation-states.</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tl/>
        </w:rPr>
      </w:pPr>
      <w:r w:rsidRPr="0044370F">
        <w:rPr>
          <w:rFonts w:asciiTheme="majorBidi" w:eastAsia="Times New Roman" w:hAnsiTheme="majorBidi" w:cstheme="majorBidi"/>
          <w:sz w:val="24"/>
          <w:szCs w:val="24"/>
        </w:rPr>
        <w:t xml:space="preserve">Meta is selected as a case study not just due to its market size, but because it represents the most analytically revealing example of platform-based quasi-sovereignty in the digital age. </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Meta’s influence is concentrated in the governance of digital public discourse. Its platforms function as global arenas for political communication, social interaction, and identity formation, placing the company at the center of debates over speech regulation, democratic integrity, and public authority. Unlike firms whose authority is primarily infrastructural or logistical, Meta’s power operates most visibly through the regulation of communicative norms and the structuring of digital public spheres. Its longer institutional history, regulatory visibility, and explicit attempts to construct governance mechanisms, most notably the Oversight Board, make it a particularly instructive case for examining how corporate authority is asserted, contested, and institutionalized in the absence of formal sovereignty.</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lastRenderedPageBreak/>
        <w:t>Meta's transformation from a student social networking site to an international communications powerhouse has had institutional effects beyond its technological reach. With billions of users on Facebook, Instagram, WhatsApp, Messenger, and Threads, Meta supports over half of humankind in social, political, economic, and cultural communication. Its vast reach means it is no longer just a private organization, but a system-defining presence that shapes civic life and global interaction patterns</w:t>
      </w:r>
      <w:r w:rsidRPr="0044370F">
        <w:rPr>
          <w:rStyle w:val="a8"/>
          <w:rFonts w:asciiTheme="majorBidi" w:eastAsia="Times New Roman" w:hAnsiTheme="majorBidi" w:cstheme="majorBidi"/>
          <w:sz w:val="24"/>
          <w:szCs w:val="24"/>
        </w:rPr>
        <w:footnoteReference w:id="164"/>
      </w:r>
      <w:r w:rsidRPr="0044370F">
        <w:rPr>
          <w:rFonts w:asciiTheme="majorBidi" w:eastAsia="Times New Roman" w:hAnsiTheme="majorBidi" w:cstheme="majorBidi"/>
          <w:sz w:val="24"/>
          <w:szCs w:val="24"/>
        </w:rPr>
        <w:t>. Its operations affect elections, influence public health campaigns, enable commerce, and structure public discourse. Meta commands resources, data, attention, algorithmic control, and network infrastructure. This makes it a prominent geopolitical actor, despite lacking a formal mandate or borders.</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hAnsiTheme="majorBidi" w:cstheme="majorBidi"/>
          <w:sz w:val="24"/>
          <w:szCs w:val="24"/>
        </w:rPr>
        <w:t>The idea of quasi-sovereignty, discussed earlier, refers to non-state actors that govern de facto across borders. This often occurs where state authority is weak or changing. Meta shows this well. It sets rules, enforces them, and negotiates conflicts, acting like a regulator. Its investments in undersea cables and digital infrastructure reflect state-like ambitions. Through public discourse, transparency work, and appeals to rights norms, it seeks legitimacy similar to public institutions. Through lobbying, crisis diplomacy, and contact with civil society, it behaves as a transnational negotiator.</w:t>
      </w:r>
    </w:p>
    <w:p w:rsidR="00AD38FB" w:rsidRPr="0044370F" w:rsidRDefault="00AD38FB" w:rsidP="00AD38FB">
      <w:pPr>
        <w:pStyle w:val="NormalWeb"/>
        <w:spacing w:line="360" w:lineRule="auto"/>
        <w:jc w:val="both"/>
      </w:pPr>
      <w:r w:rsidRPr="0044370F">
        <w:rPr>
          <w:rFonts w:asciiTheme="majorBidi" w:hAnsiTheme="majorBidi"/>
        </w:rPr>
        <w:t xml:space="preserve">Unlike sovereign states, Meta’s authority is not grounded in democratic legitimacy, territorial jurisdiction, or constitutional frameworks. Its power is rooted in user agreements, network effects, and technical dominance. It answers not to a public electorate but to shareholders. This discrepancy between its functional power and its formal legitimacy introduces a profound tension. </w:t>
      </w:r>
      <w:r w:rsidRPr="0044370F">
        <w:t>Meta exercises governance-like functions without being subject to the same democratic accountability structures that constrain sovereign states.</w:t>
      </w: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Thus, this chapter's primary goal is to operationalize the four-part framework proposed in Chapter 3 to examine how this conflict manifests in real-world situations.</w:t>
      </w:r>
    </w:p>
    <w:p w:rsidR="00AD38FB" w:rsidRPr="0044370F" w:rsidRDefault="00AD38FB" w:rsidP="009F0142">
      <w:pPr>
        <w:spacing w:line="360" w:lineRule="auto"/>
        <w:jc w:val="both"/>
        <w:rPr>
          <w:rFonts w:asciiTheme="majorBidi" w:hAnsiTheme="majorBidi" w:cstheme="majorBidi"/>
          <w:sz w:val="24"/>
          <w:szCs w:val="24"/>
        </w:rPr>
      </w:pPr>
      <w:r w:rsidRPr="0044370F">
        <w:rPr>
          <w:rFonts w:asciiTheme="majorBidi" w:eastAsia="Times New Roman" w:hAnsiTheme="majorBidi" w:cstheme="majorBidi"/>
          <w:sz w:val="24"/>
          <w:szCs w:val="24"/>
        </w:rPr>
        <w:t xml:space="preserve">The following sections apply this framework sequentially, beginning with Meta’s control over strategic resources as the material foundation of its quasi-sovereign </w:t>
      </w:r>
      <w:r w:rsidR="009F0142" w:rsidRPr="0044370F">
        <w:rPr>
          <w:rFonts w:asciiTheme="majorBidi" w:eastAsia="Times New Roman" w:hAnsiTheme="majorBidi" w:cstheme="majorBidi"/>
          <w:sz w:val="24"/>
          <w:szCs w:val="24"/>
        </w:rPr>
        <w:t>actors</w:t>
      </w:r>
      <w:r w:rsidRPr="0044370F">
        <w:rPr>
          <w:rFonts w:asciiTheme="majorBidi" w:eastAsia="Times New Roman" w:hAnsiTheme="majorBidi" w:cstheme="majorBidi"/>
          <w:sz w:val="24"/>
          <w:szCs w:val="24"/>
        </w:rPr>
        <w:t xml:space="preserve">. </w:t>
      </w:r>
      <w:r w:rsidRPr="0044370F">
        <w:rPr>
          <w:rFonts w:asciiTheme="majorBidi" w:hAnsiTheme="majorBidi" w:cstheme="majorBidi"/>
          <w:sz w:val="24"/>
          <w:szCs w:val="24"/>
        </w:rPr>
        <w:t xml:space="preserve">The first dimension, </w:t>
      </w:r>
      <w:r w:rsidRPr="0044370F">
        <w:rPr>
          <w:rFonts w:asciiTheme="majorBidi" w:hAnsiTheme="majorBidi" w:cstheme="majorBidi"/>
          <w:sz w:val="24"/>
          <w:szCs w:val="24"/>
        </w:rPr>
        <w:lastRenderedPageBreak/>
        <w:t xml:space="preserve">strategic resource control, examines Meta’s dominance in digital data and algorithmic infrastructure. The company collects behavioral, biometric, and social data at an unprecedented scale, powering recommendation systems, ad targeting, and predictive analytics that give it both economic and informational leverage. These assets are deployed to shape user experience, optimize engagement, and influence social and commercial behaviors at scale. Through acquisitions, cloud systems, and AI development, Meta consolidates control over both the digital terrain and the rules that govern navigation within it. </w:t>
      </w:r>
    </w:p>
    <w:p w:rsidR="008F42CF" w:rsidRPr="0044370F" w:rsidRDefault="00AD38FB" w:rsidP="00AD38FB">
      <w:pPr>
        <w:spacing w:line="360" w:lineRule="auto"/>
        <w:jc w:val="both"/>
        <w:rPr>
          <w:rFonts w:asciiTheme="majorBidi" w:hAnsiTheme="majorBidi" w:cstheme="majorBidi"/>
          <w:sz w:val="24"/>
          <w:szCs w:val="24"/>
        </w:rPr>
      </w:pPr>
      <w:r w:rsidRPr="0044370F">
        <w:rPr>
          <w:rFonts w:asciiTheme="majorBidi" w:hAnsiTheme="majorBidi" w:cstheme="majorBidi"/>
          <w:sz w:val="24"/>
          <w:szCs w:val="24"/>
        </w:rPr>
        <w:t>The second dimension, infrastructural power, looks at Meta’s control over communications networks and connectivity systems. From server farms and content delivery networks to submarine cables and internet expansion projects, Meta increasingly plays a role once held by national telecommunications authorities. Its platforms are essential for commerce, communication, and coordination in many parts of the world. As the 2021 global outage showed, disruptions in Meta’s infrastructure can cascade through entire economies and societies, underscoring its integration into the fabric of global infrastructure.</w:t>
      </w:r>
    </w:p>
    <w:p w:rsidR="00AD38FB" w:rsidRPr="0044370F" w:rsidRDefault="00AD38FB" w:rsidP="008F42CF">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The third element, normative legitimacy, assesses Meta's efforts to maintain social license and defend its governance stance. Meta has created a sophisticated system of self-regulation and accountability through the Oversight Board, transparency reports, acceptance of human rights norms, and crisis response procedures. </w:t>
      </w: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These initiatives, meanwhile, have been viewed with mistrust.</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Given the company's numerous problems with hate speech, political manipulation, privacy, and disinformation, critics question Meta's independence, the implementation of its recommendations, and the sincerity of its normative statements.</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br/>
        <w:t>The fourth factor, structural embeddedness, looks at how Meta is entwined with institutional structures, regulatory frameworks, and policy regimes across nations.</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Meta works with international organizations, selectively adheres to local rules, and uses strategic alliances and lobbying to influence policy. It frequently strikes a balance between national regulations and international operational logic, adapting to sovereign limits while also attempting </w:t>
      </w:r>
      <w:r w:rsidRPr="0044370F">
        <w:rPr>
          <w:rFonts w:asciiTheme="majorBidi" w:eastAsia="Times New Roman" w:hAnsiTheme="majorBidi" w:cstheme="majorBidi"/>
          <w:sz w:val="24"/>
          <w:szCs w:val="24"/>
        </w:rPr>
        <w:lastRenderedPageBreak/>
        <w:t xml:space="preserve">to alter them. Because of its dual orientation, Meta can operate internationally without being uniformly subservient to any single authority. </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This chapter draws on primary and secondary sources, including transparency reports, regulatory filings, journalism, civil society reviews, court cases, and academic analysis. It studies Meta's actions, adaptations, and claims as a quasi-sovereign entity, grounded in evidence. The chapter aims to show structural processes at work, not to make value judgments. By doing this, it joins the wider discussion on </w:t>
      </w:r>
      <w:r w:rsidR="00960581" w:rsidRPr="0044370F">
        <w:rPr>
          <w:rFonts w:asciiTheme="majorBidi" w:eastAsia="Times New Roman" w:hAnsiTheme="majorBidi" w:cstheme="majorBidi"/>
          <w:sz w:val="24"/>
          <w:szCs w:val="24"/>
        </w:rPr>
        <w:t>corporate quasi-sovereignty</w:t>
      </w:r>
      <w:r w:rsidRPr="0044370F">
        <w:rPr>
          <w:rFonts w:asciiTheme="majorBidi" w:eastAsia="Times New Roman" w:hAnsiTheme="majorBidi" w:cstheme="majorBidi"/>
          <w:sz w:val="24"/>
          <w:szCs w:val="24"/>
        </w:rPr>
        <w:t>, platform governance, and digital-era power.</w:t>
      </w:r>
    </w:p>
    <w:p w:rsidR="00AD38FB" w:rsidRPr="0044370F" w:rsidRDefault="00AD38FB" w:rsidP="00AD38FB">
      <w:pPr>
        <w:spacing w:beforeAutospacing="1" w:after="100" w:afterAutospacing="1" w:line="360" w:lineRule="auto"/>
        <w:jc w:val="both"/>
        <w:rPr>
          <w:rFonts w:asciiTheme="majorBidi" w:hAnsiTheme="majorBidi" w:cstheme="majorBidi"/>
          <w:b/>
          <w:bCs/>
          <w:sz w:val="24"/>
          <w:szCs w:val="24"/>
          <w:rtl/>
        </w:rPr>
      </w:pPr>
      <w:r w:rsidRPr="0044370F">
        <w:rPr>
          <w:rFonts w:asciiTheme="majorBidi" w:hAnsiTheme="majorBidi" w:cstheme="majorBidi"/>
          <w:sz w:val="24"/>
          <w:szCs w:val="24"/>
        </w:rPr>
        <w:t>By systematically applying the four-dimensional framework to Meta, this chapter demonstrates how different forms of power, material, infrastructural, discursive, and institutional, interact to constitute corporate quasi-sovereignty</w:t>
      </w:r>
      <w:r w:rsidRPr="0044370F">
        <w:rPr>
          <w:rStyle w:val="a8"/>
          <w:rFonts w:asciiTheme="majorBidi" w:hAnsiTheme="majorBidi" w:cstheme="majorBidi"/>
          <w:sz w:val="24"/>
          <w:szCs w:val="24"/>
        </w:rPr>
        <w:footnoteReference w:id="165"/>
      </w:r>
      <w:r w:rsidRPr="0044370F">
        <w:rPr>
          <w:rFonts w:asciiTheme="majorBidi" w:hAnsiTheme="majorBidi" w:cstheme="majorBidi"/>
          <w:sz w:val="24"/>
          <w:szCs w:val="24"/>
        </w:rPr>
        <w:t>. It also reveals the limits of this model: the contestations, contradictions, and crises that arise when a private firm assumes public functions without public accountability. Ultimately, the Meta case is not merely about one company. It is about the reconfiguration of authority in the digital age and the need for analytical tools to make sense of actors that are neither fully public nor fully private, neither fully global nor entirely local, yet deeply consequential nonetheless.</w:t>
      </w:r>
    </w:p>
    <w:p w:rsidR="00AD38FB" w:rsidRPr="0044370F" w:rsidRDefault="00AD38FB" w:rsidP="00023CA0">
      <w:pPr>
        <w:pStyle w:val="2"/>
      </w:pPr>
      <w:bookmarkStart w:id="126" w:name="_Toc222652805"/>
      <w:r w:rsidRPr="0044370F">
        <w:rPr>
          <w:rFonts w:hint="cs"/>
          <w:b w:val="0"/>
          <w:bCs/>
          <w:szCs w:val="36"/>
          <w:rtl/>
        </w:rPr>
        <w:t>5.2</w:t>
      </w:r>
      <w:r w:rsidRPr="0044370F">
        <w:rPr>
          <w:szCs w:val="36"/>
          <w:rtl/>
        </w:rPr>
        <w:tab/>
      </w:r>
      <w:r w:rsidRPr="0044370F">
        <w:t>Analytical Orientation: Applying the Four-Dimensional Framework</w:t>
      </w:r>
      <w:bookmarkEnd w:id="126"/>
    </w:p>
    <w:p w:rsidR="00AD38FB" w:rsidRPr="0044370F" w:rsidRDefault="00AD38FB" w:rsidP="009F0142">
      <w:pPr>
        <w:spacing w:before="100" w:beforeAutospacing="1" w:after="100" w:afterAutospacing="1" w:line="360" w:lineRule="auto"/>
        <w:jc w:val="both"/>
        <w:rPr>
          <w:rFonts w:asciiTheme="majorBidi" w:eastAsia="Times New Roman" w:hAnsiTheme="majorBidi" w:cstheme="majorBidi"/>
          <w:sz w:val="24"/>
          <w:szCs w:val="24"/>
          <w:rtl/>
        </w:rPr>
      </w:pPr>
      <w:r w:rsidRPr="0044370F">
        <w:rPr>
          <w:rFonts w:asciiTheme="majorBidi" w:eastAsia="Times New Roman" w:hAnsiTheme="majorBidi" w:cstheme="majorBidi"/>
          <w:sz w:val="24"/>
          <w:szCs w:val="24"/>
        </w:rPr>
        <w:t>To guide the analysi</w:t>
      </w:r>
      <w:r w:rsidR="009F0142" w:rsidRPr="0044370F">
        <w:rPr>
          <w:rFonts w:asciiTheme="majorBidi" w:eastAsia="Times New Roman" w:hAnsiTheme="majorBidi" w:cstheme="majorBidi"/>
          <w:sz w:val="24"/>
          <w:szCs w:val="24"/>
        </w:rPr>
        <w:t>s, this chapter looks at Meta’s</w:t>
      </w:r>
      <w:r w:rsidR="009F0142" w:rsidRPr="0044370F">
        <w:rPr>
          <w:rFonts w:asciiTheme="majorBidi" w:hAnsiTheme="majorBidi" w:cstheme="majorBidi"/>
          <w:sz w:val="24"/>
          <w:szCs w:val="24"/>
        </w:rPr>
        <w:t xml:space="preserve"> exercise of</w:t>
      </w:r>
      <w:r w:rsidR="009F0142" w:rsidRPr="0044370F">
        <w:t xml:space="preserve"> </w:t>
      </w:r>
      <w:r w:rsidRPr="0044370F">
        <w:rPr>
          <w:rFonts w:asciiTheme="majorBidi" w:eastAsia="Times New Roman" w:hAnsiTheme="majorBidi" w:cstheme="majorBidi"/>
          <w:sz w:val="24"/>
          <w:szCs w:val="24"/>
        </w:rPr>
        <w:t>quasi-sovereign authority</w:t>
      </w:r>
      <w:r w:rsidR="009F0142" w:rsidRPr="0044370F">
        <w:rPr>
          <w:rFonts w:asciiTheme="majorBidi" w:eastAsia="Times New Roman" w:hAnsiTheme="majorBidi" w:cstheme="majorBidi"/>
          <w:sz w:val="24"/>
          <w:szCs w:val="24"/>
        </w:rPr>
        <w:t>,</w:t>
      </w:r>
      <w:r w:rsidRPr="0044370F">
        <w:rPr>
          <w:rFonts w:asciiTheme="majorBidi" w:eastAsia="Times New Roman" w:hAnsiTheme="majorBidi" w:cstheme="majorBidi"/>
          <w:sz w:val="24"/>
          <w:szCs w:val="24"/>
        </w:rPr>
        <w:t xml:space="preserve"> through the four analytical dimensions from Chapter 3: strategic resource control, infrastructural power, normative legitimacy, and structural embeddedness. Each dimension shows a different mode of governance-like influence wielded by Meta. Their interaction reveals how corporate power becomes systemic, scalable, and complex to challenge. Instead of treating these dimensions separately, the chapter highlights how they reinforce each other, showing that </w:t>
      </w:r>
      <w:r w:rsidR="00960581" w:rsidRPr="0044370F">
        <w:rPr>
          <w:rFonts w:asciiTheme="majorBidi" w:eastAsia="Times New Roman" w:hAnsiTheme="majorBidi" w:cstheme="majorBidi"/>
          <w:sz w:val="24"/>
          <w:szCs w:val="24"/>
        </w:rPr>
        <w:t xml:space="preserve">strategic resource </w:t>
      </w:r>
      <w:r w:rsidR="00960581" w:rsidRPr="0044370F">
        <w:rPr>
          <w:rFonts w:asciiTheme="majorBidi" w:eastAsia="Times New Roman" w:hAnsiTheme="majorBidi" w:cstheme="majorBidi"/>
          <w:sz w:val="24"/>
          <w:szCs w:val="24"/>
        </w:rPr>
        <w:lastRenderedPageBreak/>
        <w:t>control</w:t>
      </w:r>
      <w:r w:rsidRPr="0044370F">
        <w:rPr>
          <w:rFonts w:asciiTheme="majorBidi" w:eastAsia="Times New Roman" w:hAnsiTheme="majorBidi" w:cstheme="majorBidi"/>
          <w:sz w:val="24"/>
          <w:szCs w:val="24"/>
        </w:rPr>
        <w:t>, infrastructure control, legitimacy-seeking, and institutional rooting together build Meta’s quasi-sovereign position.</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Each subsection that follows explicitly maps empirical evidence onto the corresponding analytical dimension, ensuring conceptual continuity with Chapter 3.</w:t>
      </w:r>
    </w:p>
    <w:p w:rsidR="00AD38FB" w:rsidRPr="0044370F" w:rsidRDefault="00AD38FB" w:rsidP="00023CA0">
      <w:pPr>
        <w:pStyle w:val="3"/>
        <w:rPr>
          <w:rStyle w:val="a4"/>
          <w:b/>
          <w:bCs/>
          <w:szCs w:val="28"/>
          <w:rtl/>
        </w:rPr>
      </w:pPr>
      <w:bookmarkStart w:id="127" w:name="_Toc222652806"/>
      <w:r w:rsidRPr="0044370F">
        <w:rPr>
          <w:rStyle w:val="a4"/>
          <w:b/>
          <w:bCs/>
        </w:rPr>
        <w:t xml:space="preserve">Table </w:t>
      </w:r>
      <w:r w:rsidR="009E2790" w:rsidRPr="0044370F">
        <w:rPr>
          <w:rStyle w:val="a4"/>
          <w:rFonts w:hint="cs"/>
          <w:b/>
          <w:bCs/>
          <w:szCs w:val="28"/>
          <w:rtl/>
        </w:rPr>
        <w:t>8</w:t>
      </w:r>
      <w:r w:rsidRPr="0044370F">
        <w:rPr>
          <w:rStyle w:val="a4"/>
          <w:b/>
          <w:bCs/>
        </w:rPr>
        <w:t>: Application of the Four-Dimensional Framework to Meta Platforms</w:t>
      </w:r>
      <w:bookmarkEnd w:id="127"/>
    </w:p>
    <w:tbl>
      <w:tblPr>
        <w:tblStyle w:val="4-5"/>
        <w:tblW w:w="0" w:type="auto"/>
        <w:tblLook w:val="04A0" w:firstRow="1" w:lastRow="0" w:firstColumn="1" w:lastColumn="0" w:noHBand="0" w:noVBand="1"/>
      </w:tblPr>
      <w:tblGrid>
        <w:gridCol w:w="1739"/>
        <w:gridCol w:w="7611"/>
      </w:tblGrid>
      <w:tr w:rsidR="00AD38FB" w:rsidRPr="0044370F" w:rsidTr="00051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8496B0" w:themeFill="text2" w:themeFillTint="99"/>
            <w:hideMark/>
          </w:tcPr>
          <w:p w:rsidR="00AD38FB" w:rsidRPr="0044370F" w:rsidRDefault="00AD38FB" w:rsidP="00051764">
            <w:pPr>
              <w:jc w:val="both"/>
              <w:rPr>
                <w:rFonts w:eastAsia="Times New Roman" w:cs="Times New Roman"/>
                <w:color w:val="auto"/>
                <w:szCs w:val="24"/>
                <w:lang w:bidi="he-IL"/>
              </w:rPr>
            </w:pPr>
            <w:r w:rsidRPr="0044370F">
              <w:rPr>
                <w:rFonts w:eastAsia="Times New Roman" w:cs="Times New Roman"/>
                <w:color w:val="auto"/>
                <w:szCs w:val="24"/>
                <w:lang w:bidi="he-IL"/>
              </w:rPr>
              <w:t>Analytical Dimension</w:t>
            </w:r>
          </w:p>
        </w:tc>
        <w:tc>
          <w:tcPr>
            <w:tcW w:w="0" w:type="auto"/>
            <w:shd w:val="clear" w:color="auto" w:fill="8496B0" w:themeFill="text2" w:themeFillTint="99"/>
            <w:hideMark/>
          </w:tcPr>
          <w:p w:rsidR="00AD38FB" w:rsidRPr="0044370F" w:rsidRDefault="00AD38FB" w:rsidP="0005176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auto"/>
                <w:szCs w:val="24"/>
                <w:lang w:bidi="he-IL"/>
              </w:rPr>
            </w:pPr>
            <w:r w:rsidRPr="0044370F">
              <w:rPr>
                <w:rFonts w:eastAsia="Times New Roman" w:cs="Times New Roman"/>
                <w:color w:val="auto"/>
                <w:szCs w:val="24"/>
                <w:lang w:bidi="he-IL"/>
              </w:rPr>
              <w:t>Manifestation in Meta Platforms</w:t>
            </w:r>
          </w:p>
        </w:tc>
      </w:tr>
      <w:tr w:rsidR="00AD38F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CB9CA" w:themeFill="text2" w:themeFillTint="66"/>
            <w:hideMark/>
          </w:tcPr>
          <w:p w:rsidR="00AD38FB" w:rsidRPr="0044370F" w:rsidRDefault="00AD38FB" w:rsidP="00051764">
            <w:pPr>
              <w:jc w:val="both"/>
              <w:rPr>
                <w:rFonts w:eastAsia="Times New Roman" w:cs="Times New Roman"/>
                <w:sz w:val="20"/>
                <w:szCs w:val="20"/>
                <w:lang w:bidi="he-IL"/>
              </w:rPr>
            </w:pPr>
            <w:r w:rsidRPr="0044370F">
              <w:rPr>
                <w:rFonts w:eastAsia="Times New Roman" w:cs="Times New Roman"/>
                <w:sz w:val="20"/>
                <w:szCs w:val="20"/>
                <w:lang w:bidi="he-IL"/>
              </w:rPr>
              <w:t>Strategic Resource Control</w:t>
            </w:r>
          </w:p>
        </w:tc>
        <w:tc>
          <w:tcPr>
            <w:tcW w:w="0" w:type="auto"/>
            <w:shd w:val="clear" w:color="auto" w:fill="ACB9CA" w:themeFill="text2" w:themeFillTint="66"/>
            <w:hideMark/>
          </w:tcPr>
          <w:p w:rsidR="00AD38FB" w:rsidRPr="0044370F" w:rsidRDefault="00AD38FB" w:rsidP="00051764">
            <w:pPr>
              <w:jc w:val="both"/>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bidi="he-IL"/>
              </w:rPr>
            </w:pPr>
            <w:r w:rsidRPr="0044370F">
              <w:rPr>
                <w:rFonts w:eastAsia="Times New Roman" w:cs="Times New Roman"/>
                <w:sz w:val="20"/>
                <w:szCs w:val="20"/>
                <w:lang w:bidi="he-IL"/>
              </w:rPr>
              <w:t xml:space="preserve">Massive user data repositories · Proprietary algorithms · AI and machine learning models (e.g., </w:t>
            </w:r>
            <w:proofErr w:type="spellStart"/>
            <w:r w:rsidRPr="0044370F">
              <w:rPr>
                <w:rFonts w:eastAsia="Times New Roman" w:cs="Times New Roman"/>
                <w:sz w:val="20"/>
                <w:szCs w:val="20"/>
                <w:lang w:bidi="he-IL"/>
              </w:rPr>
              <w:t>LLaMA</w:t>
            </w:r>
            <w:proofErr w:type="spellEnd"/>
            <w:r w:rsidRPr="0044370F">
              <w:rPr>
                <w:rFonts w:eastAsia="Times New Roman" w:cs="Times New Roman"/>
                <w:sz w:val="20"/>
                <w:szCs w:val="20"/>
                <w:lang w:bidi="he-IL"/>
              </w:rPr>
              <w:t>) · Control over social graphs · Ownership of digital identity layers (Meta Login) · Investments in global connectivity and submarine cables</w:t>
            </w:r>
          </w:p>
        </w:tc>
      </w:tr>
      <w:tr w:rsidR="00AD38FB" w:rsidRPr="0044370F" w:rsidTr="00051764">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hideMark/>
          </w:tcPr>
          <w:p w:rsidR="00AD38FB" w:rsidRPr="0044370F" w:rsidRDefault="00AD38FB" w:rsidP="00051764">
            <w:pPr>
              <w:jc w:val="both"/>
              <w:rPr>
                <w:rFonts w:eastAsia="Times New Roman" w:cs="Times New Roman"/>
                <w:sz w:val="20"/>
                <w:szCs w:val="20"/>
                <w:lang w:bidi="he-IL"/>
              </w:rPr>
            </w:pPr>
            <w:r w:rsidRPr="0044370F">
              <w:rPr>
                <w:rFonts w:eastAsia="Times New Roman" w:cs="Times New Roman"/>
                <w:sz w:val="20"/>
                <w:szCs w:val="20"/>
                <w:lang w:bidi="he-IL"/>
              </w:rPr>
              <w:t>Infrastructural Power</w:t>
            </w:r>
          </w:p>
        </w:tc>
        <w:tc>
          <w:tcPr>
            <w:tcW w:w="0" w:type="auto"/>
            <w:shd w:val="clear" w:color="auto" w:fill="F2F2F2" w:themeFill="background1" w:themeFillShade="F2"/>
            <w:hideMark/>
          </w:tcPr>
          <w:p w:rsidR="00AD38FB" w:rsidRPr="0044370F" w:rsidRDefault="00AD38FB" w:rsidP="00051764">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bidi="he-IL"/>
              </w:rPr>
            </w:pPr>
            <w:r w:rsidRPr="0044370F">
              <w:rPr>
                <w:rFonts w:eastAsia="Times New Roman" w:cs="Times New Roman"/>
                <w:sz w:val="20"/>
                <w:szCs w:val="20"/>
                <w:lang w:bidi="he-IL"/>
              </w:rPr>
              <w:t xml:space="preserve">Global social media platforms (Meta, Instagram, WhatsApp, Messenger, Threads)· Content moderation systems · Recommendation and ranking algorithms · Command centers for crisis and election integrity · Undersea cables and </w:t>
            </w:r>
            <w:proofErr w:type="spellStart"/>
            <w:r w:rsidRPr="0044370F">
              <w:rPr>
                <w:rFonts w:eastAsia="Times New Roman" w:cs="Times New Roman"/>
                <w:sz w:val="20"/>
                <w:szCs w:val="20"/>
                <w:lang w:bidi="he-IL"/>
              </w:rPr>
              <w:t>hyperscale</w:t>
            </w:r>
            <w:proofErr w:type="spellEnd"/>
            <w:r w:rsidRPr="0044370F">
              <w:rPr>
                <w:rFonts w:eastAsia="Times New Roman" w:cs="Times New Roman"/>
                <w:sz w:val="20"/>
                <w:szCs w:val="20"/>
                <w:lang w:bidi="he-IL"/>
              </w:rPr>
              <w:t xml:space="preserve"> data centers</w:t>
            </w:r>
          </w:p>
        </w:tc>
      </w:tr>
      <w:tr w:rsidR="00AD38FB" w:rsidRPr="0044370F" w:rsidTr="00051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CB9CA" w:themeFill="text2" w:themeFillTint="66"/>
            <w:hideMark/>
          </w:tcPr>
          <w:p w:rsidR="00AD38FB" w:rsidRPr="0044370F" w:rsidRDefault="00AD38FB" w:rsidP="00051764">
            <w:pPr>
              <w:jc w:val="both"/>
              <w:rPr>
                <w:rFonts w:eastAsia="Times New Roman" w:cs="Times New Roman"/>
                <w:sz w:val="20"/>
                <w:szCs w:val="20"/>
                <w:lang w:bidi="he-IL"/>
              </w:rPr>
            </w:pPr>
            <w:r w:rsidRPr="0044370F">
              <w:rPr>
                <w:rFonts w:eastAsia="Times New Roman" w:cs="Times New Roman"/>
                <w:sz w:val="20"/>
                <w:szCs w:val="20"/>
                <w:lang w:bidi="he-IL"/>
              </w:rPr>
              <w:t>Normative Legitimacy</w:t>
            </w:r>
          </w:p>
        </w:tc>
        <w:tc>
          <w:tcPr>
            <w:tcW w:w="0" w:type="auto"/>
            <w:shd w:val="clear" w:color="auto" w:fill="ACB9CA" w:themeFill="text2" w:themeFillTint="66"/>
            <w:hideMark/>
          </w:tcPr>
          <w:p w:rsidR="00AD38FB" w:rsidRPr="0044370F" w:rsidRDefault="00AD38FB" w:rsidP="00051764">
            <w:pPr>
              <w:jc w:val="both"/>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bidi="he-IL"/>
              </w:rPr>
            </w:pPr>
            <w:r w:rsidRPr="0044370F">
              <w:rPr>
                <w:rFonts w:eastAsia="Times New Roman" w:cs="Times New Roman"/>
                <w:sz w:val="20"/>
                <w:szCs w:val="20"/>
                <w:lang w:bidi="he-IL"/>
              </w:rPr>
              <w:t>Oversight Board as quasi-judicial mechanism · Transparency and enforcement reports · Human rights and ethical AI discourse · Crisis-response framing · Persistent legitimacy challenges following scandals (privacy, misinformation, political manipulation)</w:t>
            </w:r>
          </w:p>
        </w:tc>
      </w:tr>
      <w:tr w:rsidR="00AD38FB" w:rsidRPr="0044370F" w:rsidTr="00051764">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hideMark/>
          </w:tcPr>
          <w:p w:rsidR="00AD38FB" w:rsidRPr="0044370F" w:rsidRDefault="00AD38FB" w:rsidP="00051764">
            <w:pPr>
              <w:jc w:val="both"/>
              <w:rPr>
                <w:rFonts w:eastAsia="Times New Roman" w:cs="Times New Roman"/>
                <w:sz w:val="20"/>
                <w:szCs w:val="20"/>
                <w:lang w:bidi="he-IL"/>
              </w:rPr>
            </w:pPr>
            <w:r w:rsidRPr="0044370F">
              <w:rPr>
                <w:rFonts w:eastAsia="Times New Roman" w:cs="Times New Roman"/>
                <w:sz w:val="20"/>
                <w:szCs w:val="20"/>
                <w:lang w:bidi="he-IL"/>
              </w:rPr>
              <w:t>Structural Embeddedness</w:t>
            </w:r>
          </w:p>
        </w:tc>
        <w:tc>
          <w:tcPr>
            <w:tcW w:w="0" w:type="auto"/>
            <w:shd w:val="clear" w:color="auto" w:fill="F2F2F2" w:themeFill="background1" w:themeFillShade="F2"/>
            <w:hideMark/>
          </w:tcPr>
          <w:p w:rsidR="00AD38FB" w:rsidRPr="0044370F" w:rsidRDefault="00AD38FB" w:rsidP="00051764">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bidi="he-IL"/>
              </w:rPr>
            </w:pPr>
            <w:r w:rsidRPr="0044370F">
              <w:rPr>
                <w:rFonts w:eastAsia="Times New Roman" w:cs="Times New Roman"/>
                <w:sz w:val="20"/>
                <w:szCs w:val="20"/>
                <w:lang w:bidi="he-IL"/>
              </w:rPr>
              <w:t>Deep integration into national regulatory systems · Lobbying and policy influence · Participation in global governance forums (e.g., UN IGF, GIFCT) · Revolving-door appointments (e.g., former state officials) · Reliance of governments, businesses, and civil society on Meta platforms</w:t>
            </w:r>
          </w:p>
        </w:tc>
      </w:tr>
    </w:tbl>
    <w:p w:rsidR="00AD38FB" w:rsidRPr="0044370F" w:rsidRDefault="00AD38FB" w:rsidP="00AD38FB">
      <w:pPr>
        <w:spacing w:after="0" w:line="360" w:lineRule="auto"/>
        <w:jc w:val="both"/>
        <w:rPr>
          <w:rFonts w:eastAsia="Times New Roman" w:cs="Times New Roman"/>
          <w:szCs w:val="24"/>
        </w:rPr>
      </w:pP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The table sums up the use of the four-dimensional framework for Meta. It illustrates how the mix of structural, normative, infrastructural, and strategic power creates a unique form of corporate quasi-sovereignty.</w:t>
      </w:r>
    </w:p>
    <w:p w:rsidR="00023CA0" w:rsidRPr="0044370F" w:rsidRDefault="00023CA0" w:rsidP="00AD38FB">
      <w:pPr>
        <w:spacing w:after="0" w:line="360" w:lineRule="auto"/>
        <w:jc w:val="both"/>
        <w:rPr>
          <w:rFonts w:asciiTheme="majorBidi" w:eastAsia="Times New Roman" w:hAnsiTheme="majorBidi" w:cstheme="majorBidi"/>
          <w:sz w:val="24"/>
          <w:szCs w:val="24"/>
        </w:rPr>
      </w:pPr>
    </w:p>
    <w:p w:rsidR="00AD38FB" w:rsidRPr="0044370F" w:rsidRDefault="00AD38FB" w:rsidP="00023CA0">
      <w:pPr>
        <w:pStyle w:val="2"/>
      </w:pPr>
      <w:bookmarkStart w:id="128" w:name="_Toc222652807"/>
      <w:r w:rsidRPr="0044370F">
        <w:rPr>
          <w:rStyle w:val="a4"/>
          <w:b/>
          <w:bCs w:val="0"/>
        </w:rPr>
        <w:t>5.3</w:t>
      </w:r>
      <w:r w:rsidRPr="0044370F">
        <w:rPr>
          <w:rStyle w:val="a4"/>
          <w:b/>
          <w:bCs w:val="0"/>
        </w:rPr>
        <w:tab/>
        <w:t>Meta in Comparative Perspective</w:t>
      </w:r>
      <w:bookmarkEnd w:id="128"/>
    </w:p>
    <w:p w:rsidR="00AD38FB" w:rsidRPr="0044370F" w:rsidRDefault="00AD38FB" w:rsidP="00DE059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Meta is the focus of this chapter, but its quasi-sovereign setup is notably different from other large tech companies. Corporations </w:t>
      </w:r>
      <w:r w:rsidR="00DE059B" w:rsidRPr="0044370F">
        <w:rPr>
          <w:rFonts w:asciiTheme="majorBidi" w:eastAsia="Times New Roman" w:hAnsiTheme="majorBidi" w:cstheme="majorBidi"/>
          <w:sz w:val="24"/>
          <w:szCs w:val="24"/>
        </w:rPr>
        <w:t>such as Google and Amazon possess sovereignty-like power primarily in economic and infrastructural spheres</w:t>
      </w:r>
      <w:r w:rsidRPr="0044370F">
        <w:rPr>
          <w:rFonts w:asciiTheme="majorBidi" w:eastAsia="Times New Roman" w:hAnsiTheme="majorBidi" w:cstheme="majorBidi"/>
          <w:sz w:val="24"/>
          <w:szCs w:val="24"/>
        </w:rPr>
        <w:t xml:space="preserve">. But Meta’s power focuses on regulating social contact, political speech, and symbolic public spaces worldwide. </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Meta is highly visible, contentious, and politically relevant because it emphasizes moral and communicative governance. This makes Meta an especially valuable case for examining the challenges of corporate quasi-sovereignty.</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lastRenderedPageBreak/>
        <w:t xml:space="preserve">A brief comparative framing further clarifies Meta’s distinctiveness. Google exercises infrastructural and epistemic power through search, advertising, and cloud services, positioning itself as a gatekeeper of knowledge rather than public discourse. Amazon approximates a form of logistical and marketplace sovereignty by controlling fulfillment networks, pricing infrastructures, and seller access at scale. </w:t>
      </w:r>
      <w:proofErr w:type="spellStart"/>
      <w:r w:rsidRPr="0044370F">
        <w:rPr>
          <w:rFonts w:asciiTheme="majorBidi" w:eastAsia="Times New Roman" w:hAnsiTheme="majorBidi" w:cstheme="majorBidi"/>
          <w:sz w:val="24"/>
          <w:szCs w:val="24"/>
        </w:rPr>
        <w:t>TikTok</w:t>
      </w:r>
      <w:proofErr w:type="spellEnd"/>
      <w:r w:rsidRPr="0044370F">
        <w:rPr>
          <w:rFonts w:asciiTheme="majorBidi" w:eastAsia="Times New Roman" w:hAnsiTheme="majorBidi" w:cstheme="majorBidi"/>
          <w:sz w:val="24"/>
          <w:szCs w:val="24"/>
        </w:rPr>
        <w:t xml:space="preserve">, by contrast, exemplifies algorithmic cultural power, where influence is mediated through opaque recommendation systems and geopolitical entanglement between China and Western states. </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Meta differs from each of these cases in that its authority is exercised most directly over communicative norms, political visibility, and the boundaries of acceptable speech, making it the most normatively contested platform among major technology firms.</w:t>
      </w:r>
    </w:p>
    <w:p w:rsidR="00AD38FB" w:rsidRPr="0044370F" w:rsidRDefault="00AD38FB" w:rsidP="00023CA0">
      <w:pPr>
        <w:pStyle w:val="3"/>
      </w:pPr>
      <w:bookmarkStart w:id="129" w:name="_Toc222652808"/>
      <w:r w:rsidRPr="0044370F">
        <w:t>5.3.1</w:t>
      </w:r>
      <w:r w:rsidRPr="0044370F">
        <w:tab/>
        <w:t xml:space="preserve"> Strategic Resource Control</w:t>
      </w:r>
      <w:bookmarkEnd w:id="129"/>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tl/>
        </w:rPr>
      </w:pPr>
      <w:r w:rsidRPr="0044370F">
        <w:rPr>
          <w:rFonts w:asciiTheme="majorBidi" w:eastAsia="Times New Roman" w:hAnsiTheme="majorBidi" w:cstheme="majorBidi"/>
          <w:sz w:val="24"/>
          <w:szCs w:val="24"/>
        </w:rPr>
        <w:t>Traditional strategic frameworks clarify Meta’s competitive position as a firm, but do not explain how its resources become the basis of sovereignty-like authority. Thus, the analysis uses the first dimension of the hybrid framework, strategic resource control, to show how Meta’s assets help it gain geopolitical and governance power, not just market advantage.</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The primary assets over which Meta exercises control include personal data, algorithmic systems, and platform infrastructure, each of which functions as a lever of influence, monetization, and governance.</w:t>
      </w:r>
    </w:p>
    <w:p w:rsidR="00AD38FB" w:rsidRPr="0044370F" w:rsidRDefault="00AD38FB" w:rsidP="000F3EB9">
      <w:pPr>
        <w:pStyle w:val="4"/>
      </w:pPr>
      <w:r w:rsidRPr="0044370F">
        <w:rPr>
          <w:b w:val="0"/>
          <w:bCs/>
          <w:i/>
          <w:iCs w:val="0"/>
          <w:szCs w:val="24"/>
          <w:rtl/>
        </w:rPr>
        <w:t>5.3.1.1</w:t>
      </w:r>
      <w:r w:rsidRPr="0044370F">
        <w:t xml:space="preserve"> </w:t>
      </w:r>
      <w:r w:rsidRPr="0044370F">
        <w:tab/>
        <w:t>Data as a Strategic Resource</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At the heart of Meta’s power is its unparalleled repository of personal and behavioral data. With approximately 3.88 billion monthly active users</w:t>
      </w:r>
      <w:r w:rsidRPr="0044370F">
        <w:rPr>
          <w:rStyle w:val="a8"/>
          <w:rFonts w:asciiTheme="majorBidi" w:hAnsiTheme="majorBidi" w:cstheme="majorBidi"/>
        </w:rPr>
        <w:footnoteReference w:id="166"/>
      </w:r>
      <w:r w:rsidRPr="0044370F">
        <w:rPr>
          <w:rFonts w:asciiTheme="majorBidi" w:hAnsiTheme="majorBidi" w:cstheme="majorBidi"/>
        </w:rPr>
        <w:t xml:space="preserve"> across Facebook, Instagram, WhatsApp, Messenger, and Threads as of 2023, the company maintains detailed records of users’ identities, locations, social relationships, online behavior, interests, preferences, and more. This data corpus includes not only what users post or “like,” but also metadata such as message timing, reaction </w:t>
      </w:r>
      <w:r w:rsidRPr="0044370F">
        <w:rPr>
          <w:rFonts w:asciiTheme="majorBidi" w:hAnsiTheme="majorBidi" w:cstheme="majorBidi"/>
        </w:rPr>
        <w:lastRenderedPageBreak/>
        <w:t>types, biometric data (e.g., facial recognition on photos), and cross-platform interactions. These data points feed into a massive apparatus of surveillance capitalism, where user behavior is constantly tracked, analyzed, and used to build predictive models.</w:t>
      </w:r>
    </w:p>
    <w:p w:rsidR="00AD38FB" w:rsidRPr="0044370F" w:rsidRDefault="00AD38FB" w:rsidP="000F3EB9">
      <w:pPr>
        <w:pStyle w:val="4"/>
      </w:pPr>
      <w:r w:rsidRPr="0044370F">
        <w:t>5.3.1.2</w:t>
      </w:r>
      <w:r w:rsidRPr="0044370F">
        <w:tab/>
      </w:r>
      <w:r w:rsidRPr="0044370F">
        <w:tab/>
        <w:t>Algorithmic Control and Attention Governance</w:t>
      </w:r>
    </w:p>
    <w:p w:rsidR="00AD38FB" w:rsidRPr="0044370F" w:rsidRDefault="00AD38FB" w:rsidP="00AD38FB">
      <w:pPr>
        <w:pStyle w:val="NormalWeb"/>
        <w:spacing w:line="360" w:lineRule="auto"/>
        <w:jc w:val="both"/>
      </w:pPr>
      <w:r w:rsidRPr="0044370F">
        <w:t xml:space="preserve">The complexity of Meta's data systems is increased by its own algorithmic design. For example, Meta's flagship News Feed algorithm generates real-time, customized information flows by processing thousands of signals. Instead of merely reflecting users' choices, these algorithms actively shape what users see, engage with, and believe. Instagram's Explore feed uses the same logic as Facebook's ad targeting systems and WhatsApp's group recommendation algorithms. Consequently, Meta's power comes from managing attention: it influences who is seen, what becomes viral, and which ideas are amplified or suppressed. </w:t>
      </w:r>
    </w:p>
    <w:p w:rsidR="00AD38FB" w:rsidRPr="0044370F" w:rsidRDefault="00AD38FB" w:rsidP="00AD38FB">
      <w:pPr>
        <w:pStyle w:val="NormalWeb"/>
        <w:spacing w:line="360" w:lineRule="auto"/>
        <w:jc w:val="both"/>
      </w:pPr>
      <w:r w:rsidRPr="0044370F">
        <w:t>The ability to algorithmically regulate global public discourse grants a sort of informational sovereignty.</w:t>
      </w:r>
    </w:p>
    <w:p w:rsidR="00AD38FB" w:rsidRPr="0044370F" w:rsidRDefault="00AD38FB" w:rsidP="000F3EB9">
      <w:pPr>
        <w:pStyle w:val="4"/>
      </w:pPr>
      <w:r w:rsidRPr="0044370F">
        <w:t>5.3.1.3</w:t>
      </w:r>
      <w:r w:rsidRPr="0044370F">
        <w:tab/>
      </w:r>
      <w:r w:rsidRPr="0044370F">
        <w:tab/>
        <w:t>Artificial Intelligence and Generative Models</w:t>
      </w:r>
    </w:p>
    <w:p w:rsidR="000F3EB9" w:rsidRPr="0044370F" w:rsidRDefault="000F3EB9" w:rsidP="000F3EB9">
      <w:pPr>
        <w:rPr>
          <w:rFonts w:ascii="Times New Roman" w:hAnsi="Times New Roman"/>
          <w:lang w:val="en-IL"/>
        </w:rPr>
      </w:pPr>
    </w:p>
    <w:p w:rsidR="00AD38FB" w:rsidRPr="0044370F" w:rsidRDefault="00AD38FB" w:rsidP="00AD38FB">
      <w:pPr>
        <w:spacing w:line="360" w:lineRule="auto"/>
        <w:jc w:val="both"/>
        <w:rPr>
          <w:rFonts w:asciiTheme="majorBidi" w:hAnsiTheme="majorBidi" w:cstheme="majorBidi"/>
          <w:sz w:val="24"/>
          <w:szCs w:val="24"/>
        </w:rPr>
      </w:pPr>
      <w:r w:rsidRPr="0044370F">
        <w:rPr>
          <w:rFonts w:asciiTheme="majorBidi" w:hAnsiTheme="majorBidi" w:cstheme="majorBidi"/>
          <w:sz w:val="24"/>
          <w:szCs w:val="24"/>
        </w:rPr>
        <w:t>The use of artificial intelligence (AI)</w:t>
      </w:r>
      <w:r w:rsidRPr="0044370F">
        <w:rPr>
          <w:rStyle w:val="a8"/>
          <w:rFonts w:asciiTheme="majorBidi" w:hAnsiTheme="majorBidi" w:cstheme="majorBidi"/>
          <w:sz w:val="24"/>
          <w:szCs w:val="24"/>
        </w:rPr>
        <w:footnoteReference w:id="167"/>
      </w:r>
      <w:r w:rsidRPr="0044370F">
        <w:rPr>
          <w:rFonts w:asciiTheme="majorBidi" w:hAnsiTheme="majorBidi" w:cstheme="majorBidi"/>
          <w:sz w:val="24"/>
          <w:szCs w:val="24"/>
        </w:rPr>
        <w:t xml:space="preserve"> and machine learning is integral to this ecosystem. Meta employs tens of thousands of engineers and researchers developing machine learning models for content moderation, natural language processing, recommendation systems, and generative media. In 2023, Meta released </w:t>
      </w:r>
      <w:proofErr w:type="spellStart"/>
      <w:r w:rsidRPr="0044370F">
        <w:rPr>
          <w:rFonts w:asciiTheme="majorBidi" w:hAnsiTheme="majorBidi" w:cstheme="majorBidi"/>
          <w:sz w:val="24"/>
          <w:szCs w:val="24"/>
        </w:rPr>
        <w:t>LLaMA</w:t>
      </w:r>
      <w:proofErr w:type="spellEnd"/>
      <w:r w:rsidRPr="0044370F">
        <w:rPr>
          <w:rFonts w:asciiTheme="majorBidi" w:hAnsiTheme="majorBidi" w:cstheme="majorBidi"/>
          <w:sz w:val="24"/>
          <w:szCs w:val="24"/>
        </w:rPr>
        <w:t xml:space="preserve"> (Large Language Model Meta AI), demonstrating its ambition to become a leader in foundational AI research. </w:t>
      </w:r>
      <w:proofErr w:type="spellStart"/>
      <w:r w:rsidRPr="0044370F">
        <w:rPr>
          <w:rFonts w:asciiTheme="majorBidi" w:hAnsiTheme="majorBidi" w:cstheme="majorBidi"/>
          <w:sz w:val="24"/>
          <w:szCs w:val="24"/>
        </w:rPr>
        <w:t>LLaMA</w:t>
      </w:r>
      <w:proofErr w:type="spellEnd"/>
      <w:r w:rsidRPr="0044370F">
        <w:rPr>
          <w:rFonts w:asciiTheme="majorBidi" w:hAnsiTheme="majorBidi" w:cstheme="majorBidi"/>
          <w:sz w:val="24"/>
          <w:szCs w:val="24"/>
        </w:rPr>
        <w:t xml:space="preserve"> and its successors are intended not only for internal moderation but also for shaping Meta’s future in augmented and virtual reality applications. The company’s investment in AI also includes custom-built supercomputers designed to train large-scale models using proprietary user data, further entrenching its control over digital infrastructure and intelligence.</w:t>
      </w:r>
    </w:p>
    <w:p w:rsidR="00AD38FB" w:rsidRPr="0044370F" w:rsidRDefault="00AD38FB" w:rsidP="000F3EB9">
      <w:pPr>
        <w:pStyle w:val="4"/>
      </w:pPr>
      <w:r w:rsidRPr="0044370F">
        <w:lastRenderedPageBreak/>
        <w:br/>
        <w:t>5.3.1.4</w:t>
      </w:r>
      <w:r w:rsidRPr="0044370F">
        <w:tab/>
      </w:r>
      <w:r w:rsidRPr="0044370F">
        <w:tab/>
        <w:t>Monetization, Surveillance Capitalism, and Feedback Loops</w:t>
      </w:r>
    </w:p>
    <w:p w:rsidR="000F3EB9" w:rsidRPr="0044370F" w:rsidRDefault="000F3EB9" w:rsidP="000F3EB9">
      <w:pPr>
        <w:rPr>
          <w:rFonts w:ascii="Times New Roman" w:hAnsi="Times New Roman"/>
        </w:rPr>
      </w:pPr>
    </w:p>
    <w:p w:rsidR="00F6046C" w:rsidRPr="0044370F" w:rsidRDefault="00AD38FB" w:rsidP="00AD38FB">
      <w:pPr>
        <w:spacing w:line="360" w:lineRule="auto"/>
        <w:jc w:val="both"/>
        <w:rPr>
          <w:rFonts w:asciiTheme="majorBidi" w:hAnsiTheme="majorBidi" w:cstheme="majorBidi"/>
          <w:sz w:val="24"/>
          <w:szCs w:val="24"/>
        </w:rPr>
      </w:pPr>
      <w:r w:rsidRPr="0044370F">
        <w:rPr>
          <w:rFonts w:asciiTheme="majorBidi" w:hAnsiTheme="majorBidi" w:cstheme="majorBidi"/>
          <w:sz w:val="24"/>
          <w:szCs w:val="24"/>
        </w:rPr>
        <w:t>These data and algorithmic systems are deeply integrated into Meta’s monetization model. The overwhelming majority of Meta’s revenue comes from targeted advertising, which depends on its ability to deliver granular, behaviorally tailored ad placements. Meta sells access not to users directly, but to the ability to reach users at the most psychologically opportune moment, based on real-time analysis of mood, intent, and engagement history. In this sense, Meta commodifies user attention and behavior, turning lived experiences into marketable predictions. The more accurate and encompassing its data, the more valuable its advertising inventory. This creates a feedback loop: data improves predictions, which in turn improve ad targeting, which finances further data collection and model development.</w:t>
      </w:r>
    </w:p>
    <w:p w:rsidR="00AD38FB" w:rsidRPr="0044370F" w:rsidRDefault="00AD38FB" w:rsidP="000F3EB9">
      <w:pPr>
        <w:pStyle w:val="4"/>
        <w:rPr>
          <w:rFonts w:ascii="Times New Roman" w:hAnsi="Times New Roman"/>
        </w:rPr>
      </w:pPr>
      <w:r w:rsidRPr="0044370F">
        <w:br/>
        <w:t>5.3.1.5</w:t>
      </w:r>
      <w:r w:rsidRPr="0044370F">
        <w:tab/>
      </w:r>
      <w:r w:rsidRPr="0044370F">
        <w:tab/>
        <w:t>Physical and Network Infrastructure</w:t>
      </w:r>
    </w:p>
    <w:p w:rsidR="000F3EB9" w:rsidRPr="0044370F" w:rsidRDefault="000F3EB9" w:rsidP="000F3EB9">
      <w:pPr>
        <w:rPr>
          <w:rFonts w:ascii="Times New Roman" w:hAnsi="Times New Roman"/>
          <w:lang w:val="en-IL"/>
        </w:rPr>
      </w:pPr>
    </w:p>
    <w:p w:rsidR="00AD38FB" w:rsidRPr="0044370F" w:rsidRDefault="00AD38FB" w:rsidP="00AD38FB">
      <w:pPr>
        <w:spacing w:line="360" w:lineRule="auto"/>
        <w:jc w:val="both"/>
        <w:rPr>
          <w:rFonts w:asciiTheme="majorBidi" w:hAnsiTheme="majorBidi" w:cstheme="majorBidi"/>
          <w:b/>
          <w:bCs/>
          <w:sz w:val="24"/>
          <w:szCs w:val="24"/>
        </w:rPr>
      </w:pPr>
      <w:r w:rsidRPr="0044370F">
        <w:rPr>
          <w:rFonts w:asciiTheme="majorBidi" w:hAnsiTheme="majorBidi" w:cstheme="majorBidi"/>
          <w:sz w:val="24"/>
          <w:szCs w:val="24"/>
        </w:rPr>
        <w:t>Beyond the digital realm, Meta has built substantial physical infrastructure to support its data empire</w:t>
      </w:r>
      <w:r w:rsidRPr="0044370F">
        <w:rPr>
          <w:rStyle w:val="a8"/>
          <w:rFonts w:asciiTheme="majorBidi" w:hAnsiTheme="majorBidi" w:cstheme="majorBidi"/>
          <w:sz w:val="24"/>
          <w:szCs w:val="24"/>
        </w:rPr>
        <w:footnoteReference w:id="168"/>
      </w:r>
      <w:r w:rsidRPr="0044370F">
        <w:rPr>
          <w:rFonts w:asciiTheme="majorBidi" w:hAnsiTheme="majorBidi" w:cstheme="majorBidi"/>
          <w:sz w:val="24"/>
          <w:szCs w:val="24"/>
        </w:rPr>
        <w:t xml:space="preserve">. </w:t>
      </w:r>
      <w:r w:rsidRPr="0044370F">
        <w:rPr>
          <w:rFonts w:asciiTheme="majorBidi" w:eastAsia="Times New Roman" w:hAnsiTheme="majorBidi" w:cstheme="majorBidi"/>
          <w:sz w:val="24"/>
          <w:szCs w:val="24"/>
        </w:rPr>
        <w:t xml:space="preserve">As of 2025, millions of servers are housed in the company's over 100 </w:t>
      </w:r>
      <w:proofErr w:type="spellStart"/>
      <w:r w:rsidRPr="0044370F">
        <w:rPr>
          <w:rFonts w:asciiTheme="majorBidi" w:eastAsia="Times New Roman" w:hAnsiTheme="majorBidi" w:cstheme="majorBidi"/>
          <w:sz w:val="24"/>
          <w:szCs w:val="24"/>
        </w:rPr>
        <w:t>hyperscale</w:t>
      </w:r>
      <w:proofErr w:type="spellEnd"/>
      <w:r w:rsidRPr="0044370F">
        <w:rPr>
          <w:rFonts w:asciiTheme="majorBidi" w:eastAsia="Times New Roman" w:hAnsiTheme="majorBidi" w:cstheme="majorBidi"/>
          <w:sz w:val="24"/>
          <w:szCs w:val="24"/>
        </w:rPr>
        <w:t xml:space="preserve"> data centers worldwide. </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These facilities guarantee storage redundancy, low-latency service delivery, and compute power for AI training and real-time content curation.</w:t>
      </w:r>
    </w:p>
    <w:p w:rsidR="00AD38FB" w:rsidRPr="0044370F" w:rsidRDefault="00AD38FB" w:rsidP="00AD38FB">
      <w:pPr>
        <w:spacing w:line="360" w:lineRule="auto"/>
        <w:jc w:val="both"/>
        <w:rPr>
          <w:rFonts w:asciiTheme="majorBidi" w:hAnsiTheme="majorBidi" w:cstheme="majorBidi"/>
          <w:sz w:val="24"/>
          <w:szCs w:val="24"/>
        </w:rPr>
      </w:pPr>
      <w:r w:rsidRPr="0044370F">
        <w:rPr>
          <w:rFonts w:asciiTheme="majorBidi" w:hAnsiTheme="majorBidi" w:cstheme="majorBidi"/>
          <w:sz w:val="24"/>
          <w:szCs w:val="24"/>
        </w:rPr>
        <w:t xml:space="preserve">Meta has also emerged as a major investor in submarine cable systems, having developed or co-financed over 20 undersea cables, including the 2Africa cable (the world’s longest) and Project </w:t>
      </w:r>
      <w:proofErr w:type="spellStart"/>
      <w:r w:rsidRPr="0044370F">
        <w:rPr>
          <w:rFonts w:asciiTheme="majorBidi" w:hAnsiTheme="majorBidi" w:cstheme="majorBidi"/>
          <w:sz w:val="24"/>
          <w:szCs w:val="24"/>
        </w:rPr>
        <w:t>Waterworth</w:t>
      </w:r>
      <w:proofErr w:type="spellEnd"/>
      <w:r w:rsidRPr="0044370F">
        <w:rPr>
          <w:rFonts w:asciiTheme="majorBidi" w:hAnsiTheme="majorBidi" w:cstheme="majorBidi"/>
          <w:sz w:val="24"/>
          <w:szCs w:val="24"/>
        </w:rPr>
        <w:t xml:space="preserve"> (a planned 50,000-kilometer cable system encircling the globe). </w:t>
      </w:r>
    </w:p>
    <w:p w:rsidR="00AD38FB" w:rsidRPr="0044370F" w:rsidRDefault="00AD38FB" w:rsidP="00AD38FB">
      <w:pPr>
        <w:spacing w:line="360" w:lineRule="auto"/>
        <w:jc w:val="both"/>
        <w:rPr>
          <w:rFonts w:asciiTheme="majorBidi" w:hAnsiTheme="majorBidi" w:cstheme="majorBidi"/>
          <w:sz w:val="24"/>
          <w:szCs w:val="24"/>
        </w:rPr>
      </w:pPr>
      <w:r w:rsidRPr="0044370F">
        <w:rPr>
          <w:rFonts w:asciiTheme="majorBidi" w:hAnsiTheme="majorBidi" w:cstheme="majorBidi"/>
          <w:sz w:val="24"/>
          <w:szCs w:val="24"/>
        </w:rPr>
        <w:t>These infrastructure projects give Meta control over the very pipelines through which global data flows, augmenting its position not only as a service provider but also as a network operator.</w:t>
      </w:r>
    </w:p>
    <w:p w:rsidR="000F3EB9" w:rsidRPr="0044370F" w:rsidRDefault="000F3EB9" w:rsidP="00AD38FB">
      <w:pPr>
        <w:spacing w:line="360" w:lineRule="auto"/>
        <w:jc w:val="both"/>
        <w:rPr>
          <w:rFonts w:asciiTheme="majorBidi" w:hAnsiTheme="majorBidi" w:cstheme="majorBidi"/>
          <w:sz w:val="24"/>
          <w:szCs w:val="24"/>
        </w:rPr>
      </w:pPr>
    </w:p>
    <w:p w:rsidR="00AD38FB" w:rsidRPr="0044370F" w:rsidRDefault="00AD38FB" w:rsidP="000F3EB9">
      <w:pPr>
        <w:pStyle w:val="4"/>
        <w:rPr>
          <w:rFonts w:ascii="Times New Roman" w:hAnsi="Times New Roman"/>
        </w:rPr>
      </w:pPr>
      <w:r w:rsidRPr="0044370F">
        <w:lastRenderedPageBreak/>
        <w:t>5.3.1.6</w:t>
      </w:r>
      <w:r w:rsidRPr="0044370F">
        <w:tab/>
      </w:r>
      <w:r w:rsidRPr="0044370F">
        <w:tab/>
        <w:t>Acquisitions and Ecosystem Consolidation</w:t>
      </w:r>
    </w:p>
    <w:p w:rsidR="000F3EB9" w:rsidRPr="0044370F" w:rsidRDefault="000F3EB9" w:rsidP="000F3EB9">
      <w:pPr>
        <w:rPr>
          <w:rFonts w:ascii="Times New Roman" w:hAnsi="Times New Roman"/>
          <w:lang w:val="en-IL"/>
        </w:rPr>
      </w:pPr>
    </w:p>
    <w:p w:rsidR="00AD38FB" w:rsidRPr="0044370F" w:rsidRDefault="00AD38FB" w:rsidP="00AD38FB">
      <w:pPr>
        <w:spacing w:line="360" w:lineRule="auto"/>
        <w:jc w:val="both"/>
        <w:rPr>
          <w:rFonts w:asciiTheme="majorBidi" w:hAnsiTheme="majorBidi" w:cstheme="majorBidi"/>
          <w:sz w:val="24"/>
          <w:szCs w:val="24"/>
        </w:rPr>
      </w:pPr>
      <w:r w:rsidRPr="0044370F">
        <w:rPr>
          <w:rFonts w:asciiTheme="majorBidi" w:eastAsia="Times New Roman" w:hAnsiTheme="majorBidi" w:cstheme="majorBidi"/>
          <w:sz w:val="24"/>
          <w:szCs w:val="24"/>
        </w:rPr>
        <w:t>Additionally, Meta's strategic resource control is extended through corporate acquisitions that combine user bases and technologies. The acquisitions of WhatsApp (2014) and Instagram (2012) were significant moves that expanded Meta's data landscape and eliminated competition. Instagram aided Meta's hegemony in visual culture, and in important emerging nations, WhatsApp offered encrypted communication. Additionally, Meta has acquired companies involved in AI research, content moderation, and virtual reality (such as Oculus). Every purchase adds additional features to Meta's centralized platform strategy, strengthening its ecosystem. This results in a system where every user action, whether browsing Instagram, conversing on Messenger, or making a purchase through Facebook Marketplace, feeds into a single data architecture</w:t>
      </w:r>
      <w:r w:rsidRPr="0044370F">
        <w:rPr>
          <w:rFonts w:asciiTheme="majorBidi" w:hAnsiTheme="majorBidi" w:cstheme="majorBidi"/>
          <w:sz w:val="24"/>
          <w:szCs w:val="24"/>
        </w:rPr>
        <w:t>.</w:t>
      </w:r>
    </w:p>
    <w:p w:rsidR="00AD38FB" w:rsidRPr="0044370F" w:rsidRDefault="00AD38FB" w:rsidP="000F3EB9">
      <w:pPr>
        <w:pStyle w:val="4"/>
      </w:pPr>
      <w:r w:rsidRPr="0044370F">
        <w:t>5.3.1.7</w:t>
      </w:r>
      <w:r w:rsidRPr="0044370F">
        <w:tab/>
      </w:r>
      <w:r w:rsidRPr="0044370F">
        <w:tab/>
        <w:t>Identity Systems and Platform-Based Standards</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A final vector of strategic resource control lies in Meta’s role in constructing platform-based identity standards.</w:t>
      </w:r>
      <w:r w:rsidRPr="0044370F">
        <w:rPr>
          <w:rStyle w:val="a8"/>
          <w:rFonts w:asciiTheme="majorBidi" w:hAnsiTheme="majorBidi" w:cstheme="majorBidi"/>
          <w:sz w:val="24"/>
          <w:szCs w:val="24"/>
        </w:rPr>
        <w:footnoteReference w:id="169"/>
      </w:r>
      <w:r w:rsidRPr="0044370F">
        <w:rPr>
          <w:rFonts w:asciiTheme="majorBidi" w:hAnsiTheme="majorBidi" w:cstheme="majorBidi"/>
          <w:sz w:val="24"/>
          <w:szCs w:val="24"/>
        </w:rPr>
        <w:t>. Through initiatives such as Facebook Login, Meta becomes the identity layer for thousands of third-party websites and applications. Users often authenticate their access to external services via their Meta credentials, effectively making Meta an arbiter of digital identity. The implications extend beyond Meta’s own ecosystem: a user banned or suspended on Meta may lose access to unrelated services. Moreover, by owning the login infrastructure, Meta can capture user activity beyond its native platforms, thereby extending its surveillance capacity. This role as infrastructural gatekeeper further entrenches its dominance, creating high switching costs for users and businesses alike.</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From an analytical perspective, these elements demonstrate how strategic resources function not merely as sources of competitive advantage, but as foundations of governance capacity. Control over data, algorithms, infrastructure, and identity systems enables Meta to shape informational environments at scale.</w:t>
      </w:r>
    </w:p>
    <w:p w:rsidR="00AD38FB" w:rsidRPr="0044370F" w:rsidRDefault="00AD38FB" w:rsidP="00AD38FB">
      <w:pPr>
        <w:pStyle w:val="NormalWeb"/>
        <w:spacing w:line="360" w:lineRule="auto"/>
        <w:jc w:val="both"/>
        <w:rPr>
          <w:rFonts w:asciiTheme="majorBidi" w:hAnsiTheme="majorBidi" w:cstheme="majorBidi"/>
          <w:rtl/>
        </w:rPr>
      </w:pPr>
      <w:r w:rsidRPr="0044370F">
        <w:rPr>
          <w:rFonts w:asciiTheme="majorBidi" w:hAnsiTheme="majorBidi" w:cstheme="majorBidi"/>
        </w:rPr>
        <w:lastRenderedPageBreak/>
        <w:t>Meta’s strategic resource control is multifaceted and mutually reinforcing</w:t>
      </w:r>
      <w:r w:rsidRPr="0044370F">
        <w:rPr>
          <w:rStyle w:val="a8"/>
          <w:rFonts w:asciiTheme="majorBidi" w:hAnsiTheme="majorBidi" w:cstheme="majorBidi"/>
        </w:rPr>
        <w:footnoteReference w:id="170"/>
      </w:r>
      <w:r w:rsidRPr="0044370F">
        <w:rPr>
          <w:rFonts w:asciiTheme="majorBidi" w:hAnsiTheme="majorBidi" w:cstheme="majorBidi"/>
        </w:rPr>
        <w:t>. Its domination of user data, mastery of AI and algorithmic personalization, investment in global infrastructure, and consolidation of competing platforms enable it to operate at a scale and depth unmatched in the private sector. These assets are not only economic; they produce governance effects by structuring access, visibility, and participation within digital environments</w:t>
      </w:r>
      <w:r w:rsidRPr="0044370F">
        <w:rPr>
          <w:rStyle w:val="a8"/>
          <w:rFonts w:asciiTheme="majorBidi" w:hAnsiTheme="majorBidi" w:cstheme="majorBidi"/>
        </w:rPr>
        <w:footnoteReference w:id="171"/>
      </w:r>
      <w:r w:rsidRPr="0044370F">
        <w:rPr>
          <w:rFonts w:asciiTheme="majorBidi" w:hAnsiTheme="majorBidi" w:cstheme="majorBidi"/>
        </w:rPr>
        <w:t>. By structuring the informational terrain upon which public and private life increasingly depends, Meta exercises authority that approximates sovereignty-like influence, without relying on territorial jurisdiction or formal legal mandate.</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Recent advances in generative artificial intelligence amplify existing patterns of strategic resource concentration rather than introducing a distinct source of authority. Meta’s extensive data reservoirs, platform-scale user interactions, and control over attention flows position it uniquely to deploy generative AI systems at a population scale. These capabilities function as force multipliers: generative models enhance Meta’s capacity to shape discourse, personalize information environments, and automate content production and moderation across its platforms. In this sense, generative AI extends the governance implications of Meta’s resource base without constituting a separate analytical dimension.</w:t>
      </w:r>
    </w:p>
    <w:p w:rsidR="00AD38FB" w:rsidRPr="0044370F" w:rsidRDefault="00AD38FB" w:rsidP="000F3EB9">
      <w:pPr>
        <w:pStyle w:val="3"/>
        <w:rPr>
          <w:szCs w:val="24"/>
        </w:rPr>
      </w:pPr>
      <w:bookmarkStart w:id="130" w:name="_Toc222652809"/>
      <w:r w:rsidRPr="0044370F">
        <w:t>5.3.2</w:t>
      </w:r>
      <w:r w:rsidRPr="0044370F">
        <w:tab/>
        <w:t xml:space="preserve"> Infrastructural Power</w:t>
      </w:r>
      <w:bookmarkEnd w:id="130"/>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 xml:space="preserve">Meta’s infrastructural power lies in its capacity to build, control, and mediate the digital systems through which billions of people communicate, access information, and conduct aspects of daily life. This form of power is </w:t>
      </w:r>
      <w:proofErr w:type="gramStart"/>
      <w:r w:rsidRPr="0044370F">
        <w:rPr>
          <w:rFonts w:asciiTheme="majorBidi" w:hAnsiTheme="majorBidi" w:cstheme="majorBidi"/>
        </w:rPr>
        <w:t>more subtle</w:t>
      </w:r>
      <w:proofErr w:type="gramEnd"/>
      <w:r w:rsidRPr="0044370F">
        <w:rPr>
          <w:rFonts w:asciiTheme="majorBidi" w:hAnsiTheme="majorBidi" w:cstheme="majorBidi"/>
        </w:rPr>
        <w:t xml:space="preserve"> than territorial sovereignty but no less consequential. Infrastructural power, in this context, refers to the ability to shape social processes not through coercion or law but through the design and control of platforms, protocols, and connectivity networks that structure human interaction.</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lastRenderedPageBreak/>
        <w:t>In contrast to structural embeddedness, which concerns Meta’s macro-institutional positioning within regulatory and governance systems, infrastructural power operates at the level of technical architecture and platform design.</w:t>
      </w:r>
    </w:p>
    <w:p w:rsidR="00AD38FB" w:rsidRPr="0044370F" w:rsidRDefault="00AD38FB" w:rsidP="000F3EB9">
      <w:pPr>
        <w:pStyle w:val="4"/>
        <w:rPr>
          <w:rStyle w:val="a4"/>
          <w:b/>
          <w:bCs w:val="0"/>
        </w:rPr>
      </w:pPr>
      <w:r w:rsidRPr="0044370F">
        <w:rPr>
          <w:rStyle w:val="a4"/>
          <w:b/>
          <w:bCs w:val="0"/>
        </w:rPr>
        <w:t>5.3.2.1 Platform Dependency and Societal Reliance</w:t>
      </w:r>
    </w:p>
    <w:p w:rsidR="00AD38FB" w:rsidRPr="0044370F" w:rsidRDefault="00AD38FB" w:rsidP="00AD38FB"/>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Meta's infrastructure is digital, international, and privatized, in contrast to traditional state-controlled infrastructure like utilities, postal services, and highways. As of 2023, almost 3.9 billion people use Meta's platforms, Facebook, Instagram, WhatsApp, Messenger, and Threads, monthly. These platforms are essential components of the internet's communicative fabric. For instance, WhatsApp is the primary means of communication in several Latin American, South Asian, and African nations. Small enterprises in several areas run only through Instagram shops or Facebook Marketplace. This dependence results in embeddedness: Meta's platforms become essential infrastructure for community cooperation, education, trade, and crisis communication.</w:t>
      </w: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hAnsiTheme="majorBidi" w:cstheme="majorBidi"/>
          <w:sz w:val="24"/>
          <w:szCs w:val="24"/>
        </w:rPr>
        <w:br/>
      </w:r>
      <w:r w:rsidRPr="0044370F">
        <w:rPr>
          <w:rFonts w:asciiTheme="majorBidi" w:eastAsia="Times New Roman" w:hAnsiTheme="majorBidi" w:cstheme="majorBidi"/>
          <w:sz w:val="24"/>
          <w:szCs w:val="24"/>
        </w:rPr>
        <w:t xml:space="preserve">One of the biggest private digital infrastructures in the world is run by Meta at the backend. Its network of around 100 </w:t>
      </w:r>
      <w:proofErr w:type="spellStart"/>
      <w:r w:rsidRPr="0044370F">
        <w:rPr>
          <w:rFonts w:asciiTheme="majorBidi" w:eastAsia="Times New Roman" w:hAnsiTheme="majorBidi" w:cstheme="majorBidi"/>
          <w:sz w:val="24"/>
          <w:szCs w:val="24"/>
        </w:rPr>
        <w:t>hyperscale</w:t>
      </w:r>
      <w:proofErr w:type="spellEnd"/>
      <w:r w:rsidRPr="0044370F">
        <w:rPr>
          <w:rFonts w:asciiTheme="majorBidi" w:eastAsia="Times New Roman" w:hAnsiTheme="majorBidi" w:cstheme="majorBidi"/>
          <w:sz w:val="24"/>
          <w:szCs w:val="24"/>
        </w:rPr>
        <w:t xml:space="preserve"> data centers guarantees low latency for messaging, media viewing, and service access. These data centers, which have computing capabilities comparable to those of state-run cloud systems, are strategically positioned across North America, Europe, and Asia. These resources facilitate Meta's real-time AI and content recommendation algorithms in addition to conventional data processing and storage. In part due to its infrastructure supremacy, Meta can withstand regional outages with distributed failover systems and implement feature upgrades globally with minimal disruption.</w:t>
      </w:r>
    </w:p>
    <w:p w:rsidR="00AD38FB" w:rsidRPr="0044370F" w:rsidRDefault="00AD38FB" w:rsidP="000F3EB9">
      <w:pPr>
        <w:pStyle w:val="4"/>
        <w:rPr>
          <w:rStyle w:val="a4"/>
          <w:rFonts w:ascii="Times New Roman" w:hAnsi="Times New Roman"/>
          <w:b/>
          <w:bCs w:val="0"/>
        </w:rPr>
      </w:pPr>
      <w:r w:rsidRPr="0044370F">
        <w:br/>
      </w:r>
      <w:r w:rsidRPr="0044370F">
        <w:rPr>
          <w:rStyle w:val="a4"/>
          <w:b/>
          <w:bCs w:val="0"/>
        </w:rPr>
        <w:t>5.3.2.2 Submarine Cables and Network Control</w:t>
      </w:r>
    </w:p>
    <w:p w:rsidR="000F3EB9" w:rsidRPr="0044370F" w:rsidRDefault="000F3EB9" w:rsidP="000F3EB9">
      <w:pPr>
        <w:rPr>
          <w:rFonts w:ascii="Times New Roman" w:hAnsi="Times New Roman"/>
          <w:rtl/>
          <w:lang w:val="en-IL"/>
        </w:rPr>
      </w:pPr>
    </w:p>
    <w:p w:rsidR="008F42CF"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The fact that Meta owns and helps build underwater cables, which serve as the physical conduits for the global internet, is likely the most notable aspect. </w:t>
      </w: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br/>
        <w:t xml:space="preserve">By 2025, Meta had contributed to over 20 underwater cable systems, such as Project </w:t>
      </w:r>
      <w:proofErr w:type="spellStart"/>
      <w:r w:rsidRPr="0044370F">
        <w:rPr>
          <w:rFonts w:asciiTheme="majorBidi" w:eastAsia="Times New Roman" w:hAnsiTheme="majorBidi" w:cstheme="majorBidi"/>
          <w:sz w:val="24"/>
          <w:szCs w:val="24"/>
        </w:rPr>
        <w:t>Waterworth</w:t>
      </w:r>
      <w:proofErr w:type="spellEnd"/>
      <w:r w:rsidRPr="0044370F">
        <w:rPr>
          <w:rFonts w:asciiTheme="majorBidi" w:eastAsia="Times New Roman" w:hAnsiTheme="majorBidi" w:cstheme="majorBidi"/>
          <w:sz w:val="24"/>
          <w:szCs w:val="24"/>
        </w:rPr>
        <w:t xml:space="preserve">, a 50,000 km line intended to span the entire planet, and 2Africa, the most extensive underwater cable ever built at 45,000 km. Owning or controlling access to subsea cables, which carry over </w:t>
      </w:r>
      <w:r w:rsidRPr="0044370F">
        <w:rPr>
          <w:rFonts w:asciiTheme="majorBidi" w:eastAsia="Times New Roman" w:hAnsiTheme="majorBidi" w:cstheme="majorBidi"/>
          <w:sz w:val="24"/>
          <w:szCs w:val="24"/>
        </w:rPr>
        <w:lastRenderedPageBreak/>
        <w:t>99% of transcontinental internet traffic, enables Meta to prioritize its own traffic, manage bandwidth costs, and ensure service quality for billions of customers.</w:t>
      </w:r>
    </w:p>
    <w:p w:rsidR="00AD38FB" w:rsidRPr="0044370F" w:rsidRDefault="00AD38FB" w:rsidP="00AD38FB">
      <w:pPr>
        <w:spacing w:after="0" w:line="360" w:lineRule="auto"/>
        <w:jc w:val="both"/>
        <w:rPr>
          <w:rFonts w:asciiTheme="majorBidi" w:hAnsiTheme="majorBidi" w:cstheme="majorBidi"/>
          <w:sz w:val="24"/>
          <w:szCs w:val="24"/>
        </w:rPr>
      </w:pPr>
      <w:r w:rsidRPr="0044370F">
        <w:rPr>
          <w:rFonts w:asciiTheme="majorBidi" w:eastAsia="Times New Roman" w:hAnsiTheme="majorBidi" w:cstheme="majorBidi"/>
          <w:sz w:val="24"/>
          <w:szCs w:val="24"/>
        </w:rPr>
        <w:t xml:space="preserve">Meta's presence in this area is reminiscent of past periods of statecraft, when control over sea lines or railroads conferred geopolitical advantage. </w:t>
      </w:r>
      <w:r w:rsidRPr="0044370F">
        <w:rPr>
          <w:rFonts w:asciiTheme="majorBidi" w:hAnsiTheme="majorBidi" w:cstheme="majorBidi"/>
          <w:sz w:val="24"/>
          <w:szCs w:val="24"/>
        </w:rPr>
        <w:t>Now, information routes and their privatized control have become the basis of infrastructural geopolitics.</w:t>
      </w:r>
    </w:p>
    <w:p w:rsidR="00AD38FB" w:rsidRPr="0044370F" w:rsidRDefault="00AD38FB" w:rsidP="00AD38FB">
      <w:pPr>
        <w:spacing w:after="0" w:line="360" w:lineRule="auto"/>
        <w:jc w:val="both"/>
        <w:rPr>
          <w:rFonts w:asciiTheme="majorBidi" w:hAnsiTheme="majorBidi" w:cstheme="majorBidi"/>
          <w:sz w:val="24"/>
          <w:szCs w:val="24"/>
        </w:rPr>
      </w:pPr>
      <w:r w:rsidRPr="0044370F">
        <w:rPr>
          <w:rFonts w:asciiTheme="majorBidi" w:hAnsiTheme="majorBidi" w:cstheme="majorBidi"/>
          <w:sz w:val="24"/>
          <w:szCs w:val="24"/>
        </w:rPr>
        <w:br/>
        <w:t>Infrastructural power also includes platform-level capabilities. Meta can push updates to its apps simultaneously across continents, enforcing new rules or features at the infrastructure layer. For instance, it can implement election-related safeguards (such as turning off forward message functionality on WhatsApp) or implement global content labeling. During major events such as the COVID-19 pandemic or the 2020 U.S. election, Meta created command centers to oversee platform integrity, intervene in the spread of misinformation, and adjust algorithmic reach in real time. This responsiveness is rooted not just in institutional policy but in infrastructural control.</w:t>
      </w:r>
    </w:p>
    <w:p w:rsidR="00AD38FB" w:rsidRPr="0044370F" w:rsidRDefault="00AD38FB" w:rsidP="00AD38FB">
      <w:pPr>
        <w:spacing w:after="0" w:line="360" w:lineRule="auto"/>
        <w:jc w:val="both"/>
        <w:rPr>
          <w:rFonts w:asciiTheme="majorBidi" w:eastAsia="Times New Roman" w:hAnsiTheme="majorBidi" w:cstheme="majorBidi"/>
          <w:sz w:val="24"/>
          <w:szCs w:val="24"/>
          <w:rtl/>
        </w:rPr>
      </w:pPr>
    </w:p>
    <w:p w:rsidR="00AD38FB" w:rsidRPr="0044370F" w:rsidRDefault="00AD38FB" w:rsidP="000F3EB9">
      <w:pPr>
        <w:pStyle w:val="4"/>
        <w:rPr>
          <w:rtl/>
        </w:rPr>
      </w:pPr>
      <w:r w:rsidRPr="0044370F">
        <w:rPr>
          <w:rStyle w:val="a4"/>
          <w:b/>
          <w:bCs w:val="0"/>
        </w:rPr>
        <w:t>5.3.2.3 Outages, Disruptions, and Infrastructural Fragility</w:t>
      </w:r>
    </w:p>
    <w:p w:rsidR="00AD38FB" w:rsidRPr="0044370F" w:rsidRDefault="00AD38FB" w:rsidP="00AD38FB">
      <w:pPr>
        <w:pStyle w:val="NormalWeb"/>
        <w:spacing w:line="360" w:lineRule="auto"/>
        <w:jc w:val="both"/>
        <w:rPr>
          <w:i/>
          <w:iCs/>
        </w:rPr>
      </w:pPr>
      <w:r w:rsidRPr="0044370F">
        <w:rPr>
          <w:rFonts w:asciiTheme="majorBidi" w:hAnsiTheme="majorBidi" w:cstheme="majorBidi"/>
        </w:rPr>
        <w:t>This power, however, is double-edged. A 6-hour global outage on October 4, 2021, disrupted Facebook, Instagram, and WhatsApp simultaneously, affecting over 3.5 billion people. In regions where Meta’s apps are primary communication tools, including among health workers, emergency responders, and business owners, the outage exposed just how dependent modern life had become on a single private entity</w:t>
      </w:r>
      <w:r w:rsidRPr="0044370F">
        <w:rPr>
          <w:rStyle w:val="a8"/>
          <w:rFonts w:asciiTheme="majorBidi" w:hAnsiTheme="majorBidi" w:cstheme="majorBidi"/>
        </w:rPr>
        <w:footnoteReference w:id="172"/>
      </w:r>
      <w:r w:rsidRPr="0044370F">
        <w:rPr>
          <w:rFonts w:asciiTheme="majorBidi" w:hAnsiTheme="majorBidi" w:cstheme="majorBidi"/>
        </w:rPr>
        <w:t>. Analysts noted that such a failure in public infrastructure (e.g., power or water) would demand government oversight or intervention. Meta’s control of private infrastructure with public consequences raises essential questions about accountability.</w:t>
      </w:r>
      <w:r w:rsidRPr="0044370F">
        <w:rPr>
          <w:rFonts w:asciiTheme="majorBidi" w:hAnsiTheme="majorBidi" w:cstheme="majorBidi"/>
        </w:rPr>
        <w:br/>
      </w:r>
      <w:r w:rsidRPr="0044370F">
        <w:rPr>
          <w:rFonts w:asciiTheme="majorBidi" w:hAnsiTheme="majorBidi" w:cstheme="majorBidi"/>
        </w:rPr>
        <w:br/>
        <w:t xml:space="preserve">Another dimension of infrastructural power is Meta’s experimentation with new access paradigms. The Free Basics initiative, launched under the Internet.org umbrella, aimed to provide free access to a limited suite of websites (including Facebook) in developing countries. Marketed as an altruistic effort to bridge the digital divide, Free Basics was criticized by open internet advocates </w:t>
      </w:r>
      <w:r w:rsidRPr="0044370F">
        <w:rPr>
          <w:rFonts w:asciiTheme="majorBidi" w:hAnsiTheme="majorBidi" w:cstheme="majorBidi"/>
        </w:rPr>
        <w:lastRenderedPageBreak/>
        <w:t>for violating net neutrality principles and creating a “walled garden” version of the web. In 2016, India’s Telecom Regulatory Authority banned Free Basics</w:t>
      </w:r>
      <w:r w:rsidRPr="0044370F">
        <w:rPr>
          <w:rStyle w:val="a8"/>
          <w:rFonts w:asciiTheme="majorBidi" w:hAnsiTheme="majorBidi" w:cstheme="majorBidi"/>
        </w:rPr>
        <w:footnoteReference w:id="173"/>
      </w:r>
      <w:r w:rsidRPr="0044370F">
        <w:rPr>
          <w:rFonts w:asciiTheme="majorBidi" w:hAnsiTheme="majorBidi" w:cstheme="majorBidi"/>
        </w:rPr>
        <w:t xml:space="preserve">, asserting that it undermined equal access to information. The initiative illustrated how infrastructural control can shape the entire online experience for users, including what content they can see, which apps they use, and which norms they adopt. </w:t>
      </w:r>
      <w:r w:rsidRPr="0044370F">
        <w:rPr>
          <w:rStyle w:val="a5"/>
          <w:i w:val="0"/>
          <w:iCs w:val="0"/>
        </w:rPr>
        <w:t>This episode is treated here as observable evidence of infrastructural governance effects rather than as a speculative claim about corporate intent.</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 xml:space="preserve">Meta’s infrastructural ambitions extend to more experimental domains as well. The company has explored satellite-based internet (via its now-defunct Aquila drone project), collaborated with governments on rural connectivity, and positioned itself as a leader in virtual and augmented reality infrastructure through its Meta Quest hardware and </w:t>
      </w:r>
      <w:proofErr w:type="spellStart"/>
      <w:r w:rsidRPr="0044370F">
        <w:rPr>
          <w:rFonts w:asciiTheme="majorBidi" w:hAnsiTheme="majorBidi" w:cstheme="majorBidi"/>
        </w:rPr>
        <w:t>metaverse</w:t>
      </w:r>
      <w:proofErr w:type="spellEnd"/>
      <w:r w:rsidRPr="0044370F">
        <w:rPr>
          <w:rFonts w:asciiTheme="majorBidi" w:hAnsiTheme="majorBidi" w:cstheme="majorBidi"/>
        </w:rPr>
        <w:t xml:space="preserve"> development platforms. The </w:t>
      </w:r>
      <w:proofErr w:type="spellStart"/>
      <w:r w:rsidRPr="0044370F">
        <w:rPr>
          <w:rFonts w:asciiTheme="majorBidi" w:hAnsiTheme="majorBidi" w:cstheme="majorBidi"/>
        </w:rPr>
        <w:t>metaverse</w:t>
      </w:r>
      <w:proofErr w:type="spellEnd"/>
      <w:r w:rsidRPr="0044370F">
        <w:rPr>
          <w:rFonts w:asciiTheme="majorBidi" w:hAnsiTheme="majorBidi" w:cstheme="majorBidi"/>
        </w:rPr>
        <w:t xml:space="preserve"> vision, though speculative, reflects Meta’s attempt to define the next generation of digital space, one where it builds and owns the infrastructural substrate of immersive interaction.</w:t>
      </w:r>
    </w:p>
    <w:p w:rsidR="00AD38FB" w:rsidRPr="0044370F" w:rsidRDefault="00AD38FB" w:rsidP="00AD38FB">
      <w:pPr>
        <w:pStyle w:val="NormalWeb"/>
        <w:spacing w:line="360" w:lineRule="auto"/>
        <w:jc w:val="both"/>
      </w:pPr>
      <w:r w:rsidRPr="0044370F">
        <w:rPr>
          <w:rFonts w:asciiTheme="majorBidi" w:hAnsiTheme="majorBidi" w:cstheme="majorBidi"/>
        </w:rPr>
        <w:t xml:space="preserve">Infrastructural power enables Meta not only to sustain its operations but also to shape the informational environment of half the planet. </w:t>
      </w:r>
      <w:r w:rsidRPr="0044370F">
        <w:t>While formally technical in design, infrastructural decisions often carry political consequences.</w:t>
      </w:r>
      <w:r w:rsidRPr="0044370F">
        <w:rPr>
          <w:rFonts w:asciiTheme="majorBidi" w:hAnsiTheme="majorBidi" w:cstheme="majorBidi"/>
        </w:rPr>
        <w:t xml:space="preserve"> When Meta decides how content is routed, what infrastructure to prioritize, and where to expand, it makes choices that resemble public policy. And yet, unlike governments, Meta’s decisions are not subject to electoral approval or administrative review. The infrastructural scale at which it operates gives it quiet, persistent influence, more ambient than coercive, but deeply consequential.</w:t>
      </w:r>
    </w:p>
    <w:p w:rsidR="00AD38FB" w:rsidRPr="0044370F" w:rsidRDefault="00AD38FB" w:rsidP="000F3EB9">
      <w:pPr>
        <w:pStyle w:val="3"/>
        <w:rPr>
          <w:i/>
          <w:iCs/>
        </w:rPr>
      </w:pPr>
      <w:bookmarkStart w:id="131" w:name="_Toc222652810"/>
      <w:r w:rsidRPr="0044370F">
        <w:t>5.3.3 Normative Legitimacy</w:t>
      </w:r>
      <w:bookmarkEnd w:id="131"/>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tl/>
        </w:rPr>
      </w:pPr>
      <w:r w:rsidRPr="0044370F">
        <w:rPr>
          <w:rFonts w:asciiTheme="majorBidi" w:eastAsia="Times New Roman" w:hAnsiTheme="majorBidi" w:cstheme="majorBidi"/>
          <w:sz w:val="24"/>
          <w:szCs w:val="24"/>
        </w:rPr>
        <w:t xml:space="preserve">In this analysis, normative legitimacy is treated as a multidimensional concept encompassing inputs, processes, and outcomes. Input legitimacy refers to the sources of authority that the platform claims, such as transparency initiatives, expert involvement, and procedural commitments. Procedural legitimacy concerns the consistency, fairness, and accountability of decision-making processes, including content moderation practices and appeals mechanisms. </w:t>
      </w:r>
      <w:r w:rsidRPr="0044370F">
        <w:rPr>
          <w:rFonts w:asciiTheme="majorBidi" w:eastAsia="Times New Roman" w:hAnsiTheme="majorBidi" w:cstheme="majorBidi"/>
          <w:sz w:val="24"/>
          <w:szCs w:val="24"/>
        </w:rPr>
        <w:lastRenderedPageBreak/>
        <w:t>Output legitimacy relates to the observable consequences of governance, such as reductions in harm, user trust, and the perceived effectiveness of platform regulation. Distinguishing between these dimensions allows for a more precise assessment of Meta’s legitimacy claims and their limitations.</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hAnsiTheme="majorBidi" w:cstheme="majorBidi"/>
          <w:sz w:val="24"/>
          <w:szCs w:val="24"/>
        </w:rPr>
        <w:t>The perceived appropriateness of authority is a particularly fraught domain for Meta. As a firm that governs public discourse, information flows, and behavioral incentives at a planetary scale, Meta is not merely expected to comply with regulation but to justify its existence and decisions through appeals to ethics, rights, and democratic values. In contrast to infrastructural or material forms of sovereignty, normative legitimacy involves symbolic and institutional alignment with societal expectations. It is rooted not in coercion or efficiency, but in the belief that the organization’s authority is rightful and just.</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 xml:space="preserve">In the aftermath of the Cambridge </w:t>
      </w:r>
      <w:proofErr w:type="spellStart"/>
      <w:r w:rsidRPr="0044370F">
        <w:rPr>
          <w:rFonts w:asciiTheme="majorBidi" w:hAnsiTheme="majorBidi" w:cstheme="majorBidi"/>
        </w:rPr>
        <w:t>Analytica</w:t>
      </w:r>
      <w:proofErr w:type="spellEnd"/>
      <w:r w:rsidRPr="0044370F">
        <w:rPr>
          <w:rFonts w:asciiTheme="majorBidi" w:hAnsiTheme="majorBidi" w:cstheme="majorBidi"/>
        </w:rPr>
        <w:t xml:space="preserve"> scandal in 2018</w:t>
      </w:r>
      <w:r w:rsidRPr="0044370F">
        <w:rPr>
          <w:rFonts w:asciiTheme="majorBidi" w:hAnsiTheme="majorBidi" w:cstheme="majorBidi"/>
          <w:rtl/>
        </w:rPr>
        <w:t>,</w:t>
      </w:r>
      <w:r w:rsidRPr="0044370F">
        <w:rPr>
          <w:rFonts w:asciiTheme="majorBidi" w:hAnsiTheme="majorBidi" w:cstheme="majorBidi"/>
        </w:rPr>
        <w:t xml:space="preserve"> where data from up to 87 million users were harvested and misused for political profiling</w:t>
      </w:r>
      <w:r w:rsidRPr="0044370F">
        <w:rPr>
          <w:rFonts w:asciiTheme="majorBidi" w:hAnsiTheme="majorBidi" w:cstheme="majorBidi"/>
          <w:rtl/>
        </w:rPr>
        <w:t>,</w:t>
      </w:r>
      <w:r w:rsidRPr="0044370F">
        <w:rPr>
          <w:rFonts w:asciiTheme="majorBidi" w:hAnsiTheme="majorBidi" w:cstheme="majorBidi"/>
        </w:rPr>
        <w:t xml:space="preserve"> Meta faced a crisis of normative legitimacy. The public response, amplified by congressional hearings and global media scrutiny, marked a turning point in how the firm was perceived. It was no longer simply a private company mismanaging user data; it had become a political actor, seen as failing to uphold basic principles of consent, privacy, and democratic fairness.</w:t>
      </w:r>
    </w:p>
    <w:p w:rsidR="00AD38FB" w:rsidRPr="0044370F" w:rsidRDefault="00AD38FB" w:rsidP="000F3EB9">
      <w:pPr>
        <w:pStyle w:val="4"/>
        <w:rPr>
          <w:rStyle w:val="a4"/>
          <w:b/>
          <w:bCs w:val="0"/>
        </w:rPr>
      </w:pPr>
      <w:r w:rsidRPr="0044370F">
        <w:rPr>
          <w:rStyle w:val="a4"/>
          <w:b/>
          <w:bCs w:val="0"/>
        </w:rPr>
        <w:t>5.3.3.1 The Oversight Board and Quasi-Judicial Authority</w:t>
      </w:r>
    </w:p>
    <w:p w:rsidR="00AD38FB" w:rsidRPr="0044370F" w:rsidRDefault="00AD38FB" w:rsidP="00AD38FB">
      <w:pPr>
        <w:rPr>
          <w:rtl/>
        </w:rPr>
      </w:pP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Meta responded by launching several high-profile initiatives to restore its legitimacy. The Oversight Board, also known as Facebook's "Supreme Court," was established in 2020 to promote institutional accountability. The Board, composed of independent legal, ethical, and human rights specialists, was entrusted with examining content moderation decisions that generated controversy and rendering legally enforceable recommendations. The way it handled the suspension of former US President Donald Trump in 2021 raised awareness of its role worldwide. Critics pointed out this body's structural reliance on Meta Finance and its narrow jurisdiction, which excludes algorithmic design, data policy, and monetization methods, even though Meta portrayed it as self-regulation.</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lastRenderedPageBreak/>
        <w:t>Unlike states or hybrid governance arrangements, Meta’s legitimacy mechanisms lack democratic input legitimacy, relying instead on expert-driven procedures and corporate-defined norms, a distinction that underpins many of the legitimacy challenges it faces.</w:t>
      </w:r>
    </w:p>
    <w:p w:rsidR="00AD38FB" w:rsidRPr="0044370F" w:rsidRDefault="00AD38FB" w:rsidP="000F3EB9">
      <w:pPr>
        <w:pStyle w:val="4"/>
      </w:pPr>
      <w:r w:rsidRPr="0044370F">
        <w:rPr>
          <w:rStyle w:val="a4"/>
          <w:b/>
          <w:bCs w:val="0"/>
        </w:rPr>
        <w:t>5.3.3.2 Transparency Reporting and Accountability Claims</w:t>
      </w:r>
    </w:p>
    <w:p w:rsidR="00AD38FB" w:rsidRPr="0044370F" w:rsidRDefault="00AD38FB" w:rsidP="00AD38FB">
      <w:pPr>
        <w:spacing w:line="360" w:lineRule="auto"/>
        <w:jc w:val="both"/>
        <w:rPr>
          <w:rFonts w:asciiTheme="majorBidi" w:hAnsiTheme="majorBidi" w:cstheme="majorBidi"/>
          <w:rtl/>
        </w:rPr>
      </w:pPr>
    </w:p>
    <w:p w:rsidR="00AD38FB" w:rsidRPr="0044370F" w:rsidRDefault="00AD38FB" w:rsidP="00AD38FB">
      <w:pPr>
        <w:spacing w:line="360" w:lineRule="auto"/>
        <w:jc w:val="both"/>
        <w:rPr>
          <w:rFonts w:asciiTheme="majorBidi" w:eastAsia="Times New Roman" w:hAnsiTheme="majorBidi" w:cstheme="majorBidi"/>
          <w:sz w:val="24"/>
          <w:szCs w:val="24"/>
        </w:rPr>
      </w:pPr>
      <w:r w:rsidRPr="0044370F">
        <w:rPr>
          <w:rFonts w:asciiTheme="majorBidi" w:hAnsiTheme="majorBidi" w:cstheme="majorBidi"/>
          <w:sz w:val="24"/>
          <w:szCs w:val="24"/>
        </w:rPr>
        <w:t xml:space="preserve">Another pillar of Meta’s normative strategy has been transparency reporting. </w:t>
      </w:r>
      <w:r w:rsidRPr="0044370F">
        <w:rPr>
          <w:rFonts w:asciiTheme="majorBidi" w:eastAsia="Times New Roman" w:hAnsiTheme="majorBidi" w:cstheme="majorBidi"/>
          <w:sz w:val="24"/>
          <w:szCs w:val="24"/>
        </w:rPr>
        <w:t>Since 2013, the organization has released Community Standards Enforcement Reports every two years that describe the steps it has taken to address terrorism, hate speech, nudity, and disinformation. Meta eliminated over 1.6 billion phony accounts in 2022 alone, and machine learning identified 97% of hate speech before it was detected. Critics contend that, despite the reports' apparent dedication to transparency, they serve more as public relations tools than as external accountability measures, lacking robust audit procedures and third-party verification.</w:t>
      </w: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Meta has also conducted human rights audits, funded research at external centers, and published ethical guidelines for AI. Conversely, critics highlight structural contradictions. For instance, the </w:t>
      </w:r>
      <w:proofErr w:type="spellStart"/>
      <w:r w:rsidRPr="0044370F">
        <w:rPr>
          <w:rFonts w:asciiTheme="majorBidi" w:eastAsia="Times New Roman" w:hAnsiTheme="majorBidi" w:cstheme="majorBidi"/>
          <w:sz w:val="24"/>
          <w:szCs w:val="24"/>
        </w:rPr>
        <w:t>virality</w:t>
      </w:r>
      <w:proofErr w:type="spellEnd"/>
      <w:r w:rsidRPr="0044370F">
        <w:rPr>
          <w:rFonts w:asciiTheme="majorBidi" w:eastAsia="Times New Roman" w:hAnsiTheme="majorBidi" w:cstheme="majorBidi"/>
          <w:sz w:val="24"/>
          <w:szCs w:val="24"/>
        </w:rPr>
        <w:t xml:space="preserve"> and engagement-focused design of Meta's platforms may intensify indignation and misinformation, undermining the company's stated goals. This conflict arises because the company's moral claims and business model are inherently at odds.</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As Gillespie</w:t>
      </w:r>
      <w:r w:rsidRPr="0044370F">
        <w:rPr>
          <w:rStyle w:val="a8"/>
          <w:rFonts w:asciiTheme="majorBidi" w:hAnsiTheme="majorBidi" w:cstheme="majorBidi"/>
        </w:rPr>
        <w:footnoteReference w:id="174"/>
      </w:r>
      <w:r w:rsidRPr="0044370F">
        <w:rPr>
          <w:rFonts w:asciiTheme="majorBidi" w:hAnsiTheme="majorBidi" w:cstheme="majorBidi"/>
        </w:rPr>
        <w:t xml:space="preserve"> and </w:t>
      </w:r>
      <w:proofErr w:type="spellStart"/>
      <w:r w:rsidRPr="0044370F">
        <w:rPr>
          <w:rFonts w:asciiTheme="majorBidi" w:hAnsiTheme="majorBidi" w:cstheme="majorBidi"/>
        </w:rPr>
        <w:t>Zuboff</w:t>
      </w:r>
      <w:proofErr w:type="spellEnd"/>
      <w:r w:rsidRPr="0044370F">
        <w:rPr>
          <w:rStyle w:val="a8"/>
          <w:rFonts w:asciiTheme="majorBidi" w:hAnsiTheme="majorBidi" w:cstheme="majorBidi"/>
        </w:rPr>
        <w:footnoteReference w:id="175"/>
      </w:r>
      <w:r w:rsidRPr="0044370F">
        <w:rPr>
          <w:rFonts w:asciiTheme="majorBidi" w:hAnsiTheme="majorBidi" w:cstheme="majorBidi"/>
        </w:rPr>
        <w:t xml:space="preserve"> have argued, platform firms often adopt the language of rights and fairness while structuring their systems to maximize attention, data extraction, and behavioral nudging.</w:t>
      </w:r>
    </w:p>
    <w:p w:rsidR="00AD38FB" w:rsidRPr="0044370F" w:rsidRDefault="00AD38FB" w:rsidP="000F3EB9">
      <w:pPr>
        <w:pStyle w:val="4"/>
        <w:rPr>
          <w:rtl/>
        </w:rPr>
      </w:pPr>
      <w:r w:rsidRPr="0044370F">
        <w:rPr>
          <w:rStyle w:val="a4"/>
          <w:b/>
          <w:bCs w:val="0"/>
        </w:rPr>
        <w:t>5.3.3.3 Persistent Legitimacy Deficits</w:t>
      </w:r>
    </w:p>
    <w:p w:rsidR="00AD38FB" w:rsidRPr="0044370F" w:rsidRDefault="00AD38FB" w:rsidP="00AD38FB">
      <w:pPr>
        <w:pStyle w:val="NormalWeb"/>
        <w:spacing w:line="360" w:lineRule="auto"/>
        <w:jc w:val="both"/>
        <w:rPr>
          <w:rFonts w:asciiTheme="majorBidi" w:hAnsiTheme="majorBidi" w:cstheme="majorBidi"/>
          <w:rtl/>
        </w:rPr>
      </w:pPr>
      <w:r w:rsidRPr="0044370F">
        <w:rPr>
          <w:rFonts w:asciiTheme="majorBidi" w:hAnsiTheme="majorBidi" w:cstheme="majorBidi"/>
        </w:rPr>
        <w:t>Moreover, normative legitimacy is not merely about messaging</w:t>
      </w:r>
      <w:r w:rsidRPr="0044370F">
        <w:rPr>
          <w:rFonts w:asciiTheme="majorBidi" w:hAnsiTheme="majorBidi" w:cstheme="majorBidi"/>
          <w:rtl/>
        </w:rPr>
        <w:t>;</w:t>
      </w:r>
      <w:r w:rsidRPr="0044370F">
        <w:rPr>
          <w:rFonts w:asciiTheme="majorBidi" w:hAnsiTheme="majorBidi" w:cstheme="majorBidi"/>
        </w:rPr>
        <w:t xml:space="preserve"> it is relational. Meta’s standing depends on how regulators, civil society, and users interpret its actions.</w:t>
      </w:r>
    </w:p>
    <w:p w:rsidR="00AD38FB" w:rsidRPr="0044370F" w:rsidRDefault="00AD38FB" w:rsidP="00F6046C">
      <w:pPr>
        <w:pStyle w:val="NormalWeb"/>
        <w:spacing w:line="360" w:lineRule="auto"/>
        <w:jc w:val="both"/>
        <w:rPr>
          <w:rtl/>
        </w:rPr>
      </w:pPr>
      <w:r w:rsidRPr="0044370F">
        <w:lastRenderedPageBreak/>
        <w:t xml:space="preserve">From an analytical perspective, this relational character of legitimacy distinguishes platform governance from state sovereignty, where legitimacy is typically anchored in constitutional or electoral foundations. </w:t>
      </w:r>
      <w:r w:rsidR="00DC5AE7" w:rsidRPr="0044370F">
        <w:t xml:space="preserve"> </w:t>
      </w:r>
      <w:r w:rsidRPr="0044370F">
        <w:rPr>
          <w:rFonts w:asciiTheme="majorBidi" w:hAnsiTheme="majorBidi" w:cstheme="majorBidi"/>
        </w:rPr>
        <w:t>Surveys across democratic countries consistently show low levels of trust in Meta’s ability to govern itself</w:t>
      </w:r>
      <w:r w:rsidRPr="0044370F">
        <w:rPr>
          <w:rStyle w:val="a8"/>
          <w:rFonts w:asciiTheme="majorBidi" w:hAnsiTheme="majorBidi" w:cstheme="majorBidi"/>
        </w:rPr>
        <w:footnoteReference w:id="176"/>
      </w:r>
      <w:r w:rsidRPr="0044370F">
        <w:rPr>
          <w:rFonts w:asciiTheme="majorBidi" w:hAnsiTheme="majorBidi" w:cstheme="majorBidi"/>
        </w:rPr>
        <w:t xml:space="preserve">. While Meta emphasizes its global “community” and rights-based discourse, many stakeholders view these moves as efforts to preempt regulation or co-opt public concern. </w:t>
      </w:r>
    </w:p>
    <w:p w:rsidR="00AD38FB" w:rsidRPr="0044370F" w:rsidRDefault="00AD38FB" w:rsidP="00AD38FB">
      <w:pPr>
        <w:pStyle w:val="NormalWeb"/>
        <w:spacing w:line="360" w:lineRule="auto"/>
        <w:jc w:val="both"/>
      </w:pPr>
      <w:r w:rsidRPr="0044370F">
        <w:t xml:space="preserve">Instead of resolving these tensions, Meta’s institutional innovations often formalize them. Many of the Oversight Board’s recommendations are not legally binding, given its restricted mandate and funding structure. Transparency reports lack independent verification, and ethical audits frequently prioritize procedural compliance over structural reform. While these initiatives signal procedural responsibility, they do not fundamentally alter the underlying asymmetry of power between the platform and its users. As </w:t>
      </w:r>
      <w:proofErr w:type="spellStart"/>
      <w:r w:rsidRPr="0044370F">
        <w:t>Klonick</w:t>
      </w:r>
      <w:proofErr w:type="spellEnd"/>
      <w:r w:rsidRPr="0044370F">
        <w:rPr>
          <w:rStyle w:val="a8"/>
        </w:rPr>
        <w:footnoteReference w:id="177"/>
      </w:r>
      <w:r w:rsidRPr="0044370F">
        <w:t xml:space="preserve"> observes, platform governance may resemble liberal legalism in form, yet it remains structurally opaque and uneven in practice.</w:t>
      </w:r>
    </w:p>
    <w:p w:rsidR="00AD38FB" w:rsidRPr="0044370F" w:rsidRDefault="00AD38FB" w:rsidP="00AD38FB">
      <w:pPr>
        <w:pStyle w:val="NormalWeb"/>
        <w:spacing w:line="360" w:lineRule="auto"/>
        <w:jc w:val="both"/>
      </w:pPr>
      <w:r w:rsidRPr="0044370F">
        <w:t>Meta seeks to exercise sovereignty-like authority through procedural mechanisms, oversight, transparency, and rights-based framing, while retaining control over infrastructure, algorithms, and economic logics that structure user experience. This tension renders its legitimacy structurally unstable. As Srivastava argues</w:t>
      </w:r>
      <w:r w:rsidRPr="0044370F">
        <w:rPr>
          <w:rStyle w:val="a8"/>
        </w:rPr>
        <w:footnoteReference w:id="178"/>
      </w:r>
      <w:r w:rsidRPr="0044370F">
        <w:t>, legitimacy in platform governance is performative and continuously contested, shaped by perceptions of responsiveness and moral authority rather than by formal constitutional structures.</w:t>
      </w:r>
    </w:p>
    <w:p w:rsidR="00AD38FB" w:rsidRPr="0044370F" w:rsidRDefault="00AD38FB" w:rsidP="000F3EB9">
      <w:pPr>
        <w:pStyle w:val="3"/>
      </w:pPr>
      <w:bookmarkStart w:id="132" w:name="_Toc222652811"/>
      <w:r w:rsidRPr="0044370F">
        <w:t>5.3.4. Structural Embeddedness</w:t>
      </w:r>
      <w:bookmarkEnd w:id="132"/>
    </w:p>
    <w:p w:rsidR="00AD38FB" w:rsidRPr="0044370F" w:rsidRDefault="00AD38FB" w:rsidP="00AD38FB">
      <w:pPr>
        <w:pStyle w:val="NormalWeb"/>
        <w:spacing w:line="360" w:lineRule="auto"/>
        <w:jc w:val="both"/>
        <w:rPr>
          <w:rFonts w:asciiTheme="majorBidi" w:hAnsiTheme="majorBidi" w:cstheme="majorBidi"/>
          <w:b/>
          <w:bCs/>
          <w:sz w:val="32"/>
          <w:szCs w:val="32"/>
        </w:rPr>
      </w:pPr>
      <w:r w:rsidRPr="0044370F">
        <w:rPr>
          <w:rFonts w:asciiTheme="majorBidi" w:hAnsiTheme="majorBidi" w:cstheme="majorBidi"/>
        </w:rPr>
        <w:t xml:space="preserve">Structural embeddedness refers to the depth and durability of an actor’s integration into institutional systems, legal frameworks, and normative structures. For Meta Platforms, this </w:t>
      </w:r>
      <w:r w:rsidRPr="0044370F">
        <w:rPr>
          <w:rFonts w:asciiTheme="majorBidi" w:hAnsiTheme="majorBidi" w:cstheme="majorBidi"/>
        </w:rPr>
        <w:lastRenderedPageBreak/>
        <w:t>embeddedness is not merely a condition of operation; it is a key source of quasi-sovereign power. By entrenching itself within national regulatory systems, multilateral governance processes, and public-private networks, Meta gains influence not just as a market actor but as a co-author of digital governance norms. In this sense, structural embeddedness is not passive compliance but a strategy of systemic integration that stabilizes and legitimizes Meta’s authority across jurisdictions.</w:t>
      </w: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Communities, corporations, and governments use Meta's platforms daily, and as of the mid-2020s, the company operated in over 190 countries. In many nations, WhatsApp is used for government communications, political campaigning, and emergency response. Facebook is an essential tool for government agencies, non-governmental organizations, and civil society, while Instagram and Threads shape public conversation and digital culture. Governments and corporations grow reliant on Meta rather than merely controlling it, given its widespread use.</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A key vector of embeddedness lies in Meta’s capacity to adapt to, and influence, national regulatory environments. In the European Union, Meta has made extensive adjustments to comply with the Digital Services Act (DSA) and the Digital Markets Act (DMA), including implementing algorithmic transparency features and conducting risk assessments</w:t>
      </w:r>
      <w:r w:rsidRPr="0044370F">
        <w:rPr>
          <w:rStyle w:val="a8"/>
          <w:rFonts w:asciiTheme="majorBidi" w:hAnsiTheme="majorBidi" w:cstheme="majorBidi"/>
        </w:rPr>
        <w:footnoteReference w:id="179"/>
      </w:r>
      <w:r w:rsidRPr="0044370F">
        <w:rPr>
          <w:rFonts w:asciiTheme="majorBidi" w:hAnsiTheme="majorBidi" w:cstheme="majorBidi"/>
        </w:rPr>
        <w:t>. Yet this adaptation is not purely reactive. Meta is also a formidable shaper of regulation: it spends heavily on lobbying, with €8 million annually in the EU alone and 17 full-time lobbyists in Brussels</w:t>
      </w:r>
      <w:r w:rsidRPr="0044370F">
        <w:rPr>
          <w:rStyle w:val="a8"/>
          <w:rFonts w:asciiTheme="majorBidi" w:hAnsiTheme="majorBidi" w:cstheme="majorBidi"/>
        </w:rPr>
        <w:footnoteReference w:id="180"/>
      </w:r>
      <w:r w:rsidRPr="0044370F">
        <w:rPr>
          <w:rFonts w:asciiTheme="majorBidi" w:hAnsiTheme="majorBidi" w:cstheme="majorBidi"/>
        </w:rPr>
        <w:t>. In the United States, it led the tech industry in lobbying expenditures in early 2024, spending $7.6 million to influence legislation on AI, data privacy, and platform accountability.</w:t>
      </w:r>
    </w:p>
    <w:p w:rsidR="00AD38FB" w:rsidRPr="0044370F" w:rsidRDefault="00AD38FB" w:rsidP="00AD38FB">
      <w:pPr>
        <w:pStyle w:val="NormalWeb"/>
        <w:spacing w:line="360" w:lineRule="auto"/>
        <w:jc w:val="both"/>
      </w:pPr>
      <w:r w:rsidRPr="0044370F">
        <w:rPr>
          <w:rStyle w:val="a5"/>
          <w:i w:val="0"/>
          <w:iCs w:val="0"/>
        </w:rPr>
        <w:t>Meta’s structural embeddedness is reinforced through strategic lobbying and elite circulation between state institutions and platform governance.</w:t>
      </w:r>
      <w:r w:rsidRPr="0044370F">
        <w:rPr>
          <w:rFonts w:asciiTheme="majorBidi" w:hAnsiTheme="majorBidi" w:cstheme="majorBidi"/>
          <w:i/>
          <w:iCs/>
        </w:rPr>
        <w:t xml:space="preserve"> </w:t>
      </w:r>
      <w:r w:rsidRPr="0044370F">
        <w:rPr>
          <w:rFonts w:asciiTheme="majorBidi" w:hAnsiTheme="majorBidi" w:cstheme="majorBidi"/>
        </w:rPr>
        <w:t>The most visible case is Sir Nick Clegg</w:t>
      </w:r>
      <w:r w:rsidRPr="0044370F">
        <w:rPr>
          <w:rStyle w:val="a8"/>
          <w:rFonts w:asciiTheme="majorBidi" w:hAnsiTheme="majorBidi" w:cstheme="majorBidi"/>
        </w:rPr>
        <w:footnoteReference w:id="181"/>
      </w:r>
      <w:r w:rsidRPr="0044370F">
        <w:rPr>
          <w:rFonts w:asciiTheme="majorBidi" w:hAnsiTheme="majorBidi" w:cstheme="majorBidi"/>
        </w:rPr>
        <w:t xml:space="preserve">, former Deputy Prime Minister of the UK, who served as Meta’s President for Global Affairs. </w:t>
      </w:r>
      <w:r w:rsidRPr="0044370F">
        <w:t xml:space="preserve">As </w:t>
      </w:r>
      <w:r w:rsidRPr="0044370F">
        <w:lastRenderedPageBreak/>
        <w:t>a global diplomat, Clegg oversaw the company's interactions with nations and international organizations. Meta is embedded both structurally and symbolically by this revolving door between state and platform, which establishes the business as an actor with quasi-diplomatic standing.</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Meta also participates in numerous multi-stakeholder institutions that function as proto-regulatory ecosystems. It is a founding member of the Global Internet Forum to Counter Terrorism (GIFCT)</w:t>
      </w:r>
      <w:r w:rsidRPr="0044370F">
        <w:rPr>
          <w:rStyle w:val="a8"/>
          <w:rFonts w:asciiTheme="majorBidi" w:hAnsiTheme="majorBidi" w:cstheme="majorBidi"/>
        </w:rPr>
        <w:footnoteReference w:id="182"/>
      </w:r>
      <w:r w:rsidRPr="0044370F">
        <w:rPr>
          <w:rFonts w:asciiTheme="majorBidi" w:hAnsiTheme="majorBidi" w:cstheme="majorBidi"/>
        </w:rPr>
        <w:t>, plays a visible role in the Christchurch Call, and regularly engages in the UN Internet Governance Forum (IGF). Through these spaces, Meta helps set the agenda on content moderation, digital safety, and platform governance. Importantly, participation in these venues allows the company to project legitimacy, deflect hard regulation, and influence the norms that eventually shape formal law.</w:t>
      </w:r>
    </w:p>
    <w:p w:rsidR="00AD38FB" w:rsidRPr="0044370F" w:rsidRDefault="00AD38FB" w:rsidP="00AD38FB">
      <w:pPr>
        <w:pStyle w:val="NormalWeb"/>
        <w:spacing w:line="360" w:lineRule="auto"/>
        <w:jc w:val="both"/>
        <w:rPr>
          <w:rFonts w:asciiTheme="majorBidi" w:hAnsiTheme="majorBidi" w:cstheme="majorBidi"/>
          <w:rtl/>
        </w:rPr>
      </w:pPr>
      <w:r w:rsidRPr="0044370F">
        <w:rPr>
          <w:rFonts w:asciiTheme="majorBidi" w:hAnsiTheme="majorBidi" w:cstheme="majorBidi"/>
        </w:rPr>
        <w:t>Moreover, structural embeddedness can be observed in legal interactions. In 2025, a Kenyan court</w:t>
      </w:r>
      <w:r w:rsidRPr="0044370F">
        <w:rPr>
          <w:rStyle w:val="a8"/>
          <w:rFonts w:asciiTheme="majorBidi" w:hAnsiTheme="majorBidi" w:cstheme="majorBidi"/>
        </w:rPr>
        <w:footnoteReference w:id="183"/>
      </w:r>
      <w:r w:rsidRPr="0044370F">
        <w:rPr>
          <w:rFonts w:asciiTheme="majorBidi" w:hAnsiTheme="majorBidi" w:cstheme="majorBidi"/>
        </w:rPr>
        <w:t xml:space="preserve"> asserted jurisdiction over a case involving Meta’s role in moderating content during the Tigray conflict. This moment signaled a new mode of platform accountability: one in which Meta is no longer treated solely as a service provider but as a transnational institution bound by human rights obligations. Similar dynamics have emerged in the Global South, where governments increasingly legislate digital platforms not only as economic actors but as political intermediaries.</w:t>
      </w:r>
    </w:p>
    <w:p w:rsidR="00AD38FB" w:rsidRPr="0044370F" w:rsidRDefault="00AD38FB" w:rsidP="00AD38FB">
      <w:pPr>
        <w:spacing w:after="0" w:line="360" w:lineRule="auto"/>
        <w:jc w:val="both"/>
        <w:rPr>
          <w:rFonts w:asciiTheme="majorBidi" w:eastAsia="Times New Roman" w:hAnsiTheme="majorBidi" w:cstheme="majorBidi"/>
          <w:sz w:val="24"/>
          <w:szCs w:val="24"/>
          <w:rtl/>
        </w:rPr>
      </w:pPr>
      <w:r w:rsidRPr="0044370F">
        <w:rPr>
          <w:rFonts w:asciiTheme="majorBidi" w:eastAsia="Times New Roman" w:hAnsiTheme="majorBidi" w:cstheme="majorBidi"/>
          <w:sz w:val="24"/>
          <w:szCs w:val="24"/>
        </w:rPr>
        <w:t xml:space="preserve">In non-Western cultures, Meta's quasi-sovereign role is especially evident, as its platforms frequently replace inadequate or disjointed public communication infrastructures. For instance, WhatsApp has been linked to the quick dissemination of political false information and intercommunal violence in India, which has prompted government actions and public discussions on platform accountability. In a similar vein, Meta's involvement in Myanmar during the </w:t>
      </w:r>
      <w:proofErr w:type="spellStart"/>
      <w:r w:rsidRPr="0044370F">
        <w:rPr>
          <w:rFonts w:asciiTheme="majorBidi" w:eastAsia="Times New Roman" w:hAnsiTheme="majorBidi" w:cstheme="majorBidi"/>
          <w:sz w:val="24"/>
          <w:szCs w:val="24"/>
        </w:rPr>
        <w:t>Rohingya</w:t>
      </w:r>
      <w:proofErr w:type="spellEnd"/>
      <w:r w:rsidRPr="0044370F">
        <w:rPr>
          <w:rFonts w:asciiTheme="majorBidi" w:eastAsia="Times New Roman" w:hAnsiTheme="majorBidi" w:cstheme="majorBidi"/>
          <w:sz w:val="24"/>
          <w:szCs w:val="24"/>
        </w:rPr>
        <w:t xml:space="preserve"> crisis demonstrated how inadequate content control and algorithmic amplification could intensify violence in unstable political contexts. These incidents highlight how Meta's normative and infrastructural influence interacts with local political circumstances in ways that can increase social and security dangers, rather than being experienced consistently across regions.</w:t>
      </w:r>
    </w:p>
    <w:p w:rsidR="00AD38FB" w:rsidRPr="0044370F" w:rsidRDefault="00AD38FB" w:rsidP="00AD38FB">
      <w:pPr>
        <w:pStyle w:val="NormalWeb"/>
        <w:spacing w:line="360" w:lineRule="auto"/>
        <w:jc w:val="both"/>
        <w:rPr>
          <w:rFonts w:asciiTheme="majorBidi" w:hAnsiTheme="majorBidi" w:cstheme="majorBidi"/>
          <w:i/>
          <w:iCs/>
        </w:rPr>
      </w:pPr>
      <w:r w:rsidRPr="0044370F">
        <w:rPr>
          <w:rStyle w:val="a5"/>
          <w:rFonts w:asciiTheme="majorBidi" w:hAnsiTheme="majorBidi" w:cstheme="majorBidi"/>
          <w:i w:val="0"/>
          <w:iCs w:val="0"/>
        </w:rPr>
        <w:lastRenderedPageBreak/>
        <w:t>These cases are treated as illustrative examples of how infrastructural and normative authority interact within fragile political environments, rather than as isolated anomalies.</w:t>
      </w:r>
    </w:p>
    <w:p w:rsidR="00AD38FB" w:rsidRPr="0044370F" w:rsidRDefault="00AD38FB" w:rsidP="00AD38FB">
      <w:pPr>
        <w:pStyle w:val="NormalWeb"/>
        <w:spacing w:line="360" w:lineRule="auto"/>
        <w:jc w:val="both"/>
        <w:rPr>
          <w:rFonts w:asciiTheme="majorBidi" w:hAnsiTheme="majorBidi" w:cstheme="majorBidi"/>
        </w:rPr>
      </w:pPr>
      <w:r w:rsidRPr="0044370F">
        <w:rPr>
          <w:rFonts w:asciiTheme="majorBidi" w:hAnsiTheme="majorBidi" w:cstheme="majorBidi"/>
        </w:rPr>
        <w:t>Meta's influence also manifests through its infrastructural commitments. It invests in undersea cables, rural connectivity programs, and edge network facilities, thereby physically integrating into national telecommunications landscapes. At the same time, its internal tools, such as the Ad Library, policy consultation mechanisms, and public APIs, structure the data environment, shaping how regulation is understood and applied. In short, Meta embeds itself both materially and discursively.</w:t>
      </w:r>
    </w:p>
    <w:p w:rsidR="00AD38FB" w:rsidRPr="0044370F" w:rsidRDefault="00AD38FB" w:rsidP="00AD38FB">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Meta’s structural embeddedness is both adaptive and constitutive: it participates in global governance while simultaneously shaping the institutional environments within which it operates. This entrenchment contributes to its quasi-sovereign character, not because it replaces states, but because it becomes integral to the continuity of digital governance systems.</w:t>
      </w:r>
    </w:p>
    <w:p w:rsidR="00AD38FB" w:rsidRPr="0044370F" w:rsidRDefault="00AD38FB" w:rsidP="000F3EB9">
      <w:pPr>
        <w:pStyle w:val="2"/>
      </w:pPr>
      <w:bookmarkStart w:id="133" w:name="_Toc222652812"/>
      <w:r w:rsidRPr="0044370F">
        <w:t>5.4</w:t>
      </w:r>
      <w:r w:rsidRPr="0044370F">
        <w:tab/>
        <w:t>Conclusion</w:t>
      </w:r>
      <w:bookmarkEnd w:id="133"/>
    </w:p>
    <w:p w:rsidR="00AD38FB" w:rsidRPr="0044370F" w:rsidRDefault="00AD38FB" w:rsidP="00AD38FB">
      <w:pPr>
        <w:pStyle w:val="NormalWeb"/>
        <w:spacing w:line="360" w:lineRule="auto"/>
        <w:jc w:val="both"/>
        <w:rPr>
          <w:rFonts w:asciiTheme="majorBidi" w:hAnsiTheme="majorBidi" w:cstheme="majorBidi"/>
        </w:rPr>
      </w:pPr>
      <w:r w:rsidRPr="0044370F">
        <w:rPr>
          <w:rStyle w:val="a5"/>
          <w:rFonts w:asciiTheme="majorBidi" w:hAnsiTheme="majorBidi" w:cstheme="majorBidi"/>
          <w:i w:val="0"/>
          <w:iCs w:val="0"/>
        </w:rPr>
        <w:t>The Meta case illustrates a platform-centric configuration of corporate quasi-sovereignty in which discursive governance, infrastructural control, and contested legitimacy intersect.</w:t>
      </w:r>
      <w:r w:rsidRPr="0044370F">
        <w:rPr>
          <w:rFonts w:asciiTheme="majorBidi" w:hAnsiTheme="majorBidi" w:cstheme="majorBidi"/>
        </w:rPr>
        <w:t xml:space="preserve"> The lines between public and private governance are becoming increasingly hazy as global interdependence grows and digital platforms take on social functions. Beyond its commercial functions, Meta structures communication, mediates public discourse, and shapes economic interaction at scale.</w:t>
      </w:r>
    </w:p>
    <w:p w:rsidR="00AD38FB" w:rsidRPr="0044370F" w:rsidRDefault="00AD38FB" w:rsidP="00AD38FB">
      <w:pPr>
        <w:pStyle w:val="NormalWeb"/>
        <w:spacing w:line="360" w:lineRule="auto"/>
        <w:jc w:val="both"/>
        <w:rPr>
          <w:rFonts w:asciiTheme="majorBidi" w:hAnsiTheme="majorBidi" w:cstheme="majorBidi"/>
          <w:i/>
          <w:iCs/>
        </w:rPr>
      </w:pPr>
      <w:r w:rsidRPr="0044370F">
        <w:rPr>
          <w:rFonts w:asciiTheme="majorBidi" w:hAnsiTheme="majorBidi" w:cstheme="majorBidi"/>
        </w:rPr>
        <w:t>New theoretical models, institutional checks, and regulatory mechanisms that account for the hybrid character of platform power are necessary to comprehend and address such actors. The study's analytical paradigm, which includes normative legitimacy, infrastructural power, strategic resource control, and structural embeddedness, works well for dissecting the intricate authority Meta wields across various sectors.</w:t>
      </w:r>
    </w:p>
    <w:p w:rsidR="00AD38FB" w:rsidRPr="0044370F" w:rsidRDefault="00AD38FB" w:rsidP="00AD38FB">
      <w:pPr>
        <w:spacing w:after="0" w:line="360" w:lineRule="auto"/>
        <w:jc w:val="both"/>
        <w:rPr>
          <w:rFonts w:asciiTheme="majorBidi" w:eastAsia="Times New Roman" w:hAnsiTheme="majorBidi" w:cstheme="majorBidi"/>
          <w:sz w:val="24"/>
          <w:szCs w:val="24"/>
          <w:rtl/>
        </w:rPr>
      </w:pPr>
      <w:r w:rsidRPr="0044370F">
        <w:rPr>
          <w:rFonts w:asciiTheme="majorBidi" w:eastAsia="Times New Roman" w:hAnsiTheme="majorBidi" w:cstheme="majorBidi"/>
          <w:sz w:val="24"/>
          <w:szCs w:val="24"/>
        </w:rPr>
        <w:t xml:space="preserve">In practice, these dimensions are closely connected even if they are analytically separate. Meta's infrastructural role strengthens its embeddedness in governance frameworks; its control over digital infrastructure and data contributes to its normative framing as a global community builder; and its structural entrenchment gives it the power to influence, oppose, or misinterpret regulations. </w:t>
      </w:r>
      <w:r w:rsidRPr="0044370F">
        <w:rPr>
          <w:rFonts w:asciiTheme="majorBidi" w:eastAsia="Times New Roman" w:hAnsiTheme="majorBidi" w:cstheme="majorBidi"/>
          <w:sz w:val="24"/>
          <w:szCs w:val="24"/>
        </w:rPr>
        <w:lastRenderedPageBreak/>
        <w:t>This mutual reinforcement produces a state of quasi-sovereignty: Meta functions as an institutional actor whose existence shapes the contexts in which it operates, while also acting as a corporation within markets.</w:t>
      </w:r>
    </w:p>
    <w:p w:rsidR="00AD38FB" w:rsidRPr="0044370F" w:rsidRDefault="00AD38FB" w:rsidP="00AD38FB">
      <w:pPr>
        <w:spacing w:after="0" w:line="360" w:lineRule="auto"/>
        <w:jc w:val="both"/>
        <w:rPr>
          <w:rFonts w:asciiTheme="majorBidi" w:hAnsiTheme="majorBidi" w:cstheme="majorBidi"/>
          <w:sz w:val="24"/>
          <w:szCs w:val="24"/>
        </w:rPr>
      </w:pPr>
      <w:r w:rsidRPr="0044370F">
        <w:rPr>
          <w:rFonts w:asciiTheme="majorBidi" w:eastAsia="Times New Roman" w:hAnsiTheme="majorBidi" w:cstheme="majorBidi"/>
          <w:sz w:val="24"/>
          <w:szCs w:val="24"/>
        </w:rPr>
        <w:br/>
        <w:t xml:space="preserve">Importantly, this position, akin to sovereignty, is neither unquestionable nor absolute. User trust, legal challenges, governmental scrutiny, and social backlash continually challenge Meta's legitimacy. </w:t>
      </w:r>
      <w:r w:rsidRPr="0044370F">
        <w:rPr>
          <w:rFonts w:asciiTheme="majorBidi" w:hAnsiTheme="majorBidi" w:cstheme="majorBidi"/>
          <w:sz w:val="24"/>
          <w:szCs w:val="24"/>
        </w:rPr>
        <w:t>Its power rests on a fragile equilibrium: between centralization and openness, automation and accountability, corporate mission and public interest.</w:t>
      </w:r>
    </w:p>
    <w:p w:rsidR="000F3EB9" w:rsidRPr="0044370F" w:rsidRDefault="000F3EB9" w:rsidP="00AD38FB">
      <w:pPr>
        <w:spacing w:after="0" w:line="360" w:lineRule="auto"/>
        <w:jc w:val="both"/>
        <w:rPr>
          <w:rFonts w:asciiTheme="majorBidi" w:eastAsia="Times New Roman" w:hAnsiTheme="majorBidi" w:cstheme="majorBidi"/>
          <w:sz w:val="24"/>
          <w:szCs w:val="24"/>
        </w:rPr>
      </w:pPr>
    </w:p>
    <w:p w:rsidR="00AD38FB" w:rsidRPr="0044370F" w:rsidRDefault="00AD38FB" w:rsidP="000F3EB9">
      <w:pPr>
        <w:pStyle w:val="2"/>
        <w:rPr>
          <w:rStyle w:val="a4"/>
          <w:b/>
          <w:bCs w:val="0"/>
        </w:rPr>
      </w:pPr>
      <w:bookmarkStart w:id="134" w:name="_Toc222652813"/>
      <w:r w:rsidRPr="0044370F">
        <w:rPr>
          <w:rStyle w:val="a4"/>
          <w:b/>
          <w:bCs w:val="0"/>
        </w:rPr>
        <w:t>5.</w:t>
      </w:r>
      <w:r w:rsidR="006F0DCC" w:rsidRPr="0044370F">
        <w:rPr>
          <w:rStyle w:val="a4"/>
          <w:b/>
          <w:bCs w:val="0"/>
        </w:rPr>
        <w:t>5</w:t>
      </w:r>
      <w:r w:rsidRPr="0044370F">
        <w:rPr>
          <w:rStyle w:val="a4"/>
          <w:b/>
          <w:bCs w:val="0"/>
        </w:rPr>
        <w:tab/>
        <w:t>Future Trajectories of Meta’s Quasi-Sovereignty</w:t>
      </w:r>
      <w:bookmarkEnd w:id="134"/>
    </w:p>
    <w:p w:rsidR="000F3EB9" w:rsidRPr="0044370F" w:rsidRDefault="000F3EB9" w:rsidP="000F3EB9"/>
    <w:p w:rsidR="00AD38FB" w:rsidRPr="0044370F" w:rsidRDefault="00AD38FB" w:rsidP="00AD38FB">
      <w:pPr>
        <w:spacing w:after="0" w:line="360" w:lineRule="auto"/>
        <w:jc w:val="both"/>
        <w:rPr>
          <w:rFonts w:asciiTheme="majorBidi" w:eastAsia="Times New Roman" w:hAnsiTheme="majorBidi" w:cstheme="majorBidi"/>
          <w:i/>
          <w:iCs/>
          <w:sz w:val="24"/>
          <w:szCs w:val="24"/>
        </w:rPr>
      </w:pPr>
      <w:r w:rsidRPr="0044370F">
        <w:rPr>
          <w:rFonts w:asciiTheme="majorBidi" w:eastAsia="Times New Roman" w:hAnsiTheme="majorBidi" w:cstheme="majorBidi"/>
          <w:sz w:val="24"/>
          <w:szCs w:val="24"/>
        </w:rPr>
        <w:t xml:space="preserve">In the future, Meta's quasi-sovereign power will likely change in response to new geopolitical and technological developments. Artificial intelligence developments, especially generative models and automated content regulation, have the potential to consolidate Meta's authority over information ecosystems further. Simultaneously, the company's investments in augmented and virtual reality indicate a desire to shape future digital spaces at the infrastructure level. These results imply that, despite growing regulatory demands and geopolitical tensions, Meta's role as a governance player may expand rather than contract. </w:t>
      </w:r>
      <w:r w:rsidRPr="0044370F">
        <w:rPr>
          <w:rStyle w:val="a5"/>
          <w:rFonts w:asciiTheme="majorBidi" w:hAnsiTheme="majorBidi" w:cstheme="majorBidi"/>
          <w:i w:val="0"/>
          <w:iCs w:val="0"/>
          <w:sz w:val="24"/>
          <w:szCs w:val="24"/>
        </w:rPr>
        <w:t>These projections are interpretive extrapolations grounded in observable strategic trends rather than predictive claims.</w:t>
      </w:r>
    </w:p>
    <w:p w:rsidR="00AD38FB" w:rsidRPr="0044370F" w:rsidRDefault="00AD38FB" w:rsidP="00AD38FB">
      <w:pPr>
        <w:spacing w:after="0" w:line="360" w:lineRule="auto"/>
        <w:jc w:val="both"/>
        <w:rPr>
          <w:rFonts w:asciiTheme="majorBidi" w:eastAsia="Times New Roman" w:hAnsiTheme="majorBidi" w:cstheme="majorBidi"/>
          <w:sz w:val="24"/>
          <w:szCs w:val="24"/>
        </w:rPr>
      </w:pPr>
    </w:p>
    <w:p w:rsidR="00AD38FB" w:rsidRPr="0044370F" w:rsidRDefault="00AD38FB" w:rsidP="00AD38FB">
      <w:pPr>
        <w:spacing w:after="0"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As this chapter has shown, Meta is more than just a tech company; it is a governance system interwoven into global digital infrastructures. Recognizing this circumstance requires reevaluating the power structure, its holders, and any effective limiting measures.</w:t>
      </w:r>
    </w:p>
    <w:p w:rsidR="00AD38FB" w:rsidRPr="0044370F" w:rsidRDefault="00AD38FB" w:rsidP="00AD38FB">
      <w:pPr>
        <w:pStyle w:val="NormalWeb"/>
        <w:spacing w:line="360" w:lineRule="auto"/>
        <w:jc w:val="both"/>
        <w:rPr>
          <w:rFonts w:asciiTheme="majorBidi" w:hAnsiTheme="majorBidi" w:cstheme="majorBidi"/>
        </w:rPr>
      </w:pPr>
    </w:p>
    <w:p w:rsidR="00051764" w:rsidRPr="0044370F" w:rsidRDefault="00051764">
      <w:pPr>
        <w:rPr>
          <w:rFonts w:asciiTheme="majorBidi" w:eastAsia="Times New Roman" w:hAnsiTheme="majorBidi" w:cstheme="majorBidi"/>
          <w:sz w:val="24"/>
          <w:szCs w:val="24"/>
          <w:lang w:eastAsia="en-IL"/>
        </w:rPr>
      </w:pPr>
      <w:r w:rsidRPr="0044370F">
        <w:rPr>
          <w:rFonts w:asciiTheme="majorBidi" w:eastAsia="Times New Roman" w:hAnsiTheme="majorBidi" w:cstheme="majorBidi"/>
          <w:sz w:val="24"/>
          <w:szCs w:val="24"/>
          <w:lang w:eastAsia="en-IL"/>
        </w:rPr>
        <w:br w:type="page"/>
      </w:r>
    </w:p>
    <w:p w:rsidR="008F42CF" w:rsidRPr="0044370F" w:rsidRDefault="008F42CF" w:rsidP="000F3EB9">
      <w:pPr>
        <w:pStyle w:val="1"/>
        <w:rPr>
          <w:rFonts w:eastAsia="Times New Roman"/>
          <w:rtl/>
          <w:lang w:eastAsia="en-IL"/>
        </w:rPr>
      </w:pPr>
      <w:bookmarkStart w:id="135" w:name="_Toc222652814"/>
      <w:r w:rsidRPr="0044370F">
        <w:rPr>
          <w:rFonts w:eastAsia="Times New Roman"/>
          <w:noProof/>
        </w:rPr>
        <w:lastRenderedPageBreak/>
        <w:drawing>
          <wp:anchor distT="0" distB="0" distL="114300" distR="114300" simplePos="0" relativeHeight="251666432" behindDoc="0" locked="0" layoutInCell="1" allowOverlap="1" wp14:anchorId="2CAE6617" wp14:editId="398F3B06">
            <wp:simplePos x="0" y="0"/>
            <wp:positionH relativeFrom="column">
              <wp:posOffset>3152775</wp:posOffset>
            </wp:positionH>
            <wp:positionV relativeFrom="paragraph">
              <wp:posOffset>212725</wp:posOffset>
            </wp:positionV>
            <wp:extent cx="2304415" cy="1533525"/>
            <wp:effectExtent l="0" t="0" r="635" b="9525"/>
            <wp:wrapThrough wrapText="bothSides">
              <wp:wrapPolygon edited="0">
                <wp:start x="0" y="0"/>
                <wp:lineTo x="0" y="21466"/>
                <wp:lineTo x="21427" y="21466"/>
                <wp:lineTo x="21427" y="0"/>
                <wp:lineTo x="0" y="0"/>
              </wp:wrapPolygon>
            </wp:wrapThrough>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1).png"/>
                    <pic:cNvPicPr/>
                  </pic:nvPicPr>
                  <pic:blipFill>
                    <a:blip r:embed="rId13">
                      <a:extLst>
                        <a:ext uri="{28A0092B-C50C-407E-A947-70E740481C1C}">
                          <a14:useLocalDpi xmlns:a14="http://schemas.microsoft.com/office/drawing/2010/main" val="0"/>
                        </a:ext>
                      </a:extLst>
                    </a:blip>
                    <a:stretch>
                      <a:fillRect/>
                    </a:stretch>
                  </pic:blipFill>
                  <pic:spPr>
                    <a:xfrm>
                      <a:off x="0" y="0"/>
                      <a:ext cx="2304415" cy="1533525"/>
                    </a:xfrm>
                    <a:prstGeom prst="rect">
                      <a:avLst/>
                    </a:prstGeom>
                  </pic:spPr>
                </pic:pic>
              </a:graphicData>
            </a:graphic>
            <wp14:sizeRelH relativeFrom="margin">
              <wp14:pctWidth>0</wp14:pctWidth>
            </wp14:sizeRelH>
            <wp14:sizeRelV relativeFrom="margin">
              <wp14:pctHeight>0</wp14:pctHeight>
            </wp14:sizeRelV>
          </wp:anchor>
        </w:drawing>
      </w:r>
      <w:r w:rsidRPr="0044370F">
        <w:rPr>
          <w:rFonts w:eastAsia="Times New Roman"/>
          <w:lang w:eastAsia="en-IL"/>
        </w:rPr>
        <w:t>Chapter 6</w:t>
      </w:r>
      <w:bookmarkEnd w:id="135"/>
      <w:r w:rsidRPr="0044370F">
        <w:rPr>
          <w:rFonts w:eastAsia="Times New Roman"/>
          <w:lang w:eastAsia="en-IL"/>
        </w:rPr>
        <w:t xml:space="preserve"> </w:t>
      </w:r>
    </w:p>
    <w:p w:rsidR="008F42CF" w:rsidRPr="0044370F" w:rsidRDefault="008F42CF" w:rsidP="000F3EB9">
      <w:pPr>
        <w:pStyle w:val="1"/>
        <w:rPr>
          <w:rFonts w:eastAsia="Times New Roman"/>
          <w:lang w:eastAsia="en-IL" w:bidi="ar-SA"/>
        </w:rPr>
      </w:pPr>
      <w:bookmarkStart w:id="136" w:name="_Toc222652815"/>
      <w:r w:rsidRPr="0044370F">
        <w:rPr>
          <w:rFonts w:eastAsia="Times New Roman"/>
          <w:lang w:eastAsia="en-IL" w:bidi="ar-SA"/>
        </w:rPr>
        <w:t>Case Study II: Huawei (China)</w:t>
      </w:r>
      <w:r w:rsidR="000F3EB9" w:rsidRPr="0044370F">
        <w:rPr>
          <w:rFonts w:eastAsia="Times New Roman"/>
          <w:lang w:eastAsia="en-IL" w:bidi="ar-SA"/>
        </w:rPr>
        <w:t xml:space="preserve"> </w:t>
      </w:r>
      <w:r w:rsidRPr="0044370F">
        <w:rPr>
          <w:rFonts w:eastAsia="Times New Roman"/>
          <w:lang w:eastAsia="en-IL" w:bidi="ar-SA"/>
        </w:rPr>
        <w:t>Quasi-Sovereign Corporate Power</w:t>
      </w:r>
      <w:bookmarkEnd w:id="136"/>
    </w:p>
    <w:p w:rsidR="008F42CF" w:rsidRPr="0044370F" w:rsidRDefault="008F42CF" w:rsidP="008F42CF">
      <w:pPr>
        <w:spacing w:after="0" w:line="240" w:lineRule="auto"/>
        <w:rPr>
          <w:rFonts w:ascii="Times New Roman" w:eastAsia="Times New Roman" w:hAnsi="Times New Roman" w:cs="Times New Roman"/>
          <w:b/>
          <w:bCs/>
          <w:kern w:val="36"/>
          <w:sz w:val="36"/>
          <w:szCs w:val="36"/>
          <w:lang w:eastAsia="en-IL" w:bidi="ar-SA"/>
        </w:rPr>
      </w:pPr>
    </w:p>
    <w:p w:rsidR="008F42CF" w:rsidRPr="0044370F" w:rsidRDefault="008F42CF" w:rsidP="000F3EB9">
      <w:pPr>
        <w:pStyle w:val="2"/>
        <w:rPr>
          <w:rFonts w:eastAsia="Times New Roman"/>
          <w:lang w:eastAsia="en-IL"/>
        </w:rPr>
      </w:pPr>
      <w:bookmarkStart w:id="137" w:name="_Toc222652816"/>
      <w:r w:rsidRPr="0044370F">
        <w:rPr>
          <w:rFonts w:eastAsia="Times New Roman"/>
          <w:lang w:eastAsia="en-IL"/>
        </w:rPr>
        <w:t>6.1</w:t>
      </w:r>
      <w:r w:rsidRPr="0044370F">
        <w:rPr>
          <w:rFonts w:eastAsia="Times New Roman"/>
          <w:lang w:eastAsia="en-IL"/>
        </w:rPr>
        <w:tab/>
        <w:t>Introduction</w:t>
      </w:r>
      <w:bookmarkEnd w:id="137"/>
    </w:p>
    <w:p w:rsidR="008F42CF" w:rsidRPr="0044370F" w:rsidRDefault="008F42CF" w:rsidP="008F42CF">
      <w:pPr>
        <w:pStyle w:val="NormalWeb"/>
        <w:spacing w:line="360" w:lineRule="auto"/>
        <w:jc w:val="both"/>
      </w:pPr>
      <w:r w:rsidRPr="0044370F">
        <w:rPr>
          <w:rFonts w:asciiTheme="majorBidi" w:hAnsiTheme="majorBidi" w:cstheme="majorBidi"/>
        </w:rPr>
        <w:t xml:space="preserve">Building on the comparative groundwork established in Chapter 4, this chapter examines Huawei Technologies as a state-aligned configuration of quasi-sovereign corporate power. Founded in 1987 by former PLA engineer Ren </w:t>
      </w:r>
      <w:proofErr w:type="spellStart"/>
      <w:r w:rsidRPr="0044370F">
        <w:rPr>
          <w:rFonts w:asciiTheme="majorBidi" w:hAnsiTheme="majorBidi" w:cstheme="majorBidi"/>
        </w:rPr>
        <w:t>Zhengfei</w:t>
      </w:r>
      <w:proofErr w:type="spellEnd"/>
      <w:r w:rsidRPr="0044370F">
        <w:rPr>
          <w:rStyle w:val="a8"/>
          <w:rFonts w:asciiTheme="majorBidi" w:hAnsiTheme="majorBidi" w:cstheme="majorBidi"/>
        </w:rPr>
        <w:footnoteReference w:id="184"/>
      </w:r>
      <w:r w:rsidRPr="0044370F">
        <w:rPr>
          <w:rFonts w:asciiTheme="majorBidi" w:hAnsiTheme="majorBidi" w:cstheme="majorBidi"/>
        </w:rPr>
        <w:t>, Huawei has evolved from a domestic telecommunications supplier into one of the world’s most</w:t>
      </w:r>
      <w:r w:rsidRPr="0044370F">
        <w:t xml:space="preserve"> geopolitically contested technology corporations</w:t>
      </w:r>
      <w:r w:rsidRPr="0044370F">
        <w:rPr>
          <w:rStyle w:val="a8"/>
        </w:rPr>
        <w:footnoteReference w:id="185"/>
      </w:r>
      <w:r w:rsidRPr="0044370F">
        <w:t xml:space="preserve">. Its trajectory </w:t>
      </w:r>
      <w:r w:rsidRPr="0044370F">
        <w:rPr>
          <w:rFonts w:asciiTheme="majorBidi" w:hAnsiTheme="majorBidi" w:cstheme="majorBidi"/>
        </w:rPr>
        <w:t>exemplifies</w:t>
      </w:r>
      <w:r w:rsidRPr="0044370F">
        <w:rPr>
          <w:rFonts w:hint="cs"/>
          <w:rtl/>
        </w:rPr>
        <w:t xml:space="preserve"> </w:t>
      </w:r>
      <w:r w:rsidRPr="0044370F">
        <w:t>the blurred boundaries between corporate autonomy and state authority in the digital age. Applying the four-dimensional analytical framework developed in Chapter 3, this chapter analyzes how Huawei consolidates sovereignty-like authority through strategic resource control, structural embeddedness in global capitalism, contested normative legitimacy, and technological mediation of power. It argues that Huawei represents a configuration of quasi-sovereignty in which corporate authority is amplified through close alignment with national strategy, control over global infrastructure, and participation in geopolitical contestation.</w:t>
      </w:r>
      <w:r w:rsidRPr="0044370F">
        <w:rPr>
          <w:rFonts w:hint="cs"/>
          <w:rtl/>
        </w:rPr>
        <w:t xml:space="preserve"> </w:t>
      </w:r>
      <w:r w:rsidRPr="0044370F">
        <w:t xml:space="preserve">This chapter does not evaluate the validity of security claims made by various governments. </w:t>
      </w:r>
      <w:r w:rsidRPr="0044370F">
        <w:lastRenderedPageBreak/>
        <w:t>Rather, it examines how such claims, whether substantiated, contested, or strategic, shape Huawei’s configuration of quasi-sovereign authority.</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Consistent with the analytical framework developed in Chapter 3, the Huawei case is examined across four dimensions: strategic resource control, structural embeddedness, normative legitimacy, and infrastructural power. </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structure enables a systematic assessment of how Huawei’s corporate capabilities translate into sovereignty-like authority in different political and institutional contexts.</w:t>
      </w:r>
    </w:p>
    <w:p w:rsidR="008F42CF" w:rsidRPr="0044370F" w:rsidRDefault="008F42CF" w:rsidP="000F3EB9">
      <w:pPr>
        <w:pStyle w:val="2"/>
        <w:rPr>
          <w:rFonts w:eastAsia="Times New Roman"/>
        </w:rPr>
      </w:pPr>
      <w:bookmarkStart w:id="138" w:name="_Toc222652817"/>
      <w:r w:rsidRPr="0044370F">
        <w:rPr>
          <w:rFonts w:eastAsia="Times New Roman"/>
        </w:rPr>
        <w:t>6.2</w:t>
      </w:r>
      <w:r w:rsidRPr="0044370F">
        <w:rPr>
          <w:rFonts w:eastAsia="Times New Roman"/>
        </w:rPr>
        <w:tab/>
        <w:t>Conventional Strategic Analysis: SWOT and Porter’s Five Forces</w:t>
      </w:r>
      <w:bookmarkEnd w:id="138"/>
    </w:p>
    <w:p w:rsidR="008F42CF" w:rsidRPr="0044370F" w:rsidRDefault="008F42CF" w:rsidP="008F42CF">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Before applying the hybrid analytical framework developed in this dissertation, it is useful to briefly examine Huawei through conventional business administration lenses. Strategic tools such as SWOT</w:t>
      </w:r>
      <w:r w:rsidRPr="0044370F">
        <w:rPr>
          <w:rStyle w:val="a8"/>
          <w:rFonts w:asciiTheme="majorBidi" w:eastAsia="Times New Roman" w:hAnsiTheme="majorBidi" w:cstheme="majorBidi"/>
          <w:sz w:val="24"/>
          <w:szCs w:val="24"/>
        </w:rPr>
        <w:footnoteReference w:id="186"/>
      </w:r>
      <w:r w:rsidRPr="0044370F">
        <w:rPr>
          <w:rFonts w:asciiTheme="majorBidi" w:eastAsia="Times New Roman" w:hAnsiTheme="majorBidi" w:cstheme="majorBidi"/>
          <w:sz w:val="24"/>
          <w:szCs w:val="24"/>
        </w:rPr>
        <w:t xml:space="preserve"> analysis and Porter’s Five Forces are widely used to assess firm performance, competitive positioning, and market dynamics. Introducing these frameworks here serves a comparative purpose: it establishes a familiar baseline from which the limitations of firm-centric strategic analysis become visible when confronted with geopolitically embedded corporate power.</w:t>
      </w:r>
    </w:p>
    <w:p w:rsidR="008F42CF" w:rsidRPr="0044370F" w:rsidRDefault="008F42CF" w:rsidP="008F42CF">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From a SWOT perspective, Huawei exhibits significant strengths, including technological capabilities in telecommunications infrastructure, extensive R&amp;D investment, and deep integration into global supply chains. Its weaknesses are often framed in terms of reputational risk, limited transparency, and dependence on politically sensitive markets. External opportunities include demand for affordable 5G and digital infrastructure, particularly in emerging markets, while threats stem from geopolitical sanctions, export controls, and regulatory exclusion in Western states. While this analysis captures Huawei’s strategic environment as a firm, it treats geopolitical </w:t>
      </w:r>
      <w:r w:rsidRPr="0044370F">
        <w:rPr>
          <w:rFonts w:asciiTheme="majorBidi" w:eastAsia="Times New Roman" w:hAnsiTheme="majorBidi" w:cstheme="majorBidi"/>
          <w:sz w:val="24"/>
          <w:szCs w:val="24"/>
        </w:rPr>
        <w:lastRenderedPageBreak/>
        <w:t>pressure primarily as an external risk rather than as a constitutive element of authority and power</w:t>
      </w:r>
      <w:r w:rsidRPr="0044370F">
        <w:rPr>
          <w:rStyle w:val="a8"/>
          <w:rFonts w:asciiTheme="majorBidi" w:eastAsia="Times New Roman" w:hAnsiTheme="majorBidi" w:cstheme="majorBidi"/>
          <w:sz w:val="24"/>
          <w:szCs w:val="24"/>
        </w:rPr>
        <w:footnoteReference w:id="187"/>
      </w:r>
      <w:r w:rsidRPr="0044370F">
        <w:rPr>
          <w:rFonts w:asciiTheme="majorBidi" w:eastAsia="Times New Roman" w:hAnsiTheme="majorBidi" w:cstheme="majorBidi"/>
          <w:sz w:val="24"/>
          <w:szCs w:val="24"/>
        </w:rPr>
        <w:t>.</w:t>
      </w:r>
    </w:p>
    <w:p w:rsidR="008F42CF" w:rsidRPr="0044370F" w:rsidRDefault="008F42CF" w:rsidP="008F42CF">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Applying Porter’s Five Forces further illustrates the strengths and limits of conventional strategic analysis</w:t>
      </w:r>
      <w:r w:rsidRPr="0044370F">
        <w:rPr>
          <w:rStyle w:val="a8"/>
          <w:rFonts w:asciiTheme="majorBidi" w:eastAsia="Times New Roman" w:hAnsiTheme="majorBidi" w:cstheme="majorBidi"/>
          <w:sz w:val="24"/>
          <w:szCs w:val="24"/>
        </w:rPr>
        <w:footnoteReference w:id="188"/>
      </w:r>
      <w:r w:rsidRPr="0044370F">
        <w:rPr>
          <w:rFonts w:asciiTheme="majorBidi" w:eastAsia="Times New Roman" w:hAnsiTheme="majorBidi" w:cstheme="majorBidi"/>
          <w:sz w:val="24"/>
          <w:szCs w:val="24"/>
        </w:rPr>
        <w:t>. Huawei operates in an industry characterized by high barriers to entry, significant capital requirements, and intense rivalry among a small number of global competitors. Buyer power is shaped not only by market conditions but also by state decisions, while export controls and technological dependencies increasingly mediate supplier power. Importantly, Porter’s framework conceptualizes states as external constraints or regulators rather than as actors structurally embedded in the competitive environment. As a result, it struggles to account for situations in which geopolitical dynamics redefine the rules of competition themselves.</w:t>
      </w:r>
    </w:p>
    <w:p w:rsidR="008F42CF" w:rsidRPr="0044370F" w:rsidRDefault="008F42CF" w:rsidP="008F42CF">
      <w:pPr>
        <w:spacing w:beforeAutospacing="1" w:after="100" w:afterAutospacing="1" w:line="360" w:lineRule="auto"/>
        <w:jc w:val="both"/>
        <w:rPr>
          <w:rFonts w:ascii="Times New Roman" w:eastAsia="Times New Roman" w:hAnsi="Times New Roman" w:cstheme="majorBidi"/>
          <w:sz w:val="24"/>
          <w:szCs w:val="24"/>
        </w:rPr>
      </w:pPr>
      <w:r w:rsidRPr="0044370F">
        <w:rPr>
          <w:rFonts w:asciiTheme="majorBidi" w:eastAsia="Times New Roman" w:hAnsiTheme="majorBidi" w:cstheme="majorBidi"/>
          <w:sz w:val="24"/>
          <w:szCs w:val="24"/>
        </w:rPr>
        <w:t>Taken together, these conventional frameworks provide valuable insight into Huawei’s strategic position, yet they remain analytically limited when corporate power intersects with sovereignty, infrastructure, and global governance. SWOT and Porter’s Five Forces explain how Huawei competes; they do not explain how Huawei becomes a site of geopolitical contestation or why its corporate activities acquire sovereignty-like implications</w:t>
      </w:r>
      <w:r w:rsidRPr="0044370F">
        <w:rPr>
          <w:rStyle w:val="a8"/>
          <w:rFonts w:asciiTheme="majorBidi" w:eastAsia="Times New Roman" w:hAnsiTheme="majorBidi" w:cstheme="majorBidi"/>
          <w:sz w:val="24"/>
          <w:szCs w:val="24"/>
        </w:rPr>
        <w:footnoteReference w:id="189"/>
      </w:r>
      <w:r w:rsidRPr="0044370F">
        <w:rPr>
          <w:rFonts w:asciiTheme="majorBidi" w:eastAsia="Times New Roman" w:hAnsiTheme="majorBidi" w:cstheme="majorBidi"/>
          <w:sz w:val="24"/>
          <w:szCs w:val="24"/>
        </w:rPr>
        <w:t xml:space="preserve"> </w:t>
      </w:r>
      <w:r w:rsidRPr="0044370F">
        <w:rPr>
          <w:rFonts w:asciiTheme="majorBidi" w:hAnsiTheme="majorBidi" w:cstheme="majorBidi"/>
          <w:sz w:val="24"/>
          <w:szCs w:val="24"/>
        </w:rPr>
        <w:t>within geopolitical systems</w:t>
      </w:r>
      <w:r w:rsidRPr="0044370F">
        <w:rPr>
          <w:rFonts w:asciiTheme="majorBidi" w:eastAsia="Times New Roman" w:hAnsiTheme="majorBidi" w:cstheme="majorBidi"/>
          <w:sz w:val="24"/>
          <w:szCs w:val="24"/>
        </w:rPr>
        <w:t>. This analytical gap motivates the application of the four-dimensional framework developed in this dissertation, which moves beyond firm performance to examine strategic resource control, structural embeddedness, normative legitimacy, and infrastructural power.</w:t>
      </w:r>
    </w:p>
    <w:p w:rsidR="008F42CF" w:rsidRPr="0044370F" w:rsidRDefault="008F42CF" w:rsidP="008F42CF">
      <w:pPr>
        <w:pStyle w:val="af"/>
        <w:numPr>
          <w:ilvl w:val="0"/>
          <w:numId w:val="9"/>
        </w:numPr>
        <w:spacing w:before="100" w:beforeAutospacing="1" w:after="100" w:afterAutospacing="1" w:line="360" w:lineRule="auto"/>
        <w:jc w:val="both"/>
        <w:outlineLvl w:val="1"/>
        <w:rPr>
          <w:rFonts w:ascii="Times New Roman" w:eastAsia="Times New Roman" w:hAnsi="Times New Roman" w:cs="Times New Roman"/>
          <w:b/>
          <w:bCs/>
          <w:vanish/>
          <w:sz w:val="28"/>
          <w:szCs w:val="28"/>
          <w:lang w:eastAsia="en-IL"/>
        </w:rPr>
      </w:pPr>
      <w:bookmarkStart w:id="139" w:name="_Toc222313679"/>
      <w:bookmarkStart w:id="140" w:name="_Toc222313898"/>
      <w:bookmarkStart w:id="141" w:name="_Toc222314117"/>
      <w:bookmarkStart w:id="142" w:name="_Toc222314336"/>
      <w:bookmarkStart w:id="143" w:name="_Toc222315895"/>
      <w:bookmarkStart w:id="144" w:name="_Toc222652818"/>
      <w:bookmarkEnd w:id="139"/>
      <w:bookmarkEnd w:id="140"/>
      <w:bookmarkEnd w:id="141"/>
      <w:bookmarkEnd w:id="142"/>
      <w:bookmarkEnd w:id="143"/>
      <w:bookmarkEnd w:id="144"/>
    </w:p>
    <w:p w:rsidR="008F42CF" w:rsidRPr="0044370F" w:rsidRDefault="008F42CF" w:rsidP="008F42CF">
      <w:pPr>
        <w:pStyle w:val="af"/>
        <w:numPr>
          <w:ilvl w:val="1"/>
          <w:numId w:val="9"/>
        </w:numPr>
        <w:spacing w:before="100" w:beforeAutospacing="1" w:after="100" w:afterAutospacing="1" w:line="360" w:lineRule="auto"/>
        <w:jc w:val="both"/>
        <w:outlineLvl w:val="1"/>
        <w:rPr>
          <w:rFonts w:ascii="Times New Roman" w:eastAsia="Times New Roman" w:hAnsi="Times New Roman" w:cs="Times New Roman"/>
          <w:b/>
          <w:bCs/>
          <w:vanish/>
          <w:sz w:val="28"/>
          <w:szCs w:val="28"/>
          <w:lang w:eastAsia="en-IL"/>
        </w:rPr>
      </w:pPr>
      <w:bookmarkStart w:id="145" w:name="_Toc222313680"/>
      <w:bookmarkStart w:id="146" w:name="_Toc222313899"/>
      <w:bookmarkStart w:id="147" w:name="_Toc222314118"/>
      <w:bookmarkStart w:id="148" w:name="_Toc222314337"/>
      <w:bookmarkStart w:id="149" w:name="_Toc222315896"/>
      <w:bookmarkStart w:id="150" w:name="_Toc222652819"/>
      <w:bookmarkEnd w:id="145"/>
      <w:bookmarkEnd w:id="146"/>
      <w:bookmarkEnd w:id="147"/>
      <w:bookmarkEnd w:id="148"/>
      <w:bookmarkEnd w:id="149"/>
      <w:bookmarkEnd w:id="150"/>
    </w:p>
    <w:p w:rsidR="008F42CF" w:rsidRPr="0044370F" w:rsidRDefault="008F42CF" w:rsidP="008F42CF">
      <w:pPr>
        <w:pStyle w:val="af"/>
        <w:numPr>
          <w:ilvl w:val="1"/>
          <w:numId w:val="9"/>
        </w:numPr>
        <w:spacing w:before="100" w:beforeAutospacing="1" w:after="100" w:afterAutospacing="1" w:line="360" w:lineRule="auto"/>
        <w:jc w:val="both"/>
        <w:outlineLvl w:val="1"/>
        <w:rPr>
          <w:rFonts w:ascii="Times New Roman" w:eastAsia="Times New Roman" w:hAnsi="Times New Roman" w:cs="Times New Roman"/>
          <w:b/>
          <w:bCs/>
          <w:vanish/>
          <w:sz w:val="28"/>
          <w:szCs w:val="28"/>
          <w:lang w:eastAsia="en-IL"/>
        </w:rPr>
      </w:pPr>
      <w:bookmarkStart w:id="151" w:name="_Toc222313681"/>
      <w:bookmarkStart w:id="152" w:name="_Toc222313900"/>
      <w:bookmarkStart w:id="153" w:name="_Toc222314119"/>
      <w:bookmarkStart w:id="154" w:name="_Toc222314338"/>
      <w:bookmarkStart w:id="155" w:name="_Toc222315897"/>
      <w:bookmarkStart w:id="156" w:name="_Toc222652820"/>
      <w:bookmarkEnd w:id="151"/>
      <w:bookmarkEnd w:id="152"/>
      <w:bookmarkEnd w:id="153"/>
      <w:bookmarkEnd w:id="154"/>
      <w:bookmarkEnd w:id="155"/>
      <w:bookmarkEnd w:id="156"/>
    </w:p>
    <w:p w:rsidR="008F42CF" w:rsidRPr="0044370F" w:rsidRDefault="000F3EB9" w:rsidP="000F3EB9">
      <w:pPr>
        <w:pStyle w:val="3"/>
      </w:pPr>
      <w:bookmarkStart w:id="157" w:name="_Toc222652821"/>
      <w:r w:rsidRPr="0044370F">
        <w:t xml:space="preserve">6.2.1 </w:t>
      </w:r>
      <w:r w:rsidR="008F42CF" w:rsidRPr="0044370F">
        <w:t>Strategic Resource Control</w:t>
      </w:r>
      <w:bookmarkEnd w:id="157"/>
    </w:p>
    <w:p w:rsidR="008F42CF" w:rsidRPr="0044370F" w:rsidRDefault="008F42CF" w:rsidP="008F42CF">
      <w:pPr>
        <w:pStyle w:val="NormalWeb"/>
        <w:spacing w:line="360" w:lineRule="auto"/>
        <w:jc w:val="both"/>
      </w:pPr>
      <w:r w:rsidRPr="0044370F">
        <w:rPr>
          <w:lang w:eastAsia="en-IL"/>
        </w:rPr>
        <w:t xml:space="preserve">Huawei’s rise has been underpinned by an extraordinary accumulation of strategic resources: financial, technological, and human, giving </w:t>
      </w:r>
      <w:r w:rsidRPr="0044370F">
        <w:rPr>
          <w:rFonts w:asciiTheme="majorBidi" w:hAnsiTheme="majorBidi" w:cstheme="majorBidi"/>
          <w:lang w:eastAsia="en-IL"/>
        </w:rPr>
        <w:t xml:space="preserve">it </w:t>
      </w:r>
      <w:r w:rsidRPr="0044370F">
        <w:rPr>
          <w:rFonts w:asciiTheme="majorBidi" w:hAnsiTheme="majorBidi" w:cstheme="majorBidi"/>
        </w:rPr>
        <w:t>capabilities that approximate those traditionally associated with state strategic coordination</w:t>
      </w:r>
      <w:r w:rsidRPr="0044370F">
        <w:rPr>
          <w:lang w:eastAsia="en-IL"/>
        </w:rPr>
        <w:t xml:space="preserve">. A critical factor has been </w:t>
      </w:r>
      <w:r w:rsidRPr="0044370F">
        <w:rPr>
          <w:b/>
          <w:bCs/>
          <w:lang w:eastAsia="en-IL"/>
        </w:rPr>
        <w:t>state-backed financial support</w:t>
      </w:r>
      <w:r w:rsidRPr="0044370F">
        <w:rPr>
          <w:lang w:eastAsia="en-IL"/>
        </w:rPr>
        <w:t xml:space="preserve">. Since the 1990s, Chinese authorities have nurtured Huawei as a </w:t>
      </w:r>
      <w:r w:rsidRPr="0044370F">
        <w:rPr>
          <w:b/>
          <w:bCs/>
          <w:lang w:eastAsia="en-IL"/>
        </w:rPr>
        <w:t>“national champion”</w:t>
      </w:r>
      <w:r w:rsidRPr="0044370F">
        <w:rPr>
          <w:lang w:eastAsia="en-IL"/>
        </w:rPr>
        <w:t xml:space="preserve">, providing privileged access to financing, subsidies, and contracts to bolster China’s position in </w:t>
      </w:r>
      <w:r w:rsidRPr="0044370F">
        <w:rPr>
          <w:lang w:eastAsia="en-IL"/>
        </w:rPr>
        <w:lastRenderedPageBreak/>
        <w:t xml:space="preserve">telecommunications. Indeed, a Wall Street Journal investigation found that Huawei benefited from up to </w:t>
      </w:r>
      <w:r w:rsidRPr="0044370F">
        <w:rPr>
          <w:b/>
          <w:bCs/>
          <w:lang w:eastAsia="en-IL"/>
        </w:rPr>
        <w:t>$75 billion in state support</w:t>
      </w:r>
      <w:r w:rsidRPr="0044370F">
        <w:rPr>
          <w:lang w:eastAsia="en-IL"/>
        </w:rPr>
        <w:t xml:space="preserve"> (tax breaks, grants, low-interest loans, and other aid) over its first three decades. This massive backing enabled Huawei to </w:t>
      </w:r>
      <w:r w:rsidRPr="0044370F">
        <w:rPr>
          <w:i/>
          <w:iCs/>
          <w:lang w:eastAsia="en-IL"/>
        </w:rPr>
        <w:t>undercut foreign competitors</w:t>
      </w:r>
      <w:r w:rsidRPr="0044370F">
        <w:rPr>
          <w:lang w:eastAsia="en-IL"/>
        </w:rPr>
        <w:t xml:space="preserve"> by as much as 70% on price, offering telecom equipment deals “too good to refuse” for many carriers. State policy banks further bolstered Huawei’s expansion by providing client governments with cheap loans earmarked for purchasing Huawei’s infrastructure, effectively leveraging China’s financial clout to win global market share. Such control over financial resources and pricing </w:t>
      </w:r>
      <w:r w:rsidRPr="0044370F">
        <w:t>generates state-like strategic leverage in international markets</w:t>
      </w:r>
      <w:r w:rsidRPr="0044370F">
        <w:rPr>
          <w:lang w:eastAsia="en-IL"/>
        </w:rPr>
        <w:t>: Huawei, like a state actor, could deploy subsidies and soft financing as instruments of strategic influence in global markets.</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support was frequently channeled through Chinese policy banks, notably the China Development Bank and the Export-Import Bank of China, which extended export credits and concessional loans to foreign telecom operators on the condition that Huawei equipment be procured.</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addition to financial capital, Huawei has amassed </w:t>
      </w:r>
      <w:r w:rsidRPr="0044370F">
        <w:rPr>
          <w:rFonts w:ascii="Times New Roman" w:eastAsia="Times New Roman" w:hAnsi="Times New Roman" w:cs="Times New Roman"/>
          <w:b/>
          <w:bCs/>
          <w:sz w:val="24"/>
          <w:szCs w:val="24"/>
          <w:lang w:eastAsia="en-IL"/>
        </w:rPr>
        <w:t>technological and intellectual resources</w:t>
      </w:r>
      <w:r w:rsidRPr="0044370F">
        <w:rPr>
          <w:rFonts w:ascii="Times New Roman" w:eastAsia="Times New Roman" w:hAnsi="Times New Roman" w:cs="Times New Roman"/>
          <w:sz w:val="24"/>
          <w:szCs w:val="24"/>
          <w:lang w:eastAsia="en-IL"/>
        </w:rPr>
        <w:t xml:space="preserve"> on a scale rivaling that of nation-states. The company’s R&amp;D budget is among the world’s largest, reaching </w:t>
      </w:r>
      <w:r w:rsidRPr="0044370F">
        <w:rPr>
          <w:rFonts w:ascii="Times New Roman" w:eastAsia="Times New Roman" w:hAnsi="Times New Roman" w:cs="Times New Roman"/>
          <w:b/>
          <w:bCs/>
          <w:sz w:val="24"/>
          <w:szCs w:val="24"/>
          <w:lang w:eastAsia="en-IL"/>
        </w:rPr>
        <w:t>$22.1 billion in 2021</w:t>
      </w:r>
      <w:r w:rsidRPr="0044370F">
        <w:rPr>
          <w:rFonts w:ascii="Times New Roman" w:eastAsia="Times New Roman" w:hAnsi="Times New Roman" w:cs="Times New Roman"/>
          <w:sz w:val="24"/>
          <w:szCs w:val="24"/>
          <w:lang w:eastAsia="en-IL"/>
        </w:rPr>
        <w:t xml:space="preserve"> (approximately 20% of its revenue). This level of investment surpasses that of most multinational firms and is on par with the R&amp;D spending of tech superpowers like Alphabet (Google) and Amazon. Over the last decade, Huawei’s cumulative R&amp;D expenditure exceeded CNY 1.25 trillion (nearly $200 billion), yielding a trove of patents and proprietary technologies. Huawei reportedly holds </w:t>
      </w:r>
      <w:r w:rsidRPr="0044370F">
        <w:rPr>
          <w:rFonts w:ascii="Times New Roman" w:eastAsia="Times New Roman" w:hAnsi="Times New Roman" w:cs="Times New Roman"/>
          <w:b/>
          <w:bCs/>
          <w:sz w:val="24"/>
          <w:szCs w:val="24"/>
          <w:lang w:eastAsia="en-IL"/>
        </w:rPr>
        <w:t>over 110,000 active patents worldwide</w:t>
      </w:r>
      <w:r w:rsidRPr="0044370F">
        <w:rPr>
          <w:rStyle w:val="a8"/>
          <w:rFonts w:ascii="Times New Roman" w:eastAsia="Times New Roman" w:hAnsi="Times New Roman" w:cs="Times New Roman"/>
          <w:b/>
          <w:bCs/>
          <w:sz w:val="24"/>
          <w:szCs w:val="24"/>
          <w:lang w:eastAsia="en-IL"/>
        </w:rPr>
        <w:footnoteReference w:id="190"/>
      </w:r>
      <w:r w:rsidRPr="0044370F">
        <w:rPr>
          <w:rFonts w:ascii="Times New Roman" w:eastAsia="Times New Roman" w:hAnsi="Times New Roman" w:cs="Times New Roman"/>
          <w:sz w:val="24"/>
          <w:szCs w:val="24"/>
          <w:lang w:eastAsia="en-IL"/>
        </w:rPr>
        <w:t xml:space="preserve">, including one of the largest portfolios of 5G-standard essential patents of any company. By </w:t>
      </w:r>
      <w:r w:rsidRPr="0044370F">
        <w:rPr>
          <w:rFonts w:ascii="Times New Roman" w:eastAsia="Times New Roman" w:hAnsi="Times New Roman" w:cs="Times New Roman"/>
          <w:b/>
          <w:bCs/>
          <w:sz w:val="24"/>
          <w:szCs w:val="24"/>
          <w:lang w:eastAsia="en-IL"/>
        </w:rPr>
        <w:t>2019-2020, Huawei led global contributions to 5G standards</w:t>
      </w:r>
      <w:r w:rsidRPr="0044370F">
        <w:rPr>
          <w:rStyle w:val="a8"/>
          <w:rFonts w:ascii="Times New Roman" w:eastAsia="Times New Roman" w:hAnsi="Times New Roman" w:cs="Times New Roman"/>
          <w:b/>
          <w:bCs/>
          <w:sz w:val="24"/>
          <w:szCs w:val="24"/>
          <w:lang w:eastAsia="en-IL"/>
        </w:rPr>
        <w:footnoteReference w:id="191"/>
      </w:r>
      <w:r w:rsidRPr="0044370F">
        <w:rPr>
          <w:rFonts w:ascii="Times New Roman" w:eastAsia="Times New Roman" w:hAnsi="Times New Roman" w:cs="Times New Roman"/>
          <w:sz w:val="24"/>
          <w:szCs w:val="24"/>
          <w:lang w:eastAsia="en-IL"/>
        </w:rPr>
        <w:t xml:space="preserve">, outpacing Western rivals in </w:t>
      </w:r>
      <w:r w:rsidRPr="0044370F">
        <w:rPr>
          <w:rFonts w:ascii="Times New Roman" w:eastAsia="Times New Roman" w:hAnsi="Times New Roman" w:cs="Times New Roman"/>
          <w:sz w:val="24"/>
          <w:szCs w:val="24"/>
          <w:lang w:eastAsia="en-IL"/>
        </w:rPr>
        <w:lastRenderedPageBreak/>
        <w:t>submissions to industry bodies. Such dominance in intellectual property and standards-setting is a form of resource control: Huawei effectively controls key knowledge assets and technical standards that others (including states) must license or adopt. This recalls Susan Strange</w:t>
      </w:r>
      <w:r w:rsidRPr="0044370F">
        <w:rPr>
          <w:rStyle w:val="a8"/>
          <w:rFonts w:ascii="Times New Roman" w:eastAsia="Times New Roman" w:hAnsi="Times New Roman" w:cs="Times New Roman"/>
          <w:sz w:val="24"/>
          <w:szCs w:val="24"/>
          <w:lang w:eastAsia="en-IL"/>
        </w:rPr>
        <w:footnoteReference w:id="192"/>
      </w:r>
      <w:r w:rsidRPr="0044370F">
        <w:rPr>
          <w:rFonts w:ascii="Times New Roman" w:eastAsia="Times New Roman" w:hAnsi="Times New Roman" w:cs="Times New Roman"/>
          <w:sz w:val="24"/>
          <w:szCs w:val="24"/>
          <w:lang w:eastAsia="en-IL"/>
        </w:rPr>
        <w:t xml:space="preserve">’s notion of control over the “knowledge structure” as a pillar of structural power. In sovereign terms, Huawei wields a kind of </w:t>
      </w:r>
      <w:r w:rsidRPr="0044370F">
        <w:rPr>
          <w:rFonts w:ascii="Times New Roman" w:eastAsia="Times New Roman" w:hAnsi="Times New Roman" w:cs="Times New Roman"/>
          <w:i/>
          <w:iCs/>
          <w:sz w:val="24"/>
          <w:szCs w:val="24"/>
          <w:lang w:eastAsia="en-IL"/>
        </w:rPr>
        <w:t>technological arsenal</w:t>
      </w:r>
      <w:r w:rsidRPr="0044370F">
        <w:rPr>
          <w:rFonts w:ascii="Times New Roman" w:eastAsia="Times New Roman" w:hAnsi="Times New Roman" w:cs="Times New Roman"/>
          <w:sz w:val="24"/>
          <w:szCs w:val="24"/>
          <w:lang w:eastAsia="en-IL"/>
        </w:rPr>
        <w:t>, from patents to R&amp;D labs, that bolsters its autonomy and global influence much as a state’s investments in science and industry enhance national power.</w:t>
      </w:r>
    </w:p>
    <w:p w:rsidR="008F42CF" w:rsidRPr="0044370F" w:rsidRDefault="008F42CF" w:rsidP="008F42CF">
      <w:pPr>
        <w:pStyle w:val="NormalWeb"/>
        <w:spacing w:line="360" w:lineRule="auto"/>
        <w:jc w:val="both"/>
      </w:pPr>
      <w:r w:rsidRPr="0044370F">
        <w:t>Huawei’s control over human capital and its supply chain further illustrates strategic resource accumulation</w:t>
      </w:r>
      <w:r w:rsidRPr="0044370F">
        <w:rPr>
          <w:lang w:eastAsia="en-IL"/>
        </w:rPr>
        <w:t xml:space="preserve">. The firm employs over 190,000 people in 170+ countries (by 2020 figures), including tens of thousands of highly skilled engineers. It has established research institutes, training centers, and innovation hubs worldwide to cultivate talent and localize expertise. Through these, Huawei not only accesses global human resources but also embeds itself in national innovation systems (often partnering with universities and labs). Additionally, Huawei has demonstrated strategic foresight in managing critical inputs, a behavior akin to a state maintaining strategic reserves. Anticipating U.S. export restrictions, Huawei undertook </w:t>
      </w:r>
      <w:r w:rsidRPr="0044370F">
        <w:rPr>
          <w:b/>
          <w:bCs/>
          <w:lang w:eastAsia="en-IL"/>
        </w:rPr>
        <w:t>preemptive stockpiling of vital components</w:t>
      </w:r>
      <w:r w:rsidRPr="0044370F">
        <w:rPr>
          <w:lang w:eastAsia="en-IL"/>
        </w:rPr>
        <w:t xml:space="preserve"> (such as advanced chips) and invested in securing alternative supply lines. </w:t>
      </w:r>
      <w:r w:rsidRPr="0044370F">
        <w:t>These actions are interpreted here as observable strategic hedging behaviors rather than as evidence of coordinated state direction.</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Comparable behavior can be observed at the state level, where governments maintain strategic energy or food reserves to mitigate geopolitical shocks, underscoring the sovereign-like logic underpinning Huawei’s resource strategy.</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Notably, during a 27-month grace period before U.S. sanctions fully took effect in 2020, Huawei amassed a multi-year stockpile of high-end semiconductors (e.g., 7nm </w:t>
      </w:r>
      <w:proofErr w:type="spellStart"/>
      <w:r w:rsidRPr="0044370F">
        <w:rPr>
          <w:rFonts w:ascii="Times New Roman" w:eastAsia="Times New Roman" w:hAnsi="Times New Roman" w:cs="Times New Roman"/>
          <w:sz w:val="24"/>
          <w:szCs w:val="24"/>
          <w:lang w:eastAsia="en-IL"/>
        </w:rPr>
        <w:t>Tiangang</w:t>
      </w:r>
      <w:proofErr w:type="spellEnd"/>
      <w:r w:rsidRPr="0044370F">
        <w:rPr>
          <w:rFonts w:ascii="Times New Roman" w:eastAsia="Times New Roman" w:hAnsi="Times New Roman" w:cs="Times New Roman"/>
          <w:sz w:val="24"/>
          <w:szCs w:val="24"/>
          <w:lang w:eastAsia="en-IL"/>
        </w:rPr>
        <w:t xml:space="preserve"> base-station </w:t>
      </w:r>
      <w:r w:rsidRPr="0044370F">
        <w:rPr>
          <w:rFonts w:ascii="Times New Roman" w:eastAsia="Times New Roman" w:hAnsi="Times New Roman" w:cs="Times New Roman"/>
          <w:sz w:val="24"/>
          <w:szCs w:val="24"/>
          <w:lang w:eastAsia="en-IL"/>
        </w:rPr>
        <w:lastRenderedPageBreak/>
        <w:t>chipsets) by placing enormous orders with TSMC</w:t>
      </w:r>
      <w:r w:rsidRPr="0044370F">
        <w:rPr>
          <w:rStyle w:val="a8"/>
          <w:rFonts w:ascii="Times New Roman" w:eastAsia="Times New Roman" w:hAnsi="Times New Roman" w:cs="Times New Roman"/>
          <w:sz w:val="24"/>
          <w:szCs w:val="24"/>
          <w:lang w:eastAsia="en-IL"/>
        </w:rPr>
        <w:footnoteReference w:id="193"/>
      </w:r>
      <w:r w:rsidRPr="0044370F">
        <w:rPr>
          <w:rFonts w:ascii="Times New Roman" w:eastAsia="Times New Roman" w:hAnsi="Times New Roman" w:cs="Times New Roman"/>
          <w:sz w:val="24"/>
          <w:szCs w:val="24"/>
          <w:lang w:eastAsia="en-IL"/>
        </w:rPr>
        <w:t xml:space="preserve"> and others. By the end of 2019, it even announced it could produce 5G base stations entirely without U.S. parts. This mirrors a nation-building strategy of oil or grain reserves to withstand embargoes. Simultaneously, Huawei </w:t>
      </w:r>
      <w:r w:rsidRPr="0044370F">
        <w:rPr>
          <w:rFonts w:ascii="Times New Roman" w:eastAsia="Times New Roman" w:hAnsi="Times New Roman" w:cs="Times New Roman"/>
          <w:b/>
          <w:bCs/>
          <w:sz w:val="24"/>
          <w:szCs w:val="24"/>
          <w:lang w:eastAsia="en-IL"/>
        </w:rPr>
        <w:t>diversified into new sectors</w:t>
      </w:r>
      <w:r w:rsidRPr="0044370F">
        <w:rPr>
          <w:rFonts w:ascii="Times New Roman" w:eastAsia="Times New Roman" w:hAnsi="Times New Roman" w:cs="Times New Roman"/>
          <w:sz w:val="24"/>
          <w:szCs w:val="24"/>
          <w:lang w:eastAsia="en-IL"/>
        </w:rPr>
        <w:t xml:space="preserve"> (cloud computing, AI chips, and even smart energy grids) to reduce dependency on any single resource or market. In sum, through heavy state-aided financing, enormous R&amp;D and patent holdings, talent development, and supply chain hedging, Huawei has accumulated strategic resources and capabilities that grant it an </w:t>
      </w:r>
      <w:r w:rsidRPr="0044370F">
        <w:rPr>
          <w:rFonts w:ascii="Times New Roman" w:eastAsia="Times New Roman" w:hAnsi="Times New Roman" w:cs="Times New Roman"/>
          <w:b/>
          <w:bCs/>
          <w:sz w:val="24"/>
          <w:szCs w:val="24"/>
          <w:lang w:eastAsia="en-IL"/>
        </w:rPr>
        <w:t>autonomy of action</w:t>
      </w:r>
      <w:r w:rsidRPr="0044370F">
        <w:rPr>
          <w:rFonts w:ascii="Times New Roman" w:eastAsia="Times New Roman" w:hAnsi="Times New Roman" w:cs="Times New Roman"/>
          <w:sz w:val="24"/>
          <w:szCs w:val="24"/>
          <w:lang w:eastAsia="en-IL"/>
        </w:rPr>
        <w:t xml:space="preserve"> on the world stage reminiscent of a sovereign entity with its own “national” resources. These resources form the foundation for Huawei’s power projection in the international system, as the following sections will demonstrate.</w:t>
      </w:r>
    </w:p>
    <w:p w:rsidR="008F42CF" w:rsidRPr="0044370F" w:rsidRDefault="000F3EB9" w:rsidP="000F3EB9">
      <w:pPr>
        <w:pStyle w:val="3"/>
        <w:rPr>
          <w:lang w:eastAsia="en-IL"/>
        </w:rPr>
      </w:pPr>
      <w:bookmarkStart w:id="158" w:name="_Toc222652822"/>
      <w:r w:rsidRPr="0044370F">
        <w:rPr>
          <w:lang w:eastAsia="en-IL"/>
        </w:rPr>
        <w:t>6.2.2</w:t>
      </w:r>
      <w:r w:rsidRPr="0044370F">
        <w:rPr>
          <w:lang w:eastAsia="en-IL"/>
        </w:rPr>
        <w:tab/>
      </w:r>
      <w:r w:rsidR="008F42CF" w:rsidRPr="0044370F">
        <w:rPr>
          <w:lang w:eastAsia="en-IL"/>
        </w:rPr>
        <w:t>Structural Embeddedness in Global Capitalism</w:t>
      </w:r>
      <w:bookmarkEnd w:id="158"/>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 this chapter, structural embeddedness refers to Huawei’s integration into global production, governance, and standards-setting networks. In contrast, dependence denotes the asymmetric reliance of states or firms on Huawei’s infrastructure once such integration has occurred.</w:t>
      </w:r>
    </w:p>
    <w:p w:rsidR="008F42CF" w:rsidRPr="0044370F" w:rsidRDefault="008F42CF" w:rsidP="008F42CF">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imes New Roman" w:eastAsia="Times New Roman" w:hAnsi="Times New Roman" w:cs="Times New Roman"/>
          <w:sz w:val="24"/>
          <w:szCs w:val="24"/>
          <w:lang w:eastAsia="en-IL"/>
        </w:rPr>
        <w:t>Despite being headquartered in and substantially supported by a nation-state, Huawei’s operations and influence are truly transnational, exemplifying structural embeddedness in global capitalism. Over the past two decades, Huawei built a sprawling global footprint spanning supply chains, markets, and governance networks</w:t>
      </w:r>
      <w:r w:rsidRPr="0044370F">
        <w:rPr>
          <w:rStyle w:val="a8"/>
          <w:rFonts w:ascii="Times New Roman" w:eastAsia="Times New Roman" w:hAnsi="Times New Roman" w:cs="Times New Roman"/>
          <w:sz w:val="24"/>
          <w:szCs w:val="24"/>
          <w:lang w:eastAsia="en-IL"/>
        </w:rPr>
        <w:footnoteReference w:id="194"/>
      </w:r>
      <w:r w:rsidRPr="0044370F">
        <w:rPr>
          <w:rFonts w:ascii="Times New Roman" w:eastAsia="Times New Roman" w:hAnsi="Times New Roman" w:cs="Times New Roman"/>
          <w:sz w:val="24"/>
          <w:szCs w:val="24"/>
          <w:lang w:eastAsia="en-IL"/>
        </w:rPr>
        <w:t xml:space="preserve">. At its peak, Huawei served over one-third of the world’s population via 1,500 carrier networks in more than 170 countries, integrating deeply into many national telecom infrastructures. Even amid U.S.-led sanctions, Huawei in 2023 still held around </w:t>
      </w:r>
      <w:r w:rsidRPr="0044370F">
        <w:rPr>
          <w:rFonts w:ascii="Times New Roman" w:eastAsia="Times New Roman" w:hAnsi="Times New Roman" w:cs="Times New Roman"/>
          <w:b/>
          <w:bCs/>
          <w:sz w:val="24"/>
          <w:szCs w:val="24"/>
          <w:lang w:eastAsia="en-IL"/>
        </w:rPr>
        <w:lastRenderedPageBreak/>
        <w:t>30% of the global telecom equipment market</w:t>
      </w:r>
      <w:r w:rsidRPr="0044370F">
        <w:rPr>
          <w:rStyle w:val="a8"/>
          <w:rFonts w:ascii="Times New Roman" w:eastAsia="Times New Roman" w:hAnsi="Times New Roman" w:cs="Times New Roman"/>
          <w:b/>
          <w:bCs/>
          <w:sz w:val="24"/>
          <w:szCs w:val="24"/>
          <w:lang w:eastAsia="en-IL"/>
        </w:rPr>
        <w:footnoteReference w:id="195"/>
      </w:r>
      <w:r w:rsidRPr="0044370F">
        <w:rPr>
          <w:rFonts w:ascii="Times New Roman" w:eastAsia="Times New Roman" w:hAnsi="Times New Roman" w:cs="Times New Roman"/>
          <w:sz w:val="24"/>
          <w:szCs w:val="24"/>
          <w:lang w:eastAsia="en-IL"/>
        </w:rPr>
        <w:t xml:space="preserve">, making it the world’s largest vendor (ahead of Ericsson and Nokia). This enduring market share reflects how embedded Huawei gear is in the </w:t>
      </w:r>
      <w:r w:rsidRPr="0044370F">
        <w:rPr>
          <w:rFonts w:ascii="Times New Roman" w:eastAsia="Times New Roman" w:hAnsi="Times New Roman" w:cs="Times New Roman"/>
          <w:b/>
          <w:bCs/>
          <w:sz w:val="24"/>
          <w:szCs w:val="24"/>
          <w:lang w:eastAsia="en-IL"/>
        </w:rPr>
        <w:t>fabric of global communications</w:t>
      </w:r>
      <w:r w:rsidRPr="0044370F">
        <w:rPr>
          <w:rFonts w:ascii="Times New Roman" w:eastAsia="Times New Roman" w:hAnsi="Times New Roman" w:cs="Times New Roman"/>
          <w:sz w:val="24"/>
          <w:szCs w:val="24"/>
          <w:lang w:eastAsia="en-IL"/>
        </w:rPr>
        <w:t xml:space="preserve">, especially in Asia, Africa, the Middle East, and Latin America, where many operators chose Huawei as a cost-effective 4G/5G supplier in the 2010s. In effect, Huawei became part of the </w:t>
      </w:r>
      <w:r w:rsidRPr="0044370F">
        <w:rPr>
          <w:rFonts w:ascii="Times New Roman" w:eastAsia="Times New Roman" w:hAnsi="Times New Roman" w:cs="Times New Roman"/>
          <w:i/>
          <w:iCs/>
          <w:sz w:val="24"/>
          <w:szCs w:val="24"/>
          <w:lang w:eastAsia="en-IL"/>
        </w:rPr>
        <w:t>critical infrastructure</w:t>
      </w:r>
      <w:r w:rsidRPr="0044370F">
        <w:rPr>
          <w:rFonts w:ascii="Times New Roman" w:eastAsia="Times New Roman" w:hAnsi="Times New Roman" w:cs="Times New Roman"/>
          <w:sz w:val="24"/>
          <w:szCs w:val="24"/>
          <w:lang w:eastAsia="en-IL"/>
        </w:rPr>
        <w:t xml:space="preserve"> of dozens of countries, </w:t>
      </w:r>
      <w:r w:rsidRPr="0044370F">
        <w:rPr>
          <w:rFonts w:asciiTheme="majorBidi" w:hAnsiTheme="majorBidi" w:cstheme="majorBidi"/>
          <w:sz w:val="24"/>
          <w:szCs w:val="24"/>
        </w:rPr>
        <w:t>functioning as critical communications infrastructure within national systems</w:t>
      </w:r>
      <w:r w:rsidRPr="0044370F">
        <w:rPr>
          <w:rFonts w:asciiTheme="majorBidi" w:eastAsia="Times New Roman" w:hAnsiTheme="majorBidi" w:cstheme="majorBidi"/>
          <w:sz w:val="24"/>
          <w:szCs w:val="24"/>
          <w:lang w:eastAsia="en-IL"/>
        </w:rPr>
        <w:t>.</w:t>
      </w:r>
      <w:r w:rsidRPr="0044370F">
        <w:rPr>
          <w:rFonts w:ascii="Times New Roman" w:eastAsia="Times New Roman" w:hAnsi="Times New Roman" w:cs="Times New Roman"/>
          <w:sz w:val="24"/>
          <w:szCs w:val="24"/>
          <w:lang w:eastAsia="en-IL"/>
        </w:rPr>
        <w:t xml:space="preserve"> Such extensive integration into foreign economies gives Huawei structural power: any disruption to its operations, whether through sanctions or bans, can impose high costs on network rollouts, consumers, and even other firms worldwide (e.g., component suppliers). This interdependence </w:t>
      </w:r>
      <w:r w:rsidRPr="0044370F">
        <w:rPr>
          <w:rFonts w:asciiTheme="majorBidi" w:eastAsia="Times New Roman" w:hAnsiTheme="majorBidi" w:cstheme="majorBidi"/>
          <w:sz w:val="24"/>
          <w:szCs w:val="24"/>
          <w:lang w:eastAsia="en-IL"/>
        </w:rPr>
        <w:t xml:space="preserve">is </w:t>
      </w:r>
      <w:r w:rsidRPr="0044370F">
        <w:rPr>
          <w:rFonts w:asciiTheme="majorBidi" w:hAnsiTheme="majorBidi" w:cstheme="majorBidi"/>
          <w:sz w:val="24"/>
          <w:szCs w:val="24"/>
        </w:rPr>
        <w:t>analogous, in certain structural respects, to how states generate leverage through systemic economic interconnections, such as monetary dominance or control over strategic resources</w:t>
      </w:r>
      <w:r w:rsidRPr="0044370F">
        <w:rPr>
          <w:rFonts w:asciiTheme="majorBidi" w:eastAsia="Times New Roman" w:hAnsiTheme="majorBidi" w:cstheme="majorBidi"/>
          <w:sz w:val="24"/>
          <w:szCs w:val="24"/>
          <w:lang w:eastAsia="en-IL"/>
        </w:rPr>
        <w:t>.</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Huawei’s structural embeddedness is also evident in global </w:t>
      </w:r>
      <w:r w:rsidRPr="0044370F">
        <w:rPr>
          <w:rFonts w:ascii="Times New Roman" w:eastAsia="Times New Roman" w:hAnsi="Times New Roman" w:cs="Times New Roman"/>
          <w:b/>
          <w:bCs/>
          <w:sz w:val="24"/>
          <w:szCs w:val="24"/>
          <w:lang w:eastAsia="en-IL"/>
        </w:rPr>
        <w:t>production and innovation networks</w:t>
      </w:r>
      <w:r w:rsidRPr="0044370F">
        <w:rPr>
          <w:rFonts w:ascii="Times New Roman" w:eastAsia="Times New Roman" w:hAnsi="Times New Roman" w:cs="Times New Roman"/>
          <w:sz w:val="24"/>
          <w:szCs w:val="24"/>
          <w:lang w:eastAsia="en-IL"/>
        </w:rPr>
        <w:t>. The company long relied on a complex international supply chain, sourcing cutting-edge semiconductors, software, and components from American, European</w:t>
      </w:r>
      <w:r w:rsidRPr="0044370F">
        <w:rPr>
          <w:rStyle w:val="a8"/>
          <w:rFonts w:ascii="Times New Roman" w:eastAsia="Times New Roman" w:hAnsi="Times New Roman" w:cs="Times New Roman"/>
          <w:sz w:val="24"/>
          <w:szCs w:val="24"/>
          <w:lang w:eastAsia="en-IL"/>
        </w:rPr>
        <w:footnoteReference w:id="196"/>
      </w:r>
      <w:r w:rsidRPr="0044370F">
        <w:rPr>
          <w:rFonts w:ascii="Times New Roman" w:eastAsia="Times New Roman" w:hAnsi="Times New Roman" w:cs="Times New Roman"/>
          <w:sz w:val="24"/>
          <w:szCs w:val="24"/>
          <w:lang w:eastAsia="en-IL"/>
        </w:rPr>
        <w:t xml:space="preserve">, Japanese, and Taiwanese firms. Before 2019, Huawei depended on U.S.-origin technology for roughly </w:t>
      </w:r>
      <w:r w:rsidRPr="0044370F">
        <w:rPr>
          <w:rFonts w:ascii="Times New Roman" w:eastAsia="Times New Roman" w:hAnsi="Times New Roman" w:cs="Times New Roman"/>
          <w:b/>
          <w:bCs/>
          <w:sz w:val="24"/>
          <w:szCs w:val="24"/>
          <w:lang w:eastAsia="en-IL"/>
        </w:rPr>
        <w:t>one-third of its supply chain (about $11 billion in procurement)</w:t>
      </w:r>
      <w:r w:rsidRPr="0044370F">
        <w:rPr>
          <w:rFonts w:ascii="Times New Roman" w:eastAsia="Times New Roman" w:hAnsi="Times New Roman" w:cs="Times New Roman"/>
          <w:sz w:val="24"/>
          <w:szCs w:val="24"/>
          <w:lang w:eastAsia="en-IL"/>
        </w:rPr>
        <w:t xml:space="preserve">. Its rise thus exemplified the symbiosis of globalization: Chinese manufacturing and engineering combined with foreign silicon and IP to produce world-class products. This integration into global value chains meant Huawei’s fortunes were entwined with companies like Google (for Android software) and TSMC (for chip fabrication), blurring national boundaries in production. Huawei also participated actively in </w:t>
      </w:r>
      <w:r w:rsidRPr="0044370F">
        <w:rPr>
          <w:rFonts w:ascii="Times New Roman" w:eastAsia="Times New Roman" w:hAnsi="Times New Roman" w:cs="Times New Roman"/>
          <w:b/>
          <w:bCs/>
          <w:sz w:val="24"/>
          <w:szCs w:val="24"/>
          <w:lang w:eastAsia="en-IL"/>
        </w:rPr>
        <w:t>international industry consortia and standards bodies</w:t>
      </w:r>
      <w:r w:rsidRPr="0044370F">
        <w:rPr>
          <w:rFonts w:ascii="Times New Roman" w:eastAsia="Times New Roman" w:hAnsi="Times New Roman" w:cs="Times New Roman"/>
          <w:sz w:val="24"/>
          <w:szCs w:val="24"/>
          <w:lang w:eastAsia="en-IL"/>
        </w:rPr>
        <w:t xml:space="preserve"> (such as 3GPP, IEEE, and the ITU), embedding itself in the rule-making apparatus of global telecom capitalism. For example, Huawei’s leading role in 5G standard development (contributing more technical papers than any peer) positioned it as a central node in the </w:t>
      </w:r>
      <w:r w:rsidRPr="0044370F">
        <w:rPr>
          <w:rFonts w:ascii="Times New Roman" w:eastAsia="Times New Roman" w:hAnsi="Times New Roman" w:cs="Times New Roman"/>
          <w:i/>
          <w:iCs/>
          <w:sz w:val="24"/>
          <w:szCs w:val="24"/>
          <w:lang w:eastAsia="en-IL"/>
        </w:rPr>
        <w:t>institutional networks</w:t>
      </w:r>
      <w:r w:rsidRPr="0044370F">
        <w:rPr>
          <w:rFonts w:ascii="Times New Roman" w:eastAsia="Times New Roman" w:hAnsi="Times New Roman" w:cs="Times New Roman"/>
          <w:sz w:val="24"/>
          <w:szCs w:val="24"/>
          <w:lang w:eastAsia="en-IL"/>
        </w:rPr>
        <w:t xml:space="preserve"> of its industry. In governance </w:t>
      </w:r>
      <w:r w:rsidRPr="0044370F">
        <w:rPr>
          <w:rFonts w:ascii="Times New Roman" w:eastAsia="Times New Roman" w:hAnsi="Times New Roman" w:cs="Times New Roman"/>
          <w:sz w:val="24"/>
          <w:szCs w:val="24"/>
          <w:lang w:eastAsia="en-IL"/>
        </w:rPr>
        <w:lastRenderedPageBreak/>
        <w:t>terms, Huawei became a fixture in forums that had historically been dominated by firms from Western or allied countries, thereby altering the balance of influence within those transnational institutions.</w:t>
      </w:r>
    </w:p>
    <w:p w:rsidR="008F42CF" w:rsidRPr="0044370F" w:rsidRDefault="008F42CF" w:rsidP="009F0142">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imes New Roman" w:eastAsia="Times New Roman" w:hAnsi="Times New Roman" w:cs="Times New Roman"/>
          <w:sz w:val="24"/>
          <w:szCs w:val="24"/>
          <w:lang w:eastAsia="en-IL"/>
        </w:rPr>
        <w:t>However, Huawei’s global embeddedness has also provoked a reassertion of geopolitical boundaries, highlighting the fraught interface of multinational firms and state power. From 2018 onward, the United States</w:t>
      </w:r>
      <w:r w:rsidRPr="0044370F">
        <w:rPr>
          <w:rStyle w:val="a8"/>
          <w:rFonts w:ascii="Times New Roman" w:eastAsia="Times New Roman" w:hAnsi="Times New Roman" w:cs="Times New Roman"/>
          <w:sz w:val="24"/>
          <w:szCs w:val="24"/>
          <w:lang w:eastAsia="en-IL"/>
        </w:rPr>
        <w:footnoteReference w:id="197"/>
      </w:r>
      <w:r w:rsidRPr="0044370F">
        <w:rPr>
          <w:rFonts w:ascii="Times New Roman" w:eastAsia="Times New Roman" w:hAnsi="Times New Roman" w:cs="Times New Roman"/>
          <w:sz w:val="24"/>
          <w:szCs w:val="24"/>
          <w:lang w:eastAsia="en-IL"/>
        </w:rPr>
        <w:t xml:space="preserve"> spearheaded an effort to </w:t>
      </w:r>
      <w:r w:rsidRPr="0044370F">
        <w:rPr>
          <w:rFonts w:ascii="Times New Roman" w:eastAsia="Times New Roman" w:hAnsi="Times New Roman" w:cs="Times New Roman"/>
          <w:i/>
          <w:iCs/>
          <w:sz w:val="24"/>
          <w:szCs w:val="24"/>
          <w:lang w:eastAsia="en-IL"/>
        </w:rPr>
        <w:t>de-embed</w:t>
      </w:r>
      <w:r w:rsidRPr="0044370F">
        <w:rPr>
          <w:rFonts w:ascii="Times New Roman" w:eastAsia="Times New Roman" w:hAnsi="Times New Roman" w:cs="Times New Roman"/>
          <w:sz w:val="24"/>
          <w:szCs w:val="24"/>
          <w:lang w:eastAsia="en-IL"/>
        </w:rPr>
        <w:t xml:space="preserve"> Huawei from Western networks, citing security threats, detailed in the next section. Washington</w:t>
      </w:r>
      <w:r w:rsidRPr="0044370F">
        <w:rPr>
          <w:rStyle w:val="a8"/>
          <w:rFonts w:ascii="Times New Roman" w:eastAsia="Times New Roman" w:hAnsi="Times New Roman" w:cs="Times New Roman"/>
          <w:sz w:val="24"/>
          <w:szCs w:val="24"/>
          <w:lang w:eastAsia="en-IL"/>
        </w:rPr>
        <w:footnoteReference w:id="198"/>
      </w:r>
      <w:r w:rsidRPr="0044370F">
        <w:rPr>
          <w:rFonts w:ascii="Times New Roman" w:eastAsia="Times New Roman" w:hAnsi="Times New Roman" w:cs="Times New Roman"/>
          <w:sz w:val="24"/>
          <w:szCs w:val="24"/>
          <w:lang w:eastAsia="en-IL"/>
        </w:rPr>
        <w:t xml:space="preserve"> lobbied allies to exclude Huawei from 5G buildouts, leading countries such as </w:t>
      </w:r>
      <w:r w:rsidRPr="0044370F">
        <w:rPr>
          <w:rFonts w:ascii="Times New Roman" w:eastAsia="Times New Roman" w:hAnsi="Times New Roman" w:cs="Times New Roman"/>
          <w:b/>
          <w:bCs/>
          <w:sz w:val="24"/>
          <w:szCs w:val="24"/>
          <w:lang w:eastAsia="en-IL"/>
        </w:rPr>
        <w:t>Australia, Japan, the UK, and eventually several EU states</w:t>
      </w:r>
      <w:r w:rsidRPr="0044370F">
        <w:rPr>
          <w:rFonts w:ascii="Times New Roman" w:eastAsia="Times New Roman" w:hAnsi="Times New Roman" w:cs="Times New Roman"/>
          <w:sz w:val="24"/>
          <w:szCs w:val="24"/>
          <w:lang w:eastAsia="en-IL"/>
        </w:rPr>
        <w:t xml:space="preserve"> to impose bans or severe restrictions on Huawei equipment. This marked </w:t>
      </w:r>
      <w:r w:rsidRPr="0044370F">
        <w:rPr>
          <w:rFonts w:asciiTheme="majorBidi" w:eastAsia="Times New Roman" w:hAnsiTheme="majorBidi" w:cstheme="majorBidi"/>
          <w:sz w:val="24"/>
          <w:szCs w:val="24"/>
          <w:lang w:eastAsia="en-IL"/>
        </w:rPr>
        <w:t>a</w:t>
      </w:r>
      <w:r w:rsidRPr="0044370F">
        <w:rPr>
          <w:rFonts w:asciiTheme="majorBidi" w:hAnsiTheme="majorBidi" w:cstheme="majorBidi"/>
          <w:sz w:val="24"/>
          <w:szCs w:val="24"/>
        </w:rPr>
        <w:t xml:space="preserve"> partial fragmentation of the global telecommunications ecosystem </w:t>
      </w:r>
      <w:r w:rsidRPr="0044370F">
        <w:rPr>
          <w:rFonts w:asciiTheme="majorBidi" w:eastAsia="Times New Roman" w:hAnsiTheme="majorBidi" w:cstheme="majorBidi"/>
          <w:sz w:val="24"/>
          <w:szCs w:val="24"/>
          <w:lang w:eastAsia="en-IL"/>
        </w:rPr>
        <w:t>that forced nations to choose between U.S. and Chinese tech spheres. Yet even as Five Eyes and EU states</w:t>
      </w:r>
      <w:r w:rsidRPr="0044370F">
        <w:rPr>
          <w:rFonts w:ascii="Times New Roman" w:eastAsia="Times New Roman" w:hAnsi="Times New Roman" w:cs="Times New Roman"/>
          <w:sz w:val="24"/>
          <w:szCs w:val="24"/>
          <w:lang w:eastAsia="en-IL"/>
        </w:rPr>
        <w:t xml:space="preserve"> moved away from Huawei, many </w:t>
      </w:r>
      <w:r w:rsidRPr="0044370F">
        <w:rPr>
          <w:rFonts w:ascii="Times New Roman" w:eastAsia="Times New Roman" w:hAnsi="Times New Roman" w:cs="Times New Roman"/>
          <w:b/>
          <w:bCs/>
          <w:sz w:val="24"/>
          <w:szCs w:val="24"/>
          <w:lang w:eastAsia="en-IL"/>
        </w:rPr>
        <w:t>low- and middle-income countries</w:t>
      </w:r>
      <w:r w:rsidRPr="0044370F">
        <w:rPr>
          <w:rFonts w:ascii="Times New Roman" w:eastAsia="Times New Roman" w:hAnsi="Times New Roman" w:cs="Times New Roman"/>
          <w:sz w:val="24"/>
          <w:szCs w:val="24"/>
          <w:lang w:eastAsia="en-IL"/>
        </w:rPr>
        <w:t xml:space="preserve"> continued to embrace it. Operators in large markets such as </w:t>
      </w:r>
      <w:r w:rsidRPr="0044370F">
        <w:rPr>
          <w:rFonts w:ascii="Times New Roman" w:eastAsia="Times New Roman" w:hAnsi="Times New Roman" w:cs="Times New Roman"/>
          <w:b/>
          <w:bCs/>
          <w:sz w:val="24"/>
          <w:szCs w:val="24"/>
          <w:lang w:eastAsia="en-IL"/>
        </w:rPr>
        <w:t>Russia, South Africa, Brazil, Saudi Arabia, and Indonesia</w:t>
      </w:r>
      <w:r w:rsidRPr="0044370F">
        <w:rPr>
          <w:rFonts w:ascii="Times New Roman" w:eastAsia="Times New Roman" w:hAnsi="Times New Roman" w:cs="Times New Roman"/>
          <w:sz w:val="24"/>
          <w:szCs w:val="24"/>
          <w:lang w:eastAsia="en-IL"/>
        </w:rPr>
        <w:t xml:space="preserve"> kept Huawei as a key supplier, often benefiting from China’s financing sweeteners and Huawei’s affordable end-to-end solutions. This bifurcation underscores Huawei’s structural position: it is embedded not in one national system but in the </w:t>
      </w:r>
      <w:r w:rsidRPr="0044370F">
        <w:rPr>
          <w:rFonts w:ascii="Times New Roman" w:eastAsia="Times New Roman" w:hAnsi="Times New Roman" w:cs="Times New Roman"/>
          <w:i/>
          <w:iCs/>
          <w:sz w:val="24"/>
          <w:szCs w:val="24"/>
          <w:lang w:eastAsia="en-IL"/>
        </w:rPr>
        <w:t>global capitalist system</w:t>
      </w:r>
      <w:r w:rsidRPr="0044370F">
        <w:rPr>
          <w:rFonts w:ascii="Times New Roman" w:eastAsia="Times New Roman" w:hAnsi="Times New Roman" w:cs="Times New Roman"/>
          <w:sz w:val="24"/>
          <w:szCs w:val="24"/>
          <w:lang w:eastAsia="en-IL"/>
        </w:rPr>
        <w:t xml:space="preserve">, albeit one increasingly split into rival blocs. Huawei’s ability to weather the storm, remaining profitable and even </w:t>
      </w:r>
      <w:r w:rsidRPr="0044370F">
        <w:rPr>
          <w:rFonts w:ascii="Times New Roman" w:eastAsia="Times New Roman" w:hAnsi="Times New Roman" w:cs="Times New Roman"/>
          <w:b/>
          <w:bCs/>
          <w:sz w:val="24"/>
          <w:szCs w:val="24"/>
          <w:lang w:eastAsia="en-IL"/>
        </w:rPr>
        <w:t>returning to growth by 2023 despite sanctions</w:t>
      </w:r>
      <w:r w:rsidRPr="0044370F">
        <w:rPr>
          <w:rStyle w:val="a8"/>
          <w:rFonts w:ascii="Times New Roman" w:eastAsia="Times New Roman" w:hAnsi="Times New Roman" w:cs="Times New Roman"/>
          <w:b/>
          <w:bCs/>
          <w:sz w:val="24"/>
          <w:szCs w:val="24"/>
          <w:lang w:eastAsia="en-IL"/>
        </w:rPr>
        <w:footnoteReference w:id="199"/>
      </w:r>
      <w:r w:rsidRPr="0044370F">
        <w:rPr>
          <w:rFonts w:ascii="Times New Roman" w:eastAsia="Times New Roman" w:hAnsi="Times New Roman" w:cs="Times New Roman"/>
          <w:sz w:val="24"/>
          <w:szCs w:val="24"/>
          <w:lang w:eastAsia="en-IL"/>
        </w:rPr>
        <w:t xml:space="preserve">, attests to the resilience conferred by its worldwide entanglements. The company shifted focus to friendlier markets and domestic consumers, leaned on its home base in China (the world’s largest 5G market) for sales, and capitalized on the fact that Western rivals </w:t>
      </w:r>
      <w:r w:rsidRPr="0044370F">
        <w:rPr>
          <w:rFonts w:ascii="Times New Roman" w:eastAsia="Times New Roman" w:hAnsi="Times New Roman" w:cs="Times New Roman"/>
          <w:sz w:val="24"/>
          <w:szCs w:val="24"/>
          <w:lang w:eastAsia="en-IL"/>
        </w:rPr>
        <w:lastRenderedPageBreak/>
        <w:t xml:space="preserve">were themselves struggling in a sluggish 5G investment climate. In essence, Huawei’s story illustrates how a corporation can leverage globalization’s interconnections to operate with </w:t>
      </w:r>
      <w:r w:rsidRPr="0044370F">
        <w:rPr>
          <w:rFonts w:ascii="Times New Roman" w:eastAsia="Times New Roman" w:hAnsi="Times New Roman" w:cs="Times New Roman"/>
          <w:i/>
          <w:iCs/>
          <w:sz w:val="24"/>
          <w:szCs w:val="24"/>
          <w:lang w:eastAsia="en-IL"/>
        </w:rPr>
        <w:t>considerable independence from any single state</w:t>
      </w:r>
      <w:r w:rsidRPr="0044370F">
        <w:rPr>
          <w:rFonts w:ascii="Times New Roman" w:eastAsia="Times New Roman" w:hAnsi="Times New Roman" w:cs="Times New Roman"/>
          <w:sz w:val="24"/>
          <w:szCs w:val="24"/>
          <w:lang w:eastAsia="en-IL"/>
        </w:rPr>
        <w:t xml:space="preserve">, instead </w:t>
      </w:r>
      <w:r w:rsidRPr="0044370F">
        <w:rPr>
          <w:rFonts w:asciiTheme="majorBidi" w:eastAsia="Times New Roman" w:hAnsiTheme="majorBidi" w:cstheme="majorBidi"/>
          <w:sz w:val="24"/>
          <w:szCs w:val="24"/>
          <w:lang w:eastAsia="en-IL"/>
        </w:rPr>
        <w:t xml:space="preserve">navigating </w:t>
      </w:r>
      <w:r w:rsidRPr="0044370F">
        <w:rPr>
          <w:rFonts w:asciiTheme="majorBidi" w:hAnsiTheme="majorBidi" w:cstheme="majorBidi"/>
          <w:sz w:val="24"/>
          <w:szCs w:val="24"/>
        </w:rPr>
        <w:t>a</w:t>
      </w:r>
      <w:r w:rsidRPr="0044370F">
        <w:t xml:space="preserve"> </w:t>
      </w:r>
      <w:r w:rsidRPr="0044370F">
        <w:rPr>
          <w:rFonts w:asciiTheme="majorBidi" w:hAnsiTheme="majorBidi" w:cstheme="majorBidi"/>
          <w:sz w:val="24"/>
          <w:szCs w:val="24"/>
        </w:rPr>
        <w:t>fragmented geopolitical environment</w:t>
      </w:r>
      <w:r w:rsidRPr="0044370F">
        <w:rPr>
          <w:rFonts w:asciiTheme="majorBidi" w:eastAsia="Times New Roman" w:hAnsiTheme="majorBidi" w:cstheme="majorBidi"/>
          <w:sz w:val="24"/>
          <w:szCs w:val="24"/>
          <w:lang w:eastAsia="en-IL"/>
        </w:rPr>
        <w:t>.</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Critics have argued that Huawei’s exclusion is driven not only by security considerations but also by protectionist impulses and industrial policy objectives, highlighting the contested nature of threat narratives in the </w:t>
      </w:r>
      <w:proofErr w:type="spellStart"/>
      <w:r w:rsidRPr="0044370F">
        <w:rPr>
          <w:rFonts w:ascii="Times New Roman" w:eastAsia="Times New Roman" w:hAnsi="Times New Roman" w:cs="Times New Roman"/>
          <w:sz w:val="24"/>
          <w:szCs w:val="24"/>
        </w:rPr>
        <w:t>geopoliticization</w:t>
      </w:r>
      <w:proofErr w:type="spellEnd"/>
      <w:r w:rsidRPr="0044370F">
        <w:rPr>
          <w:rFonts w:ascii="Times New Roman" w:eastAsia="Times New Roman" w:hAnsi="Times New Roman" w:cs="Times New Roman"/>
          <w:sz w:val="24"/>
          <w:szCs w:val="24"/>
        </w:rPr>
        <w:t xml:space="preserve"> of technology.</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Huawei’s structural power is further evident in how it </w:t>
      </w:r>
      <w:r w:rsidRPr="0044370F">
        <w:rPr>
          <w:rFonts w:ascii="Times New Roman" w:eastAsia="Times New Roman" w:hAnsi="Times New Roman" w:cs="Times New Roman"/>
          <w:b/>
          <w:bCs/>
          <w:sz w:val="24"/>
          <w:szCs w:val="24"/>
          <w:lang w:eastAsia="en-IL"/>
        </w:rPr>
        <w:t>influences global trade and investment flows</w:t>
      </w:r>
      <w:r w:rsidRPr="0044370F">
        <w:rPr>
          <w:rFonts w:ascii="Times New Roman" w:eastAsia="Times New Roman" w:hAnsi="Times New Roman" w:cs="Times New Roman"/>
          <w:sz w:val="24"/>
          <w:szCs w:val="24"/>
          <w:lang w:eastAsia="en-IL"/>
        </w:rPr>
        <w:t xml:space="preserve">, akin to a state actor. The U.S. sanctions on Huawei not only impacted Huawei’s business but also prompted retaliatory or mitigating responses from China (e.g., export controls on rare earths, a WTO challenge to U.S. semiconductor export bans), effectively making Huawei a subject of international economic diplomacy. Simultaneously, Huawei increased investments in countries that resisted U.S. pressure, tying their tech infrastructure closer to China’s orbit. Through China’s </w:t>
      </w:r>
      <w:r w:rsidRPr="0044370F">
        <w:rPr>
          <w:rFonts w:ascii="Times New Roman" w:eastAsia="Times New Roman" w:hAnsi="Times New Roman" w:cs="Times New Roman"/>
          <w:i/>
          <w:iCs/>
          <w:sz w:val="24"/>
          <w:szCs w:val="24"/>
          <w:lang w:eastAsia="en-IL"/>
        </w:rPr>
        <w:t>Digital Silk Road</w:t>
      </w:r>
      <w:r w:rsidRPr="0044370F">
        <w:rPr>
          <w:rFonts w:ascii="Times New Roman" w:eastAsia="Times New Roman" w:hAnsi="Times New Roman" w:cs="Times New Roman"/>
          <w:sz w:val="24"/>
          <w:szCs w:val="24"/>
          <w:lang w:eastAsia="en-IL"/>
        </w:rPr>
        <w:t xml:space="preserve"> initiative, Huawei has built undersea cables, data centers, and cloud services in dozens of countries, embedding Chinese tech standards and platforms abroad. Such projects can lock-in client states for decades, giving Huawei and by extension China long-term leverage in those markets. This dynamic, a corporation enmeshed in geopolitical strategy, reinforces the notion of Huawei as quasi-sovereign. It occupies a structural position in the world economy where its corporate decisions have macro-level effects (on supply chain resilience, technology access, and diplomatic relations) traditionally associated with state policy. </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For example, Huawei’s role in building national broadband and smart city infrastructure in Pakistan under the China</w:t>
      </w:r>
      <w:r w:rsidRPr="0044370F">
        <w:rPr>
          <w:rFonts w:ascii="Times New Roman" w:eastAsia="Times New Roman" w:hAnsi="Times New Roman" w:cs="Times New Roman" w:hint="cs"/>
          <w:sz w:val="24"/>
          <w:szCs w:val="24"/>
          <w:rtl/>
        </w:rPr>
        <w:t>-</w:t>
      </w:r>
      <w:r w:rsidRPr="0044370F">
        <w:rPr>
          <w:rFonts w:ascii="Times New Roman" w:eastAsia="Times New Roman" w:hAnsi="Times New Roman" w:cs="Times New Roman"/>
          <w:sz w:val="24"/>
          <w:szCs w:val="24"/>
        </w:rPr>
        <w:t>Pakistan Economic Corridor illustrates how Digital Silk Road projects combine development finance, infrastructure deployment, and long-term technological lock-in.</w:t>
      </w:r>
    </w:p>
    <w:p w:rsidR="008F42CF" w:rsidRPr="0044370F" w:rsidRDefault="008F42CF" w:rsidP="008F42CF">
      <w:pPr>
        <w:pStyle w:val="NormalWeb"/>
        <w:spacing w:line="360" w:lineRule="auto"/>
        <w:jc w:val="both"/>
        <w:rPr>
          <w:lang w:eastAsia="en-IL"/>
        </w:rPr>
      </w:pPr>
      <w:r w:rsidRPr="0044370F">
        <w:rPr>
          <w:lang w:eastAsia="en-IL"/>
        </w:rPr>
        <w:t xml:space="preserve">Huawei’s deep embeddedness in global capitalism has allowed it to accumulate </w:t>
      </w:r>
      <w:r w:rsidRPr="0044370F">
        <w:rPr>
          <w:b/>
          <w:bCs/>
          <w:lang w:eastAsia="en-IL"/>
        </w:rPr>
        <w:t>network power</w:t>
      </w:r>
      <w:r w:rsidRPr="0044370F">
        <w:rPr>
          <w:lang w:eastAsia="en-IL"/>
        </w:rPr>
        <w:t xml:space="preserve"> by sitting at critical junctions of international networks of commerce and technology. This network position enables Huawei </w:t>
      </w:r>
      <w:r w:rsidRPr="0044370F">
        <w:t>to exercise forms of systemic economic influence that resemble, in certain respects, those traditionally associated with sovereign actors</w:t>
      </w:r>
      <w:r w:rsidRPr="0044370F">
        <w:rPr>
          <w:lang w:eastAsia="en-IL"/>
        </w:rPr>
        <w:t>.</w:t>
      </w:r>
    </w:p>
    <w:p w:rsidR="00DC5AE7" w:rsidRPr="0044370F" w:rsidRDefault="00DC5AE7" w:rsidP="008F42CF">
      <w:pPr>
        <w:pStyle w:val="NormalWeb"/>
        <w:spacing w:line="360" w:lineRule="auto"/>
        <w:jc w:val="both"/>
        <w:rPr>
          <w:lang w:eastAsia="en-IL"/>
        </w:rPr>
      </w:pPr>
    </w:p>
    <w:p w:rsidR="008F42CF" w:rsidRPr="0044370F" w:rsidRDefault="000F3EB9" w:rsidP="000F3EB9">
      <w:pPr>
        <w:pStyle w:val="3"/>
        <w:rPr>
          <w:lang w:eastAsia="en-IL"/>
        </w:rPr>
      </w:pPr>
      <w:bookmarkStart w:id="159" w:name="_Toc222652823"/>
      <w:r w:rsidRPr="0044370F">
        <w:rPr>
          <w:lang w:eastAsia="en-IL"/>
        </w:rPr>
        <w:lastRenderedPageBreak/>
        <w:t>6.2.3</w:t>
      </w:r>
      <w:r w:rsidRPr="0044370F">
        <w:rPr>
          <w:lang w:eastAsia="en-IL"/>
        </w:rPr>
        <w:tab/>
      </w:r>
      <w:r w:rsidR="008F42CF" w:rsidRPr="0044370F">
        <w:rPr>
          <w:lang w:eastAsia="en-IL"/>
        </w:rPr>
        <w:t>Normative Authority and Legitimacy</w:t>
      </w:r>
      <w:bookmarkEnd w:id="159"/>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heme="majorBidi" w:hAnsiTheme="majorBidi" w:cstheme="majorBidi"/>
          <w:sz w:val="24"/>
          <w:szCs w:val="24"/>
        </w:rPr>
        <w:t>In classical political theory,</w:t>
      </w:r>
      <w:r w:rsidRPr="0044370F">
        <w:t xml:space="preserve"> </w:t>
      </w:r>
      <w:r w:rsidRPr="0044370F">
        <w:rPr>
          <w:rFonts w:ascii="Times New Roman" w:eastAsia="Times New Roman" w:hAnsi="Times New Roman" w:cs="Times New Roman"/>
          <w:sz w:val="24"/>
          <w:szCs w:val="24"/>
          <w:lang w:eastAsia="en-IL"/>
        </w:rPr>
        <w:t>a defining feature of sovereign actors is their claim to legitimate authority</w:t>
      </w:r>
      <w:r w:rsidRPr="0044370F">
        <w:rPr>
          <w:rStyle w:val="a8"/>
          <w:rFonts w:ascii="Times New Roman" w:eastAsia="Times New Roman" w:hAnsi="Times New Roman" w:cs="Times New Roman"/>
          <w:sz w:val="24"/>
          <w:szCs w:val="24"/>
          <w:lang w:eastAsia="en-IL"/>
        </w:rPr>
        <w:footnoteReference w:id="200"/>
      </w:r>
      <w:r w:rsidRPr="0044370F">
        <w:rPr>
          <w:rFonts w:ascii="Times New Roman" w:eastAsia="Times New Roman" w:hAnsi="Times New Roman" w:cs="Times New Roman"/>
          <w:sz w:val="24"/>
          <w:szCs w:val="24"/>
          <w:lang w:eastAsia="en-IL"/>
        </w:rPr>
        <w:t xml:space="preserve"> and their ability to shape norms. Huawei, as a transnational firm under intense scrutiny, has had to actively construct and defend its legitimacy on the world stage. This section examines how Huawei projects normative authority, through narratives, standards, and institutionally conferred legitimacy, and how it has faced </w:t>
      </w:r>
      <w:r w:rsidRPr="0044370F">
        <w:rPr>
          <w:rFonts w:ascii="Times New Roman" w:eastAsia="Times New Roman" w:hAnsi="Times New Roman" w:cs="Times New Roman"/>
          <w:i/>
          <w:iCs/>
          <w:sz w:val="24"/>
          <w:szCs w:val="24"/>
          <w:lang w:eastAsia="en-IL"/>
        </w:rPr>
        <w:t>contestation of legitimacy</w:t>
      </w:r>
      <w:r w:rsidRPr="0044370F">
        <w:rPr>
          <w:rFonts w:ascii="Times New Roman" w:eastAsia="Times New Roman" w:hAnsi="Times New Roman" w:cs="Times New Roman"/>
          <w:sz w:val="24"/>
          <w:szCs w:val="24"/>
          <w:lang w:eastAsia="en-IL"/>
        </w:rPr>
        <w:t xml:space="preserve"> in the context of cybersecurity fears and great-power rivalry. The company’s experience illustrates both the aspirations of a corporation to be seen as a </w:t>
      </w:r>
      <w:r w:rsidRPr="0044370F">
        <w:rPr>
          <w:rFonts w:ascii="Times New Roman" w:eastAsia="Times New Roman" w:hAnsi="Times New Roman" w:cs="Times New Roman"/>
          <w:b/>
          <w:bCs/>
          <w:sz w:val="24"/>
          <w:szCs w:val="24"/>
          <w:lang w:eastAsia="en-IL"/>
        </w:rPr>
        <w:t>legitimate global actor</w:t>
      </w:r>
      <w:r w:rsidRPr="0044370F">
        <w:rPr>
          <w:rStyle w:val="a8"/>
          <w:rFonts w:ascii="Times New Roman" w:eastAsia="Times New Roman" w:hAnsi="Times New Roman" w:cs="Times New Roman"/>
          <w:b/>
          <w:bCs/>
          <w:sz w:val="24"/>
          <w:szCs w:val="24"/>
          <w:lang w:eastAsia="en-IL"/>
        </w:rPr>
        <w:footnoteReference w:id="201"/>
      </w:r>
      <w:r w:rsidRPr="0044370F">
        <w:rPr>
          <w:rFonts w:ascii="Times New Roman" w:eastAsia="Times New Roman" w:hAnsi="Times New Roman" w:cs="Times New Roman"/>
          <w:sz w:val="24"/>
          <w:szCs w:val="24"/>
          <w:lang w:eastAsia="en-IL"/>
        </w:rPr>
        <w:t xml:space="preserve"> and the limits imposed by its origins and affiliations.</w:t>
      </w:r>
    </w:p>
    <w:p w:rsidR="008F42CF" w:rsidRPr="0044370F" w:rsidRDefault="008F42CF" w:rsidP="000F3EB9">
      <w:pPr>
        <w:pStyle w:val="4"/>
      </w:pPr>
      <w:r w:rsidRPr="0044370F">
        <w:rPr>
          <w:rStyle w:val="a4"/>
          <w:b/>
          <w:bCs w:val="0"/>
        </w:rPr>
        <w:t>6.2.3.1</w:t>
      </w:r>
      <w:r w:rsidRPr="0044370F">
        <w:rPr>
          <w:rStyle w:val="a4"/>
          <w:b/>
          <w:bCs w:val="0"/>
        </w:rPr>
        <w:tab/>
        <w:t>Huawei’s Legitimacy Strategies</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 has sought to cultivate an image of a responsible, law-abiding and even </w:t>
      </w:r>
      <w:r w:rsidRPr="0044370F">
        <w:rPr>
          <w:rFonts w:ascii="Times New Roman" w:eastAsia="Times New Roman" w:hAnsi="Times New Roman" w:cs="Times New Roman"/>
          <w:i/>
          <w:iCs/>
          <w:sz w:val="24"/>
          <w:szCs w:val="24"/>
          <w:lang w:eastAsia="en-IL"/>
        </w:rPr>
        <w:t>rule-setting</w:t>
      </w:r>
      <w:r w:rsidRPr="0044370F">
        <w:rPr>
          <w:rFonts w:ascii="Times New Roman" w:eastAsia="Times New Roman" w:hAnsi="Times New Roman" w:cs="Times New Roman"/>
          <w:sz w:val="24"/>
          <w:szCs w:val="24"/>
          <w:lang w:eastAsia="en-IL"/>
        </w:rPr>
        <w:t xml:space="preserve"> global corporation. It often emphasizes that it is </w:t>
      </w:r>
      <w:r w:rsidRPr="0044370F">
        <w:rPr>
          <w:rFonts w:ascii="Times New Roman" w:eastAsia="Times New Roman" w:hAnsi="Times New Roman" w:cs="Times New Roman"/>
          <w:b/>
          <w:bCs/>
          <w:sz w:val="24"/>
          <w:szCs w:val="24"/>
          <w:lang w:eastAsia="en-IL"/>
        </w:rPr>
        <w:t>100% employee-owned</w:t>
      </w:r>
      <w:r w:rsidRPr="0044370F">
        <w:rPr>
          <w:rStyle w:val="a8"/>
          <w:rFonts w:ascii="Times New Roman" w:eastAsia="Times New Roman" w:hAnsi="Times New Roman" w:cs="Times New Roman"/>
          <w:b/>
          <w:bCs/>
          <w:sz w:val="24"/>
          <w:szCs w:val="24"/>
          <w:lang w:eastAsia="en-IL"/>
        </w:rPr>
        <w:footnoteReference w:id="202"/>
      </w:r>
      <w:r w:rsidRPr="0044370F">
        <w:rPr>
          <w:rFonts w:ascii="Times New Roman" w:eastAsia="Times New Roman" w:hAnsi="Times New Roman" w:cs="Times New Roman"/>
          <w:sz w:val="24"/>
          <w:szCs w:val="24"/>
          <w:lang w:eastAsia="en-IL"/>
        </w:rPr>
        <w:t xml:space="preserve"> and independent from government control, highlighting a complex governance structure ostensibly to rebut charges of state interference. In the late 2010s, as accusations mounted, Huawei’s leadership undertook a global public relations and lobbying campaign, </w:t>
      </w:r>
      <w:r w:rsidRPr="0044370F">
        <w:rPr>
          <w:rFonts w:asciiTheme="majorBidi" w:hAnsiTheme="majorBidi" w:cstheme="majorBidi"/>
          <w:sz w:val="24"/>
          <w:szCs w:val="24"/>
        </w:rPr>
        <w:t>widely documented in international media coverage,</w:t>
      </w:r>
      <w:r w:rsidRPr="0044370F">
        <w:rPr>
          <w:rFonts w:ascii="Times New Roman" w:eastAsia="Times New Roman" w:hAnsi="Times New Roman" w:cs="Times New Roman"/>
          <w:sz w:val="24"/>
          <w:szCs w:val="24"/>
          <w:lang w:eastAsia="en-IL"/>
        </w:rPr>
        <w:t xml:space="preserve"> to assert its </w:t>
      </w:r>
      <w:r w:rsidRPr="0044370F">
        <w:rPr>
          <w:rFonts w:ascii="Times New Roman" w:eastAsia="Times New Roman" w:hAnsi="Times New Roman" w:cs="Times New Roman"/>
          <w:b/>
          <w:bCs/>
          <w:sz w:val="24"/>
          <w:szCs w:val="24"/>
          <w:lang w:eastAsia="en-IL"/>
        </w:rPr>
        <w:t>normative legitimacy</w:t>
      </w:r>
      <w:r w:rsidRPr="0044370F">
        <w:rPr>
          <w:rFonts w:ascii="Times New Roman" w:eastAsia="Times New Roman" w:hAnsi="Times New Roman" w:cs="Times New Roman"/>
          <w:sz w:val="24"/>
          <w:szCs w:val="24"/>
          <w:lang w:eastAsia="en-IL"/>
        </w:rPr>
        <w:t xml:space="preserve">. Ren </w:t>
      </w:r>
      <w:proofErr w:type="spellStart"/>
      <w:r w:rsidRPr="0044370F">
        <w:rPr>
          <w:rFonts w:ascii="Times New Roman" w:eastAsia="Times New Roman" w:hAnsi="Times New Roman" w:cs="Times New Roman"/>
          <w:sz w:val="24"/>
          <w:szCs w:val="24"/>
          <w:lang w:eastAsia="en-IL"/>
        </w:rPr>
        <w:t>Zhengfei</w:t>
      </w:r>
      <w:proofErr w:type="spellEnd"/>
      <w:r w:rsidRPr="0044370F">
        <w:rPr>
          <w:rFonts w:ascii="Times New Roman" w:eastAsia="Times New Roman" w:hAnsi="Times New Roman" w:cs="Times New Roman"/>
          <w:sz w:val="24"/>
          <w:szCs w:val="24"/>
          <w:lang w:eastAsia="en-IL"/>
        </w:rPr>
        <w:t xml:space="preserve"> gave rare interviews pledging that he would “never harm the interests of customers”</w:t>
      </w:r>
      <w:r w:rsidRPr="0044370F">
        <w:rPr>
          <w:rStyle w:val="a8"/>
          <w:rFonts w:ascii="Times New Roman" w:eastAsia="Times New Roman" w:hAnsi="Times New Roman" w:cs="Times New Roman"/>
          <w:sz w:val="24"/>
          <w:szCs w:val="24"/>
          <w:lang w:eastAsia="en-IL"/>
        </w:rPr>
        <w:footnoteReference w:id="203"/>
      </w:r>
      <w:r w:rsidRPr="0044370F">
        <w:rPr>
          <w:rFonts w:ascii="Times New Roman" w:eastAsia="Times New Roman" w:hAnsi="Times New Roman" w:cs="Times New Roman"/>
          <w:sz w:val="24"/>
          <w:szCs w:val="24"/>
          <w:lang w:eastAsia="en-IL"/>
        </w:rPr>
        <w:t xml:space="preserve"> or aid any spying; the company opened cybersecurity transparency centers in Europe</w:t>
      </w:r>
      <w:r w:rsidRPr="0044370F">
        <w:rPr>
          <w:rStyle w:val="a8"/>
          <w:rFonts w:ascii="Times New Roman" w:eastAsia="Times New Roman" w:hAnsi="Times New Roman" w:cs="Times New Roman"/>
          <w:sz w:val="24"/>
          <w:szCs w:val="24"/>
          <w:lang w:eastAsia="en-IL"/>
        </w:rPr>
        <w:footnoteReference w:id="204"/>
      </w:r>
      <w:r w:rsidRPr="0044370F">
        <w:rPr>
          <w:rFonts w:ascii="Times New Roman" w:eastAsia="Times New Roman" w:hAnsi="Times New Roman" w:cs="Times New Roman"/>
          <w:sz w:val="24"/>
          <w:szCs w:val="24"/>
          <w:lang w:eastAsia="en-IL"/>
        </w:rPr>
        <w:t xml:space="preserve"> (e.g. in Brussels and Bonn) where foreign officials </w:t>
      </w:r>
      <w:r w:rsidRPr="0044370F">
        <w:rPr>
          <w:rFonts w:ascii="Times New Roman" w:eastAsia="Times New Roman" w:hAnsi="Times New Roman" w:cs="Times New Roman"/>
          <w:sz w:val="24"/>
          <w:szCs w:val="24"/>
          <w:lang w:eastAsia="en-IL"/>
        </w:rPr>
        <w:lastRenderedPageBreak/>
        <w:t>could inspect Huawei source code; and it even offered to sign “no-spy” agreements</w:t>
      </w:r>
      <w:r w:rsidRPr="0044370F">
        <w:rPr>
          <w:rStyle w:val="a8"/>
          <w:rFonts w:ascii="Times New Roman" w:eastAsia="Times New Roman" w:hAnsi="Times New Roman" w:cs="Times New Roman"/>
          <w:sz w:val="24"/>
          <w:szCs w:val="24"/>
          <w:lang w:eastAsia="en-IL"/>
        </w:rPr>
        <w:footnoteReference w:id="205"/>
      </w:r>
      <w:r w:rsidRPr="0044370F">
        <w:rPr>
          <w:rFonts w:ascii="Times New Roman" w:eastAsia="Times New Roman" w:hAnsi="Times New Roman" w:cs="Times New Roman"/>
          <w:sz w:val="24"/>
          <w:szCs w:val="24"/>
          <w:lang w:eastAsia="en-IL"/>
        </w:rPr>
        <w:t xml:space="preserve"> with governments concerned about espionage. </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These moves were attempts to reassure the international community that Huawei abides by international norms of corporate conduct and respects state sovereignty</w:t>
      </w:r>
      <w:r w:rsidRPr="0044370F">
        <w:rPr>
          <w:rStyle w:val="a8"/>
          <w:rFonts w:ascii="Times New Roman" w:eastAsia="Times New Roman" w:hAnsi="Times New Roman" w:cs="Times New Roman"/>
          <w:sz w:val="24"/>
          <w:szCs w:val="24"/>
          <w:lang w:eastAsia="en-IL"/>
        </w:rPr>
        <w:footnoteReference w:id="206"/>
      </w:r>
      <w:r w:rsidRPr="0044370F">
        <w:rPr>
          <w:rFonts w:ascii="Times New Roman" w:eastAsia="Times New Roman" w:hAnsi="Times New Roman" w:cs="Times New Roman"/>
          <w:sz w:val="24"/>
          <w:szCs w:val="24"/>
          <w:lang w:eastAsia="en-IL"/>
        </w:rPr>
        <w:t xml:space="preserve">. Additionally, Huawei has positioned itself as a champion of </w:t>
      </w:r>
      <w:r w:rsidRPr="0044370F">
        <w:rPr>
          <w:rFonts w:ascii="Times New Roman" w:eastAsia="Times New Roman" w:hAnsi="Times New Roman" w:cs="Times New Roman"/>
          <w:i/>
          <w:iCs/>
          <w:sz w:val="24"/>
          <w:szCs w:val="24"/>
          <w:lang w:eastAsia="en-IL"/>
        </w:rPr>
        <w:t>global connectivity and development</w:t>
      </w:r>
      <w:r w:rsidRPr="0044370F">
        <w:rPr>
          <w:rFonts w:ascii="Times New Roman" w:eastAsia="Times New Roman" w:hAnsi="Times New Roman" w:cs="Times New Roman"/>
          <w:sz w:val="24"/>
          <w:szCs w:val="24"/>
          <w:lang w:eastAsia="en-IL"/>
        </w:rPr>
        <w:t xml:space="preserve">, aligning its mission with normative goals. In many emerging markets, Huawei’s narrative stresses bridging the digital divide and transferring technology to empower local economies. By providing affordable networks in Africa or Asia and training local engineers, Huawei claims a form of </w:t>
      </w:r>
      <w:r w:rsidRPr="0044370F">
        <w:rPr>
          <w:rFonts w:ascii="Times New Roman" w:eastAsia="Times New Roman" w:hAnsi="Times New Roman" w:cs="Times New Roman"/>
          <w:b/>
          <w:bCs/>
          <w:sz w:val="24"/>
          <w:szCs w:val="24"/>
          <w:lang w:eastAsia="en-IL"/>
        </w:rPr>
        <w:t>developmental legitimacy</w:t>
      </w:r>
      <w:r w:rsidRPr="0044370F">
        <w:rPr>
          <w:rFonts w:ascii="Times New Roman" w:eastAsia="Times New Roman" w:hAnsi="Times New Roman" w:cs="Times New Roman"/>
          <w:sz w:val="24"/>
          <w:szCs w:val="24"/>
          <w:lang w:eastAsia="en-IL"/>
        </w:rPr>
        <w:t>, portraying itself as a benevolent force for progress, much like a state engaging in foreign aid. This has earned it goodwill in some quarters, where governments credit Huawei with enabling digital modernization. Moreover, Huawei executives have participated in international forums</w:t>
      </w:r>
      <w:r w:rsidRPr="0044370F">
        <w:rPr>
          <w:rStyle w:val="a8"/>
          <w:rFonts w:ascii="Times New Roman" w:eastAsia="Times New Roman" w:hAnsi="Times New Roman" w:cs="Times New Roman"/>
          <w:sz w:val="24"/>
          <w:szCs w:val="24"/>
          <w:lang w:eastAsia="en-IL"/>
        </w:rPr>
        <w:footnoteReference w:id="207"/>
      </w:r>
      <w:r w:rsidRPr="0044370F">
        <w:rPr>
          <w:rFonts w:ascii="Times New Roman" w:eastAsia="Times New Roman" w:hAnsi="Times New Roman" w:cs="Times New Roman"/>
          <w:sz w:val="24"/>
          <w:szCs w:val="24"/>
          <w:lang w:eastAsia="en-IL"/>
        </w:rPr>
        <w:t xml:space="preserve"> (like the World Economic Forum) where they speak the language of global governance, advocating common cybersecurity standards and arguing that </w:t>
      </w:r>
      <w:r w:rsidRPr="0044370F">
        <w:rPr>
          <w:rFonts w:ascii="Times New Roman" w:eastAsia="Times New Roman" w:hAnsi="Times New Roman" w:cs="Times New Roman"/>
          <w:i/>
          <w:iCs/>
          <w:sz w:val="24"/>
          <w:szCs w:val="24"/>
          <w:lang w:eastAsia="en-IL"/>
        </w:rPr>
        <w:t>politicizing technology trade undermines global norms</w:t>
      </w:r>
      <w:r w:rsidRPr="0044370F">
        <w:rPr>
          <w:rFonts w:ascii="Times New Roman" w:eastAsia="Times New Roman" w:hAnsi="Times New Roman" w:cs="Times New Roman"/>
          <w:sz w:val="24"/>
          <w:szCs w:val="24"/>
          <w:lang w:eastAsia="en-IL"/>
        </w:rPr>
        <w:t xml:space="preserve">. </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doing so, Huawei attempts to exercise </w:t>
      </w:r>
      <w:r w:rsidRPr="0044370F">
        <w:rPr>
          <w:rFonts w:ascii="Times New Roman" w:eastAsia="Times New Roman" w:hAnsi="Times New Roman" w:cs="Times New Roman"/>
          <w:i/>
          <w:iCs/>
          <w:sz w:val="24"/>
          <w:szCs w:val="24"/>
          <w:lang w:eastAsia="en-IL"/>
        </w:rPr>
        <w:t>normative authority</w:t>
      </w:r>
      <w:r w:rsidRPr="0044370F">
        <w:rPr>
          <w:rFonts w:ascii="Times New Roman" w:eastAsia="Times New Roman" w:hAnsi="Times New Roman" w:cs="Times New Roman"/>
          <w:sz w:val="24"/>
          <w:szCs w:val="24"/>
          <w:lang w:eastAsia="en-IL"/>
        </w:rPr>
        <w:t>, implicitly asserting that it has a voice in shaping the rules of the international digital order.</w:t>
      </w:r>
    </w:p>
    <w:p w:rsidR="008F42CF" w:rsidRPr="0044370F" w:rsidRDefault="008F42CF" w:rsidP="000F3EB9">
      <w:pPr>
        <w:pStyle w:val="4"/>
      </w:pPr>
      <w:r w:rsidRPr="0044370F">
        <w:rPr>
          <w:rStyle w:val="a4"/>
          <w:b/>
          <w:bCs w:val="0"/>
        </w:rPr>
        <w:t>6.2.3.2</w:t>
      </w:r>
      <w:r w:rsidRPr="0044370F">
        <w:rPr>
          <w:rStyle w:val="a4"/>
          <w:b/>
          <w:bCs w:val="0"/>
        </w:rPr>
        <w:tab/>
        <w:t>Contestation in the West</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Yet Huawei’s quest for legitimacy has been fundamentally constrained by what international business scholars call </w:t>
      </w:r>
      <w:r w:rsidRPr="0044370F">
        <w:rPr>
          <w:rFonts w:ascii="Times New Roman" w:eastAsia="Times New Roman" w:hAnsi="Times New Roman" w:cs="Times New Roman"/>
          <w:b/>
          <w:bCs/>
          <w:sz w:val="24"/>
          <w:szCs w:val="24"/>
          <w:lang w:eastAsia="en-IL"/>
        </w:rPr>
        <w:t xml:space="preserve">“liabilities of origin” </w:t>
      </w:r>
      <w:r w:rsidRPr="0044370F">
        <w:rPr>
          <w:rStyle w:val="a8"/>
          <w:rFonts w:ascii="Times New Roman" w:eastAsia="Times New Roman" w:hAnsi="Times New Roman" w:cs="Times New Roman"/>
          <w:b/>
          <w:bCs/>
          <w:sz w:val="24"/>
          <w:szCs w:val="24"/>
          <w:lang w:eastAsia="en-IL"/>
        </w:rPr>
        <w:footnoteReference w:id="208"/>
      </w:r>
      <w:r w:rsidRPr="0044370F">
        <w:rPr>
          <w:rFonts w:ascii="Times New Roman" w:eastAsia="Times New Roman" w:hAnsi="Times New Roman" w:cs="Times New Roman"/>
          <w:b/>
          <w:bCs/>
          <w:sz w:val="24"/>
          <w:szCs w:val="24"/>
          <w:lang w:eastAsia="en-IL"/>
        </w:rPr>
        <w:t>(LOR)</w:t>
      </w:r>
      <w:r w:rsidRPr="0044370F">
        <w:rPr>
          <w:rFonts w:ascii="Times New Roman" w:eastAsia="Times New Roman" w:hAnsi="Times New Roman" w:cs="Times New Roman"/>
          <w:sz w:val="24"/>
          <w:szCs w:val="24"/>
          <w:lang w:eastAsia="en-IL"/>
        </w:rPr>
        <w:t xml:space="preserve">, the idea that a firm’s home country context can prejudice foreign stakeholders against it. Huawei’s Chinese origin and perceived links to the </w:t>
      </w:r>
      <w:r w:rsidRPr="0044370F">
        <w:rPr>
          <w:rFonts w:ascii="Times New Roman" w:eastAsia="Times New Roman" w:hAnsi="Times New Roman" w:cs="Times New Roman"/>
          <w:sz w:val="24"/>
          <w:szCs w:val="24"/>
          <w:lang w:eastAsia="en-IL"/>
        </w:rPr>
        <w:lastRenderedPageBreak/>
        <w:t>Communist Party have triggered significant distrust in Western democracies. A 2023 study on Huawei’s “legitimacy defeat”</w:t>
      </w:r>
      <w:r w:rsidRPr="0044370F">
        <w:rPr>
          <w:rStyle w:val="a8"/>
          <w:rFonts w:ascii="Times New Roman" w:eastAsia="Times New Roman" w:hAnsi="Times New Roman" w:cs="Times New Roman"/>
          <w:sz w:val="24"/>
          <w:szCs w:val="24"/>
          <w:lang w:eastAsia="en-IL"/>
        </w:rPr>
        <w:footnoteReference w:id="209"/>
      </w:r>
      <w:r w:rsidRPr="0044370F">
        <w:rPr>
          <w:rFonts w:ascii="Times New Roman" w:eastAsia="Times New Roman" w:hAnsi="Times New Roman" w:cs="Times New Roman"/>
          <w:sz w:val="24"/>
          <w:szCs w:val="24"/>
          <w:lang w:eastAsia="en-IL"/>
        </w:rPr>
        <w:t xml:space="preserve"> in Western media found that geopolitical rivalry (U.S. - China tensions) and media framing amplified Huawei’s liability of origin, casting it as an untrustworthy actor by virtue of being Chinese. In the United Kingdom, for example, media narratives during the 5G ban debate routinely tied Huawei to the Chinese state’s authoritarian practices, effectively delegitimizing the company in the court of public opinion, even before any concrete evidence of wrongdoing was presented. This shows that normative legitimacy for corporations can be highly contingent on the broader international climate and identity politics. Despite Huawei’s insistence that it </w:t>
      </w:r>
      <w:r w:rsidRPr="0044370F">
        <w:rPr>
          <w:rFonts w:ascii="Times New Roman" w:eastAsia="Times New Roman" w:hAnsi="Times New Roman" w:cs="Times New Roman"/>
          <w:i/>
          <w:iCs/>
          <w:sz w:val="24"/>
          <w:szCs w:val="24"/>
          <w:lang w:eastAsia="en-IL"/>
        </w:rPr>
        <w:t>operates like a private multinational</w:t>
      </w:r>
      <w:r w:rsidRPr="0044370F">
        <w:rPr>
          <w:rFonts w:ascii="Times New Roman" w:eastAsia="Times New Roman" w:hAnsi="Times New Roman" w:cs="Times New Roman"/>
          <w:sz w:val="24"/>
          <w:szCs w:val="24"/>
          <w:lang w:eastAsia="en-IL"/>
        </w:rPr>
        <w:t xml:space="preserve">, Western officials have often treated it as a </w:t>
      </w:r>
      <w:r w:rsidRPr="0044370F">
        <w:rPr>
          <w:rFonts w:ascii="Times New Roman" w:eastAsia="Times New Roman" w:hAnsi="Times New Roman" w:cs="Times New Roman"/>
          <w:b/>
          <w:bCs/>
          <w:sz w:val="24"/>
          <w:szCs w:val="24"/>
          <w:lang w:eastAsia="en-IL"/>
        </w:rPr>
        <w:t>de facto extension of the Chinese state</w:t>
      </w:r>
      <w:r w:rsidRPr="0044370F">
        <w:rPr>
          <w:rFonts w:ascii="Times New Roman" w:eastAsia="Times New Roman" w:hAnsi="Times New Roman" w:cs="Times New Roman"/>
          <w:sz w:val="24"/>
          <w:szCs w:val="24"/>
          <w:lang w:eastAsia="en-IL"/>
        </w:rPr>
        <w:t xml:space="preserve">, or at least too entangled with China’s political system to be given the benefit of the doubt. U.S. officials pointed to Chinese laws (the 2017 National Intelligence Law, etc.) that obligate companies to assist government intelligence, arguing that </w:t>
      </w:r>
      <w:r w:rsidRPr="0044370F">
        <w:rPr>
          <w:rFonts w:ascii="Times New Roman" w:eastAsia="Times New Roman" w:hAnsi="Times New Roman" w:cs="Times New Roman"/>
          <w:b/>
          <w:bCs/>
          <w:sz w:val="24"/>
          <w:szCs w:val="24"/>
          <w:lang w:eastAsia="en-IL"/>
        </w:rPr>
        <w:t>Huawei could be compelled to comply with Beijing’s directives</w:t>
      </w:r>
      <w:r w:rsidRPr="0044370F">
        <w:rPr>
          <w:rStyle w:val="a8"/>
          <w:rFonts w:ascii="Times New Roman" w:eastAsia="Times New Roman" w:hAnsi="Times New Roman" w:cs="Times New Roman"/>
          <w:b/>
          <w:bCs/>
          <w:sz w:val="24"/>
          <w:szCs w:val="24"/>
          <w:lang w:eastAsia="en-IL"/>
        </w:rPr>
        <w:footnoteReference w:id="210"/>
      </w:r>
      <w:r w:rsidRPr="0044370F">
        <w:rPr>
          <w:rFonts w:ascii="Times New Roman" w:eastAsia="Times New Roman" w:hAnsi="Times New Roman" w:cs="Times New Roman"/>
          <w:sz w:val="24"/>
          <w:szCs w:val="24"/>
          <w:lang w:eastAsia="en-IL"/>
        </w:rPr>
        <w:t xml:space="preserve"> against its will. This legal argument, alongside revelations of CCP (The Communist Party of China) cells within Huawei and Ren’s PLA background, cemented a perception that Huawei lacks the independent </w:t>
      </w:r>
      <w:r w:rsidRPr="0044370F">
        <w:rPr>
          <w:rFonts w:ascii="Times New Roman" w:eastAsia="Times New Roman" w:hAnsi="Times New Roman" w:cs="Times New Roman"/>
          <w:i/>
          <w:iCs/>
          <w:sz w:val="24"/>
          <w:szCs w:val="24"/>
          <w:lang w:eastAsia="en-IL"/>
        </w:rPr>
        <w:t>moral agency</w:t>
      </w:r>
      <w:r w:rsidRPr="0044370F">
        <w:rPr>
          <w:rFonts w:ascii="Times New Roman" w:eastAsia="Times New Roman" w:hAnsi="Times New Roman" w:cs="Times New Roman"/>
          <w:sz w:val="24"/>
          <w:szCs w:val="24"/>
          <w:lang w:eastAsia="en-IL"/>
        </w:rPr>
        <w:t xml:space="preserve"> expected of a trustworthy global player.</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International controversies have further eroded Huawei’s normative authority in liberal democracies. Beyond the espionage suspicions, Huawei was implicated in </w:t>
      </w:r>
      <w:r w:rsidRPr="0044370F">
        <w:rPr>
          <w:rFonts w:ascii="Times New Roman" w:eastAsia="Times New Roman" w:hAnsi="Times New Roman" w:cs="Times New Roman"/>
          <w:b/>
          <w:bCs/>
          <w:sz w:val="24"/>
          <w:szCs w:val="24"/>
          <w:lang w:eastAsia="en-IL"/>
        </w:rPr>
        <w:t>intellectual property theft cases</w:t>
      </w:r>
      <w:r w:rsidRPr="0044370F">
        <w:rPr>
          <w:rFonts w:ascii="Times New Roman" w:eastAsia="Times New Roman" w:hAnsi="Times New Roman" w:cs="Times New Roman"/>
          <w:sz w:val="24"/>
          <w:szCs w:val="24"/>
          <w:lang w:eastAsia="en-IL"/>
        </w:rPr>
        <w:t xml:space="preserve"> (e.g. the Cisco</w:t>
      </w:r>
      <w:r w:rsidRPr="0044370F">
        <w:rPr>
          <w:rStyle w:val="a8"/>
          <w:rFonts w:ascii="Times New Roman" w:eastAsia="Times New Roman" w:hAnsi="Times New Roman" w:cs="Times New Roman"/>
          <w:sz w:val="24"/>
          <w:szCs w:val="24"/>
          <w:lang w:eastAsia="en-IL"/>
        </w:rPr>
        <w:footnoteReference w:id="211"/>
      </w:r>
      <w:r w:rsidRPr="0044370F">
        <w:rPr>
          <w:rFonts w:ascii="Times New Roman" w:eastAsia="Times New Roman" w:hAnsi="Times New Roman" w:cs="Times New Roman"/>
          <w:sz w:val="24"/>
          <w:szCs w:val="24"/>
          <w:lang w:eastAsia="en-IL"/>
        </w:rPr>
        <w:t xml:space="preserve"> lawsuit in 2003 and a 2017 U.S. jury verdict on T-Mobile’s trade secrets</w:t>
      </w:r>
      <w:r w:rsidRPr="0044370F">
        <w:rPr>
          <w:rStyle w:val="a8"/>
          <w:rFonts w:ascii="Times New Roman" w:eastAsia="Times New Roman" w:hAnsi="Times New Roman" w:cs="Times New Roman"/>
          <w:sz w:val="24"/>
          <w:szCs w:val="24"/>
          <w:lang w:eastAsia="en-IL"/>
        </w:rPr>
        <w:footnoteReference w:id="212"/>
      </w:r>
      <w:r w:rsidRPr="0044370F">
        <w:rPr>
          <w:rFonts w:ascii="Times New Roman" w:eastAsia="Times New Roman" w:hAnsi="Times New Roman" w:cs="Times New Roman"/>
          <w:sz w:val="24"/>
          <w:szCs w:val="24"/>
          <w:lang w:eastAsia="en-IL"/>
        </w:rPr>
        <w:t xml:space="preserve">) and </w:t>
      </w:r>
      <w:r w:rsidRPr="0044370F">
        <w:rPr>
          <w:rFonts w:ascii="Times New Roman" w:eastAsia="Times New Roman" w:hAnsi="Times New Roman" w:cs="Times New Roman"/>
          <w:b/>
          <w:bCs/>
          <w:sz w:val="24"/>
          <w:szCs w:val="24"/>
          <w:lang w:eastAsia="en-IL"/>
        </w:rPr>
        <w:t>sanctions evasion scandals</w:t>
      </w:r>
      <w:r w:rsidRPr="0044370F">
        <w:rPr>
          <w:rFonts w:ascii="Times New Roman" w:eastAsia="Times New Roman" w:hAnsi="Times New Roman" w:cs="Times New Roman"/>
          <w:sz w:val="24"/>
          <w:szCs w:val="24"/>
          <w:lang w:eastAsia="en-IL"/>
        </w:rPr>
        <w:t xml:space="preserve"> (selling U.S.-origin tech to Iran, which led to CFO </w:t>
      </w:r>
      <w:proofErr w:type="spellStart"/>
      <w:r w:rsidRPr="0044370F">
        <w:rPr>
          <w:rFonts w:ascii="Times New Roman" w:eastAsia="Times New Roman" w:hAnsi="Times New Roman" w:cs="Times New Roman"/>
          <w:sz w:val="24"/>
          <w:szCs w:val="24"/>
          <w:lang w:eastAsia="en-IL"/>
        </w:rPr>
        <w:lastRenderedPageBreak/>
        <w:t>Meng</w:t>
      </w:r>
      <w:proofErr w:type="spellEnd"/>
      <w:r w:rsidRPr="0044370F">
        <w:rPr>
          <w:rFonts w:ascii="Times New Roman" w:eastAsia="Times New Roman" w:hAnsi="Times New Roman" w:cs="Times New Roman"/>
          <w:sz w:val="24"/>
          <w:szCs w:val="24"/>
          <w:lang w:eastAsia="en-IL"/>
        </w:rPr>
        <w:t xml:space="preserve"> </w:t>
      </w:r>
      <w:proofErr w:type="spellStart"/>
      <w:r w:rsidRPr="0044370F">
        <w:rPr>
          <w:rFonts w:ascii="Times New Roman" w:eastAsia="Times New Roman" w:hAnsi="Times New Roman" w:cs="Times New Roman"/>
          <w:sz w:val="24"/>
          <w:szCs w:val="24"/>
          <w:lang w:eastAsia="en-IL"/>
        </w:rPr>
        <w:t>Wanzhou’s</w:t>
      </w:r>
      <w:proofErr w:type="spellEnd"/>
      <w:r w:rsidRPr="0044370F">
        <w:rPr>
          <w:rFonts w:ascii="Times New Roman" w:eastAsia="Times New Roman" w:hAnsi="Times New Roman" w:cs="Times New Roman"/>
          <w:sz w:val="24"/>
          <w:szCs w:val="24"/>
          <w:lang w:eastAsia="en-IL"/>
        </w:rPr>
        <w:t xml:space="preserve"> arrest in Canada). These incidents portrayed Huawei as a company willing to flout global rules for competitive gain, thereby undercutting its legitimacy claims. </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In 2020, the U.S. Justice Department unsealed indictments charging Huawei with racketeering conspiracy</w:t>
      </w:r>
      <w:r w:rsidRPr="0044370F">
        <w:rPr>
          <w:rStyle w:val="a8"/>
          <w:rFonts w:ascii="Times New Roman" w:eastAsia="Times New Roman" w:hAnsi="Times New Roman" w:cs="Times New Roman"/>
          <w:sz w:val="24"/>
          <w:szCs w:val="24"/>
          <w:lang w:eastAsia="en-IL"/>
        </w:rPr>
        <w:footnoteReference w:id="213"/>
      </w:r>
      <w:r w:rsidRPr="0044370F">
        <w:rPr>
          <w:rFonts w:ascii="Times New Roman" w:eastAsia="Times New Roman" w:hAnsi="Times New Roman" w:cs="Times New Roman"/>
          <w:sz w:val="24"/>
          <w:szCs w:val="24"/>
          <w:lang w:eastAsia="en-IL"/>
        </w:rPr>
        <w:t xml:space="preserve">, detailing a “decades-long effort” to steal technology from rivals. Such legal actions by a sovereign state against a corporation are unusual in scope and cast Huawei not only as </w:t>
      </w:r>
      <w:r w:rsidRPr="0044370F">
        <w:rPr>
          <w:rFonts w:ascii="Times New Roman" w:eastAsia="Times New Roman" w:hAnsi="Times New Roman" w:cs="Times New Roman"/>
          <w:i/>
          <w:iCs/>
          <w:sz w:val="24"/>
          <w:szCs w:val="24"/>
          <w:lang w:eastAsia="en-IL"/>
        </w:rPr>
        <w:t>untrustworthy</w:t>
      </w:r>
      <w:r w:rsidRPr="0044370F">
        <w:rPr>
          <w:rFonts w:ascii="Times New Roman" w:eastAsia="Times New Roman" w:hAnsi="Times New Roman" w:cs="Times New Roman"/>
          <w:sz w:val="24"/>
          <w:szCs w:val="24"/>
          <w:lang w:eastAsia="en-IL"/>
        </w:rPr>
        <w:t xml:space="preserve">, but as an actor that challenges the norms of fair competition and rule of law in international business. Huawei’s leadership has disputed these accusations, often framing them as politically motivated. In fact, Huawei has shown a willingness to </w:t>
      </w:r>
      <w:r w:rsidRPr="0044370F">
        <w:rPr>
          <w:rFonts w:ascii="Times New Roman" w:eastAsia="Times New Roman" w:hAnsi="Times New Roman" w:cs="Times New Roman"/>
          <w:b/>
          <w:bCs/>
          <w:sz w:val="24"/>
          <w:szCs w:val="24"/>
          <w:lang w:eastAsia="en-IL"/>
        </w:rPr>
        <w:t>resist and contest global rules</w:t>
      </w:r>
      <w:r w:rsidRPr="0044370F">
        <w:rPr>
          <w:rStyle w:val="a8"/>
          <w:rFonts w:ascii="Times New Roman" w:eastAsia="Times New Roman" w:hAnsi="Times New Roman" w:cs="Times New Roman"/>
          <w:b/>
          <w:bCs/>
          <w:sz w:val="24"/>
          <w:szCs w:val="24"/>
          <w:lang w:eastAsia="en-IL"/>
        </w:rPr>
        <w:footnoteReference w:id="214"/>
      </w:r>
      <w:r w:rsidRPr="0044370F">
        <w:rPr>
          <w:rFonts w:ascii="Times New Roman" w:eastAsia="Times New Roman" w:hAnsi="Times New Roman" w:cs="Times New Roman"/>
          <w:sz w:val="24"/>
          <w:szCs w:val="24"/>
          <w:lang w:eastAsia="en-IL"/>
        </w:rPr>
        <w:t xml:space="preserve"> it deems unfair, another quasi-sovereign trait. It filed lawsuits in U.S. and EU courts to overturn bans (for instance, suing the U.S. over a federal procurement ban and contesting a Swedish 5G ban</w:t>
      </w:r>
      <w:r w:rsidRPr="0044370F">
        <w:rPr>
          <w:rStyle w:val="a8"/>
          <w:rFonts w:ascii="Times New Roman" w:eastAsia="Times New Roman" w:hAnsi="Times New Roman" w:cs="Times New Roman"/>
          <w:sz w:val="24"/>
          <w:szCs w:val="24"/>
          <w:lang w:eastAsia="en-IL"/>
        </w:rPr>
        <w:footnoteReference w:id="215"/>
      </w:r>
      <w:r w:rsidRPr="0044370F">
        <w:rPr>
          <w:rFonts w:ascii="Times New Roman" w:eastAsia="Times New Roman" w:hAnsi="Times New Roman" w:cs="Times New Roman"/>
          <w:sz w:val="24"/>
          <w:szCs w:val="24"/>
          <w:lang w:eastAsia="en-IL"/>
        </w:rPr>
        <w:t xml:space="preserve">), and it urged international legal forums to scrutinize whether U.S. measures violate free trade principles. While these efforts have seen limited success, they demonstrate Huawei’s engagement in </w:t>
      </w:r>
      <w:r w:rsidRPr="0044370F">
        <w:rPr>
          <w:rFonts w:ascii="Times New Roman" w:eastAsia="Times New Roman" w:hAnsi="Times New Roman" w:cs="Times New Roman"/>
          <w:i/>
          <w:iCs/>
          <w:sz w:val="24"/>
          <w:szCs w:val="24"/>
          <w:lang w:eastAsia="en-IL"/>
        </w:rPr>
        <w:t>normative battles</w:t>
      </w:r>
      <w:r w:rsidRPr="0044370F">
        <w:rPr>
          <w:rFonts w:ascii="Times New Roman" w:eastAsia="Times New Roman" w:hAnsi="Times New Roman" w:cs="Times New Roman"/>
          <w:sz w:val="24"/>
          <w:szCs w:val="24"/>
          <w:lang w:eastAsia="en-IL"/>
        </w:rPr>
        <w:t xml:space="preserve"> typically reserved for states. </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Public opinion surveys and sustained media analyses in Europe and North America consistently register high levels of distrust toward Huawei, reinforcing the argument that its legitimacy deficit in liberal democracies is systemic rather than episodic.</w:t>
      </w:r>
    </w:p>
    <w:p w:rsidR="008F42CF" w:rsidRPr="0044370F" w:rsidRDefault="008F42CF" w:rsidP="000F3EB9">
      <w:pPr>
        <w:pStyle w:val="4"/>
      </w:pPr>
      <w:r w:rsidRPr="0044370F">
        <w:rPr>
          <w:rStyle w:val="a4"/>
          <w:b/>
          <w:bCs w:val="0"/>
        </w:rPr>
        <w:t>6.2.3.3</w:t>
      </w:r>
      <w:r w:rsidRPr="0044370F">
        <w:rPr>
          <w:rStyle w:val="a4"/>
          <w:b/>
          <w:bCs w:val="0"/>
        </w:rPr>
        <w:tab/>
        <w:t>Cyber Sovereignty and Competing Norms</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 and China have also responded by attempting to </w:t>
      </w:r>
      <w:r w:rsidRPr="0044370F">
        <w:rPr>
          <w:rFonts w:ascii="Times New Roman" w:eastAsia="Times New Roman" w:hAnsi="Times New Roman" w:cs="Times New Roman"/>
          <w:b/>
          <w:bCs/>
          <w:sz w:val="24"/>
          <w:szCs w:val="24"/>
          <w:lang w:eastAsia="en-IL"/>
        </w:rPr>
        <w:t>create alternative norms</w:t>
      </w:r>
      <w:r w:rsidRPr="0044370F">
        <w:rPr>
          <w:rFonts w:ascii="Times New Roman" w:eastAsia="Times New Roman" w:hAnsi="Times New Roman" w:cs="Times New Roman"/>
          <w:sz w:val="24"/>
          <w:szCs w:val="24"/>
          <w:lang w:eastAsia="en-IL"/>
        </w:rPr>
        <w:t xml:space="preserve">: championing the principle of “cyber sovereignty” (each state’s right to control its cyberspace) as a counter to Western advocacy of a free and open internet. Publicly, China cites cyber sovereignty to defend Huawei’s access to markets, implying that excluding a company for security reasons absent proof violates the norms of sovereign equality and non-discrimination in trade. At the same time, critics </w:t>
      </w:r>
      <w:r w:rsidRPr="0044370F">
        <w:rPr>
          <w:rFonts w:ascii="Times New Roman" w:eastAsia="Times New Roman" w:hAnsi="Times New Roman" w:cs="Times New Roman"/>
          <w:sz w:val="24"/>
          <w:szCs w:val="24"/>
          <w:lang w:eastAsia="en-IL"/>
        </w:rPr>
        <w:lastRenderedPageBreak/>
        <w:t>note an irony: Huawei’s presence in foreign networks could undermine those very states’ sovereignty.</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Ultimately, Huawei’s legitimacy on the global stage remains divided</w:t>
      </w:r>
      <w:r w:rsidRPr="0044370F">
        <w:rPr>
          <w:rStyle w:val="a8"/>
          <w:rFonts w:ascii="Times New Roman" w:eastAsia="Times New Roman" w:hAnsi="Times New Roman" w:cs="Times New Roman"/>
          <w:sz w:val="24"/>
          <w:szCs w:val="24"/>
          <w:lang w:eastAsia="en-IL"/>
        </w:rPr>
        <w:footnoteReference w:id="216"/>
      </w:r>
      <w:r w:rsidRPr="0044370F">
        <w:rPr>
          <w:rFonts w:ascii="Times New Roman" w:eastAsia="Times New Roman" w:hAnsi="Times New Roman" w:cs="Times New Roman"/>
          <w:sz w:val="24"/>
          <w:szCs w:val="24"/>
          <w:lang w:eastAsia="en-IL"/>
        </w:rPr>
        <w:t>. In much of the Global South</w:t>
      </w:r>
      <w:r w:rsidRPr="0044370F">
        <w:rPr>
          <w:rStyle w:val="a8"/>
          <w:rFonts w:ascii="Times New Roman" w:eastAsia="Times New Roman" w:hAnsi="Times New Roman" w:cs="Times New Roman"/>
          <w:sz w:val="24"/>
          <w:szCs w:val="24"/>
          <w:lang w:eastAsia="en-IL"/>
        </w:rPr>
        <w:footnoteReference w:id="217"/>
      </w:r>
      <w:r w:rsidRPr="0044370F">
        <w:rPr>
          <w:rFonts w:ascii="Times New Roman" w:eastAsia="Times New Roman" w:hAnsi="Times New Roman" w:cs="Times New Roman"/>
          <w:sz w:val="24"/>
          <w:szCs w:val="24"/>
          <w:lang w:eastAsia="en-IL"/>
        </w:rPr>
        <w:t xml:space="preserve"> and within China, Huawei is often seen as a </w:t>
      </w:r>
      <w:r w:rsidRPr="0044370F">
        <w:rPr>
          <w:rFonts w:ascii="Times New Roman" w:eastAsia="Times New Roman" w:hAnsi="Times New Roman" w:cs="Times New Roman"/>
          <w:i/>
          <w:iCs/>
          <w:sz w:val="24"/>
          <w:szCs w:val="24"/>
          <w:lang w:eastAsia="en-IL"/>
        </w:rPr>
        <w:t>legitimate champion of innovation</w:t>
      </w:r>
      <w:r w:rsidRPr="0044370F">
        <w:rPr>
          <w:rFonts w:ascii="Times New Roman" w:eastAsia="Times New Roman" w:hAnsi="Times New Roman" w:cs="Times New Roman"/>
          <w:sz w:val="24"/>
          <w:szCs w:val="24"/>
          <w:lang w:eastAsia="en-IL"/>
        </w:rPr>
        <w:t xml:space="preserve"> and a provider of vital infrastructure, burnishing its normative authority by aligning with development goals and local partnerships. It has, for instance, cultivated a narrative of </w:t>
      </w:r>
      <w:r w:rsidRPr="0044370F">
        <w:rPr>
          <w:rFonts w:ascii="Times New Roman" w:eastAsia="Times New Roman" w:hAnsi="Times New Roman" w:cs="Times New Roman"/>
          <w:b/>
          <w:bCs/>
          <w:sz w:val="24"/>
          <w:szCs w:val="24"/>
          <w:lang w:eastAsia="en-IL"/>
        </w:rPr>
        <w:t>technological autonomy</w:t>
      </w:r>
      <w:r w:rsidRPr="0044370F">
        <w:rPr>
          <w:rFonts w:ascii="Times New Roman" w:eastAsia="Times New Roman" w:hAnsi="Times New Roman" w:cs="Times New Roman"/>
          <w:sz w:val="24"/>
          <w:szCs w:val="24"/>
          <w:lang w:eastAsia="en-IL"/>
        </w:rPr>
        <w:t xml:space="preserve"> that resonates with countries seeking to escape Western tech dominance. Huawei’s contributions to international standards</w:t>
      </w:r>
      <w:r w:rsidRPr="0044370F">
        <w:rPr>
          <w:rStyle w:val="a8"/>
          <w:rFonts w:ascii="Times New Roman" w:eastAsia="Times New Roman" w:hAnsi="Times New Roman" w:cs="Times New Roman"/>
          <w:sz w:val="24"/>
          <w:szCs w:val="24"/>
          <w:lang w:eastAsia="en-IL"/>
        </w:rPr>
        <w:footnoteReference w:id="218"/>
      </w:r>
      <w:r w:rsidRPr="0044370F">
        <w:rPr>
          <w:rFonts w:ascii="Times New Roman" w:eastAsia="Times New Roman" w:hAnsi="Times New Roman" w:cs="Times New Roman"/>
          <w:sz w:val="24"/>
          <w:szCs w:val="24"/>
          <w:lang w:eastAsia="en-IL"/>
        </w:rPr>
        <w:t xml:space="preserve"> bodies can also be seen as a form of private-sector normative authority, writing the “rules” for next-generation networks through technical protocols. In contrast, in the U.S.-led sphere, Huawei has suffered a legitimacy crisis from which it may never fully recover; it is viewed with suspicion, its name becoming synonymous with the dangers of unregulated corporate power entwined with authoritarianism. This polarized legitimacy has broader implications. It shows that unlike states, whose sovereignty provides a baseline of legitimacy in international society, corporations must continuously earn legitimacy, and their authority can be swiftly revoked by host countries. Huawei’s experience underscores how normative authority for quasi-sovereign firms is both powerful and fragile: powerful when a company can shape global norms.</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 indeed has influenced discussions on data security, privacy, and tech ethics by forcing countries to confront these issues, and fragile when geopolitical mistrust can delegitimize a firm irrespective of its formal compliance. As a result, Huawei’s case is now a reference point in debates </w:t>
      </w:r>
      <w:r w:rsidRPr="0044370F">
        <w:rPr>
          <w:rFonts w:ascii="Times New Roman" w:eastAsia="Times New Roman" w:hAnsi="Times New Roman" w:cs="Times New Roman"/>
          <w:sz w:val="24"/>
          <w:szCs w:val="24"/>
          <w:lang w:eastAsia="en-IL"/>
        </w:rPr>
        <w:lastRenderedPageBreak/>
        <w:t xml:space="preserve">about </w:t>
      </w:r>
      <w:r w:rsidRPr="0044370F">
        <w:rPr>
          <w:rFonts w:ascii="Times New Roman" w:eastAsia="Times New Roman" w:hAnsi="Times New Roman" w:cs="Times New Roman"/>
          <w:b/>
          <w:bCs/>
          <w:sz w:val="24"/>
          <w:szCs w:val="24"/>
          <w:lang w:eastAsia="en-IL"/>
        </w:rPr>
        <w:t>corporate accountability and the need for global governance mechanisms</w:t>
      </w:r>
      <w:r w:rsidRPr="0044370F">
        <w:rPr>
          <w:rStyle w:val="a8"/>
          <w:rFonts w:ascii="Times New Roman" w:eastAsia="Times New Roman" w:hAnsi="Times New Roman" w:cs="Times New Roman"/>
          <w:b/>
          <w:bCs/>
          <w:sz w:val="24"/>
          <w:szCs w:val="24"/>
          <w:lang w:eastAsia="en-IL"/>
        </w:rPr>
        <w:footnoteReference w:id="219"/>
      </w:r>
      <w:r w:rsidRPr="0044370F">
        <w:rPr>
          <w:rFonts w:ascii="Times New Roman" w:eastAsia="Times New Roman" w:hAnsi="Times New Roman" w:cs="Times New Roman"/>
          <w:sz w:val="24"/>
          <w:szCs w:val="24"/>
          <w:lang w:eastAsia="en-IL"/>
        </w:rPr>
        <w:t xml:space="preserve"> to oversee tech giants whose actions have sovereign-like repercussions.</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legitimacy frames how Huawei’s authority is justified and contested, technological mediation reveals how that authority is enacted in practice. The following section therefore shifts from symbolic and normative claims to the concrete mechanisms through which Huawei’s technologies mediate power within and between states.</w:t>
      </w:r>
    </w:p>
    <w:p w:rsidR="008F42CF" w:rsidRPr="0044370F" w:rsidRDefault="008F42CF" w:rsidP="008F42CF">
      <w:pPr>
        <w:pStyle w:val="NormalWeb"/>
        <w:spacing w:line="360" w:lineRule="auto"/>
        <w:jc w:val="both"/>
        <w:rPr>
          <w:lang w:val="en-IL"/>
        </w:rPr>
      </w:pPr>
      <w:r w:rsidRPr="0044370F">
        <w:t>This framing illustrates how competing normative orders structure the interpretation of corporate authority.</w:t>
      </w:r>
    </w:p>
    <w:p w:rsidR="008F42CF" w:rsidRPr="0044370F" w:rsidRDefault="000F3EB9" w:rsidP="000F3EB9">
      <w:pPr>
        <w:pStyle w:val="3"/>
        <w:rPr>
          <w:lang w:eastAsia="en-IL"/>
        </w:rPr>
      </w:pPr>
      <w:bookmarkStart w:id="160" w:name="_Toc222652824"/>
      <w:r w:rsidRPr="0044370F">
        <w:rPr>
          <w:lang w:eastAsia="en-IL"/>
        </w:rPr>
        <w:t>6.2.4</w:t>
      </w:r>
      <w:r w:rsidRPr="0044370F">
        <w:rPr>
          <w:lang w:eastAsia="en-IL"/>
        </w:rPr>
        <w:tab/>
      </w:r>
      <w:r w:rsidR="008F42CF" w:rsidRPr="0044370F">
        <w:rPr>
          <w:lang w:eastAsia="en-IL"/>
        </w:rPr>
        <w:t>Technological Mediation of Power</w:t>
      </w:r>
      <w:bookmarkEnd w:id="160"/>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final dimension of Huawei’s quasi-sovereign role lies in the </w:t>
      </w:r>
      <w:r w:rsidRPr="0044370F">
        <w:rPr>
          <w:rFonts w:ascii="Times New Roman" w:eastAsia="Times New Roman" w:hAnsi="Times New Roman" w:cs="Times New Roman"/>
          <w:b/>
          <w:bCs/>
          <w:sz w:val="24"/>
          <w:szCs w:val="24"/>
          <w:lang w:eastAsia="en-IL"/>
        </w:rPr>
        <w:t>technological mediation of power</w:t>
      </w:r>
      <w:r w:rsidRPr="0044370F">
        <w:rPr>
          <w:rFonts w:ascii="Times New Roman" w:eastAsia="Times New Roman" w:hAnsi="Times New Roman" w:cs="Times New Roman"/>
          <w:sz w:val="24"/>
          <w:szCs w:val="24"/>
          <w:lang w:eastAsia="en-IL"/>
        </w:rPr>
        <w:t>, how Huawei’s technology functions as an instrument of influence or control, often in ways traditionally associated with state power. Modern states derive power from controlling critical infrastructures (energy grids, highways, telecom networks) and from the ability to surveil and secure their populations. Huawei, as a leading provider of digital infrastructure</w:t>
      </w:r>
      <w:r w:rsidRPr="0044370F">
        <w:rPr>
          <w:rStyle w:val="a8"/>
          <w:rFonts w:ascii="Times New Roman" w:eastAsia="Times New Roman" w:hAnsi="Times New Roman" w:cs="Times New Roman"/>
          <w:sz w:val="24"/>
          <w:szCs w:val="24"/>
          <w:lang w:eastAsia="en-IL"/>
        </w:rPr>
        <w:footnoteReference w:id="220"/>
      </w:r>
      <w:r w:rsidRPr="0044370F">
        <w:rPr>
          <w:rFonts w:ascii="Times New Roman" w:eastAsia="Times New Roman" w:hAnsi="Times New Roman" w:cs="Times New Roman"/>
          <w:sz w:val="24"/>
          <w:szCs w:val="24"/>
          <w:lang w:eastAsia="en-IL"/>
        </w:rPr>
        <w:t xml:space="preserve">, increasingly sits at the </w:t>
      </w:r>
      <w:r w:rsidRPr="0044370F">
        <w:rPr>
          <w:rFonts w:ascii="Times New Roman" w:eastAsia="Times New Roman" w:hAnsi="Times New Roman" w:cs="Times New Roman"/>
          <w:i/>
          <w:iCs/>
          <w:sz w:val="24"/>
          <w:szCs w:val="24"/>
          <w:lang w:eastAsia="en-IL"/>
        </w:rPr>
        <w:t>controls of communication systems</w:t>
      </w:r>
      <w:r w:rsidRPr="0044370F">
        <w:rPr>
          <w:rFonts w:ascii="Times New Roman" w:eastAsia="Times New Roman" w:hAnsi="Times New Roman" w:cs="Times New Roman"/>
          <w:sz w:val="24"/>
          <w:szCs w:val="24"/>
          <w:lang w:eastAsia="en-IL"/>
        </w:rPr>
        <w:t>, effectively mediating the exercise of power within and between societies.</w:t>
      </w:r>
    </w:p>
    <w:p w:rsidR="008F42CF" w:rsidRPr="0044370F" w:rsidRDefault="000F3EB9" w:rsidP="000F3EB9">
      <w:pPr>
        <w:pStyle w:val="4"/>
      </w:pPr>
      <w:r w:rsidRPr="0044370F">
        <w:rPr>
          <w:rStyle w:val="a4"/>
          <w:b/>
          <w:bCs w:val="0"/>
          <w:lang w:val="en-US"/>
        </w:rPr>
        <w:t>6.2.4.1</w:t>
      </w:r>
      <w:r w:rsidRPr="0044370F">
        <w:rPr>
          <w:rStyle w:val="a4"/>
          <w:b/>
          <w:bCs w:val="0"/>
          <w:lang w:val="en-US"/>
        </w:rPr>
        <w:tab/>
      </w:r>
      <w:r w:rsidRPr="0044370F">
        <w:rPr>
          <w:rStyle w:val="a4"/>
          <w:b/>
          <w:bCs w:val="0"/>
          <w:lang w:val="en-US"/>
        </w:rPr>
        <w:tab/>
      </w:r>
      <w:r w:rsidR="008F42CF" w:rsidRPr="0044370F">
        <w:rPr>
          <w:rStyle w:val="a4"/>
          <w:b/>
          <w:bCs w:val="0"/>
        </w:rPr>
        <w:t>5G Networks as Strategic Infrastructure</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Huawei’s prominence in </w:t>
      </w:r>
      <w:r w:rsidRPr="0044370F">
        <w:rPr>
          <w:rFonts w:ascii="Times New Roman" w:eastAsia="Times New Roman" w:hAnsi="Times New Roman" w:cs="Times New Roman"/>
          <w:b/>
          <w:bCs/>
          <w:sz w:val="24"/>
          <w:szCs w:val="24"/>
          <w:lang w:eastAsia="en-IL"/>
        </w:rPr>
        <w:t>5G networks</w:t>
      </w:r>
      <w:r w:rsidRPr="0044370F">
        <w:rPr>
          <w:rFonts w:ascii="Times New Roman" w:eastAsia="Times New Roman" w:hAnsi="Times New Roman" w:cs="Times New Roman"/>
          <w:sz w:val="24"/>
          <w:szCs w:val="24"/>
          <w:lang w:eastAsia="en-IL"/>
        </w:rPr>
        <w:t xml:space="preserve"> epitomizes this mediating role</w:t>
      </w:r>
      <w:r w:rsidRPr="0044370F">
        <w:rPr>
          <w:rStyle w:val="a8"/>
          <w:rFonts w:ascii="Times New Roman" w:eastAsia="Times New Roman" w:hAnsi="Times New Roman" w:cs="Times New Roman"/>
          <w:sz w:val="24"/>
          <w:szCs w:val="24"/>
          <w:lang w:eastAsia="en-IL"/>
        </w:rPr>
        <w:footnoteReference w:id="221"/>
      </w:r>
      <w:r w:rsidRPr="0044370F">
        <w:rPr>
          <w:rFonts w:ascii="Times New Roman" w:eastAsia="Times New Roman" w:hAnsi="Times New Roman" w:cs="Times New Roman"/>
          <w:sz w:val="24"/>
          <w:szCs w:val="24"/>
          <w:lang w:eastAsia="en-IL"/>
        </w:rPr>
        <w:t xml:space="preserve">. Fifth-generation wireless is not just an upgrade in speed; it is the central nervous system of the digital economy, enabling everything from smart cities and telemedicine to military communications. </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many countries, allowing Huawei to build 5G is tantamount to outsourcing a part of national infrastructure to a foreign private entity. This creates an uneasy scenario where a corporation </w:t>
      </w:r>
      <w:r w:rsidRPr="0044370F">
        <w:rPr>
          <w:rFonts w:ascii="Times New Roman" w:eastAsia="Times New Roman" w:hAnsi="Times New Roman" w:cs="Times New Roman"/>
          <w:sz w:val="24"/>
          <w:szCs w:val="24"/>
          <w:lang w:eastAsia="en-IL"/>
        </w:rPr>
        <w:lastRenderedPageBreak/>
        <w:t xml:space="preserve">potentially has the </w:t>
      </w:r>
      <w:r w:rsidRPr="0044370F">
        <w:rPr>
          <w:rFonts w:ascii="Times New Roman" w:eastAsia="Times New Roman" w:hAnsi="Times New Roman" w:cs="Times New Roman"/>
          <w:i/>
          <w:iCs/>
          <w:sz w:val="24"/>
          <w:szCs w:val="24"/>
          <w:lang w:eastAsia="en-IL"/>
        </w:rPr>
        <w:t>technical capacity to intercept or disrupt communications at a nationwide scale</w:t>
      </w:r>
      <w:r w:rsidRPr="0044370F">
        <w:rPr>
          <w:rFonts w:ascii="Times New Roman" w:eastAsia="Times New Roman" w:hAnsi="Times New Roman" w:cs="Times New Roman"/>
          <w:sz w:val="24"/>
          <w:szCs w:val="24"/>
          <w:lang w:eastAsia="en-IL"/>
        </w:rPr>
        <w:t>, capabilities once reserved to sovereign governments. U.S. security agencies have warned that Huawei’s 5G equipment could contain hidden “backdoors”</w:t>
      </w:r>
      <w:r w:rsidRPr="0044370F">
        <w:rPr>
          <w:rStyle w:val="a8"/>
          <w:rFonts w:ascii="Times New Roman" w:eastAsia="Times New Roman" w:hAnsi="Times New Roman" w:cs="Times New Roman"/>
          <w:sz w:val="24"/>
          <w:szCs w:val="24"/>
          <w:lang w:eastAsia="en-IL"/>
        </w:rPr>
        <w:footnoteReference w:id="222"/>
      </w:r>
      <w:r w:rsidRPr="0044370F">
        <w:rPr>
          <w:rFonts w:ascii="Times New Roman" w:eastAsia="Times New Roman" w:hAnsi="Times New Roman" w:cs="Times New Roman"/>
          <w:sz w:val="24"/>
          <w:szCs w:val="24"/>
          <w:lang w:eastAsia="en-IL"/>
        </w:rPr>
        <w:t xml:space="preserve"> </w:t>
      </w:r>
      <w:r w:rsidRPr="0044370F">
        <w:rPr>
          <w:rFonts w:asciiTheme="majorBidi" w:hAnsiTheme="majorBidi" w:cstheme="majorBidi"/>
          <w:sz w:val="24"/>
          <w:szCs w:val="24"/>
        </w:rPr>
        <w:t>although no publicly disclosed evidence has confirmed the existence of intentional vulnerabilities.</w:t>
      </w:r>
      <w:r w:rsidRPr="0044370F">
        <w:t xml:space="preserve"> </w:t>
      </w:r>
    </w:p>
    <w:p w:rsidR="008F42CF" w:rsidRPr="0044370F" w:rsidRDefault="008F42CF" w:rsidP="008F42CF">
      <w:pPr>
        <w:pStyle w:val="NormalWeb"/>
        <w:spacing w:line="360" w:lineRule="auto"/>
        <w:jc w:val="both"/>
        <w:rPr>
          <w:rtl/>
          <w:lang w:eastAsia="en-IL"/>
        </w:rPr>
      </w:pPr>
      <w:r w:rsidRPr="0044370F">
        <w:t xml:space="preserve">U.S. security assessments have alleged that Huawei equipment could potentially disrupt sensitive communications, although no publicly disclosed technical proof has confirmed intentional backdoors. </w:t>
      </w:r>
      <w:r w:rsidRPr="0044370F">
        <w:rPr>
          <w:lang w:eastAsia="en-IL"/>
        </w:rPr>
        <w:t xml:space="preserve">Whether or not Huawei intended such use, the mere possibility signifies how deeply its technology mediates power: it could </w:t>
      </w:r>
      <w:r w:rsidRPr="0044370F">
        <w:rPr>
          <w:i/>
          <w:iCs/>
          <w:lang w:eastAsia="en-IL"/>
        </w:rPr>
        <w:t>provide or deny connectivity</w:t>
      </w:r>
      <w:r w:rsidRPr="0044370F">
        <w:rPr>
          <w:lang w:eastAsia="en-IL"/>
        </w:rPr>
        <w:t xml:space="preserve">, much as a state can grant or cut off access to vital services. The architecture of 5G itself heightens these concerns, as experts noted, unlike 4G, the distributed and software-driven nature of 5G blurs the core/periphery distinction, meaning the operator must be fully trusted. </w:t>
      </w:r>
    </w:p>
    <w:p w:rsidR="008F42CF" w:rsidRPr="0044370F" w:rsidRDefault="008F42CF" w:rsidP="008F42CF">
      <w:pPr>
        <w:pStyle w:val="NormalWeb"/>
        <w:spacing w:line="360" w:lineRule="auto"/>
        <w:jc w:val="both"/>
      </w:pPr>
      <w:r w:rsidRPr="0044370F">
        <w:t>If Huawei is that operator, countries essentially entrust a private foreign actor with an element of their sovereignty. This dynamic is historically unusual and can be likened to a nineteenth-century state allowing a foreign firm not only to build but also to operate its national telegraph system. The power mediation is two-way: Huawei gains leverage knowledge of and potential access to data traffic, and conversely, the Chinese state potentially gains a strategic edge through Huawei’s presence. Indeed, Western governments view Huawei as an appendage through which China can project cyber power</w:t>
      </w:r>
      <w:r w:rsidRPr="0044370F">
        <w:rPr>
          <w:rStyle w:val="a8"/>
        </w:rPr>
        <w:footnoteReference w:id="223"/>
      </w:r>
      <w:r w:rsidRPr="0044370F">
        <w:t xml:space="preserve"> extraterritorially.</w:t>
      </w:r>
    </w:p>
    <w:p w:rsidR="008F42CF" w:rsidRPr="0044370F" w:rsidRDefault="000F3EB9" w:rsidP="001B72AE">
      <w:pPr>
        <w:pStyle w:val="4"/>
      </w:pPr>
      <w:r w:rsidRPr="0044370F">
        <w:rPr>
          <w:rStyle w:val="a4"/>
          <w:b/>
          <w:bCs w:val="0"/>
        </w:rPr>
        <w:t>6.2.4</w:t>
      </w:r>
      <w:r w:rsidR="001B72AE" w:rsidRPr="0044370F">
        <w:rPr>
          <w:rStyle w:val="a4"/>
          <w:b/>
          <w:bCs w:val="0"/>
        </w:rPr>
        <w:t>.2</w:t>
      </w:r>
      <w:r w:rsidR="001B72AE" w:rsidRPr="0044370F">
        <w:rPr>
          <w:rStyle w:val="a4"/>
          <w:b/>
          <w:bCs w:val="0"/>
        </w:rPr>
        <w:tab/>
      </w:r>
      <w:r w:rsidR="001B72AE" w:rsidRPr="0044370F">
        <w:rPr>
          <w:rStyle w:val="a4"/>
          <w:b/>
          <w:bCs w:val="0"/>
        </w:rPr>
        <w:tab/>
      </w:r>
      <w:r w:rsidR="008F42CF" w:rsidRPr="0044370F">
        <w:rPr>
          <w:rStyle w:val="a4"/>
          <w:b/>
          <w:bCs w:val="0"/>
        </w:rPr>
        <w:t>Smart Cities, Surveillance, and Urban Governance</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Beyond communications, Huawei’s expansion into </w:t>
      </w:r>
      <w:r w:rsidRPr="0044370F">
        <w:rPr>
          <w:rFonts w:ascii="Times New Roman" w:eastAsia="Times New Roman" w:hAnsi="Times New Roman" w:cs="Times New Roman"/>
          <w:b/>
          <w:bCs/>
          <w:sz w:val="24"/>
          <w:szCs w:val="24"/>
          <w:lang w:eastAsia="en-IL"/>
        </w:rPr>
        <w:t>“smart city” and surveillance projects</w:t>
      </w:r>
      <w:r w:rsidRPr="0044370F">
        <w:rPr>
          <w:rFonts w:ascii="Times New Roman" w:eastAsia="Times New Roman" w:hAnsi="Times New Roman" w:cs="Times New Roman"/>
          <w:sz w:val="24"/>
          <w:szCs w:val="24"/>
          <w:lang w:eastAsia="en-IL"/>
        </w:rPr>
        <w:t xml:space="preserve"> reveals corporate technology directly mediating governance functions. By 2021, Huawei claimed involvement in over </w:t>
      </w:r>
      <w:r w:rsidRPr="0044370F">
        <w:rPr>
          <w:rFonts w:ascii="Times New Roman" w:eastAsia="Times New Roman" w:hAnsi="Times New Roman" w:cs="Times New Roman"/>
          <w:b/>
          <w:bCs/>
          <w:sz w:val="24"/>
          <w:szCs w:val="24"/>
          <w:lang w:eastAsia="en-IL"/>
        </w:rPr>
        <w:t>160 smart city projects across more than 100 countries</w:t>
      </w:r>
      <w:r w:rsidRPr="0044370F">
        <w:rPr>
          <w:rFonts w:ascii="Times New Roman" w:eastAsia="Times New Roman" w:hAnsi="Times New Roman" w:cs="Times New Roman"/>
          <w:sz w:val="24"/>
          <w:szCs w:val="24"/>
          <w:lang w:eastAsia="en-IL"/>
        </w:rPr>
        <w:t xml:space="preserve">. These range from installing city-wide CCTV camera networks with AI facial recognition, to providing cloud platforms for municipal data, to equipping police with integrated monitoring systems. Privacy International observes that in many such projects, Huawei is </w:t>
      </w:r>
      <w:r w:rsidRPr="0044370F">
        <w:rPr>
          <w:rFonts w:ascii="Times New Roman" w:eastAsia="Times New Roman" w:hAnsi="Times New Roman" w:cs="Times New Roman"/>
          <w:i/>
          <w:iCs/>
          <w:sz w:val="24"/>
          <w:szCs w:val="24"/>
          <w:lang w:eastAsia="en-IL"/>
        </w:rPr>
        <w:t>essentially performing state-like surveillance roles</w:t>
      </w:r>
      <w:r w:rsidRPr="0044370F">
        <w:rPr>
          <w:rFonts w:ascii="Times New Roman" w:eastAsia="Times New Roman" w:hAnsi="Times New Roman" w:cs="Times New Roman"/>
          <w:sz w:val="24"/>
          <w:szCs w:val="24"/>
          <w:lang w:eastAsia="en-IL"/>
        </w:rPr>
        <w:t xml:space="preserve">: its engineers set up and sometimes even run the systems that law enforcement </w:t>
      </w:r>
      <w:r w:rsidRPr="0044370F">
        <w:rPr>
          <w:rFonts w:ascii="Times New Roman" w:eastAsia="Times New Roman" w:hAnsi="Times New Roman" w:cs="Times New Roman"/>
          <w:sz w:val="24"/>
          <w:szCs w:val="24"/>
          <w:lang w:eastAsia="en-IL"/>
        </w:rPr>
        <w:lastRenderedPageBreak/>
        <w:t>uses to watch citizens. In some cases, Huawei’s involvement goes as far as “carrying out policing functions traditionally entrusted to the state</w:t>
      </w:r>
      <w:proofErr w:type="gramStart"/>
      <w:r w:rsidRPr="0044370F">
        <w:rPr>
          <w:rFonts w:ascii="Times New Roman" w:eastAsia="Times New Roman" w:hAnsi="Times New Roman" w:cs="Times New Roman"/>
          <w:sz w:val="24"/>
          <w:szCs w:val="24"/>
          <w:lang w:eastAsia="en-IL"/>
        </w:rPr>
        <w:t>”,  for</w:t>
      </w:r>
      <w:proofErr w:type="gramEnd"/>
      <w:r w:rsidRPr="0044370F">
        <w:rPr>
          <w:rFonts w:ascii="Times New Roman" w:eastAsia="Times New Roman" w:hAnsi="Times New Roman" w:cs="Times New Roman"/>
          <w:sz w:val="24"/>
          <w:szCs w:val="24"/>
          <w:lang w:eastAsia="en-IL"/>
        </w:rPr>
        <w:t xml:space="preserve"> example, analytics to track individuals or predict crimes. The </w:t>
      </w:r>
      <w:r w:rsidRPr="0044370F">
        <w:rPr>
          <w:rFonts w:ascii="Times New Roman" w:eastAsia="Times New Roman" w:hAnsi="Times New Roman" w:cs="Times New Roman"/>
          <w:b/>
          <w:bCs/>
          <w:sz w:val="24"/>
          <w:szCs w:val="24"/>
          <w:lang w:eastAsia="en-IL"/>
        </w:rPr>
        <w:t>blurring of public and private authority</w:t>
      </w:r>
      <w:r w:rsidRPr="0044370F">
        <w:rPr>
          <w:rFonts w:ascii="Times New Roman" w:eastAsia="Times New Roman" w:hAnsi="Times New Roman" w:cs="Times New Roman"/>
          <w:sz w:val="24"/>
          <w:szCs w:val="24"/>
          <w:lang w:eastAsia="en-IL"/>
        </w:rPr>
        <w:t xml:space="preserve"> here is striking. Municipalities have at times accepted Huawei’s offer of high-tech surveillance gear (often initially free or subsidized) without full oversight, thereby “trapping” themselves in a Huawei-managed ecosystem that is difficult to exit. </w:t>
      </w:r>
    </w:p>
    <w:p w:rsidR="008F42CF" w:rsidRPr="0044370F" w:rsidRDefault="008F42CF" w:rsidP="008F42CF">
      <w:pPr>
        <w:pStyle w:val="NormalWeb"/>
        <w:spacing w:line="360" w:lineRule="auto"/>
        <w:jc w:val="both"/>
        <w:rPr>
          <w:lang w:val="en-IL" w:eastAsia="en-IL"/>
        </w:rPr>
      </w:pPr>
      <w:r w:rsidRPr="0044370F">
        <w:t>This effectively hands Huawei a lever over urban security operations. In Uganda and Zambia</w:t>
      </w:r>
      <w:r w:rsidRPr="0044370F">
        <w:rPr>
          <w:rStyle w:val="a8"/>
        </w:rPr>
        <w:footnoteReference w:id="224"/>
      </w:r>
      <w:r w:rsidRPr="0044370F">
        <w:t xml:space="preserve">, media investigations reported that Huawei technicians assisted government authorities in accessing opposition communications, enabling the surveillance and arrest of political dissidents. While Huawei denied that such actions were authorized by the company, the cases illustrate how corporate technical expertise can become entangled in state surveillance practices. These cases illustrate how corporate technical expertise can become entangled in state surveillance practices. The </w:t>
      </w:r>
      <w:r w:rsidRPr="0044370F">
        <w:rPr>
          <w:b/>
          <w:bCs/>
        </w:rPr>
        <w:t>technological sovereignty</w:t>
      </w:r>
      <w:r w:rsidRPr="0044370F">
        <w:t xml:space="preserve"> of those states was effectively shared to Huawei, illustrating how a corporation can directly shape domestic power dynamics elsewhere.</w:t>
      </w:r>
    </w:p>
    <w:p w:rsidR="008F42CF" w:rsidRPr="0044370F" w:rsidRDefault="008F42CF" w:rsidP="001B72AE">
      <w:pPr>
        <w:pStyle w:val="4"/>
      </w:pPr>
      <w:r w:rsidRPr="0044370F">
        <w:rPr>
          <w:rStyle w:val="a4"/>
          <w:rFonts w:hint="cs"/>
          <w:i/>
          <w:iCs w:val="0"/>
          <w:szCs w:val="24"/>
          <w:rtl/>
        </w:rPr>
        <w:t>6</w:t>
      </w:r>
      <w:r w:rsidRPr="0044370F">
        <w:rPr>
          <w:rStyle w:val="a4"/>
          <w:b/>
          <w:bCs w:val="0"/>
        </w:rPr>
        <w:t>.2.4.3</w:t>
      </w:r>
      <w:r w:rsidRPr="0044370F">
        <w:rPr>
          <w:rStyle w:val="a4"/>
          <w:b/>
          <w:bCs w:val="0"/>
        </w:rPr>
        <w:tab/>
      </w:r>
      <w:r w:rsidRPr="0044370F">
        <w:rPr>
          <w:rStyle w:val="a4"/>
          <w:b/>
          <w:bCs w:val="0"/>
        </w:rPr>
        <w:tab/>
        <w:t>Standards-Setting and Normative Power</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Huawei’s mediation of power also extends to shaping the </w:t>
      </w:r>
      <w:r w:rsidRPr="0044370F">
        <w:rPr>
          <w:rFonts w:ascii="Times New Roman" w:eastAsia="Times New Roman" w:hAnsi="Times New Roman" w:cs="Times New Roman"/>
          <w:b/>
          <w:bCs/>
          <w:sz w:val="24"/>
          <w:szCs w:val="24"/>
          <w:lang w:eastAsia="en-IL"/>
        </w:rPr>
        <w:t>future rules and architecture of cyberspace</w:t>
      </w:r>
      <w:r w:rsidRPr="0044370F">
        <w:rPr>
          <w:rFonts w:ascii="Times New Roman" w:eastAsia="Times New Roman" w:hAnsi="Times New Roman" w:cs="Times New Roman"/>
          <w:sz w:val="24"/>
          <w:szCs w:val="24"/>
          <w:lang w:eastAsia="en-IL"/>
        </w:rPr>
        <w:t>. As a major player in international standards-setting (e.g. its proposals in the ITU</w:t>
      </w:r>
      <w:r w:rsidRPr="0044370F">
        <w:rPr>
          <w:rStyle w:val="a8"/>
          <w:rFonts w:ascii="Times New Roman" w:eastAsia="Times New Roman" w:hAnsi="Times New Roman" w:cs="Times New Roman"/>
          <w:sz w:val="24"/>
          <w:szCs w:val="24"/>
          <w:lang w:eastAsia="en-IL"/>
        </w:rPr>
        <w:footnoteReference w:id="225"/>
      </w:r>
      <w:r w:rsidRPr="0044370F">
        <w:rPr>
          <w:rFonts w:ascii="Times New Roman" w:eastAsia="Times New Roman" w:hAnsi="Times New Roman" w:cs="Times New Roman"/>
          <w:sz w:val="24"/>
          <w:szCs w:val="24"/>
          <w:lang w:eastAsia="en-IL"/>
        </w:rPr>
        <w:t xml:space="preserve">), Huawei has advanced concepts aligned with a more state-controlled internet. One much-discussed example was Huawei’s advocacy of a “New IP” internet </w:t>
      </w:r>
      <w:proofErr w:type="gramStart"/>
      <w:r w:rsidRPr="0044370F">
        <w:rPr>
          <w:rFonts w:ascii="Times New Roman" w:eastAsia="Times New Roman" w:hAnsi="Times New Roman" w:cs="Times New Roman"/>
          <w:sz w:val="24"/>
          <w:szCs w:val="24"/>
          <w:lang w:eastAsia="en-IL"/>
        </w:rPr>
        <w:t>protocol,  a</w:t>
      </w:r>
      <w:proofErr w:type="gramEnd"/>
      <w:r w:rsidRPr="0044370F">
        <w:rPr>
          <w:rFonts w:ascii="Times New Roman" w:eastAsia="Times New Roman" w:hAnsi="Times New Roman" w:cs="Times New Roman"/>
          <w:sz w:val="24"/>
          <w:szCs w:val="24"/>
          <w:lang w:eastAsia="en-IL"/>
        </w:rPr>
        <w:t xml:space="preserve"> re-design of internet architecture that could bake in user identification and easier central control, ostensibly for security and efficiency. Critics argued this was a </w:t>
      </w:r>
      <w:r w:rsidRPr="0044370F">
        <w:rPr>
          <w:rFonts w:ascii="Times New Roman" w:eastAsia="Times New Roman" w:hAnsi="Times New Roman" w:cs="Times New Roman"/>
          <w:i/>
          <w:iCs/>
          <w:sz w:val="24"/>
          <w:szCs w:val="24"/>
          <w:lang w:eastAsia="en-IL"/>
        </w:rPr>
        <w:t>dystopian model</w:t>
      </w:r>
      <w:r w:rsidRPr="0044370F">
        <w:rPr>
          <w:rFonts w:ascii="Times New Roman" w:eastAsia="Times New Roman" w:hAnsi="Times New Roman" w:cs="Times New Roman"/>
          <w:sz w:val="24"/>
          <w:szCs w:val="24"/>
          <w:lang w:eastAsia="en-IL"/>
        </w:rPr>
        <w:t xml:space="preserve"> enabling censorship and top-down governance of the internet, in line with authoritarian preferences. Although New IP did not gain global acceptance, Huawei’s push forced a debate in international forums about </w:t>
      </w:r>
      <w:r w:rsidRPr="0044370F">
        <w:rPr>
          <w:rFonts w:ascii="Times New Roman" w:eastAsia="Times New Roman" w:hAnsi="Times New Roman" w:cs="Times New Roman"/>
          <w:b/>
          <w:bCs/>
          <w:sz w:val="24"/>
          <w:szCs w:val="24"/>
          <w:lang w:eastAsia="en-IL"/>
        </w:rPr>
        <w:t>who writes the technological rules of the road</w:t>
      </w:r>
      <w:r w:rsidRPr="0044370F">
        <w:rPr>
          <w:rFonts w:ascii="Times New Roman" w:eastAsia="Times New Roman" w:hAnsi="Times New Roman" w:cs="Times New Roman"/>
          <w:sz w:val="24"/>
          <w:szCs w:val="24"/>
          <w:lang w:eastAsia="en-IL"/>
        </w:rPr>
        <w:t>.</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Although the New IP proposal did not achieve broad international adoption, it significantly shaped debates within the ITU and underscored how technical standards can become sites of geopolitical contestation.</w:t>
      </w:r>
    </w:p>
    <w:p w:rsidR="008F42CF" w:rsidRPr="0044370F" w:rsidRDefault="008F42CF" w:rsidP="008F42CF">
      <w:pPr>
        <w:pStyle w:val="NormalWeb"/>
        <w:spacing w:line="360" w:lineRule="auto"/>
        <w:jc w:val="both"/>
      </w:pPr>
      <w:r w:rsidRPr="0044370F">
        <w:t>The debate surrounding New IP demonstrates how technical standards function as arenas of geopolitical negotiation rather than neutral engineering proposals.</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Such influence is another facet of quasi-sovereign power: much like powerful states try to shape international norms and standards to their advantage, Huawei (with backing from China) attempted to shape the underlying technological norms in a way that could redistribute power towards state and corporate gatekeepers. In parallel, Huawei’s dominance in patents for emerging technologies (from 5G to AI and potentially quantum communication) means it could influence which technologies proliferate and on what terms. If Huawei’s patented technologies become essential in global infrastructure, Huawei will have a </w:t>
      </w:r>
      <w:r w:rsidRPr="0044370F">
        <w:rPr>
          <w:rFonts w:ascii="Times New Roman" w:eastAsia="Times New Roman" w:hAnsi="Times New Roman" w:cs="Times New Roman"/>
          <w:i/>
          <w:iCs/>
          <w:sz w:val="24"/>
          <w:szCs w:val="24"/>
          <w:lang w:eastAsia="en-IL"/>
        </w:rPr>
        <w:t>taxation-like power</w:t>
      </w:r>
      <w:r w:rsidRPr="0044370F">
        <w:rPr>
          <w:rFonts w:ascii="Times New Roman" w:eastAsia="Times New Roman" w:hAnsi="Times New Roman" w:cs="Times New Roman"/>
          <w:sz w:val="24"/>
          <w:szCs w:val="24"/>
          <w:lang w:eastAsia="en-IL"/>
        </w:rPr>
        <w:t xml:space="preserve"> via licensing fees and the ability to grant or withhold use, analogous to sovereign control over a resource. In 2021, Huawei indeed announced it would start charging royalties on 5G patents, a notable shift from its earlier near-giveaway approach</w:t>
      </w:r>
      <w:r w:rsidRPr="0044370F">
        <w:rPr>
          <w:rStyle w:val="a8"/>
          <w:rFonts w:ascii="Times New Roman" w:eastAsia="Times New Roman" w:hAnsi="Times New Roman" w:cs="Times New Roman"/>
          <w:sz w:val="24"/>
          <w:szCs w:val="24"/>
          <w:lang w:eastAsia="en-IL"/>
        </w:rPr>
        <w:footnoteReference w:id="226"/>
      </w:r>
      <w:r w:rsidRPr="0044370F">
        <w:rPr>
          <w:rFonts w:ascii="Times New Roman" w:eastAsia="Times New Roman" w:hAnsi="Times New Roman" w:cs="Times New Roman"/>
          <w:sz w:val="24"/>
          <w:szCs w:val="24"/>
          <w:lang w:eastAsia="en-IL"/>
        </w:rPr>
        <w:t>, signifying an assertion of its property rights over global telecom technology.</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From a security perspective, Huawei’s technology mediation challenges traditional notions of sovereignty. States fear that allowing Huawei inside their networks could give </w:t>
      </w:r>
      <w:r w:rsidRPr="0044370F">
        <w:rPr>
          <w:rFonts w:ascii="Times New Roman" w:eastAsia="Times New Roman" w:hAnsi="Times New Roman" w:cs="Times New Roman"/>
          <w:i/>
          <w:iCs/>
          <w:sz w:val="24"/>
          <w:szCs w:val="24"/>
          <w:lang w:eastAsia="en-IL"/>
        </w:rPr>
        <w:t>Beijing a foothold inside their territory via cyberspace</w:t>
      </w:r>
      <w:r w:rsidRPr="0044370F">
        <w:rPr>
          <w:rFonts w:ascii="Times New Roman" w:eastAsia="Times New Roman" w:hAnsi="Times New Roman" w:cs="Times New Roman"/>
          <w:sz w:val="24"/>
          <w:szCs w:val="24"/>
          <w:lang w:eastAsia="en-IL"/>
        </w:rPr>
        <w:t xml:space="preserve">. This has even led to scenarios of </w:t>
      </w:r>
      <w:r w:rsidRPr="0044370F">
        <w:rPr>
          <w:rFonts w:ascii="Times New Roman" w:eastAsia="Times New Roman" w:hAnsi="Times New Roman" w:cs="Times New Roman"/>
          <w:b/>
          <w:bCs/>
          <w:sz w:val="24"/>
          <w:szCs w:val="24"/>
          <w:lang w:eastAsia="en-IL"/>
        </w:rPr>
        <w:t>techno-nationalism</w:t>
      </w:r>
      <w:r w:rsidRPr="0044370F">
        <w:rPr>
          <w:rFonts w:ascii="Times New Roman" w:eastAsia="Times New Roman" w:hAnsi="Times New Roman" w:cs="Times New Roman"/>
          <w:sz w:val="24"/>
          <w:szCs w:val="24"/>
          <w:lang w:eastAsia="en-IL"/>
        </w:rPr>
        <w:t>, where countries like the U.S. invoke emergency powers to purge Huawei gear (the U.S. FCC ordered removal of Huawei equipment from rural telecom networks, deeming it a threat to national security</w:t>
      </w:r>
      <w:r w:rsidRPr="0044370F">
        <w:rPr>
          <w:rStyle w:val="a8"/>
          <w:rFonts w:ascii="Times New Roman" w:eastAsia="Times New Roman" w:hAnsi="Times New Roman" w:cs="Times New Roman"/>
          <w:sz w:val="24"/>
          <w:szCs w:val="24"/>
          <w:lang w:eastAsia="en-IL"/>
        </w:rPr>
        <w:footnoteReference w:id="227"/>
      </w:r>
      <w:r w:rsidRPr="0044370F">
        <w:rPr>
          <w:rFonts w:ascii="Times New Roman" w:eastAsia="Times New Roman" w:hAnsi="Times New Roman" w:cs="Times New Roman"/>
          <w:sz w:val="24"/>
          <w:szCs w:val="24"/>
          <w:lang w:eastAsia="en-IL"/>
        </w:rPr>
        <w:t xml:space="preserve">). Such moves treat Huawei almost as a </w:t>
      </w:r>
      <w:r w:rsidRPr="0044370F">
        <w:rPr>
          <w:rFonts w:ascii="Times New Roman" w:eastAsia="Times New Roman" w:hAnsi="Times New Roman" w:cs="Times New Roman"/>
          <w:i/>
          <w:iCs/>
          <w:sz w:val="24"/>
          <w:szCs w:val="24"/>
          <w:lang w:eastAsia="en-IL"/>
        </w:rPr>
        <w:t>hostile sovereign power</w:t>
      </w:r>
      <w:r w:rsidRPr="0044370F">
        <w:rPr>
          <w:rFonts w:ascii="Times New Roman" w:eastAsia="Times New Roman" w:hAnsi="Times New Roman" w:cs="Times New Roman"/>
          <w:sz w:val="24"/>
          <w:szCs w:val="24"/>
          <w:lang w:eastAsia="en-IL"/>
        </w:rPr>
        <w:t xml:space="preserve"> from which a country must defend itself. Conversely, China’s staunch defense of Huawei, including diplomatic and economic retaliation against countries that exclude it, shows that Huawei’s tech presence is perceived by Beijing as a national interest. In effect, </w:t>
      </w:r>
      <w:r w:rsidRPr="0044370F">
        <w:rPr>
          <w:rFonts w:ascii="Times New Roman" w:eastAsia="Times New Roman" w:hAnsi="Times New Roman" w:cs="Times New Roman"/>
          <w:b/>
          <w:bCs/>
          <w:sz w:val="24"/>
          <w:szCs w:val="24"/>
          <w:lang w:eastAsia="en-IL"/>
        </w:rPr>
        <w:t xml:space="preserve">Huawei’s technological reach became a </w:t>
      </w:r>
      <w:r w:rsidRPr="0044370F">
        <w:rPr>
          <w:rFonts w:ascii="Times New Roman" w:eastAsia="Times New Roman" w:hAnsi="Times New Roman" w:cs="Times New Roman"/>
          <w:b/>
          <w:bCs/>
          <w:sz w:val="24"/>
          <w:szCs w:val="24"/>
          <w:lang w:eastAsia="en-IL"/>
        </w:rPr>
        <w:lastRenderedPageBreak/>
        <w:t>proxy for Chinese sovereign reach</w:t>
      </w:r>
      <w:r w:rsidRPr="0044370F">
        <w:rPr>
          <w:rStyle w:val="a8"/>
          <w:rFonts w:ascii="Times New Roman" w:eastAsia="Times New Roman" w:hAnsi="Times New Roman" w:cs="Times New Roman"/>
          <w:b/>
          <w:bCs/>
          <w:sz w:val="24"/>
          <w:szCs w:val="24"/>
          <w:lang w:eastAsia="en-IL"/>
        </w:rPr>
        <w:footnoteReference w:id="228"/>
      </w:r>
      <w:r w:rsidRPr="0044370F">
        <w:rPr>
          <w:rFonts w:ascii="Times New Roman" w:eastAsia="Times New Roman" w:hAnsi="Times New Roman" w:cs="Times New Roman"/>
          <w:sz w:val="24"/>
          <w:szCs w:val="24"/>
          <w:lang w:eastAsia="en-IL"/>
        </w:rPr>
        <w:t xml:space="preserve">, and resisting Huawei became a proxy for defending one’s own sovereignty. This conflation of corporate and state power projection is precisely what the concept of quasi-sovereignty seeks to capture. Huawei’s ability to mediate power through technology connecting or disconnecting people, enabling surveillance or secure communications, shaping global tech standards, empowers it to </w:t>
      </w:r>
      <w:r w:rsidRPr="0044370F">
        <w:rPr>
          <w:rFonts w:ascii="Times New Roman" w:eastAsia="Times New Roman" w:hAnsi="Times New Roman" w:cs="Times New Roman"/>
          <w:b/>
          <w:bCs/>
          <w:sz w:val="24"/>
          <w:szCs w:val="24"/>
          <w:lang w:eastAsia="en-IL"/>
        </w:rPr>
        <w:t>act beyond the normal remit of a private firm</w:t>
      </w:r>
      <w:r w:rsidRPr="0044370F">
        <w:rPr>
          <w:rFonts w:ascii="Times New Roman" w:eastAsia="Times New Roman" w:hAnsi="Times New Roman" w:cs="Times New Roman"/>
          <w:sz w:val="24"/>
          <w:szCs w:val="24"/>
          <w:lang w:eastAsia="en-IL"/>
        </w:rPr>
        <w:t>, stepping into roles of guardian (or violator) of public security and order.</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technological mediation dimension reveals Huawei as an actor whose products and services constitute </w:t>
      </w:r>
      <w:r w:rsidRPr="0044370F">
        <w:rPr>
          <w:rFonts w:ascii="Times New Roman" w:eastAsia="Times New Roman" w:hAnsi="Times New Roman" w:cs="Times New Roman"/>
          <w:i/>
          <w:iCs/>
          <w:sz w:val="24"/>
          <w:szCs w:val="24"/>
          <w:lang w:eastAsia="en-IL"/>
        </w:rPr>
        <w:t>infrastructural power</w:t>
      </w:r>
      <w:r w:rsidRPr="0044370F">
        <w:rPr>
          <w:rFonts w:ascii="Times New Roman" w:eastAsia="Times New Roman" w:hAnsi="Times New Roman" w:cs="Times New Roman"/>
          <w:sz w:val="24"/>
          <w:szCs w:val="24"/>
          <w:lang w:eastAsia="en-IL"/>
        </w:rPr>
        <w:t xml:space="preserve">. Michael Mann’s distinction between despotic and infrastructural power of states is instructive here: states achieve power not just by coercion but by the infrastructure that allows them to penetrate and coordinate society. Huawei provides such infrastructure transnationally. It supplies the literal means by which information, the lifeblood of modern economies and governance, flows. By doing so, Huawei can indirectly set constraints or enable actions for others. This power is sovereign-like in that it affects the autonomy and capacity of states, a country with Huawei infrastructure may find that a foreign corporate logic (or a foreign state’s influence via that company) is built into its governance capabilities. </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For Huawei, this has been a double-edged sword; it gained unparalleled global influence, but it also became seen as a strategic threat precisely because of the power its technology mediates. The Huawei case thus spotlights how in the digital age, controlling technology platforms and infrastructures confers a form of sovereignty, one that corporations can wield, intentionally or not.</w:t>
      </w:r>
    </w:p>
    <w:p w:rsidR="008F42CF" w:rsidRPr="0044370F" w:rsidRDefault="001B72AE" w:rsidP="0075401E">
      <w:pPr>
        <w:pStyle w:val="2"/>
      </w:pPr>
      <w:bookmarkStart w:id="161" w:name="_Toc222652825"/>
      <w:r w:rsidRPr="0044370F">
        <w:t>6.3</w:t>
      </w:r>
      <w:r w:rsidRPr="0044370F">
        <w:tab/>
      </w:r>
      <w:r w:rsidR="008F42CF" w:rsidRPr="0044370F">
        <w:t>Huawei and the Diffusion of Sovereignty in the Digital Age</w:t>
      </w:r>
      <w:bookmarkEnd w:id="161"/>
    </w:p>
    <w:p w:rsidR="008F42CF" w:rsidRPr="0044370F" w:rsidRDefault="008F42CF" w:rsidP="008F42CF">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This case study demonstrates that corporate quasi-sovereignty can </w:t>
      </w:r>
      <w:r w:rsidRPr="0044370F">
        <w:rPr>
          <w:rFonts w:asciiTheme="majorBidi" w:hAnsiTheme="majorBidi" w:cstheme="majorBidi"/>
          <w:sz w:val="24"/>
          <w:szCs w:val="24"/>
        </w:rPr>
        <w:t xml:space="preserve">take particularly pronounced form </w:t>
      </w:r>
      <w:r w:rsidRPr="0044370F">
        <w:rPr>
          <w:rFonts w:asciiTheme="majorBidi" w:eastAsia="Times New Roman" w:hAnsiTheme="majorBidi" w:cstheme="majorBidi"/>
          <w:sz w:val="24"/>
          <w:szCs w:val="24"/>
        </w:rPr>
        <w:t>when corporate power is closely aligned with state strategy, producing a hybrid configuration in which national and corporate authority become mutually reinforcing.</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Huawei’s trajectory and behavior illuminate how sovereignty is becoming diffuse and networked in the 21st century. The company operates at times as an arm of the Chinese state’s geopolitical strategy, and at other times as an autonomous entity pursuing its own global interests, often it is both simultaneously. This dual nature exemplifies the </w:t>
      </w:r>
      <w:r w:rsidRPr="0044370F">
        <w:rPr>
          <w:rFonts w:ascii="Times New Roman" w:eastAsia="Times New Roman" w:hAnsi="Times New Roman" w:cs="Times New Roman"/>
          <w:b/>
          <w:bCs/>
          <w:sz w:val="24"/>
          <w:szCs w:val="24"/>
          <w:lang w:eastAsia="en-IL"/>
        </w:rPr>
        <w:t>hybrid sovereignty</w:t>
      </w:r>
      <w:r w:rsidRPr="0044370F">
        <w:rPr>
          <w:rFonts w:ascii="Times New Roman" w:eastAsia="Times New Roman" w:hAnsi="Times New Roman" w:cs="Times New Roman"/>
          <w:sz w:val="24"/>
          <w:szCs w:val="24"/>
          <w:lang w:eastAsia="en-IL"/>
        </w:rPr>
        <w:t xml:space="preserve"> that arises when corporate power and state power interpenetrate. Huawei’s case demonstrates that </w:t>
      </w:r>
      <w:r w:rsidRPr="0044370F">
        <w:rPr>
          <w:rFonts w:ascii="Times New Roman" w:eastAsia="Times New Roman" w:hAnsi="Times New Roman" w:cs="Times New Roman"/>
          <w:b/>
          <w:bCs/>
          <w:sz w:val="24"/>
          <w:szCs w:val="24"/>
          <w:lang w:eastAsia="en-IL"/>
        </w:rPr>
        <w:t>key attributes of sovereignty, control over resources, embedded influence in global structures, normative authority, and infrastructural control, are no longer the exclusive province of nation-states</w:t>
      </w:r>
      <w:r w:rsidRPr="0044370F">
        <w:rPr>
          <w:rFonts w:ascii="Times New Roman" w:eastAsia="Times New Roman" w:hAnsi="Times New Roman" w:cs="Times New Roman"/>
          <w:sz w:val="24"/>
          <w:szCs w:val="24"/>
          <w:lang w:eastAsia="en-IL"/>
        </w:rPr>
        <w:t>. In a digital and globalized world, a multinational firm with sufficient scale and strategic backing can assume roles that make it quasi-sovereign.</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Firstly, Huawei shows that </w:t>
      </w:r>
      <w:r w:rsidRPr="0044370F">
        <w:rPr>
          <w:rFonts w:ascii="Times New Roman" w:eastAsia="Times New Roman" w:hAnsi="Times New Roman" w:cs="Times New Roman"/>
          <w:b/>
          <w:bCs/>
          <w:sz w:val="24"/>
          <w:szCs w:val="24"/>
          <w:lang w:eastAsia="en-IL"/>
        </w:rPr>
        <w:t>sovereign-like power can travel via supply chains and networks</w:t>
      </w:r>
      <w:r w:rsidRPr="0044370F">
        <w:rPr>
          <w:rStyle w:val="a8"/>
          <w:rFonts w:ascii="Times New Roman" w:eastAsia="Times New Roman" w:hAnsi="Times New Roman" w:cs="Times New Roman"/>
          <w:b/>
          <w:bCs/>
          <w:sz w:val="24"/>
          <w:szCs w:val="24"/>
          <w:lang w:eastAsia="en-IL"/>
        </w:rPr>
        <w:footnoteReference w:id="229"/>
      </w:r>
      <w:r w:rsidRPr="0044370F">
        <w:rPr>
          <w:rFonts w:ascii="Times New Roman" w:eastAsia="Times New Roman" w:hAnsi="Times New Roman" w:cs="Times New Roman"/>
          <w:sz w:val="24"/>
          <w:szCs w:val="24"/>
          <w:lang w:eastAsia="en-IL"/>
        </w:rPr>
        <w:t xml:space="preserve"> rather than territory alone. Huawei’s “empire” is one of client networks and standard-setting forums rather than colonies, yet the effect is similar in some respects to historical empires: dependencies are created, local elites (telecom operators, regulators) are influenced, and an architecture is laid that can persist for decades. This raises challenging questions for international order. How should global governance respond when corporations become carriers of geopolitical influence? Traditional regimes (trade law, investment law) treat firms as objects to be governed by states, not as independent power players. Huawei reveals a gap in this architecture, global rules struggle to address a scenario where a company can directly affect the security and prosperity of other countries, beyond the immediate control of its home state’s regulators. The U.S. attempt to curb Huawei through sanctions and export controls was effectively an invocation of sovereign power against a foreign corporate entity, a kind of </w:t>
      </w:r>
      <w:r w:rsidRPr="0044370F">
        <w:rPr>
          <w:rFonts w:ascii="Times New Roman" w:eastAsia="Times New Roman" w:hAnsi="Times New Roman" w:cs="Times New Roman"/>
          <w:i/>
          <w:iCs/>
          <w:sz w:val="24"/>
          <w:szCs w:val="24"/>
          <w:lang w:eastAsia="en-IL"/>
        </w:rPr>
        <w:t>containment policy</w:t>
      </w:r>
      <w:r w:rsidRPr="0044370F">
        <w:rPr>
          <w:rFonts w:ascii="Times New Roman" w:eastAsia="Times New Roman" w:hAnsi="Times New Roman" w:cs="Times New Roman"/>
          <w:sz w:val="24"/>
          <w:szCs w:val="24"/>
          <w:lang w:eastAsia="en-IL"/>
        </w:rPr>
        <w:t xml:space="preserve"> more usually directed at rival states. It highlights that the </w:t>
      </w:r>
      <w:r w:rsidRPr="0044370F">
        <w:rPr>
          <w:rFonts w:ascii="Times New Roman" w:eastAsia="Times New Roman" w:hAnsi="Times New Roman" w:cs="Times New Roman"/>
          <w:b/>
          <w:bCs/>
          <w:sz w:val="24"/>
          <w:szCs w:val="24"/>
          <w:lang w:eastAsia="en-IL"/>
        </w:rPr>
        <w:t>balance of power</w:t>
      </w:r>
      <w:r w:rsidRPr="0044370F">
        <w:rPr>
          <w:rFonts w:ascii="Times New Roman" w:eastAsia="Times New Roman" w:hAnsi="Times New Roman" w:cs="Times New Roman"/>
          <w:sz w:val="24"/>
          <w:szCs w:val="24"/>
          <w:lang w:eastAsia="en-IL"/>
        </w:rPr>
        <w:t xml:space="preserve"> concept may need extension into the corporate realm: alliances and coalitions are being formed (e.g., the U.S.-led “Clean Network” initiative to exclude Huawei) not just against states, but against firms seen as embodying state power.</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Secondly, Huawei underscores the </w:t>
      </w:r>
      <w:r w:rsidRPr="0044370F">
        <w:rPr>
          <w:rFonts w:ascii="Times New Roman" w:eastAsia="Times New Roman" w:hAnsi="Times New Roman" w:cs="Times New Roman"/>
          <w:b/>
          <w:bCs/>
          <w:sz w:val="24"/>
          <w:szCs w:val="24"/>
          <w:lang w:eastAsia="en-IL"/>
        </w:rPr>
        <w:t>normative ambiguity</w:t>
      </w:r>
      <w:r w:rsidRPr="0044370F">
        <w:rPr>
          <w:rFonts w:ascii="Times New Roman" w:eastAsia="Times New Roman" w:hAnsi="Times New Roman" w:cs="Times New Roman"/>
          <w:sz w:val="24"/>
          <w:szCs w:val="24"/>
          <w:lang w:eastAsia="en-IL"/>
        </w:rPr>
        <w:t xml:space="preserve"> introduced by quasi-sovereign corporations. The company straddles different rule systems, Chinese state capitalism, global market capitalism, and emerging digital governance norms, allowing it to at times exploit gaps between them. For instance, Huawei capitalized on global free trade norms to become </w:t>
      </w:r>
      <w:r w:rsidRPr="0044370F">
        <w:rPr>
          <w:rFonts w:ascii="Times New Roman" w:eastAsia="Times New Roman" w:hAnsi="Times New Roman" w:cs="Times New Roman"/>
          <w:sz w:val="24"/>
          <w:szCs w:val="24"/>
          <w:lang w:eastAsia="en-IL"/>
        </w:rPr>
        <w:lastRenderedPageBreak/>
        <w:t xml:space="preserve">indispensable worldwide, but when confronted, it retreated behind China’s sovereign shield and invoked China’s own norms of cyber sovereignty to justify itself. </w:t>
      </w:r>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This malleability is a hallmark of quasi-sovereign firms: they can </w:t>
      </w:r>
      <w:r w:rsidRPr="0044370F">
        <w:rPr>
          <w:rFonts w:ascii="Times New Roman" w:eastAsia="Times New Roman" w:hAnsi="Times New Roman" w:cs="Times New Roman"/>
          <w:i/>
          <w:iCs/>
          <w:sz w:val="24"/>
          <w:szCs w:val="24"/>
          <w:lang w:eastAsia="en-IL"/>
        </w:rPr>
        <w:t>forum-shop</w:t>
      </w:r>
      <w:r w:rsidRPr="0044370F">
        <w:rPr>
          <w:rFonts w:ascii="Times New Roman" w:eastAsia="Times New Roman" w:hAnsi="Times New Roman" w:cs="Times New Roman"/>
          <w:sz w:val="24"/>
          <w:szCs w:val="24"/>
          <w:lang w:eastAsia="en-IL"/>
        </w:rPr>
        <w:t xml:space="preserve"> for favorable jurisdictions or </w:t>
      </w:r>
      <w:proofErr w:type="spellStart"/>
      <w:r w:rsidRPr="0044370F">
        <w:rPr>
          <w:rFonts w:ascii="Times New Roman" w:eastAsia="Times New Roman" w:hAnsi="Times New Roman" w:cs="Times New Roman"/>
          <w:sz w:val="24"/>
          <w:szCs w:val="24"/>
          <w:lang w:eastAsia="en-IL"/>
        </w:rPr>
        <w:t>rhetorics</w:t>
      </w:r>
      <w:proofErr w:type="spellEnd"/>
      <w:r w:rsidRPr="0044370F">
        <w:rPr>
          <w:rFonts w:ascii="Times New Roman" w:eastAsia="Times New Roman" w:hAnsi="Times New Roman" w:cs="Times New Roman"/>
          <w:sz w:val="24"/>
          <w:szCs w:val="24"/>
          <w:lang w:eastAsia="en-IL"/>
        </w:rPr>
        <w:t xml:space="preserve"> (switching between being a private company or a national champion depending on context). The result is a dilution of accountability. Internationally, Huawei’s case has spurred calls for new frameworks to ensure </w:t>
      </w:r>
      <w:r w:rsidRPr="0044370F">
        <w:rPr>
          <w:rFonts w:ascii="Times New Roman" w:eastAsia="Times New Roman" w:hAnsi="Times New Roman" w:cs="Times New Roman"/>
          <w:b/>
          <w:bCs/>
          <w:sz w:val="24"/>
          <w:szCs w:val="24"/>
          <w:lang w:eastAsia="en-IL"/>
        </w:rPr>
        <w:t>corporate compliance with global norms</w:t>
      </w:r>
      <w:r w:rsidRPr="0044370F">
        <w:rPr>
          <w:rFonts w:ascii="Times New Roman" w:eastAsia="Times New Roman" w:hAnsi="Times New Roman" w:cs="Times New Roman"/>
          <w:sz w:val="24"/>
          <w:szCs w:val="24"/>
          <w:lang w:eastAsia="en-IL"/>
        </w:rPr>
        <w:t>, especially for critical-tech firms. Some analysts argue for treating certain multinationals as “systemic actors” subject to special oversight, analogous to systemically important financial institutions, given the systemic risks they pose. The broader implication is that global governance might need to directly engage major corporations in rule-making and enforcement, rather than assume states alone mediate corporate behavior.</w:t>
      </w:r>
    </w:p>
    <w:p w:rsidR="008F42CF" w:rsidRPr="0044370F" w:rsidRDefault="008F42CF" w:rsidP="008F42CF">
      <w:pPr>
        <w:spacing w:before="100" w:beforeAutospacing="1" w:after="100" w:afterAutospacing="1" w:line="360" w:lineRule="auto"/>
        <w:jc w:val="both"/>
        <w:rPr>
          <w:rFonts w:asciiTheme="majorBidi" w:eastAsia="Times New Roman" w:hAnsiTheme="majorBidi" w:cstheme="majorBidi"/>
          <w:sz w:val="24"/>
          <w:szCs w:val="24"/>
          <w:rtl/>
          <w:lang w:eastAsia="en-IL"/>
        </w:rPr>
      </w:pPr>
      <w:r w:rsidRPr="0044370F">
        <w:rPr>
          <w:rFonts w:ascii="Times New Roman" w:eastAsia="Times New Roman" w:hAnsi="Times New Roman" w:cs="Times New Roman"/>
          <w:sz w:val="24"/>
          <w:szCs w:val="24"/>
          <w:lang w:eastAsia="en-IL"/>
        </w:rPr>
        <w:t xml:space="preserve">Finally, Huawei’s saga reveals both the </w:t>
      </w:r>
      <w:r w:rsidRPr="0044370F">
        <w:rPr>
          <w:rFonts w:ascii="Times New Roman" w:eastAsia="Times New Roman" w:hAnsi="Times New Roman" w:cs="Times New Roman"/>
          <w:b/>
          <w:bCs/>
          <w:sz w:val="24"/>
          <w:szCs w:val="24"/>
          <w:lang w:eastAsia="en-IL"/>
        </w:rPr>
        <w:t>potential and peril of sovereignty’s diffusion</w:t>
      </w:r>
      <w:r w:rsidRPr="0044370F">
        <w:rPr>
          <w:rFonts w:ascii="Times New Roman" w:eastAsia="Times New Roman" w:hAnsi="Times New Roman" w:cs="Times New Roman"/>
          <w:sz w:val="24"/>
          <w:szCs w:val="24"/>
          <w:lang w:eastAsia="en-IL"/>
        </w:rPr>
        <w:t xml:space="preserve">. On one hand, the rise of a company like Huawei can be seen as empowering: it provided countries around the world with affordable technology, arguably decentralizing tech power that was once monopolized by Western firms. This could be framed as a democratization of tech sovereignty, nations had more choice and agency in building digital infrastructure by leveraging Huawei’s offerings. On the other hand, that very process created new </w:t>
      </w:r>
      <w:r w:rsidRPr="0044370F">
        <w:rPr>
          <w:rFonts w:ascii="Times New Roman" w:eastAsia="Times New Roman" w:hAnsi="Times New Roman" w:cs="Times New Roman"/>
          <w:b/>
          <w:bCs/>
          <w:sz w:val="24"/>
          <w:szCs w:val="24"/>
          <w:lang w:eastAsia="en-IL"/>
        </w:rPr>
        <w:t>asymmetries and insecurities</w:t>
      </w:r>
      <w:r w:rsidRPr="0044370F">
        <w:rPr>
          <w:rFonts w:ascii="Times New Roman" w:eastAsia="Times New Roman" w:hAnsi="Times New Roman" w:cs="Times New Roman"/>
          <w:sz w:val="24"/>
          <w:szCs w:val="24"/>
          <w:lang w:eastAsia="en-IL"/>
        </w:rPr>
        <w:t xml:space="preserve">. Many states now find themselves dependent on a foreign private actor that may ultimately answer to Beijing or to its own corporate interests. The West’s backlash against Huawei, in turn, threatens to bifurcate the internet and technology supply chains, potentially undermining the universality of global connectivity that has underpinned recent international order. If each “tech empire” (whether Huawei/China, or say Meta/US) builds its own sphere, the result could be a fragmented global digital order reminiscent of competing sovereignties, a </w:t>
      </w:r>
      <w:r w:rsidRPr="0044370F">
        <w:rPr>
          <w:rFonts w:asciiTheme="majorBidi" w:hAnsiTheme="majorBidi" w:cstheme="majorBidi"/>
          <w:sz w:val="24"/>
          <w:szCs w:val="24"/>
        </w:rPr>
        <w:t>technologically mediated form of geopolitical alignment</w:t>
      </w:r>
      <w:r w:rsidRPr="0044370F">
        <w:rPr>
          <w:rFonts w:asciiTheme="majorBidi" w:eastAsia="Times New Roman" w:hAnsiTheme="majorBidi" w:cstheme="majorBidi"/>
          <w:sz w:val="24"/>
          <w:szCs w:val="24"/>
          <w:lang w:eastAsia="en-IL"/>
        </w:rPr>
        <w:t>.</w:t>
      </w:r>
    </w:p>
    <w:p w:rsidR="008F42CF" w:rsidRPr="0044370F" w:rsidRDefault="008F42CF" w:rsidP="0075401E">
      <w:pPr>
        <w:pStyle w:val="2"/>
        <w:rPr>
          <w:rFonts w:eastAsia="Times New Roman"/>
          <w:lang w:eastAsia="en-IL"/>
        </w:rPr>
      </w:pPr>
      <w:bookmarkStart w:id="162" w:name="_Toc222652826"/>
      <w:r w:rsidRPr="0044370F">
        <w:rPr>
          <w:rFonts w:eastAsia="Times New Roman"/>
          <w:lang w:eastAsia="en-IL"/>
        </w:rPr>
        <w:t>6.4</w:t>
      </w:r>
      <w:r w:rsidRPr="0044370F">
        <w:rPr>
          <w:rFonts w:eastAsia="Times New Roman"/>
          <w:lang w:eastAsia="en-IL"/>
        </w:rPr>
        <w:tab/>
        <w:t>Conclusion</w:t>
      </w:r>
      <w:bookmarkEnd w:id="162"/>
    </w:p>
    <w:p w:rsidR="008F42CF" w:rsidRPr="0044370F" w:rsidRDefault="008F42CF" w:rsidP="008F42CF">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Huawei exemplifies the emergence of </w:t>
      </w:r>
      <w:r w:rsidRPr="0044370F">
        <w:rPr>
          <w:rFonts w:ascii="Times New Roman" w:eastAsia="Times New Roman" w:hAnsi="Times New Roman" w:cs="Times New Roman"/>
          <w:b/>
          <w:bCs/>
          <w:sz w:val="24"/>
          <w:szCs w:val="24"/>
          <w:lang w:eastAsia="en-IL"/>
        </w:rPr>
        <w:t>quasi-sovereign corporations that wield unprecedented cross-border power</w:t>
      </w:r>
      <w:r w:rsidRPr="0044370F">
        <w:rPr>
          <w:rFonts w:ascii="Times New Roman" w:eastAsia="Times New Roman" w:hAnsi="Times New Roman" w:cs="Times New Roman"/>
          <w:sz w:val="24"/>
          <w:szCs w:val="24"/>
          <w:lang w:eastAsia="en-IL"/>
        </w:rPr>
        <w:t xml:space="preserve">. Its story is a case of how digital-age multinationals can augment state power while also acting independently of states, forcing a recalibration of concepts like sovereignty, </w:t>
      </w:r>
      <w:r w:rsidRPr="0044370F">
        <w:rPr>
          <w:rFonts w:ascii="Times New Roman" w:eastAsia="Times New Roman" w:hAnsi="Times New Roman" w:cs="Times New Roman"/>
          <w:sz w:val="24"/>
          <w:szCs w:val="24"/>
          <w:lang w:eastAsia="en-IL"/>
        </w:rPr>
        <w:lastRenderedPageBreak/>
        <w:t xml:space="preserve">security, and governance. Huawei’s rise and the ensuing conflict around it signal that international order is entering a new phase where power is distributed in a more complex way. The binary of state vs. non-state is blurred: actors like Huawei operate in the interstices. For global governance, this implies a need for innovative approaches, perhaps new treaties on cyber infrastructure, greater corporate diplomacy, and alliances that include both governments and corporations. </w:t>
      </w:r>
    </w:p>
    <w:p w:rsidR="008F42CF" w:rsidRPr="0044370F" w:rsidRDefault="008F42CF" w:rsidP="008F42CF">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imes New Roman" w:eastAsia="Times New Roman" w:hAnsi="Times New Roman" w:cs="Times New Roman"/>
          <w:sz w:val="24"/>
          <w:szCs w:val="24"/>
          <w:lang w:eastAsia="en-IL"/>
        </w:rPr>
        <w:t>As Chapter 8 will compare across cases, Huawei is not alone in this regard; other tech giants (the “</w:t>
      </w:r>
      <w:proofErr w:type="spellStart"/>
      <w:proofErr w:type="gramStart"/>
      <w:r w:rsidRPr="0044370F">
        <w:rPr>
          <w:rFonts w:ascii="Times New Roman" w:eastAsia="Times New Roman" w:hAnsi="Times New Roman" w:cs="Times New Roman"/>
          <w:sz w:val="24"/>
          <w:szCs w:val="24"/>
          <w:lang w:eastAsia="en-IL"/>
        </w:rPr>
        <w:t>Meta”s</w:t>
      </w:r>
      <w:proofErr w:type="spellEnd"/>
      <w:proofErr w:type="gramEnd"/>
      <w:r w:rsidRPr="0044370F">
        <w:rPr>
          <w:rFonts w:ascii="Times New Roman" w:eastAsia="Times New Roman" w:hAnsi="Times New Roman" w:cs="Times New Roman"/>
          <w:sz w:val="24"/>
          <w:szCs w:val="24"/>
          <w:lang w:eastAsia="en-IL"/>
        </w:rPr>
        <w:t xml:space="preserve"> and “SAP”s of the world) also exhibit facets of sovereign-like behavior. But Huawei’s case, steeped in geopolitical contestation, most vividly reveals a </w:t>
      </w:r>
      <w:r w:rsidRPr="0044370F">
        <w:rPr>
          <w:rFonts w:ascii="Times New Roman" w:eastAsia="Times New Roman" w:hAnsi="Times New Roman" w:cs="Times New Roman"/>
          <w:b/>
          <w:bCs/>
          <w:sz w:val="24"/>
          <w:szCs w:val="24"/>
          <w:lang w:eastAsia="en-IL"/>
        </w:rPr>
        <w:t>digital age diffusion of sovereignty</w:t>
      </w:r>
      <w:r w:rsidRPr="0044370F">
        <w:rPr>
          <w:rFonts w:ascii="Times New Roman" w:eastAsia="Times New Roman" w:hAnsi="Times New Roman" w:cs="Times New Roman"/>
          <w:sz w:val="24"/>
          <w:szCs w:val="24"/>
          <w:lang w:eastAsia="en-IL"/>
        </w:rPr>
        <w:t xml:space="preserve">: a world where power flows not just from the barrels of guns or halls of parliaments, but from server farms, undersea cables, and the strategic plans of corporate boardrooms. It challenges us to rethink how a stable international order can be maintained when </w:t>
      </w:r>
      <w:r w:rsidRPr="0044370F">
        <w:rPr>
          <w:rFonts w:ascii="Times New Roman" w:eastAsia="Times New Roman" w:hAnsi="Times New Roman" w:cs="Times New Roman"/>
          <w:b/>
          <w:bCs/>
          <w:sz w:val="24"/>
          <w:szCs w:val="24"/>
          <w:lang w:eastAsia="en-IL"/>
        </w:rPr>
        <w:t xml:space="preserve">corporate empires join nation-states as architects of </w:t>
      </w:r>
      <w:r w:rsidRPr="0044370F">
        <w:rPr>
          <w:rFonts w:asciiTheme="majorBidi" w:hAnsiTheme="majorBidi" w:cstheme="majorBidi"/>
          <w:b/>
          <w:bCs/>
          <w:sz w:val="24"/>
          <w:szCs w:val="24"/>
        </w:rPr>
        <w:t>emerging configurations of global order.</w:t>
      </w:r>
    </w:p>
    <w:p w:rsidR="008F42CF" w:rsidRPr="0044370F" w:rsidRDefault="008F42CF" w:rsidP="008F42CF">
      <w:pPr>
        <w:spacing w:beforeAutospacing="1" w:after="100" w:afterAutospacing="1" w:line="360" w:lineRule="auto"/>
        <w:jc w:val="both"/>
        <w:rPr>
          <w:rStyle w:val="a4"/>
          <w:rFonts w:ascii="Times New Roman" w:hAnsi="Times New Roman"/>
        </w:rPr>
      </w:pPr>
      <w:r w:rsidRPr="0044370F">
        <w:rPr>
          <w:rFonts w:ascii="Times New Roman" w:eastAsia="Times New Roman" w:hAnsi="Times New Roman" w:cs="Times New Roman"/>
          <w:sz w:val="24"/>
          <w:szCs w:val="24"/>
        </w:rPr>
        <w:t xml:space="preserve">Huawei’s case underscores how quasi-sovereignty can align with state ambitions while simultaneously projecting autonomous corporate authority. Unlike Meta, Huawei blends public and private logics, leveraging both national support and transnational presence. Its story is a critical piece in the broader puzzle of how corporate power increasingly mediates state power, especially in the global South and authoritarian contexts. </w:t>
      </w:r>
    </w:p>
    <w:p w:rsidR="008F42CF" w:rsidRPr="0044370F" w:rsidRDefault="008F42CF" w:rsidP="008F42CF">
      <w:pPr>
        <w:rPr>
          <w:rStyle w:val="a4"/>
          <w:rFonts w:asciiTheme="majorBidi" w:hAnsiTheme="majorBidi"/>
        </w:rPr>
      </w:pPr>
      <w:r w:rsidRPr="0044370F">
        <w:rPr>
          <w:rStyle w:val="a4"/>
          <w:rFonts w:asciiTheme="majorBidi" w:hAnsiTheme="majorBidi"/>
        </w:rPr>
        <w:br w:type="page"/>
      </w:r>
    </w:p>
    <w:p w:rsidR="008F42CF" w:rsidRPr="0044370F" w:rsidRDefault="008F42CF" w:rsidP="0075401E">
      <w:pPr>
        <w:pStyle w:val="3"/>
      </w:pPr>
      <w:bookmarkStart w:id="163" w:name="_Toc222652827"/>
      <w:r w:rsidRPr="0044370F">
        <w:rPr>
          <w:rStyle w:val="a4"/>
          <w:b/>
          <w:bCs/>
        </w:rPr>
        <w:lastRenderedPageBreak/>
        <w:t xml:space="preserve">Table </w:t>
      </w:r>
      <w:r w:rsidR="009E2790" w:rsidRPr="0044370F">
        <w:rPr>
          <w:rStyle w:val="a4"/>
          <w:rFonts w:hint="cs"/>
          <w:b/>
          <w:bCs/>
          <w:szCs w:val="28"/>
          <w:rtl/>
        </w:rPr>
        <w:t>9</w:t>
      </w:r>
      <w:r w:rsidRPr="0044370F">
        <w:rPr>
          <w:rStyle w:val="a4"/>
          <w:b/>
          <w:bCs/>
        </w:rPr>
        <w:t>: Application of the Four-Dimensional Framework to Huawei Technologies</w:t>
      </w:r>
      <w:bookmarkEnd w:id="163"/>
    </w:p>
    <w:tbl>
      <w:tblPr>
        <w:tblStyle w:val="5"/>
        <w:tblW w:w="0" w:type="auto"/>
        <w:tblLook w:val="04A0" w:firstRow="1" w:lastRow="0" w:firstColumn="1" w:lastColumn="0" w:noHBand="0" w:noVBand="1"/>
      </w:tblPr>
      <w:tblGrid>
        <w:gridCol w:w="2120"/>
        <w:gridCol w:w="7230"/>
      </w:tblGrid>
      <w:tr w:rsidR="008F42CF" w:rsidRPr="0044370F" w:rsidTr="009E2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595959" w:themeFill="text1" w:themeFillTint="A6"/>
            <w:hideMark/>
          </w:tcPr>
          <w:p w:rsidR="008F42CF" w:rsidRPr="0044370F" w:rsidRDefault="008F42CF" w:rsidP="009E2790">
            <w:pPr>
              <w:jc w:val="center"/>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Analytical Dimension</w:t>
            </w:r>
          </w:p>
        </w:tc>
        <w:tc>
          <w:tcPr>
            <w:tcW w:w="0" w:type="auto"/>
            <w:shd w:val="clear" w:color="auto" w:fill="595959" w:themeFill="text1" w:themeFillTint="A6"/>
            <w:hideMark/>
          </w:tcPr>
          <w:p w:rsidR="008F42CF" w:rsidRPr="0044370F" w:rsidRDefault="008F42CF"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4370F">
              <w:rPr>
                <w:rFonts w:ascii="Times New Roman" w:eastAsia="Times New Roman" w:hAnsi="Times New Roman" w:cs="Times New Roman"/>
                <w:sz w:val="24"/>
                <w:szCs w:val="24"/>
                <w:lang w:val="en-US"/>
              </w:rPr>
              <w:t>Manifestation in Huawei Technologies</w:t>
            </w:r>
          </w:p>
        </w:tc>
      </w:tr>
      <w:tr w:rsidR="008F42CF"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5050"/>
            <w:hideMark/>
          </w:tcPr>
          <w:p w:rsidR="008F42CF" w:rsidRPr="0044370F" w:rsidRDefault="008F42CF" w:rsidP="009E2790">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Strategic Resource Control</w:t>
            </w:r>
          </w:p>
        </w:tc>
        <w:tc>
          <w:tcPr>
            <w:tcW w:w="0" w:type="auto"/>
            <w:shd w:val="clear" w:color="auto" w:fill="FF7C80"/>
            <w:hideMark/>
          </w:tcPr>
          <w:p w:rsidR="008F42CF" w:rsidRPr="0044370F" w:rsidRDefault="008F42CF"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FFFF" w:themeColor="background1"/>
                <w:sz w:val="20"/>
                <w:szCs w:val="20"/>
                <w:lang w:val="en-US"/>
              </w:rPr>
            </w:pPr>
            <w:r w:rsidRPr="0044370F">
              <w:rPr>
                <w:rFonts w:ascii="Times New Roman" w:eastAsia="Times New Roman" w:hAnsi="Times New Roman" w:cs="Times New Roman"/>
                <w:color w:val="FFFFFF" w:themeColor="background1"/>
                <w:sz w:val="20"/>
                <w:szCs w:val="20"/>
                <w:lang w:val="en-US"/>
              </w:rPr>
              <w:t>Extensive state-backed financing · Access to policy bank loans and export credits · Massive R&amp;D investment · Large portfolio of standard-essential patents (especially 5G) · Control over manufacturing capacity, supply chains, and strategic stockpiling of critical components</w:t>
            </w:r>
          </w:p>
        </w:tc>
      </w:tr>
      <w:tr w:rsidR="008F42CF" w:rsidRPr="0044370F" w:rsidTr="009E2790">
        <w:tc>
          <w:tcPr>
            <w:cnfStyle w:val="001000000000" w:firstRow="0" w:lastRow="0" w:firstColumn="1" w:lastColumn="0" w:oddVBand="0" w:evenVBand="0" w:oddHBand="0" w:evenHBand="0" w:firstRowFirstColumn="0" w:firstRowLastColumn="0" w:lastRowFirstColumn="0" w:lastRowLastColumn="0"/>
            <w:tcW w:w="0" w:type="auto"/>
            <w:shd w:val="clear" w:color="auto" w:fill="FF5050"/>
            <w:hideMark/>
          </w:tcPr>
          <w:p w:rsidR="008F42CF" w:rsidRPr="0044370F" w:rsidRDefault="008F42CF" w:rsidP="009E2790">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Infrastructural Power</w:t>
            </w:r>
          </w:p>
        </w:tc>
        <w:tc>
          <w:tcPr>
            <w:tcW w:w="0" w:type="auto"/>
            <w:hideMark/>
          </w:tcPr>
          <w:p w:rsidR="008F42CF" w:rsidRPr="0044370F" w:rsidRDefault="008F42CF"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Provision of core national telecom infrastructure (4G/5G networks, fiber optics, undersea cables) · Deployment of smart city and surveillance systems · Integration into national connectivity backbones with long-term lock-in effects</w:t>
            </w:r>
          </w:p>
        </w:tc>
      </w:tr>
      <w:tr w:rsidR="008F42CF"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5050"/>
            <w:hideMark/>
          </w:tcPr>
          <w:p w:rsidR="008F42CF" w:rsidRPr="0044370F" w:rsidRDefault="008F42CF" w:rsidP="009E2790">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Normative Legitimacy</w:t>
            </w:r>
          </w:p>
        </w:tc>
        <w:tc>
          <w:tcPr>
            <w:tcW w:w="0" w:type="auto"/>
            <w:shd w:val="clear" w:color="auto" w:fill="FF7C80"/>
            <w:hideMark/>
          </w:tcPr>
          <w:p w:rsidR="008F42CF" w:rsidRPr="0044370F" w:rsidRDefault="008F42CF"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FFFF" w:themeColor="background1"/>
                <w:sz w:val="20"/>
                <w:szCs w:val="20"/>
                <w:lang w:val="en-US"/>
              </w:rPr>
            </w:pPr>
            <w:r w:rsidRPr="0044370F">
              <w:rPr>
                <w:rFonts w:ascii="Times New Roman" w:eastAsia="Times New Roman" w:hAnsi="Times New Roman" w:cs="Times New Roman"/>
                <w:color w:val="FFFFFF" w:themeColor="background1"/>
                <w:sz w:val="20"/>
                <w:szCs w:val="20"/>
                <w:lang w:val="en-US"/>
              </w:rPr>
              <w:t>Highly polarized legitimacy · Developmental and connectivity-oriented legitimacy in the Global South · Deep legitimacy deficit in Western democracies due to security concerns, liability of origin, and geopolitical rivalry · Active promotion of cyber sovereignty as an alternative normative framework</w:t>
            </w:r>
          </w:p>
        </w:tc>
      </w:tr>
      <w:tr w:rsidR="008F42CF" w:rsidRPr="0044370F" w:rsidTr="009E2790">
        <w:tc>
          <w:tcPr>
            <w:cnfStyle w:val="001000000000" w:firstRow="0" w:lastRow="0" w:firstColumn="1" w:lastColumn="0" w:oddVBand="0" w:evenVBand="0" w:oddHBand="0" w:evenHBand="0" w:firstRowFirstColumn="0" w:firstRowLastColumn="0" w:lastRowFirstColumn="0" w:lastRowLastColumn="0"/>
            <w:tcW w:w="0" w:type="auto"/>
            <w:shd w:val="clear" w:color="auto" w:fill="FF5050"/>
            <w:hideMark/>
          </w:tcPr>
          <w:p w:rsidR="008F42CF" w:rsidRPr="0044370F" w:rsidRDefault="008F42CF" w:rsidP="009E2790">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Structural Embeddedness</w:t>
            </w:r>
          </w:p>
        </w:tc>
        <w:tc>
          <w:tcPr>
            <w:tcW w:w="0" w:type="auto"/>
            <w:hideMark/>
          </w:tcPr>
          <w:p w:rsidR="008F42CF" w:rsidRPr="0044370F" w:rsidRDefault="008F42CF"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Deep integration into global value chains, standards bodies (e.g., ITU, 3GPP), and Digital Silk Road projects · Strong alignment with Chinese state strategy · Enduring embeddedness despite sanctions through diversification of markets and geopolitical blocs</w:t>
            </w:r>
          </w:p>
        </w:tc>
      </w:tr>
      <w:tr w:rsidR="008F42CF"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5050"/>
            <w:hideMark/>
          </w:tcPr>
          <w:p w:rsidR="008F42CF" w:rsidRPr="0044370F" w:rsidRDefault="008F42CF" w:rsidP="009E2790">
            <w:pPr>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Overall Configuration of Quasi-Sovereignty</w:t>
            </w:r>
          </w:p>
          <w:p w:rsidR="008F42CF" w:rsidRPr="0044370F" w:rsidRDefault="008F42CF" w:rsidP="009E2790">
            <w:pPr>
              <w:rPr>
                <w:rFonts w:ascii="Times New Roman" w:eastAsia="Times New Roman" w:hAnsi="Times New Roman" w:cs="Times New Roman"/>
                <w:sz w:val="20"/>
                <w:szCs w:val="20"/>
                <w:lang w:val="en-US"/>
              </w:rPr>
            </w:pPr>
          </w:p>
        </w:tc>
        <w:tc>
          <w:tcPr>
            <w:tcW w:w="0" w:type="auto"/>
            <w:shd w:val="clear" w:color="auto" w:fill="FF7C80"/>
            <w:hideMark/>
          </w:tcPr>
          <w:p w:rsidR="008F42CF" w:rsidRPr="0044370F" w:rsidRDefault="008F42CF"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lang w:val="en-US"/>
              </w:rPr>
            </w:pPr>
            <w:r w:rsidRPr="0044370F">
              <w:rPr>
                <w:rFonts w:ascii="Times New Roman" w:eastAsia="Times New Roman" w:hAnsi="Times New Roman" w:cs="Times New Roman"/>
                <w:b/>
                <w:bCs/>
                <w:color w:val="FFFFFF" w:themeColor="background1"/>
                <w:sz w:val="20"/>
                <w:szCs w:val="20"/>
                <w:lang w:val="en-US"/>
              </w:rPr>
              <w:t>State-aligned, infrastructure-centric, geopolitically contested, and deeply entangled with national power projection, combining corporate autonomy with strategic state backing</w:t>
            </w:r>
          </w:p>
        </w:tc>
      </w:tr>
    </w:tbl>
    <w:p w:rsidR="008F42CF" w:rsidRPr="0044370F" w:rsidRDefault="008F42CF" w:rsidP="008F42CF">
      <w:pPr>
        <w:spacing w:beforeAutospacing="1" w:after="100" w:afterAutospacing="1" w:line="360" w:lineRule="auto"/>
        <w:jc w:val="both"/>
        <w:rPr>
          <w:rFonts w:ascii="Times New Roman" w:eastAsia="Times New Roman" w:hAnsi="Times New Roman" w:cs="Times New Roman"/>
          <w:b/>
          <w:bCs/>
          <w:sz w:val="24"/>
          <w:szCs w:val="24"/>
        </w:rPr>
      </w:pPr>
      <w:r w:rsidRPr="0044370F">
        <w:rPr>
          <w:rFonts w:ascii="Times New Roman" w:eastAsia="Times New Roman" w:hAnsi="Times New Roman" w:cs="Times New Roman"/>
          <w:sz w:val="24"/>
          <w:szCs w:val="24"/>
        </w:rPr>
        <w:t>This table provides a visual synthesis of the Huawei case, demonstrating how strategic resources, infrastructural control, contested legitimacy, and structural embeddedness combine to produce a distinctive, state-aligned form of corporate quasi-sovereignty.</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While Huawei represents a highly visible and geopolitically contested configuration of corporate quasi-sovereignty, the following case illustrates how similar authority can be exercised through far quieter, institutionalized, and compliance-oriented mechanisms.</w:t>
      </w:r>
    </w:p>
    <w:p w:rsidR="008F42CF" w:rsidRPr="0044370F" w:rsidRDefault="008F42CF" w:rsidP="008F42CF">
      <w:pPr>
        <w:spacing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rPr>
        <w:t>Compared to Meta’s discourse-centered authority and SAP’s institutionalized procedural power, Huawei represents the most state-aligned and geopolitically charged configuration of corporate quasi-sovereignty in the dissertation. The next chapter turns to a quieter but equally consequential model: SAP.</w:t>
      </w:r>
    </w:p>
    <w:p w:rsidR="0060194B" w:rsidRPr="0044370F" w:rsidRDefault="0060194B" w:rsidP="0060194B">
      <w:pPr>
        <w:spacing w:before="100" w:beforeAutospacing="1" w:after="100" w:afterAutospacing="1" w:line="360" w:lineRule="auto"/>
        <w:jc w:val="both"/>
        <w:rPr>
          <w:rFonts w:asciiTheme="majorBidi" w:eastAsia="Times New Roman" w:hAnsiTheme="majorBidi" w:cstheme="majorBidi"/>
          <w:sz w:val="24"/>
          <w:szCs w:val="24"/>
          <w:rtl/>
          <w:lang w:eastAsia="en-IL"/>
        </w:rPr>
      </w:pPr>
    </w:p>
    <w:p w:rsidR="0060194B" w:rsidRPr="0044370F" w:rsidRDefault="0060194B" w:rsidP="0060194B">
      <w:pPr>
        <w:spacing w:before="100" w:beforeAutospacing="1" w:after="100" w:afterAutospacing="1" w:line="360" w:lineRule="auto"/>
        <w:jc w:val="both"/>
        <w:rPr>
          <w:rFonts w:ascii="Times New Roman" w:hAnsi="Times New Roman"/>
          <w:sz w:val="24"/>
        </w:rPr>
      </w:pPr>
    </w:p>
    <w:p w:rsidR="0060194B" w:rsidRPr="0044370F" w:rsidRDefault="0060194B" w:rsidP="0060194B">
      <w:pPr>
        <w:spacing w:line="360" w:lineRule="auto"/>
        <w:jc w:val="both"/>
      </w:pPr>
    </w:p>
    <w:p w:rsidR="00D33237" w:rsidRPr="0044370F" w:rsidRDefault="00D33237" w:rsidP="00BF67B6">
      <w:pPr>
        <w:pStyle w:val="1"/>
        <w:rPr>
          <w:rFonts w:eastAsia="Times New Roman"/>
          <w:lang w:eastAsia="en-IL"/>
        </w:rPr>
      </w:pPr>
      <w:bookmarkStart w:id="164" w:name="_Toc222652828"/>
      <w:r w:rsidRPr="0044370F">
        <w:rPr>
          <w:rFonts w:eastAsia="Times New Roman"/>
          <w:noProof/>
        </w:rPr>
        <w:lastRenderedPageBreak/>
        <w:drawing>
          <wp:anchor distT="0" distB="0" distL="114300" distR="114300" simplePos="0" relativeHeight="251668480" behindDoc="0" locked="0" layoutInCell="1" allowOverlap="1" wp14:anchorId="46D837A3" wp14:editId="6FDB359D">
            <wp:simplePos x="0" y="0"/>
            <wp:positionH relativeFrom="margin">
              <wp:align>right</wp:align>
            </wp:positionH>
            <wp:positionV relativeFrom="paragraph">
              <wp:posOffset>278765</wp:posOffset>
            </wp:positionV>
            <wp:extent cx="2326005" cy="1152525"/>
            <wp:effectExtent l="0" t="0" r="0" b="9525"/>
            <wp:wrapThrough wrapText="bothSides">
              <wp:wrapPolygon edited="0">
                <wp:start x="0" y="0"/>
                <wp:lineTo x="0" y="21421"/>
                <wp:lineTo x="21405" y="21421"/>
                <wp:lineTo x="21405" y="0"/>
                <wp:lineTo x="0" y="0"/>
              </wp:wrapPolygon>
            </wp:wrapThrough>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 sap.jpg"/>
                    <pic:cNvPicPr/>
                  </pic:nvPicPr>
                  <pic:blipFill>
                    <a:blip r:embed="rId14">
                      <a:extLst>
                        <a:ext uri="{28A0092B-C50C-407E-A947-70E740481C1C}">
                          <a14:useLocalDpi xmlns:a14="http://schemas.microsoft.com/office/drawing/2010/main" val="0"/>
                        </a:ext>
                      </a:extLst>
                    </a:blip>
                    <a:stretch>
                      <a:fillRect/>
                    </a:stretch>
                  </pic:blipFill>
                  <pic:spPr>
                    <a:xfrm>
                      <a:off x="0" y="0"/>
                      <a:ext cx="2326005" cy="1152525"/>
                    </a:xfrm>
                    <a:prstGeom prst="rect">
                      <a:avLst/>
                    </a:prstGeom>
                  </pic:spPr>
                </pic:pic>
              </a:graphicData>
            </a:graphic>
            <wp14:sizeRelH relativeFrom="margin">
              <wp14:pctWidth>0</wp14:pctWidth>
            </wp14:sizeRelH>
            <wp14:sizeRelV relativeFrom="margin">
              <wp14:pctHeight>0</wp14:pctHeight>
            </wp14:sizeRelV>
          </wp:anchor>
        </w:drawing>
      </w:r>
      <w:r w:rsidRPr="0044370F">
        <w:rPr>
          <w:rFonts w:eastAsia="Times New Roman"/>
          <w:lang w:eastAsia="en-IL"/>
        </w:rPr>
        <w:t>Chapter 7</w:t>
      </w:r>
      <w:bookmarkEnd w:id="164"/>
    </w:p>
    <w:p w:rsidR="00D33237" w:rsidRPr="0044370F" w:rsidRDefault="00D33237" w:rsidP="00BF67B6">
      <w:pPr>
        <w:pStyle w:val="1"/>
        <w:rPr>
          <w:rFonts w:eastAsia="Times New Roman"/>
          <w:lang w:eastAsia="en-IL" w:bidi="ar-SA"/>
        </w:rPr>
      </w:pPr>
      <w:bookmarkStart w:id="165" w:name="_Toc222652829"/>
      <w:r w:rsidRPr="0044370F">
        <w:rPr>
          <w:rFonts w:eastAsia="Times New Roman"/>
          <w:lang w:eastAsia="en-IL" w:bidi="ar-SA"/>
        </w:rPr>
        <w:t>Case Study III: SAP (EU)</w:t>
      </w:r>
      <w:bookmarkEnd w:id="165"/>
    </w:p>
    <w:p w:rsidR="00D33237" w:rsidRPr="0044370F" w:rsidRDefault="00D33237" w:rsidP="00BF67B6">
      <w:pPr>
        <w:pStyle w:val="1"/>
        <w:rPr>
          <w:rFonts w:eastAsia="Times New Roman"/>
          <w:lang w:eastAsia="en-IL" w:bidi="ar-SA"/>
        </w:rPr>
      </w:pPr>
      <w:bookmarkStart w:id="166" w:name="_Toc222652830"/>
      <w:r w:rsidRPr="0044370F">
        <w:rPr>
          <w:rFonts w:eastAsia="Times New Roman"/>
          <w:lang w:eastAsia="en-IL" w:bidi="ar-SA"/>
        </w:rPr>
        <w:t>A Quasi-Sovereign Corporate Actor in Global Enterprise Infrastructure</w:t>
      </w:r>
      <w:bookmarkEnd w:id="166"/>
    </w:p>
    <w:p w:rsidR="00D33237" w:rsidRPr="0044370F" w:rsidRDefault="00D33237" w:rsidP="00D33237">
      <w:pPr>
        <w:spacing w:after="0" w:line="240" w:lineRule="auto"/>
        <w:rPr>
          <w:rFonts w:ascii="Times New Roman" w:eastAsia="Times New Roman" w:hAnsi="Times New Roman" w:cs="Times New Roman"/>
          <w:b/>
          <w:bCs/>
          <w:kern w:val="36"/>
          <w:sz w:val="36"/>
          <w:szCs w:val="36"/>
          <w:lang w:eastAsia="en-IL" w:bidi="ar-SA"/>
        </w:rPr>
      </w:pPr>
    </w:p>
    <w:p w:rsidR="00D33237" w:rsidRPr="0044370F" w:rsidRDefault="00D33237" w:rsidP="00BF67B6">
      <w:pPr>
        <w:pStyle w:val="2"/>
        <w:rPr>
          <w:rFonts w:eastAsia="Times New Roman"/>
          <w:lang w:eastAsia="en-IL"/>
        </w:rPr>
      </w:pPr>
      <w:bookmarkStart w:id="167" w:name="_Toc222652831"/>
      <w:r w:rsidRPr="0044370F">
        <w:rPr>
          <w:rFonts w:eastAsia="Times New Roman"/>
          <w:lang w:eastAsia="en-IL"/>
        </w:rPr>
        <w:t>7.1</w:t>
      </w:r>
      <w:r w:rsidRPr="0044370F">
        <w:rPr>
          <w:rFonts w:eastAsia="Times New Roman"/>
          <w:lang w:eastAsia="en-IL"/>
        </w:rPr>
        <w:tab/>
        <w:t>Introduction</w:t>
      </w:r>
      <w:bookmarkEnd w:id="167"/>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Following the cases of Meta and Huawei,</w:t>
      </w:r>
      <w:r w:rsidRPr="0044370F">
        <w:t xml:space="preserve"> </w:t>
      </w:r>
      <w:r w:rsidRPr="0044370F">
        <w:rPr>
          <w:rFonts w:asciiTheme="majorBidi" w:hAnsiTheme="majorBidi" w:cstheme="majorBidi"/>
          <w:sz w:val="24"/>
          <w:szCs w:val="24"/>
        </w:rPr>
        <w:t>examined in the preceding chapters</w:t>
      </w:r>
      <w:r w:rsidRPr="0044370F">
        <w:t>,</w:t>
      </w:r>
      <w:r w:rsidRPr="0044370F">
        <w:rPr>
          <w:rFonts w:ascii="Times New Roman" w:eastAsia="Times New Roman" w:hAnsi="Times New Roman" w:cs="Times New Roman"/>
          <w:sz w:val="24"/>
          <w:szCs w:val="24"/>
        </w:rPr>
        <w:t xml:space="preserve"> this chapter turns to SAP SE, a German enterprise software firm whose quasi-sovereign influence derives from infrastructural centrality, regulation alignment, and technical standardization</w:t>
      </w:r>
      <w:r w:rsidRPr="0044370F">
        <w:rPr>
          <w:rStyle w:val="a8"/>
          <w:rFonts w:ascii="Times New Roman" w:eastAsia="Times New Roman" w:hAnsi="Times New Roman" w:cs="Times New Roman"/>
          <w:sz w:val="24"/>
          <w:szCs w:val="24"/>
        </w:rPr>
        <w:footnoteReference w:id="230"/>
      </w:r>
      <w:r w:rsidRPr="0044370F">
        <w:rPr>
          <w:rFonts w:ascii="Times New Roman" w:eastAsia="Times New Roman" w:hAnsi="Times New Roman" w:cs="Times New Roman"/>
          <w:sz w:val="24"/>
          <w:szCs w:val="24"/>
        </w:rPr>
        <w:t xml:space="preserve">. While SAP rarely appears in public controversies or global headlines, its deep institutional integration and global reach make it a powerful actor in the governance of enterprise systems and public administration. </w:t>
      </w:r>
    </w:p>
    <w:p w:rsidR="00D33237" w:rsidRPr="0044370F" w:rsidRDefault="00D33237" w:rsidP="00D33237">
      <w:pPr>
        <w:pStyle w:val="NormalWeb"/>
        <w:spacing w:line="360" w:lineRule="auto"/>
        <w:jc w:val="both"/>
      </w:pPr>
      <w:r w:rsidRPr="0044370F">
        <w:t xml:space="preserve">The analysis uses the same four-dimensional model to explore SAP’s subtle yet pervasive form of private authority. Unlike the platform-centric visibility of Meta or the geopolitically charged infrastructure of Huawei, SAP’s quasi-sovereign influence operates primarily through procedural embedding and institutional </w:t>
      </w:r>
      <w:proofErr w:type="spellStart"/>
      <w:r w:rsidRPr="0044370F">
        <w:t>routinization</w:t>
      </w:r>
      <w:proofErr w:type="spellEnd"/>
      <w:r w:rsidRPr="0044370F">
        <w:t>. This distinction is central to the analytical contribution of this chapter.</w:t>
      </w:r>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Throughout this chapter, several analytical concepts are employed to capture SAP’s distinctive mode of authority. The term “</w:t>
      </w:r>
      <w:r w:rsidRPr="0044370F">
        <w:rPr>
          <w:rFonts w:ascii="Times New Roman" w:eastAsia="Times New Roman" w:hAnsi="Times New Roman" w:cs="Times New Roman"/>
          <w:i/>
          <w:iCs/>
          <w:sz w:val="24"/>
          <w:szCs w:val="24"/>
        </w:rPr>
        <w:t>standards-based sovereignty</w:t>
      </w:r>
      <w:r w:rsidRPr="0044370F">
        <w:rPr>
          <w:rFonts w:ascii="Times New Roman" w:eastAsia="Times New Roman" w:hAnsi="Times New Roman" w:cs="Times New Roman"/>
          <w:sz w:val="24"/>
          <w:szCs w:val="24"/>
        </w:rPr>
        <w:t>” refers to governance exercised through the setting and enforcement of technical and procedural standards rather than public law. “</w:t>
      </w:r>
      <w:r w:rsidRPr="0044370F">
        <w:rPr>
          <w:rFonts w:ascii="Times New Roman" w:eastAsia="Times New Roman" w:hAnsi="Times New Roman" w:cs="Times New Roman"/>
          <w:i/>
          <w:iCs/>
          <w:sz w:val="24"/>
          <w:szCs w:val="24"/>
        </w:rPr>
        <w:t>Governance-by-design</w:t>
      </w:r>
      <w:r w:rsidRPr="0044370F">
        <w:rPr>
          <w:rFonts w:ascii="Times New Roman" w:eastAsia="Times New Roman" w:hAnsi="Times New Roman" w:cs="Times New Roman"/>
          <w:sz w:val="24"/>
          <w:szCs w:val="24"/>
        </w:rPr>
        <w:t>” denotes the embedding of regulatory and compliance logics directly into software architectures. “</w:t>
      </w:r>
      <w:r w:rsidRPr="0044370F">
        <w:rPr>
          <w:rFonts w:ascii="Times New Roman" w:eastAsia="Times New Roman" w:hAnsi="Times New Roman" w:cs="Times New Roman"/>
          <w:i/>
          <w:iCs/>
          <w:sz w:val="24"/>
          <w:szCs w:val="24"/>
        </w:rPr>
        <w:t>Stealth diplomacy</w:t>
      </w:r>
      <w:r w:rsidRPr="0044370F">
        <w:rPr>
          <w:rFonts w:ascii="Times New Roman" w:eastAsia="Times New Roman" w:hAnsi="Times New Roman" w:cs="Times New Roman"/>
          <w:sz w:val="24"/>
          <w:szCs w:val="24"/>
        </w:rPr>
        <w:t xml:space="preserve">” </w:t>
      </w:r>
      <w:r w:rsidRPr="0044370F">
        <w:rPr>
          <w:rFonts w:asciiTheme="majorBidi" w:hAnsiTheme="majorBidi" w:cstheme="majorBidi"/>
          <w:sz w:val="24"/>
          <w:szCs w:val="24"/>
        </w:rPr>
        <w:t>(used here analytically rather than normatively)</w:t>
      </w:r>
      <w:r w:rsidRPr="0044370F">
        <w:t xml:space="preserve"> </w:t>
      </w:r>
      <w:r w:rsidRPr="0044370F">
        <w:rPr>
          <w:rFonts w:ascii="Times New Roman" w:eastAsia="Times New Roman" w:hAnsi="Times New Roman" w:cs="Times New Roman"/>
          <w:sz w:val="24"/>
          <w:szCs w:val="24"/>
        </w:rPr>
        <w:t>and “</w:t>
      </w:r>
      <w:r w:rsidRPr="0044370F">
        <w:rPr>
          <w:rFonts w:ascii="Times New Roman" w:eastAsia="Times New Roman" w:hAnsi="Times New Roman" w:cs="Times New Roman"/>
          <w:i/>
          <w:iCs/>
          <w:sz w:val="24"/>
          <w:szCs w:val="24"/>
        </w:rPr>
        <w:t>quasi-diplomatic actor</w:t>
      </w:r>
      <w:r w:rsidRPr="0044370F">
        <w:rPr>
          <w:rFonts w:ascii="Times New Roman" w:eastAsia="Times New Roman" w:hAnsi="Times New Roman" w:cs="Times New Roman"/>
          <w:sz w:val="24"/>
          <w:szCs w:val="24"/>
        </w:rPr>
        <w:t xml:space="preserve">” describe SAP’s low-visibility engagement with states through contracts, </w:t>
      </w:r>
      <w:r w:rsidRPr="0044370F">
        <w:rPr>
          <w:rFonts w:ascii="Times New Roman" w:eastAsia="Times New Roman" w:hAnsi="Times New Roman" w:cs="Times New Roman"/>
          <w:sz w:val="24"/>
          <w:szCs w:val="24"/>
        </w:rPr>
        <w:lastRenderedPageBreak/>
        <w:t>standards bodies, and institutional partnerships rather than overt political advocacy. These concepts are used analytically to distinguish SAP’s quiet, compliance-oriented authority from the more publicly contested forms of corporate power examined in earlier chapters.</w:t>
      </w:r>
    </w:p>
    <w:p w:rsidR="00D33237" w:rsidRPr="0044370F" w:rsidRDefault="00D33237" w:rsidP="00BF67B6">
      <w:pPr>
        <w:pStyle w:val="2"/>
      </w:pPr>
      <w:bookmarkStart w:id="168" w:name="_Toc222652832"/>
      <w:r w:rsidRPr="0044370F">
        <w:rPr>
          <w:rStyle w:val="a4"/>
          <w:b/>
          <w:bCs w:val="0"/>
        </w:rPr>
        <w:t>7.2</w:t>
      </w:r>
      <w:r w:rsidRPr="0044370F">
        <w:rPr>
          <w:rStyle w:val="a4"/>
          <w:b/>
          <w:bCs w:val="0"/>
        </w:rPr>
        <w:tab/>
        <w:t>Analytical Roadmap and Contribution</w:t>
      </w:r>
      <w:bookmarkEnd w:id="168"/>
    </w:p>
    <w:p w:rsidR="00D33237" w:rsidRPr="0044370F" w:rsidRDefault="00D33237" w:rsidP="00D33237">
      <w:pPr>
        <w:pStyle w:val="NormalWeb"/>
        <w:spacing w:line="360" w:lineRule="auto"/>
        <w:jc w:val="both"/>
      </w:pPr>
      <w:r w:rsidRPr="0044370F">
        <w:t xml:space="preserve">This chapter examines SAP as a distinct configuration of corporate quasi-sovereignty, characterized by infrastructural centrality, regulation alignment, and standards-based governance rather than public visibility or global confrontation. Applying the four-dimensional framework introduced in Chapter 3, the analysis proceeds in five steps. It first outlines SAP’s strategic assets and operational reach, before examining its infrastructural embeddedness in global enterprise systems. It then analyzes SAP’s modes of governance and institutional relationships, its interactions with states through regulation and public contracts, and the issues and disputes that arise from its low-visibility yet high-consequence role. The chapter concludes by situating SAP comparatively alongside Meta and Huawei and by reflecting on the implications of SAP’s model for understanding </w:t>
      </w:r>
      <w:r w:rsidR="00960581" w:rsidRPr="0044370F">
        <w:t>corporate quasi-sovereignty</w:t>
      </w:r>
      <w:r w:rsidRPr="0044370F">
        <w:t xml:space="preserve"> in the digital age.</w:t>
      </w:r>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Analytically, SAP functions as a contrast case to the configurations examined in Chapters 5 and 6. Rather than exercising authority through public discourse or geopolitical confrontation, SAP’s influence emerges through standards, compliance architectures, and institutional trust.</w:t>
      </w:r>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Similarly, in contrast to Huawei’s state-aligned and infrastructure-heavy configuration, SAP’s authority is embedded in standards, compliance regimes, and institutional routines. This contrast allows the chapter to refine the four-dimensional framework by demonstrating how quasi-sovereignty can be exercised through procedural embedding rather than geopolitical confrontation.</w:t>
      </w:r>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Before applying the four-dimensional framework, it is conceptually useful to situate SAP within conventional business administration perspectives briefly. Strategic tools such as SWOT analysis and Porter’s Five Forces remain relevant to understand SAP’s position in competitive enterprise software markets. From this perspective, SAP’s strengths include its dominant ERP platform, high switching costs, and deep customer lock-in, while competitive pressures stem from rivals such as Oracle, Microsoft, and Salesforce. Porter’s framework captures the importance of barriers to entry, buyer dependence, and ecosystem control in SAP’s market environment. However, while these </w:t>
      </w:r>
      <w:r w:rsidRPr="0044370F">
        <w:rPr>
          <w:rFonts w:ascii="Times New Roman" w:eastAsia="Times New Roman" w:hAnsi="Times New Roman" w:cs="Times New Roman"/>
          <w:sz w:val="24"/>
          <w:szCs w:val="24"/>
        </w:rPr>
        <w:lastRenderedPageBreak/>
        <w:t>tools help explain SAP’s competitive resilience, they treat regulation alignment, public-sector dependence, and infrastructural centrality as external conditions rather than as constitutive sources of authority. As such, conventional strategic analysis is insufficient for explaining why SAP’s software systems acquire governance significance within states and institutions. This analytical limitation motivates the application of the four-dimensional framework, which moves beyond firm performance to examine how SAP’s embedded infrastructures, standards, and regulation alignment generate a distinct, low-visibility form of corporate quasi-sovereignty.</w:t>
      </w:r>
    </w:p>
    <w:p w:rsidR="00D33237" w:rsidRPr="0044370F" w:rsidRDefault="00D33237" w:rsidP="00BF67B6">
      <w:pPr>
        <w:pStyle w:val="2"/>
      </w:pPr>
      <w:bookmarkStart w:id="169" w:name="_Toc222652833"/>
      <w:r w:rsidRPr="0044370F">
        <w:rPr>
          <w:rStyle w:val="a4"/>
          <w:b/>
          <w:bCs w:val="0"/>
        </w:rPr>
        <w:t>7.3</w:t>
      </w:r>
      <w:r w:rsidRPr="0044370F">
        <w:rPr>
          <w:rStyle w:val="a4"/>
          <w:b/>
          <w:bCs w:val="0"/>
        </w:rPr>
        <w:tab/>
        <w:t>Analytical Framework: Four Dimensions of Corporate Quasi-Sovereignty</w:t>
      </w:r>
      <w:bookmarkEnd w:id="169"/>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For analytical clarity, the four dimensions are briefly reiterated here as applied to SAP.</w:t>
      </w:r>
    </w:p>
    <w:p w:rsidR="00D33237" w:rsidRPr="0044370F" w:rsidRDefault="00D33237" w:rsidP="00BF67B6">
      <w:pPr>
        <w:pStyle w:val="3"/>
        <w:rPr>
          <w:rStyle w:val="a4"/>
          <w:rFonts w:eastAsiaTheme="majorEastAsia"/>
          <w:b/>
          <w:bCs/>
          <w:szCs w:val="28"/>
          <w:rtl/>
        </w:rPr>
      </w:pPr>
      <w:bookmarkStart w:id="170" w:name="_Toc222652834"/>
      <w:r w:rsidRPr="0044370F">
        <w:rPr>
          <w:rStyle w:val="a4"/>
          <w:rFonts w:eastAsiaTheme="majorEastAsia"/>
          <w:b/>
          <w:bCs/>
        </w:rPr>
        <w:t>Table</w:t>
      </w:r>
      <w:proofErr w:type="gramStart"/>
      <w:r w:rsidR="009E2790" w:rsidRPr="0044370F">
        <w:rPr>
          <w:rStyle w:val="a4"/>
          <w:rFonts w:eastAsiaTheme="majorEastAsia" w:hint="cs"/>
          <w:b/>
          <w:bCs/>
          <w:szCs w:val="28"/>
          <w:rtl/>
        </w:rPr>
        <w:t xml:space="preserve">10 </w:t>
      </w:r>
      <w:r w:rsidRPr="0044370F">
        <w:rPr>
          <w:rStyle w:val="a4"/>
          <w:rFonts w:eastAsiaTheme="majorEastAsia"/>
          <w:b/>
          <w:bCs/>
        </w:rPr>
        <w:t>:</w:t>
      </w:r>
      <w:proofErr w:type="gramEnd"/>
      <w:r w:rsidRPr="0044370F">
        <w:rPr>
          <w:rStyle w:val="a4"/>
          <w:rFonts w:eastAsiaTheme="majorEastAsia"/>
          <w:b/>
          <w:bCs/>
        </w:rPr>
        <w:t xml:space="preserve"> Application of the Four-Dimensional Framework to SAP SE</w:t>
      </w:r>
      <w:bookmarkEnd w:id="170"/>
    </w:p>
    <w:p w:rsidR="00D33237" w:rsidRPr="0044370F" w:rsidRDefault="00D33237" w:rsidP="00D33237">
      <w:pPr>
        <w:rPr>
          <w:rFonts w:ascii="Times New Roman" w:hAnsi="Times New Roman"/>
        </w:rPr>
      </w:pPr>
    </w:p>
    <w:tbl>
      <w:tblPr>
        <w:tblStyle w:val="5-5"/>
        <w:tblW w:w="0" w:type="auto"/>
        <w:tblLook w:val="04A0" w:firstRow="1" w:lastRow="0" w:firstColumn="1" w:lastColumn="0" w:noHBand="0" w:noVBand="1"/>
      </w:tblPr>
      <w:tblGrid>
        <w:gridCol w:w="2205"/>
        <w:gridCol w:w="7145"/>
      </w:tblGrid>
      <w:tr w:rsidR="00D33237" w:rsidRPr="0044370F" w:rsidTr="00DE05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D33237" w:rsidRPr="0044370F" w:rsidRDefault="00D33237" w:rsidP="009E2790">
            <w:pPr>
              <w:jc w:val="cente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Analytical Dimension</w:t>
            </w:r>
          </w:p>
        </w:tc>
        <w:tc>
          <w:tcPr>
            <w:tcW w:w="0" w:type="auto"/>
            <w:shd w:val="clear" w:color="auto" w:fill="9CC2E5" w:themeFill="accent1" w:themeFillTint="99"/>
            <w:hideMark/>
          </w:tcPr>
          <w:p w:rsidR="00D33237" w:rsidRPr="0044370F" w:rsidRDefault="00D33237"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Manifestation in SAP SE</w:t>
            </w:r>
          </w:p>
        </w:tc>
      </w:tr>
      <w:tr w:rsidR="00D33237" w:rsidRPr="0044370F" w:rsidTr="00DE0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D33237" w:rsidRPr="0044370F" w:rsidRDefault="00D33237" w:rsidP="009E2790">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Strategic Resource Control</w:t>
            </w:r>
          </w:p>
        </w:tc>
        <w:tc>
          <w:tcPr>
            <w:tcW w:w="0" w:type="auto"/>
            <w:hideMark/>
          </w:tcPr>
          <w:p w:rsidR="00D33237" w:rsidRPr="0044370F" w:rsidRDefault="00D33237"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Proprietary ERP software (S/4HANA) · Extensive intellectual property in enterprise systems · Control over business process standards · Large installed customer base creating high switching costs · Certified professional and partner ecosystem governing access to expertise</w:t>
            </w:r>
          </w:p>
        </w:tc>
      </w:tr>
      <w:tr w:rsidR="00D33237" w:rsidRPr="0044370F" w:rsidTr="00DE059B">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D33237" w:rsidRPr="0044370F" w:rsidRDefault="00D33237" w:rsidP="009E2790">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Infrastructural Power</w:t>
            </w:r>
          </w:p>
        </w:tc>
        <w:tc>
          <w:tcPr>
            <w:tcW w:w="0" w:type="auto"/>
            <w:hideMark/>
          </w:tcPr>
          <w:p w:rsidR="00D33237" w:rsidRPr="0044370F" w:rsidRDefault="00D33237"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Enterprise software forming the “digital backbone” of corporations and governments · Management of core functions (finance, procurement, HR, logistics) · Deep integration into critical supply chains and public administration · Cloud-based enterprise platforms increasingly central to organizational continuity</w:t>
            </w:r>
          </w:p>
        </w:tc>
      </w:tr>
      <w:tr w:rsidR="00D33237" w:rsidRPr="0044370F" w:rsidTr="00DE0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D33237" w:rsidRPr="0044370F" w:rsidRDefault="00D33237" w:rsidP="009E2790">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Normative Legitimacy</w:t>
            </w:r>
          </w:p>
        </w:tc>
        <w:tc>
          <w:tcPr>
            <w:tcW w:w="0" w:type="auto"/>
            <w:hideMark/>
          </w:tcPr>
          <w:p w:rsidR="00D33237" w:rsidRPr="0044370F" w:rsidRDefault="00D33237"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Compliance-oriented legitimacy grounded in regulation alignment (EU law, GDPR) · Reputation for reliability and technical competence · Emphasis on ethics, sustainability, and transparency · Limited public visibility, reducing mass legitimacy contestation</w:t>
            </w:r>
          </w:p>
        </w:tc>
      </w:tr>
      <w:tr w:rsidR="00D33237" w:rsidRPr="0044370F" w:rsidTr="00DE059B">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D33237" w:rsidRPr="0044370F" w:rsidRDefault="00D33237" w:rsidP="009E2790">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Structural Embeddedness</w:t>
            </w:r>
          </w:p>
        </w:tc>
        <w:tc>
          <w:tcPr>
            <w:tcW w:w="0" w:type="auto"/>
            <w:hideMark/>
          </w:tcPr>
          <w:p w:rsidR="00D33237" w:rsidRPr="0044370F" w:rsidRDefault="00D33237"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Deep integration into governmental, military, and corporate institutions across 180+ countries · Alignment with European digital sovereignty initiatives (e.g., GAIA-X) · Extensive reliance of states and enterprises on SAP systems for continuity of operations</w:t>
            </w:r>
          </w:p>
        </w:tc>
      </w:tr>
      <w:tr w:rsidR="00D33237" w:rsidRPr="0044370F" w:rsidTr="00DE05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D33237" w:rsidRPr="0044370F" w:rsidRDefault="00D33237" w:rsidP="009E2790">
            <w:pPr>
              <w:rPr>
                <w:rFonts w:ascii="Times New Roman" w:eastAsia="Times New Roman" w:hAnsi="Times New Roman" w:cs="Times New Roman"/>
                <w:color w:val="auto"/>
                <w:lang w:val="en-US"/>
              </w:rPr>
            </w:pPr>
            <w:r w:rsidRPr="0044370F">
              <w:rPr>
                <w:rFonts w:ascii="Times New Roman" w:eastAsia="Times New Roman" w:hAnsi="Times New Roman" w:cs="Times New Roman"/>
                <w:color w:val="auto"/>
                <w:lang w:val="en-US"/>
              </w:rPr>
              <w:t>Overall Configuration of Quasi-Sovereignty</w:t>
            </w:r>
          </w:p>
        </w:tc>
        <w:tc>
          <w:tcPr>
            <w:tcW w:w="0" w:type="auto"/>
            <w:hideMark/>
          </w:tcPr>
          <w:p w:rsidR="00D33237" w:rsidRPr="0044370F" w:rsidRDefault="00D33237"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lang w:val="en-US"/>
              </w:rPr>
            </w:pPr>
            <w:r w:rsidRPr="0044370F">
              <w:rPr>
                <w:rFonts w:ascii="Times New Roman" w:eastAsia="Times New Roman" w:hAnsi="Times New Roman" w:cs="Times New Roman"/>
                <w:b/>
                <w:bCs/>
                <w:lang w:val="en-US"/>
              </w:rPr>
              <w:t>Low-visibility, standards-based, compliance-oriented corporate quasi-sovereignty exercised through infrastructural embedding rather than public or geopolitical confrontation.</w:t>
            </w:r>
          </w:p>
        </w:tc>
      </w:tr>
    </w:tbl>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table provides a comparative snapshot of SAP’s quasi-sovereign configuration, demonstrating how strategic assets, infrastructural embedding, normative legitimacy, and institutional alignment combine to produce a distinct, compliance-oriented form of corporate quasi-sovereignty.</w:t>
      </w:r>
    </w:p>
    <w:p w:rsidR="00DC5AE7" w:rsidRPr="0044370F" w:rsidRDefault="00DC5AE7" w:rsidP="00D33237">
      <w:pPr>
        <w:spacing w:beforeAutospacing="1" w:after="100" w:afterAutospacing="1" w:line="360" w:lineRule="auto"/>
        <w:jc w:val="both"/>
        <w:rPr>
          <w:rFonts w:ascii="Times New Roman" w:eastAsia="Times New Roman" w:hAnsi="Times New Roman" w:cs="Times New Roman"/>
          <w:sz w:val="24"/>
          <w:szCs w:val="24"/>
        </w:rPr>
      </w:pPr>
    </w:p>
    <w:p w:rsidR="00D33237" w:rsidRPr="0044370F" w:rsidRDefault="00D33237" w:rsidP="00BF67B6">
      <w:pPr>
        <w:pStyle w:val="2"/>
        <w:rPr>
          <w:rFonts w:eastAsia="Times New Roman"/>
          <w:lang w:eastAsia="en-IL"/>
        </w:rPr>
      </w:pPr>
      <w:bookmarkStart w:id="171" w:name="_Toc222652835"/>
      <w:r w:rsidRPr="0044370F">
        <w:rPr>
          <w:rFonts w:eastAsia="Times New Roman"/>
          <w:lang w:eastAsia="en-IL"/>
        </w:rPr>
        <w:t>7.4</w:t>
      </w:r>
      <w:r w:rsidRPr="0044370F">
        <w:rPr>
          <w:rFonts w:eastAsia="Times New Roman"/>
          <w:lang w:eastAsia="en-IL"/>
        </w:rPr>
        <w:tab/>
        <w:t>Overview of SAP and Its Strategic Assets</w:t>
      </w:r>
      <w:bookmarkEnd w:id="171"/>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SAP SE is a German multinational software corporation founded in 1972</w:t>
      </w:r>
      <w:r w:rsidRPr="0044370F">
        <w:rPr>
          <w:rStyle w:val="a8"/>
          <w:rFonts w:ascii="Times New Roman" w:eastAsia="Times New Roman" w:hAnsi="Times New Roman" w:cs="Times New Roman"/>
          <w:sz w:val="24"/>
          <w:szCs w:val="24"/>
          <w:lang w:eastAsia="en-IL"/>
        </w:rPr>
        <w:footnoteReference w:id="231"/>
      </w:r>
      <w:r w:rsidRPr="0044370F">
        <w:rPr>
          <w:rFonts w:ascii="Times New Roman" w:eastAsia="Times New Roman" w:hAnsi="Times New Roman" w:cs="Times New Roman"/>
          <w:sz w:val="24"/>
          <w:szCs w:val="24"/>
          <w:lang w:eastAsia="en-IL"/>
        </w:rPr>
        <w:t xml:space="preserve">, best known as the world’s leading provider of enterprise application software. Over five decades, SAP has set the </w:t>
      </w:r>
      <w:r w:rsidRPr="0044370F">
        <w:rPr>
          <w:rFonts w:ascii="Times New Roman" w:eastAsia="Times New Roman" w:hAnsi="Times New Roman" w:cs="Times New Roman"/>
          <w:b/>
          <w:bCs/>
          <w:sz w:val="24"/>
          <w:szCs w:val="24"/>
          <w:lang w:eastAsia="en-IL"/>
        </w:rPr>
        <w:t>global standard for enterprise resource planning (ERP)</w:t>
      </w:r>
      <w:r w:rsidRPr="0044370F">
        <w:rPr>
          <w:rStyle w:val="a8"/>
          <w:rFonts w:ascii="Times New Roman" w:eastAsia="Times New Roman" w:hAnsi="Times New Roman" w:cs="Times New Roman"/>
          <w:b/>
          <w:bCs/>
          <w:sz w:val="24"/>
          <w:szCs w:val="24"/>
          <w:lang w:eastAsia="en-IL"/>
        </w:rPr>
        <w:footnoteReference w:id="232"/>
      </w:r>
      <w:r w:rsidRPr="0044370F">
        <w:rPr>
          <w:rFonts w:ascii="Times New Roman" w:eastAsia="Times New Roman" w:hAnsi="Times New Roman" w:cs="Times New Roman"/>
          <w:sz w:val="24"/>
          <w:szCs w:val="24"/>
          <w:lang w:eastAsia="en-IL"/>
        </w:rPr>
        <w:t>, the integrated systems that manage business operations and data for organizations. Its flagship ERP software (from the classic R/3 system to today’s S/4HANA platform</w:t>
      </w:r>
      <w:r w:rsidRPr="0044370F">
        <w:rPr>
          <w:rStyle w:val="a8"/>
          <w:rFonts w:ascii="Times New Roman" w:eastAsia="Times New Roman" w:hAnsi="Times New Roman" w:cs="Times New Roman"/>
          <w:sz w:val="24"/>
          <w:szCs w:val="24"/>
          <w:lang w:eastAsia="en-IL"/>
        </w:rPr>
        <w:footnoteReference w:id="233"/>
      </w:r>
      <w:r w:rsidRPr="0044370F">
        <w:rPr>
          <w:rFonts w:ascii="Times New Roman" w:eastAsia="Times New Roman" w:hAnsi="Times New Roman" w:cs="Times New Roman"/>
          <w:sz w:val="24"/>
          <w:szCs w:val="24"/>
          <w:lang w:eastAsia="en-IL"/>
        </w:rPr>
        <w:t xml:space="preserve">) and a broad suite of enterprise applications (covering finance, supply chain, customer relations, and more) constitute SAP’s core strategic assets. </w:t>
      </w:r>
    </w:p>
    <w:p w:rsidR="00D33237" w:rsidRPr="0044370F" w:rsidRDefault="00D33237" w:rsidP="00D33237">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imes New Roman" w:eastAsia="Times New Roman" w:hAnsi="Times New Roman" w:cs="Times New Roman"/>
          <w:sz w:val="24"/>
          <w:szCs w:val="24"/>
          <w:lang w:eastAsia="en-IL"/>
        </w:rPr>
        <w:t xml:space="preserve">These software systems embed </w:t>
      </w:r>
      <w:r w:rsidRPr="0044370F">
        <w:rPr>
          <w:rFonts w:ascii="Times New Roman" w:eastAsia="Times New Roman" w:hAnsi="Times New Roman" w:cs="Times New Roman"/>
          <w:b/>
          <w:bCs/>
          <w:sz w:val="24"/>
          <w:szCs w:val="24"/>
          <w:lang w:eastAsia="en-IL"/>
        </w:rPr>
        <w:t>“best practices”</w:t>
      </w:r>
      <w:r w:rsidRPr="0044370F">
        <w:rPr>
          <w:rFonts w:ascii="Times New Roman" w:eastAsia="Times New Roman" w:hAnsi="Times New Roman" w:cs="Times New Roman"/>
          <w:sz w:val="24"/>
          <w:szCs w:val="24"/>
          <w:lang w:eastAsia="en-IL"/>
        </w:rPr>
        <w:t xml:space="preserve"> and standardized processes gleaned from industries worldwide, effectively turning SAP’s codebase into a template for operating complex organizations. In doing so, SAP </w:t>
      </w:r>
      <w:r w:rsidRPr="0044370F">
        <w:rPr>
          <w:rFonts w:asciiTheme="majorBidi" w:hAnsiTheme="majorBidi" w:cstheme="majorBidi"/>
          <w:sz w:val="24"/>
          <w:szCs w:val="24"/>
        </w:rPr>
        <w:t>exerts architectural influence</w:t>
      </w:r>
      <w:r w:rsidRPr="0044370F">
        <w:rPr>
          <w:rFonts w:ascii="Times New Roman" w:eastAsia="Times New Roman" w:hAnsi="Times New Roman" w:cs="Times New Roman"/>
          <w:sz w:val="24"/>
          <w:szCs w:val="24"/>
          <w:lang w:eastAsia="en-IL"/>
        </w:rPr>
        <w:t xml:space="preserve">; companies usually adapt their internal processes to match SAP’s built-in models, thereby granting SAP influence over how business is carried out across its customers. The </w:t>
      </w:r>
      <w:r w:rsidRPr="0044370F">
        <w:rPr>
          <w:rFonts w:ascii="Times New Roman" w:eastAsia="Times New Roman" w:hAnsi="Times New Roman" w:cs="Times New Roman"/>
          <w:b/>
          <w:bCs/>
          <w:sz w:val="24"/>
          <w:szCs w:val="24"/>
          <w:lang w:eastAsia="en-IL"/>
        </w:rPr>
        <w:t>breadth of SAP’s product ecosystem</w:t>
      </w:r>
      <w:r w:rsidRPr="0044370F">
        <w:rPr>
          <w:rFonts w:ascii="Times New Roman" w:eastAsia="Times New Roman" w:hAnsi="Times New Roman" w:cs="Times New Roman"/>
          <w:sz w:val="24"/>
          <w:szCs w:val="24"/>
          <w:lang w:eastAsia="en-IL"/>
        </w:rPr>
        <w:t>, including databases, cloud services</w:t>
      </w:r>
      <w:r w:rsidRPr="0044370F">
        <w:rPr>
          <w:rStyle w:val="a8"/>
          <w:rFonts w:ascii="Times New Roman" w:eastAsia="Times New Roman" w:hAnsi="Times New Roman" w:cs="Times New Roman"/>
          <w:sz w:val="24"/>
          <w:szCs w:val="24"/>
          <w:lang w:eastAsia="en-IL"/>
        </w:rPr>
        <w:footnoteReference w:id="234"/>
      </w:r>
      <w:r w:rsidRPr="0044370F">
        <w:rPr>
          <w:rFonts w:ascii="Times New Roman" w:eastAsia="Times New Roman" w:hAnsi="Times New Roman" w:cs="Times New Roman"/>
          <w:sz w:val="24"/>
          <w:szCs w:val="24"/>
          <w:lang w:eastAsia="en-IL"/>
        </w:rPr>
        <w:t xml:space="preserve">, analytics, and vertical-specific modules, further anchors its role as an indispensable backbone for enterprise operations. SAP’s intellectual property, its proprietary programming languages and development platforms, and its vast network of qualified professionals are also key strategic assets that reinforce its market dominance and the </w:t>
      </w:r>
      <w:r w:rsidRPr="0044370F">
        <w:rPr>
          <w:rFonts w:ascii="Times New Roman" w:eastAsia="Times New Roman" w:hAnsi="Times New Roman" w:cs="Times New Roman"/>
          <w:b/>
          <w:bCs/>
          <w:sz w:val="24"/>
          <w:szCs w:val="24"/>
          <w:lang w:eastAsia="en-IL"/>
        </w:rPr>
        <w:t>high switching costs</w:t>
      </w:r>
      <w:r w:rsidRPr="0044370F">
        <w:rPr>
          <w:rFonts w:ascii="Times New Roman" w:eastAsia="Times New Roman" w:hAnsi="Times New Roman" w:cs="Times New Roman"/>
          <w:sz w:val="24"/>
          <w:szCs w:val="24"/>
          <w:lang w:eastAsia="en-IL"/>
        </w:rPr>
        <w:t xml:space="preserve"> faced by customers who consider alternatives</w:t>
      </w:r>
      <w:r w:rsidRPr="0044370F">
        <w:rPr>
          <w:rStyle w:val="a8"/>
          <w:rFonts w:ascii="Times New Roman" w:eastAsia="Times New Roman" w:hAnsi="Times New Roman" w:cs="Times New Roman"/>
          <w:sz w:val="24"/>
          <w:szCs w:val="24"/>
          <w:lang w:eastAsia="en-IL"/>
        </w:rPr>
        <w:footnoteReference w:id="235"/>
      </w:r>
      <w:r w:rsidRPr="0044370F">
        <w:rPr>
          <w:rFonts w:ascii="Times New Roman" w:eastAsia="Times New Roman" w:hAnsi="Times New Roman" w:cs="Times New Roman"/>
          <w:sz w:val="24"/>
          <w:szCs w:val="24"/>
          <w:lang w:eastAsia="en-IL"/>
        </w:rPr>
        <w:t xml:space="preserve">. In sum, SAP’s business software </w:t>
      </w:r>
      <w:r w:rsidRPr="0044370F">
        <w:rPr>
          <w:rFonts w:ascii="Times New Roman" w:eastAsia="Times New Roman" w:hAnsi="Times New Roman" w:cs="Times New Roman"/>
          <w:sz w:val="24"/>
          <w:szCs w:val="24"/>
          <w:lang w:eastAsia="en-IL"/>
        </w:rPr>
        <w:lastRenderedPageBreak/>
        <w:t xml:space="preserve">has become strongly rooted in the global economy’s </w:t>
      </w:r>
      <w:r w:rsidRPr="0044370F">
        <w:rPr>
          <w:rFonts w:ascii="Times New Roman" w:eastAsia="Times New Roman" w:hAnsi="Times New Roman" w:cs="Times New Roman"/>
          <w:b/>
          <w:bCs/>
          <w:sz w:val="24"/>
          <w:szCs w:val="24"/>
          <w:lang w:eastAsia="en-IL"/>
        </w:rPr>
        <w:t>“digital plumbing,”</w:t>
      </w:r>
      <w:r w:rsidRPr="0044370F">
        <w:rPr>
          <w:rFonts w:ascii="Times New Roman" w:eastAsia="Times New Roman" w:hAnsi="Times New Roman" w:cs="Times New Roman"/>
          <w:sz w:val="24"/>
          <w:szCs w:val="24"/>
          <w:lang w:eastAsia="en-IL"/>
        </w:rPr>
        <w:t xml:space="preserve"> making the company a quiet </w:t>
      </w:r>
      <w:r w:rsidRPr="0044370F">
        <w:rPr>
          <w:rFonts w:asciiTheme="majorBidi" w:hAnsiTheme="majorBidi" w:cstheme="majorBidi"/>
          <w:sz w:val="24"/>
          <w:szCs w:val="24"/>
        </w:rPr>
        <w:t>yet structurally consequential orchestrator of enterprise activity worldwide</w:t>
      </w:r>
      <w:r w:rsidRPr="0044370F">
        <w:rPr>
          <w:rFonts w:asciiTheme="majorBidi" w:eastAsia="Times New Roman" w:hAnsiTheme="majorBidi" w:cstheme="majorBidi"/>
          <w:sz w:val="24"/>
          <w:szCs w:val="24"/>
          <w:lang w:eastAsia="en-IL"/>
        </w:rPr>
        <w:t>.</w:t>
      </w:r>
    </w:p>
    <w:p w:rsidR="00D33237" w:rsidRPr="0044370F" w:rsidRDefault="00D33237" w:rsidP="00BF67B6">
      <w:pPr>
        <w:pStyle w:val="2"/>
        <w:rPr>
          <w:rFonts w:eastAsia="Times New Roman"/>
          <w:lang w:eastAsia="en-IL"/>
        </w:rPr>
      </w:pPr>
      <w:bookmarkStart w:id="172" w:name="_Toc222652836"/>
      <w:r w:rsidRPr="0044370F">
        <w:rPr>
          <w:rFonts w:eastAsia="Times New Roman"/>
          <w:lang w:eastAsia="en-IL"/>
        </w:rPr>
        <w:t>7.5</w:t>
      </w:r>
      <w:r w:rsidRPr="0044370F">
        <w:rPr>
          <w:rFonts w:eastAsia="Times New Roman"/>
          <w:lang w:eastAsia="en-IL"/>
        </w:rPr>
        <w:tab/>
        <w:t>Operational Reach and Critical Infrastructures</w:t>
      </w:r>
      <w:bookmarkEnd w:id="172"/>
    </w:p>
    <w:p w:rsidR="00D33237" w:rsidRPr="0044370F" w:rsidRDefault="00D33237" w:rsidP="00D33237">
      <w:pPr>
        <w:pStyle w:val="NormalWeb"/>
        <w:spacing w:line="360" w:lineRule="auto"/>
        <w:jc w:val="both"/>
        <w:rPr>
          <w:lang w:eastAsia="en-IL"/>
        </w:rPr>
      </w:pPr>
      <w:r w:rsidRPr="0044370F">
        <w:rPr>
          <w:lang w:eastAsia="en-IL"/>
        </w:rPr>
        <w:t xml:space="preserve">Few companies illustrate </w:t>
      </w:r>
      <w:r w:rsidRPr="0044370F">
        <w:rPr>
          <w:i/>
          <w:iCs/>
          <w:lang w:eastAsia="en-IL"/>
        </w:rPr>
        <w:t>ubiquity</w:t>
      </w:r>
      <w:r w:rsidRPr="0044370F">
        <w:rPr>
          <w:lang w:eastAsia="en-IL"/>
        </w:rPr>
        <w:t xml:space="preserve"> in enterprise infrastructure as starkly as SAP. </w:t>
      </w:r>
      <w:r w:rsidRPr="0044370F">
        <w:rPr>
          <w:b/>
          <w:bCs/>
          <w:lang w:eastAsia="en-IL"/>
        </w:rPr>
        <w:t>Over 440,000 customers use SAP’s software in more than 180 countries</w:t>
      </w:r>
      <w:r w:rsidRPr="0044370F">
        <w:rPr>
          <w:lang w:eastAsia="en-IL"/>
        </w:rPr>
        <w:t xml:space="preserve">, including the majority of the world’s large businesses and many public sector institutions. By one estimate, </w:t>
      </w:r>
      <w:r w:rsidRPr="0044370F">
        <w:rPr>
          <w:b/>
          <w:bCs/>
          <w:lang w:eastAsia="en-IL"/>
        </w:rPr>
        <w:t>86% of Fortune 500 companies are SAP customers</w:t>
      </w:r>
      <w:r w:rsidRPr="0044370F">
        <w:rPr>
          <w:lang w:eastAsia="en-IL"/>
        </w:rPr>
        <w:t xml:space="preserve">, and remarkably, </w:t>
      </w:r>
      <w:r w:rsidRPr="0044370F">
        <w:rPr>
          <w:b/>
          <w:bCs/>
          <w:lang w:eastAsia="en-IL"/>
        </w:rPr>
        <w:t xml:space="preserve">77% of the world’s transaction revenue flows through an SAP system </w:t>
      </w:r>
      <w:r w:rsidRPr="0044370F">
        <w:t>(according to SAP corporate disclosures)</w:t>
      </w:r>
      <w:r w:rsidRPr="0044370F">
        <w:rPr>
          <w:lang w:eastAsia="en-IL"/>
        </w:rPr>
        <w:t>. These figures illustrate SAP’s role as a major intermediary in global supply chains and financial systems. From manufacturing conglomerates and banks to hospitals and government agencies, SAP’s ERP</w:t>
      </w:r>
      <w:r w:rsidRPr="0044370F">
        <w:rPr>
          <w:rStyle w:val="a8"/>
          <w:lang w:eastAsia="en-IL"/>
        </w:rPr>
        <w:footnoteReference w:id="236"/>
      </w:r>
      <w:r w:rsidRPr="0044370F">
        <w:rPr>
          <w:lang w:eastAsia="en-IL"/>
        </w:rPr>
        <w:t xml:space="preserve"> and supply-chain management systems are the </w:t>
      </w:r>
      <w:r w:rsidRPr="0044370F">
        <w:rPr>
          <w:b/>
          <w:bCs/>
          <w:lang w:eastAsia="en-IL"/>
        </w:rPr>
        <w:t>digital backbone</w:t>
      </w:r>
      <w:r w:rsidRPr="0044370F">
        <w:rPr>
          <w:lang w:eastAsia="en-IL"/>
        </w:rPr>
        <w:t xml:space="preserve"> coordinating production, finance, logistics, and human resources. Many national governments rely on SAP to manage core functions (budgeting, procurement, HR), and military organizations (e.g., the U.S. Department of Defense and European defense ministries) use SAP to run logistics and asset management, providing evidence that SAP’s platforms are now part of modern critical infrastructure.</w:t>
      </w:r>
    </w:p>
    <w:p w:rsidR="00D33237" w:rsidRPr="0044370F" w:rsidRDefault="00D33237" w:rsidP="00D33237">
      <w:pPr>
        <w:spacing w:before="100" w:beforeAutospacing="1" w:after="100" w:afterAutospacing="1" w:line="360" w:lineRule="auto"/>
        <w:jc w:val="both"/>
        <w:rPr>
          <w:rFonts w:asciiTheme="majorBidi" w:eastAsia="Times New Roman" w:hAnsiTheme="majorBidi" w:cstheme="majorBidi"/>
          <w:sz w:val="24"/>
          <w:szCs w:val="24"/>
          <w:lang w:eastAsia="en-IL"/>
        </w:rPr>
      </w:pPr>
      <w:r w:rsidRPr="0044370F">
        <w:rPr>
          <w:rFonts w:ascii="Times New Roman" w:eastAsia="Times New Roman" w:hAnsi="Times New Roman" w:cs="Times New Roman"/>
          <w:sz w:val="24"/>
          <w:szCs w:val="24"/>
          <w:lang w:eastAsia="en-IL"/>
        </w:rPr>
        <w:t xml:space="preserve">This extensive operational reach creates </w:t>
      </w:r>
      <w:r w:rsidRPr="0044370F">
        <w:rPr>
          <w:rFonts w:ascii="Times New Roman" w:eastAsia="Times New Roman" w:hAnsi="Times New Roman" w:cs="Times New Roman"/>
          <w:b/>
          <w:bCs/>
          <w:sz w:val="24"/>
          <w:szCs w:val="24"/>
          <w:lang w:eastAsia="en-IL"/>
        </w:rPr>
        <w:t>structural dependencies</w:t>
      </w:r>
      <w:r w:rsidRPr="0044370F">
        <w:rPr>
          <w:rFonts w:ascii="Times New Roman" w:eastAsia="Times New Roman" w:hAnsi="Times New Roman" w:cs="Times New Roman"/>
          <w:sz w:val="24"/>
          <w:szCs w:val="24"/>
          <w:lang w:eastAsia="en-IL"/>
        </w:rPr>
        <w:t xml:space="preserve">. Organizations that deploy SAP usually integrate it so deeply that it becomes mission-critical; disruptions to SAP services could cascade through economies. A vivid example emerged in Russia after the 2022 invasion of Ukraine. SAP decided to exit the Russian market in compliance with Western sanctions, ceasing support and updates for Russian clients. Russian industry leaders openly warned that replacing SAP’s software would require a consortium of major firms, </w:t>
      </w:r>
      <w:r w:rsidRPr="0044370F">
        <w:rPr>
          <w:rFonts w:ascii="Times New Roman" w:eastAsia="Times New Roman" w:hAnsi="Times New Roman" w:cs="Times New Roman"/>
          <w:i/>
          <w:iCs/>
          <w:sz w:val="24"/>
          <w:szCs w:val="24"/>
          <w:lang w:eastAsia="en-IL"/>
        </w:rPr>
        <w:t>billions of dollars</w:t>
      </w:r>
      <w:r w:rsidRPr="0044370F">
        <w:rPr>
          <w:rFonts w:ascii="Times New Roman" w:eastAsia="Times New Roman" w:hAnsi="Times New Roman" w:cs="Times New Roman"/>
          <w:sz w:val="24"/>
          <w:szCs w:val="24"/>
          <w:lang w:eastAsia="en-IL"/>
        </w:rPr>
        <w:t xml:space="preserve">, and up to five years of effort, with no comparable domestic system yet available. This scenario highlights how SAP’s enterprise platforms function as embedded infrastructure; they are not easily substitutable, and their withdrawal can pose systemic risks for companies and even national economies. In effect, SAP has achieved a far-reaching operational presence </w:t>
      </w:r>
      <w:r w:rsidRPr="0044370F">
        <w:rPr>
          <w:rFonts w:asciiTheme="majorBidi" w:hAnsiTheme="majorBidi" w:cstheme="majorBidi"/>
          <w:sz w:val="24"/>
          <w:szCs w:val="24"/>
        </w:rPr>
        <w:t>functioning as embedded digital infrastructure within organizational systems</w:t>
      </w:r>
      <w:r w:rsidRPr="0044370F">
        <w:rPr>
          <w:rFonts w:asciiTheme="majorBidi" w:eastAsia="Times New Roman" w:hAnsiTheme="majorBidi" w:cstheme="majorBidi"/>
          <w:sz w:val="24"/>
          <w:szCs w:val="24"/>
          <w:lang w:eastAsia="en-IL"/>
        </w:rPr>
        <w:t>.</w:t>
      </w:r>
    </w:p>
    <w:p w:rsidR="00D33237" w:rsidRPr="0044370F" w:rsidRDefault="00D33237" w:rsidP="00BF67B6">
      <w:pPr>
        <w:pStyle w:val="2"/>
        <w:rPr>
          <w:rFonts w:eastAsia="Times New Roman"/>
          <w:lang w:eastAsia="en-IL"/>
        </w:rPr>
      </w:pPr>
      <w:bookmarkStart w:id="173" w:name="_Toc222652837"/>
      <w:r w:rsidRPr="0044370F">
        <w:rPr>
          <w:rFonts w:eastAsia="Times New Roman"/>
          <w:lang w:eastAsia="en-IL"/>
        </w:rPr>
        <w:lastRenderedPageBreak/>
        <w:t>7.6</w:t>
      </w:r>
      <w:r w:rsidRPr="0044370F">
        <w:rPr>
          <w:rFonts w:eastAsia="Times New Roman"/>
          <w:lang w:eastAsia="en-IL"/>
        </w:rPr>
        <w:tab/>
        <w:t>Modes of Governance and Institutional Relationships</w:t>
      </w:r>
      <w:bookmarkEnd w:id="173"/>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SAP’s power does not solely derive from its software products, but also from the ways it </w:t>
      </w:r>
      <w:r w:rsidRPr="0044370F">
        <w:rPr>
          <w:rFonts w:ascii="Times New Roman" w:eastAsia="Times New Roman" w:hAnsi="Times New Roman" w:cs="Times New Roman"/>
          <w:i/>
          <w:iCs/>
          <w:sz w:val="24"/>
          <w:szCs w:val="24"/>
          <w:lang w:eastAsia="en-IL"/>
        </w:rPr>
        <w:t>governs</w:t>
      </w:r>
      <w:r w:rsidRPr="0044370F">
        <w:rPr>
          <w:rFonts w:ascii="Times New Roman" w:eastAsia="Times New Roman" w:hAnsi="Times New Roman" w:cs="Times New Roman"/>
          <w:sz w:val="24"/>
          <w:szCs w:val="24"/>
          <w:lang w:eastAsia="en-IL"/>
        </w:rPr>
        <w:t xml:space="preserve"> the ecosystems and institutions around those products. Internally, SAP is governed as a publicly traded company with a European corporate model; it is headquartered in </w:t>
      </w:r>
      <w:proofErr w:type="spellStart"/>
      <w:r w:rsidRPr="0044370F">
        <w:rPr>
          <w:rFonts w:ascii="Times New Roman" w:eastAsia="Times New Roman" w:hAnsi="Times New Roman" w:cs="Times New Roman"/>
          <w:sz w:val="24"/>
          <w:szCs w:val="24"/>
          <w:lang w:eastAsia="en-IL"/>
        </w:rPr>
        <w:t>Walldorf</w:t>
      </w:r>
      <w:proofErr w:type="spellEnd"/>
      <w:r w:rsidRPr="0044370F">
        <w:rPr>
          <w:rFonts w:ascii="Times New Roman" w:eastAsia="Times New Roman" w:hAnsi="Times New Roman" w:cs="Times New Roman"/>
          <w:sz w:val="24"/>
          <w:szCs w:val="24"/>
          <w:lang w:eastAsia="en-IL"/>
        </w:rPr>
        <w:t>, Germany, and follows stakeholder-centric practices (including co-determination, where employee representatives sit on its supervisory board). This governance model</w:t>
      </w:r>
      <w:r w:rsidRPr="0044370F">
        <w:rPr>
          <w:rStyle w:val="a8"/>
          <w:rFonts w:ascii="Times New Roman" w:eastAsia="Times New Roman" w:hAnsi="Times New Roman" w:cs="Times New Roman"/>
          <w:sz w:val="24"/>
          <w:szCs w:val="24"/>
          <w:lang w:eastAsia="en-IL"/>
        </w:rPr>
        <w:footnoteReference w:id="237"/>
      </w:r>
      <w:r w:rsidRPr="0044370F">
        <w:rPr>
          <w:rFonts w:ascii="Times New Roman" w:eastAsia="Times New Roman" w:hAnsi="Times New Roman" w:cs="Times New Roman"/>
          <w:sz w:val="24"/>
          <w:szCs w:val="24"/>
          <w:lang w:eastAsia="en-IL"/>
        </w:rPr>
        <w:t xml:space="preserve"> anchors SAP in the German and EU regulatory context</w:t>
      </w:r>
      <w:r w:rsidRPr="0044370F">
        <w:rPr>
          <w:rStyle w:val="a8"/>
          <w:rFonts w:ascii="Times New Roman" w:eastAsia="Times New Roman" w:hAnsi="Times New Roman" w:cs="Times New Roman"/>
          <w:sz w:val="24"/>
          <w:szCs w:val="24"/>
          <w:lang w:eastAsia="en-IL"/>
        </w:rPr>
        <w:footnoteReference w:id="238"/>
      </w:r>
      <w:r w:rsidRPr="0044370F">
        <w:rPr>
          <w:rFonts w:ascii="Times New Roman" w:eastAsia="Times New Roman" w:hAnsi="Times New Roman" w:cs="Times New Roman"/>
          <w:sz w:val="24"/>
          <w:szCs w:val="24"/>
          <w:lang w:eastAsia="en-IL"/>
        </w:rPr>
        <w:t xml:space="preserve">, aligning it with European norms on data protection, labor rights, and corporate social responsibility. Externally, SAP cultivates extensive </w:t>
      </w:r>
      <w:r w:rsidRPr="0044370F">
        <w:rPr>
          <w:rFonts w:ascii="Times New Roman" w:eastAsia="Times New Roman" w:hAnsi="Times New Roman" w:cs="Times New Roman"/>
          <w:b/>
          <w:bCs/>
          <w:sz w:val="24"/>
          <w:szCs w:val="24"/>
          <w:lang w:eastAsia="en-IL"/>
        </w:rPr>
        <w:t>institutional relationships</w:t>
      </w:r>
      <w:r w:rsidRPr="0044370F">
        <w:rPr>
          <w:rFonts w:ascii="Times New Roman" w:eastAsia="Times New Roman" w:hAnsi="Times New Roman" w:cs="Times New Roman"/>
          <w:sz w:val="24"/>
          <w:szCs w:val="24"/>
          <w:lang w:eastAsia="en-IL"/>
        </w:rPr>
        <w:t xml:space="preserve"> that bolster its quasi-sovereign profile. It has a network of over </w:t>
      </w:r>
      <w:r w:rsidRPr="0044370F">
        <w:rPr>
          <w:rFonts w:ascii="Times New Roman" w:eastAsia="Times New Roman" w:hAnsi="Times New Roman" w:cs="Times New Roman"/>
          <w:b/>
          <w:bCs/>
          <w:sz w:val="24"/>
          <w:szCs w:val="24"/>
          <w:lang w:eastAsia="en-IL"/>
        </w:rPr>
        <w:t>21,000 partner companies worldwide</w:t>
      </w:r>
      <w:r w:rsidRPr="0044370F">
        <w:rPr>
          <w:rStyle w:val="a8"/>
          <w:rFonts w:ascii="Times New Roman" w:eastAsia="Times New Roman" w:hAnsi="Times New Roman" w:cs="Times New Roman"/>
          <w:b/>
          <w:bCs/>
          <w:sz w:val="24"/>
          <w:szCs w:val="24"/>
          <w:lang w:eastAsia="en-IL"/>
        </w:rPr>
        <w:footnoteReference w:id="239"/>
      </w:r>
      <w:r w:rsidRPr="0044370F">
        <w:rPr>
          <w:rFonts w:ascii="Times New Roman" w:eastAsia="Times New Roman" w:hAnsi="Times New Roman" w:cs="Times New Roman"/>
          <w:sz w:val="24"/>
          <w:szCs w:val="24"/>
          <w:lang w:eastAsia="en-IL"/>
        </w:rPr>
        <w:t>, consulting firms, software integrators, and independent vendors that implement and extend SAP systems. Through formal certification programs and alliances, such as SAP University Alliances, and partnerships with global consultancies, SAP effectively sets the training curriculum for ERP expertise and maintains quality control over how its software is deployed</w:t>
      </w:r>
      <w:r w:rsidRPr="0044370F">
        <w:rPr>
          <w:rStyle w:val="a8"/>
          <w:rFonts w:ascii="Times New Roman" w:eastAsia="Times New Roman" w:hAnsi="Times New Roman" w:cs="Times New Roman"/>
          <w:sz w:val="24"/>
          <w:szCs w:val="24"/>
          <w:lang w:eastAsia="en-IL"/>
        </w:rPr>
        <w:footnoteReference w:id="240"/>
      </w:r>
      <w:r w:rsidRPr="0044370F">
        <w:rPr>
          <w:rFonts w:ascii="Times New Roman" w:eastAsia="Times New Roman" w:hAnsi="Times New Roman" w:cs="Times New Roman"/>
          <w:sz w:val="24"/>
          <w:szCs w:val="24"/>
          <w:lang w:eastAsia="en-IL"/>
        </w:rPr>
        <w:t>. This expansive partner ecosystem increases customer lock-in and extends SAP’s influence into local markets and government agencies through third-party integrators, who usually work closely with public institutions on SAP projects</w:t>
      </w:r>
      <w:r w:rsidRPr="0044370F">
        <w:rPr>
          <w:rStyle w:val="a8"/>
          <w:rFonts w:ascii="Times New Roman" w:eastAsia="Times New Roman" w:hAnsi="Times New Roman" w:cs="Times New Roman"/>
          <w:sz w:val="24"/>
          <w:szCs w:val="24"/>
          <w:lang w:eastAsia="en-IL"/>
        </w:rPr>
        <w:footnoteReference w:id="241"/>
      </w:r>
      <w:r w:rsidRPr="0044370F">
        <w:rPr>
          <w:rFonts w:ascii="Times New Roman" w:eastAsia="Times New Roman" w:hAnsi="Times New Roman" w:cs="Times New Roman"/>
          <w:sz w:val="24"/>
          <w:szCs w:val="24"/>
          <w:lang w:eastAsia="en-IL"/>
        </w:rPr>
        <w:t>.</w:t>
      </w:r>
    </w:p>
    <w:p w:rsidR="00D33237" w:rsidRPr="0044370F" w:rsidRDefault="00D33237" w:rsidP="00D33237">
      <w:pPr>
        <w:pStyle w:val="NormalWeb"/>
        <w:spacing w:line="360" w:lineRule="auto"/>
        <w:jc w:val="both"/>
        <w:rPr>
          <w:lang w:eastAsia="en-IL"/>
        </w:rPr>
      </w:pPr>
      <w:r w:rsidRPr="0044370F">
        <w:lastRenderedPageBreak/>
        <w:t>From the perspective of the four-dimensional framework, these governance mechanisms reinforce infrastructural power while simultaneously consolidating normative legitimacy through procedural alignment.</w:t>
      </w:r>
    </w:p>
    <w:p w:rsidR="00D33237" w:rsidRPr="0044370F" w:rsidRDefault="00D33237" w:rsidP="00BF67B6">
      <w:pPr>
        <w:pStyle w:val="3"/>
      </w:pPr>
      <w:bookmarkStart w:id="174" w:name="_Toc222652838"/>
      <w:r w:rsidRPr="0044370F">
        <w:rPr>
          <w:rStyle w:val="a4"/>
          <w:rFonts w:eastAsiaTheme="majorEastAsia"/>
          <w:b/>
          <w:bCs/>
        </w:rPr>
        <w:t>7.6.1</w:t>
      </w:r>
      <w:r w:rsidRPr="0044370F">
        <w:rPr>
          <w:rStyle w:val="a4"/>
          <w:rFonts w:eastAsiaTheme="majorEastAsia"/>
          <w:b/>
          <w:bCs/>
        </w:rPr>
        <w:tab/>
        <w:t>Quantifying SAP’s Partner Ecosystem</w:t>
      </w:r>
      <w:bookmarkEnd w:id="174"/>
    </w:p>
    <w:p w:rsidR="00D33237" w:rsidRPr="0044370F" w:rsidRDefault="00D33237" w:rsidP="00D33237">
      <w:pPr>
        <w:pStyle w:val="NormalWeb"/>
        <w:spacing w:line="360" w:lineRule="auto"/>
        <w:jc w:val="both"/>
      </w:pPr>
      <w:r w:rsidRPr="0044370F">
        <w:t xml:space="preserve">SAP’s quasi-sovereign influence is reinforced by the scale and structure of its partner ecosystem. As of the early 2020s, SAP maintained a global network of over 21,000 certified partners, including system integrators, consultancies, and independent software vendors, operating across more than 180 countries. This ecosystem has expanded steadily over the past two decades, particularly in Europe, Asia, and emerging markets, where local partners usually serve as intermediaries between SAP and public-sector institutions. Through certification </w:t>
      </w:r>
      <w:proofErr w:type="spellStart"/>
      <w:r w:rsidRPr="0044370F">
        <w:t>programmes</w:t>
      </w:r>
      <w:proofErr w:type="spellEnd"/>
      <w:r w:rsidRPr="0044370F">
        <w:t>, standardized implementation methodologies, and training curricula, SAP effectively governs the deployment of enterprise systems worldwide, extending its authority through third-party actors while continuing centralized control over standards.</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Moreover, SAP engages with global governance forums and standard-setting bodies. It has been an active participant in initiatives like the </w:t>
      </w:r>
      <w:r w:rsidRPr="0044370F">
        <w:rPr>
          <w:rFonts w:ascii="Times New Roman" w:eastAsia="Times New Roman" w:hAnsi="Times New Roman" w:cs="Times New Roman"/>
          <w:b/>
          <w:bCs/>
          <w:sz w:val="24"/>
          <w:szCs w:val="24"/>
          <w:lang w:eastAsia="en-IL"/>
        </w:rPr>
        <w:t>World Economic Forum’s projects</w:t>
      </w:r>
      <w:r w:rsidRPr="0044370F">
        <w:rPr>
          <w:rFonts w:ascii="Times New Roman" w:eastAsia="Times New Roman" w:hAnsi="Times New Roman" w:cs="Times New Roman"/>
          <w:sz w:val="24"/>
          <w:szCs w:val="24"/>
          <w:lang w:eastAsia="en-IL"/>
        </w:rPr>
        <w:t xml:space="preserve"> on digital transformation and sustainability</w:t>
      </w:r>
      <w:r w:rsidRPr="0044370F">
        <w:rPr>
          <w:rStyle w:val="a8"/>
          <w:rFonts w:ascii="Times New Roman" w:eastAsia="Times New Roman" w:hAnsi="Times New Roman" w:cs="Times New Roman"/>
          <w:sz w:val="24"/>
          <w:szCs w:val="24"/>
          <w:lang w:eastAsia="en-IL"/>
        </w:rPr>
        <w:footnoteReference w:id="242"/>
      </w:r>
      <w:r w:rsidRPr="0044370F">
        <w:rPr>
          <w:rFonts w:ascii="Times New Roman" w:eastAsia="Times New Roman" w:hAnsi="Times New Roman" w:cs="Times New Roman"/>
          <w:sz w:val="24"/>
          <w:szCs w:val="24"/>
          <w:lang w:eastAsia="en-IL"/>
        </w:rPr>
        <w:t xml:space="preserve">, and it supports the </w:t>
      </w:r>
      <w:r w:rsidRPr="0044370F">
        <w:rPr>
          <w:rFonts w:ascii="Times New Roman" w:eastAsia="Times New Roman" w:hAnsi="Times New Roman" w:cs="Times New Roman"/>
          <w:b/>
          <w:bCs/>
          <w:sz w:val="24"/>
          <w:szCs w:val="24"/>
          <w:lang w:eastAsia="en-IL"/>
        </w:rPr>
        <w:t>United Nations Global Compact</w:t>
      </w:r>
      <w:r w:rsidRPr="0044370F">
        <w:rPr>
          <w:rFonts w:ascii="Times New Roman" w:eastAsia="Times New Roman" w:hAnsi="Times New Roman" w:cs="Times New Roman"/>
          <w:sz w:val="24"/>
          <w:szCs w:val="24"/>
          <w:lang w:eastAsia="en-IL"/>
        </w:rPr>
        <w:t xml:space="preserve"> principles. By joining such </w:t>
      </w:r>
      <w:proofErr w:type="spellStart"/>
      <w:r w:rsidRPr="0044370F">
        <w:rPr>
          <w:rFonts w:ascii="Times New Roman" w:eastAsia="Times New Roman" w:hAnsi="Times New Roman" w:cs="Times New Roman"/>
          <w:sz w:val="24"/>
          <w:szCs w:val="24"/>
          <w:lang w:eastAsia="en-IL"/>
        </w:rPr>
        <w:t>multistakeholder</w:t>
      </w:r>
      <w:proofErr w:type="spellEnd"/>
      <w:r w:rsidRPr="0044370F">
        <w:rPr>
          <w:rFonts w:ascii="Times New Roman" w:eastAsia="Times New Roman" w:hAnsi="Times New Roman" w:cs="Times New Roman"/>
          <w:sz w:val="24"/>
          <w:szCs w:val="24"/>
          <w:lang w:eastAsia="en-IL"/>
        </w:rPr>
        <w:t xml:space="preserve"> initiatives, SAP views itself as a responsible corporate actor that contributes to global norms on issues such as environmental sustainability. For instance, SAP has taken on roles in partnerships aimed at curbing ocean plastic pollution and supporting social development</w:t>
      </w:r>
      <w:r w:rsidRPr="0044370F">
        <w:rPr>
          <w:rStyle w:val="a8"/>
          <w:rFonts w:ascii="Times New Roman" w:eastAsia="Times New Roman" w:hAnsi="Times New Roman" w:cs="Times New Roman"/>
          <w:sz w:val="24"/>
          <w:szCs w:val="24"/>
          <w:lang w:eastAsia="en-IL"/>
        </w:rPr>
        <w:footnoteReference w:id="243"/>
      </w:r>
      <w:r w:rsidRPr="0044370F">
        <w:rPr>
          <w:rFonts w:ascii="Times New Roman" w:eastAsia="Times New Roman" w:hAnsi="Times New Roman" w:cs="Times New Roman"/>
          <w:sz w:val="24"/>
          <w:szCs w:val="24"/>
          <w:lang w:eastAsia="en-IL"/>
        </w:rPr>
        <w:t>. These forums provide SAP with soft-power leverage, guiding global policy conversations on technology governance in ways that also protect or advance its business interests, such as advocating for open digital standards or responsible AI in enterprise settings.</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terms of </w:t>
      </w:r>
      <w:r w:rsidRPr="0044370F">
        <w:rPr>
          <w:rFonts w:ascii="Times New Roman" w:eastAsia="Times New Roman" w:hAnsi="Times New Roman" w:cs="Times New Roman"/>
          <w:i/>
          <w:iCs/>
          <w:sz w:val="24"/>
          <w:szCs w:val="24"/>
          <w:lang w:eastAsia="en-IL"/>
        </w:rPr>
        <w:t>governance by technology</w:t>
      </w:r>
      <w:r w:rsidRPr="0044370F">
        <w:rPr>
          <w:rFonts w:ascii="Times New Roman" w:eastAsia="Times New Roman" w:hAnsi="Times New Roman" w:cs="Times New Roman"/>
          <w:sz w:val="24"/>
          <w:szCs w:val="24"/>
          <w:lang w:eastAsia="en-IL"/>
        </w:rPr>
        <w:t xml:space="preserve">, SAP’s software design itself is a mode of private governance. The company’s ERP systems embed rules and processes that enforce compliance and transparency within organizations. For example, SAP’s financial modules are built to comply with </w:t>
      </w:r>
      <w:r w:rsidRPr="0044370F">
        <w:rPr>
          <w:rFonts w:ascii="Times New Roman" w:eastAsia="Times New Roman" w:hAnsi="Times New Roman" w:cs="Times New Roman"/>
          <w:sz w:val="24"/>
          <w:szCs w:val="24"/>
          <w:lang w:eastAsia="en-IL"/>
        </w:rPr>
        <w:lastRenderedPageBreak/>
        <w:t>international accounting standards, tax regulations, and audit controls, which means that client companies are effectively guided, or constrained, to operate in compliant ways by default</w:t>
      </w:r>
      <w:r w:rsidRPr="0044370F">
        <w:rPr>
          <w:rStyle w:val="a8"/>
          <w:rFonts w:ascii="Times New Roman" w:eastAsia="Times New Roman" w:hAnsi="Times New Roman" w:cs="Times New Roman"/>
          <w:sz w:val="24"/>
          <w:szCs w:val="24"/>
          <w:lang w:eastAsia="en-IL"/>
        </w:rPr>
        <w:footnoteReference w:id="244"/>
      </w:r>
      <w:r w:rsidRPr="0044370F">
        <w:rPr>
          <w:rFonts w:ascii="Times New Roman" w:eastAsia="Times New Roman" w:hAnsi="Times New Roman" w:cs="Times New Roman"/>
          <w:sz w:val="24"/>
          <w:szCs w:val="24"/>
          <w:lang w:eastAsia="en-IL"/>
        </w:rPr>
        <w:t xml:space="preserve">. This </w:t>
      </w:r>
      <w:r w:rsidRPr="0044370F">
        <w:rPr>
          <w:rFonts w:ascii="Times New Roman" w:eastAsia="Times New Roman" w:hAnsi="Times New Roman" w:cs="Times New Roman"/>
          <w:b/>
          <w:bCs/>
          <w:sz w:val="24"/>
          <w:szCs w:val="24"/>
          <w:lang w:eastAsia="en-IL"/>
        </w:rPr>
        <w:t>“governance-by-design”</w:t>
      </w:r>
      <w:r w:rsidRPr="0044370F">
        <w:rPr>
          <w:rFonts w:ascii="Times New Roman" w:eastAsia="Times New Roman" w:hAnsi="Times New Roman" w:cs="Times New Roman"/>
          <w:sz w:val="24"/>
          <w:szCs w:val="24"/>
          <w:lang w:eastAsia="en-IL"/>
        </w:rPr>
        <w:t xml:space="preserve"> implies that SAP, through code, exerts a regulatory influence, a form of rule-making power typically associated with authorities</w:t>
      </w:r>
      <w:r w:rsidRPr="0044370F">
        <w:rPr>
          <w:rStyle w:val="a8"/>
          <w:rFonts w:ascii="Times New Roman" w:eastAsia="Times New Roman" w:hAnsi="Times New Roman" w:cs="Times New Roman"/>
          <w:sz w:val="24"/>
          <w:szCs w:val="24"/>
          <w:lang w:eastAsia="en-IL"/>
        </w:rPr>
        <w:footnoteReference w:id="245"/>
      </w:r>
      <w:r w:rsidRPr="0044370F">
        <w:rPr>
          <w:rFonts w:ascii="Times New Roman" w:eastAsia="Times New Roman" w:hAnsi="Times New Roman" w:cs="Times New Roman"/>
          <w:sz w:val="24"/>
          <w:szCs w:val="24"/>
          <w:lang w:eastAsia="en-IL"/>
        </w:rPr>
        <w:t xml:space="preserve">. The concept of </w:t>
      </w:r>
      <w:r w:rsidRPr="0044370F">
        <w:rPr>
          <w:rFonts w:ascii="Times New Roman" w:eastAsia="Times New Roman" w:hAnsi="Times New Roman" w:cs="Times New Roman"/>
          <w:i/>
          <w:iCs/>
          <w:sz w:val="24"/>
          <w:szCs w:val="24"/>
          <w:lang w:eastAsia="en-IL"/>
        </w:rPr>
        <w:t>infrastructural power</w:t>
      </w:r>
      <w:r w:rsidRPr="0044370F">
        <w:rPr>
          <w:rFonts w:ascii="Times New Roman" w:eastAsia="Times New Roman" w:hAnsi="Times New Roman" w:cs="Times New Roman"/>
          <w:sz w:val="24"/>
          <w:szCs w:val="24"/>
          <w:lang w:eastAsia="en-IL"/>
        </w:rPr>
        <w:t>, how infrastructure owners can shape the behavior of other actors, is applicable here: SAP’s control over the enterprise software infrastructure gives it a say in how data is controlled, how processes are structured, and even how performance is measured across countless organizations</w:t>
      </w:r>
      <w:r w:rsidRPr="0044370F">
        <w:rPr>
          <w:rStyle w:val="a8"/>
          <w:rFonts w:ascii="Times New Roman" w:eastAsia="Times New Roman" w:hAnsi="Times New Roman" w:cs="Times New Roman"/>
          <w:sz w:val="24"/>
          <w:szCs w:val="24"/>
          <w:lang w:eastAsia="en-IL"/>
        </w:rPr>
        <w:footnoteReference w:id="246"/>
      </w:r>
      <w:r w:rsidRPr="0044370F">
        <w:rPr>
          <w:rFonts w:ascii="Times New Roman" w:eastAsia="Times New Roman" w:hAnsi="Times New Roman" w:cs="Times New Roman"/>
          <w:sz w:val="24"/>
          <w:szCs w:val="24"/>
          <w:lang w:eastAsia="en-IL"/>
        </w:rPr>
        <w:t xml:space="preserve">. In highly regulated sectors such as finance, healthcare, and defense, SAP has tailored governance features (security controls, data retention policies, encryption standards) to meet government requirements, effectively mediating between state regulations and corporate implementation.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Notably, SAP established an independent U.S. subsidiary</w:t>
      </w:r>
      <w:r w:rsidRPr="0044370F">
        <w:rPr>
          <w:rFonts w:ascii="Times New Roman" w:eastAsia="Times New Roman" w:hAnsi="Times New Roman" w:cs="Times New Roman"/>
          <w:b/>
          <w:bCs/>
          <w:sz w:val="24"/>
          <w:szCs w:val="24"/>
          <w:lang w:eastAsia="en-IL"/>
        </w:rPr>
        <w:t>, SAP NS2 (National Security Services),</w:t>
      </w:r>
      <w:r w:rsidRPr="0044370F">
        <w:rPr>
          <w:rFonts w:ascii="Times New Roman" w:eastAsia="Times New Roman" w:hAnsi="Times New Roman" w:cs="Times New Roman"/>
          <w:sz w:val="24"/>
          <w:szCs w:val="24"/>
          <w:lang w:eastAsia="en-IL"/>
        </w:rPr>
        <w:t xml:space="preserve"> to handle sensitive government and defense contracts in the United States. SAP NS2 operates with U.S. citizens holding security clearances. It provides a “sovereign cloud” for U.S. government clients, illustrating how SAP adapts its governance structures to correspond to state sovereignty concerns while extending its corporate reach into functions traditionally monopolized by state actors (such as security systems). In the EU, SAP likewise offers </w:t>
      </w:r>
      <w:r w:rsidRPr="0044370F">
        <w:rPr>
          <w:rFonts w:ascii="Times New Roman" w:eastAsia="Times New Roman" w:hAnsi="Times New Roman" w:cs="Times New Roman"/>
          <w:b/>
          <w:bCs/>
          <w:sz w:val="24"/>
          <w:szCs w:val="24"/>
          <w:lang w:eastAsia="en-IL"/>
        </w:rPr>
        <w:t>“sovereign cloud”</w:t>
      </w:r>
      <w:r w:rsidRPr="0044370F">
        <w:rPr>
          <w:rFonts w:ascii="Times New Roman" w:eastAsia="Times New Roman" w:hAnsi="Times New Roman" w:cs="Times New Roman"/>
          <w:sz w:val="24"/>
          <w:szCs w:val="24"/>
          <w:lang w:eastAsia="en-IL"/>
        </w:rPr>
        <w:t xml:space="preserve"> </w:t>
      </w:r>
      <w:r w:rsidRPr="0044370F">
        <w:rPr>
          <w:rStyle w:val="a8"/>
          <w:rFonts w:ascii="Times New Roman" w:eastAsia="Times New Roman" w:hAnsi="Times New Roman" w:cs="Times New Roman"/>
          <w:sz w:val="24"/>
          <w:szCs w:val="24"/>
          <w:lang w:eastAsia="en-IL"/>
        </w:rPr>
        <w:footnoteReference w:id="247"/>
      </w:r>
      <w:r w:rsidRPr="0044370F">
        <w:rPr>
          <w:rFonts w:ascii="Times New Roman" w:eastAsia="Times New Roman" w:hAnsi="Times New Roman" w:cs="Times New Roman"/>
          <w:sz w:val="24"/>
          <w:szCs w:val="24"/>
          <w:lang w:eastAsia="en-IL"/>
        </w:rPr>
        <w:t>options to meet European governments’ demands for data residency and control, demonstrating institutional sensitivity to national digital sovereignty</w:t>
      </w:r>
      <w:r w:rsidRPr="0044370F">
        <w:rPr>
          <w:rStyle w:val="a8"/>
          <w:rFonts w:ascii="Times New Roman" w:eastAsia="Times New Roman" w:hAnsi="Times New Roman" w:cs="Times New Roman"/>
          <w:sz w:val="24"/>
          <w:szCs w:val="24"/>
          <w:lang w:eastAsia="en-IL"/>
        </w:rPr>
        <w:footnoteReference w:id="248"/>
      </w:r>
      <w:r w:rsidRPr="0044370F">
        <w:rPr>
          <w:rFonts w:ascii="Times New Roman" w:eastAsia="Times New Roman" w:hAnsi="Times New Roman" w:cs="Times New Roman"/>
          <w:sz w:val="24"/>
          <w:szCs w:val="24"/>
          <w:lang w:eastAsia="en-IL"/>
        </w:rPr>
        <w:t xml:space="preserve"> imperatives</w:t>
      </w:r>
      <w:r w:rsidRPr="0044370F">
        <w:rPr>
          <w:rStyle w:val="a8"/>
          <w:rFonts w:ascii="Times New Roman" w:eastAsia="Times New Roman" w:hAnsi="Times New Roman" w:cs="Times New Roman"/>
          <w:sz w:val="24"/>
          <w:szCs w:val="24"/>
          <w:lang w:eastAsia="en-IL"/>
        </w:rPr>
        <w:footnoteReference w:id="249"/>
      </w:r>
      <w:r w:rsidRPr="0044370F">
        <w:rPr>
          <w:rFonts w:ascii="Times New Roman" w:eastAsia="Times New Roman" w:hAnsi="Times New Roman" w:cs="Times New Roman"/>
          <w:sz w:val="24"/>
          <w:szCs w:val="24"/>
          <w:lang w:eastAsia="en-IL"/>
        </w:rPr>
        <w:t>.</w:t>
      </w:r>
    </w:p>
    <w:p w:rsidR="00D33237" w:rsidRPr="0044370F" w:rsidRDefault="00D33237" w:rsidP="00BF67B6">
      <w:pPr>
        <w:pStyle w:val="3"/>
        <w:rPr>
          <w:lang w:eastAsia="en-IL"/>
        </w:rPr>
      </w:pPr>
      <w:bookmarkStart w:id="175" w:name="_Toc222652839"/>
      <w:r w:rsidRPr="0044370F">
        <w:rPr>
          <w:lang w:eastAsia="en-IL"/>
        </w:rPr>
        <w:lastRenderedPageBreak/>
        <w:t>7.6.2</w:t>
      </w:r>
      <w:r w:rsidRPr="0044370F">
        <w:rPr>
          <w:lang w:eastAsia="en-IL"/>
        </w:rPr>
        <w:tab/>
      </w:r>
      <w:r w:rsidRPr="0044370F">
        <w:rPr>
          <w:lang w:eastAsia="en-IL"/>
        </w:rPr>
        <w:tab/>
        <w:t>Interactions with States: Regulation, Contracts, and Diplomacy</w:t>
      </w:r>
      <w:bookmarkEnd w:id="175"/>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SAP’s interactions with nation-states have been multifaceted, ranging from cooperative partnerships to regulatory conflicts. As a major supplier of software to governments, SAP usually acts as a </w:t>
      </w:r>
      <w:r w:rsidRPr="0044370F">
        <w:rPr>
          <w:rFonts w:ascii="Times New Roman" w:eastAsia="Times New Roman" w:hAnsi="Times New Roman" w:cs="Times New Roman"/>
          <w:b/>
          <w:bCs/>
          <w:sz w:val="24"/>
          <w:szCs w:val="24"/>
          <w:lang w:eastAsia="en-IL"/>
        </w:rPr>
        <w:t>quasi-diplomatic actor</w:t>
      </w:r>
      <w:r w:rsidRPr="0044370F">
        <w:rPr>
          <w:rFonts w:ascii="Times New Roman" w:eastAsia="Times New Roman" w:hAnsi="Times New Roman" w:cs="Times New Roman"/>
          <w:sz w:val="24"/>
          <w:szCs w:val="24"/>
          <w:lang w:eastAsia="en-IL"/>
        </w:rPr>
        <w:t xml:space="preserve"> in its own right</w:t>
      </w:r>
      <w:r w:rsidRPr="0044370F">
        <w:rPr>
          <w:rStyle w:val="a8"/>
          <w:rFonts w:ascii="Times New Roman" w:eastAsia="Times New Roman" w:hAnsi="Times New Roman" w:cs="Times New Roman"/>
          <w:sz w:val="24"/>
          <w:szCs w:val="24"/>
          <w:lang w:eastAsia="en-IL"/>
        </w:rPr>
        <w:footnoteReference w:id="250"/>
      </w:r>
      <w:r w:rsidRPr="0044370F">
        <w:rPr>
          <w:rFonts w:ascii="Times New Roman" w:eastAsia="Times New Roman" w:hAnsi="Times New Roman" w:cs="Times New Roman"/>
          <w:sz w:val="24"/>
          <w:szCs w:val="24"/>
          <w:lang w:eastAsia="en-IL"/>
        </w:rPr>
        <w:t>. German government officials have frequently promoted SAP as a European tech champion during trade missions and diplomatic occasions, much as U.S. leaders lobby on behalf of Boeing or Microsoft</w:t>
      </w:r>
      <w:r w:rsidRPr="0044370F">
        <w:rPr>
          <w:rStyle w:val="a8"/>
          <w:rFonts w:ascii="Times New Roman" w:eastAsia="Times New Roman" w:hAnsi="Times New Roman" w:cs="Times New Roman"/>
          <w:sz w:val="24"/>
          <w:szCs w:val="24"/>
          <w:lang w:eastAsia="en-IL"/>
        </w:rPr>
        <w:footnoteReference w:id="251"/>
      </w:r>
      <w:r w:rsidRPr="0044370F">
        <w:rPr>
          <w:rFonts w:ascii="Times New Roman" w:eastAsia="Times New Roman" w:hAnsi="Times New Roman" w:cs="Times New Roman"/>
          <w:sz w:val="24"/>
          <w:szCs w:val="24"/>
          <w:lang w:eastAsia="en-IL"/>
        </w:rPr>
        <w:t xml:space="preserve">. SAP’s prominence in Europe’s digital economy means it has a voice in EU policy discussions on innovation, data governance, and antitrust matters, even if it’s less publicly combative than U.S. Big Tech firms. In recent years, SAP partnered closely with European initiatives on </w:t>
      </w:r>
      <w:r w:rsidRPr="0044370F">
        <w:rPr>
          <w:rFonts w:ascii="Times New Roman" w:eastAsia="Times New Roman" w:hAnsi="Times New Roman" w:cs="Times New Roman"/>
          <w:i/>
          <w:iCs/>
          <w:sz w:val="24"/>
          <w:szCs w:val="24"/>
          <w:lang w:eastAsia="en-IL"/>
        </w:rPr>
        <w:t>digital sovereignty</w:t>
      </w:r>
      <w:r w:rsidRPr="0044370F">
        <w:rPr>
          <w:rFonts w:ascii="Times New Roman" w:eastAsia="Times New Roman" w:hAnsi="Times New Roman" w:cs="Times New Roman"/>
          <w:sz w:val="24"/>
          <w:szCs w:val="24"/>
          <w:lang w:eastAsia="en-IL"/>
        </w:rPr>
        <w:t xml:space="preserve">: it is a founding member of </w:t>
      </w:r>
      <w:r w:rsidRPr="0044370F">
        <w:rPr>
          <w:rFonts w:ascii="Times New Roman" w:eastAsia="Times New Roman" w:hAnsi="Times New Roman" w:cs="Times New Roman"/>
          <w:b/>
          <w:bCs/>
          <w:sz w:val="24"/>
          <w:szCs w:val="24"/>
          <w:lang w:eastAsia="en-IL"/>
        </w:rPr>
        <w:t>GAIA-X</w:t>
      </w:r>
      <w:r w:rsidRPr="0044370F">
        <w:rPr>
          <w:rStyle w:val="a8"/>
          <w:rFonts w:ascii="Times New Roman" w:eastAsia="Times New Roman" w:hAnsi="Times New Roman" w:cs="Times New Roman"/>
          <w:b/>
          <w:bCs/>
          <w:sz w:val="24"/>
          <w:szCs w:val="24"/>
          <w:lang w:eastAsia="en-IL"/>
        </w:rPr>
        <w:footnoteReference w:id="252"/>
      </w:r>
      <w:r w:rsidRPr="0044370F">
        <w:rPr>
          <w:rFonts w:ascii="Times New Roman" w:eastAsia="Times New Roman" w:hAnsi="Times New Roman" w:cs="Times New Roman"/>
          <w:sz w:val="24"/>
          <w:szCs w:val="24"/>
          <w:lang w:eastAsia="en-IL"/>
        </w:rPr>
        <w:t>, the EU-backed project to create a federated, sovereign cloud infrastructure for Europe. SAP’s CEO, Christian Klein, explicitly framed the company’s strategy in terms of European values, stating that “digital sovereignty, open architectures, European standards, and common values” are essential, and that SAP’s data platform “relies on GAIA-X”</w:t>
      </w:r>
      <w:r w:rsidRPr="0044370F">
        <w:rPr>
          <w:rStyle w:val="a8"/>
          <w:rFonts w:ascii="Times New Roman" w:eastAsia="Times New Roman" w:hAnsi="Times New Roman" w:cs="Times New Roman"/>
          <w:sz w:val="24"/>
          <w:szCs w:val="24"/>
          <w:lang w:eastAsia="en-IL"/>
        </w:rPr>
        <w:footnoteReference w:id="253"/>
      </w:r>
      <w:r w:rsidRPr="0044370F">
        <w:rPr>
          <w:rFonts w:ascii="Times New Roman" w:eastAsia="Times New Roman" w:hAnsi="Times New Roman" w:cs="Times New Roman"/>
          <w:sz w:val="24"/>
          <w:szCs w:val="24"/>
          <w:lang w:eastAsia="en-IL"/>
        </w:rPr>
        <w:t xml:space="preserve">. This alignment suggests a cooperative posture: SAP positions itself as a partner to states (especially its home state, Germany, and the EU) in building secure and autonomous digital infrastructure, rather than as an antagonist to regulation. Indeed, compared to an American firm like Meta, which usually clashes with regulators over data privacy or content laws, SAP has generally worked </w:t>
      </w:r>
      <w:r w:rsidRPr="0044370F">
        <w:rPr>
          <w:rFonts w:ascii="Times New Roman" w:eastAsia="Times New Roman" w:hAnsi="Times New Roman" w:cs="Times New Roman"/>
          <w:i/>
          <w:iCs/>
          <w:sz w:val="24"/>
          <w:szCs w:val="24"/>
          <w:lang w:eastAsia="en-IL"/>
        </w:rPr>
        <w:t>within</w:t>
      </w:r>
      <w:r w:rsidRPr="0044370F">
        <w:rPr>
          <w:rFonts w:ascii="Times New Roman" w:eastAsia="Times New Roman" w:hAnsi="Times New Roman" w:cs="Times New Roman"/>
          <w:sz w:val="24"/>
          <w:szCs w:val="24"/>
          <w:lang w:eastAsia="en-IL"/>
        </w:rPr>
        <w:t xml:space="preserve"> regulatory boundaries, tailoring its services to comply with diverse national laws (tax codes, data protection rules, localization requirements) in the over 180 countries it serves</w:t>
      </w:r>
      <w:r w:rsidRPr="0044370F">
        <w:rPr>
          <w:rStyle w:val="a8"/>
          <w:rFonts w:ascii="Times New Roman" w:eastAsia="Times New Roman" w:hAnsi="Times New Roman" w:cs="Times New Roman"/>
          <w:sz w:val="24"/>
          <w:szCs w:val="24"/>
          <w:lang w:eastAsia="en-IL"/>
        </w:rPr>
        <w:footnoteReference w:id="254"/>
      </w:r>
      <w:r w:rsidRPr="0044370F">
        <w:rPr>
          <w:rFonts w:ascii="Times New Roman" w:eastAsia="Times New Roman" w:hAnsi="Times New Roman" w:cs="Times New Roman"/>
          <w:sz w:val="24"/>
          <w:szCs w:val="24"/>
          <w:lang w:eastAsia="en-IL"/>
        </w:rPr>
        <w:t>.</w:t>
      </w:r>
    </w:p>
    <w:p w:rsidR="00D33237" w:rsidRPr="0044370F" w:rsidRDefault="00D33237" w:rsidP="00BF67B6">
      <w:pPr>
        <w:pStyle w:val="3"/>
      </w:pPr>
      <w:bookmarkStart w:id="176" w:name="_Toc222652840"/>
      <w:r w:rsidRPr="0044370F">
        <w:rPr>
          <w:rStyle w:val="a4"/>
          <w:rFonts w:eastAsiaTheme="majorEastAsia"/>
          <w:b/>
          <w:bCs/>
        </w:rPr>
        <w:lastRenderedPageBreak/>
        <w:t>7.6.3</w:t>
      </w:r>
      <w:r w:rsidRPr="0044370F">
        <w:rPr>
          <w:rStyle w:val="a4"/>
          <w:rFonts w:eastAsiaTheme="majorEastAsia"/>
          <w:b/>
          <w:bCs/>
        </w:rPr>
        <w:tab/>
        <w:t>Cloud Dependence and European Digital Sovereignty</w:t>
      </w:r>
      <w:bookmarkEnd w:id="176"/>
    </w:p>
    <w:p w:rsidR="00D33237" w:rsidRPr="0044370F" w:rsidRDefault="00D33237" w:rsidP="00D33237">
      <w:pPr>
        <w:pStyle w:val="NormalWeb"/>
        <w:spacing w:line="360" w:lineRule="auto"/>
        <w:jc w:val="both"/>
      </w:pPr>
      <w:r w:rsidRPr="0044370F">
        <w:t xml:space="preserve">SAP’s reliance on U.S.-based </w:t>
      </w:r>
      <w:proofErr w:type="spellStart"/>
      <w:r w:rsidRPr="0044370F">
        <w:t>hyperscale</w:t>
      </w:r>
      <w:proofErr w:type="spellEnd"/>
      <w:r w:rsidRPr="0044370F">
        <w:t xml:space="preserve"> cloud providers reveals a structural tension within European digital sovereignty discourse.</w:t>
      </w:r>
    </w:p>
    <w:p w:rsidR="00D33237" w:rsidRPr="0044370F" w:rsidRDefault="00D33237" w:rsidP="00D33237">
      <w:pPr>
        <w:pStyle w:val="NormalWeb"/>
        <w:spacing w:line="360" w:lineRule="auto"/>
        <w:jc w:val="both"/>
      </w:pPr>
      <w:r w:rsidRPr="0044370F">
        <w:t>While SAP frames itself as a champion of European standards and values, its dependence on non-European cloud infrastructure exposes vulnerabilities in the continent’s quest for technological autonomy. This paradox has fueled policy discussions within the European Union regarding the need for sovereign cloud alternatives. It has directly influenced initiatives such as GAIA-X, in which SAP plays a central role. The case illustrates how even firms aligned with sovereignty discourses remain constrained by global infrastructural dependencies.</w:t>
      </w:r>
    </w:p>
    <w:p w:rsidR="00D33237" w:rsidRPr="0044370F" w:rsidRDefault="00D33237" w:rsidP="00D33237">
      <w:pPr>
        <w:pStyle w:val="NormalWeb"/>
        <w:spacing w:line="360" w:lineRule="auto"/>
        <w:jc w:val="both"/>
        <w:rPr>
          <w:rStyle w:val="a5"/>
          <w:rFonts w:eastAsiaTheme="majorEastAsia"/>
          <w:i w:val="0"/>
          <w:iCs w:val="0"/>
        </w:rPr>
      </w:pPr>
      <w:r w:rsidRPr="0044370F">
        <w:rPr>
          <w:rStyle w:val="a5"/>
          <w:rFonts w:eastAsiaTheme="majorEastAsia"/>
          <w:i w:val="0"/>
          <w:iCs w:val="0"/>
        </w:rPr>
        <w:t>SAP’s reliance on state contracts has at times exposed vulnerabilities in its normative legitimacy. This was evident in its involvement in corruption investigations linked to South Africa’</w:t>
      </w:r>
      <w:r w:rsidRPr="0044370F">
        <w:rPr>
          <w:rStyle w:val="a8"/>
          <w:i/>
          <w:iCs/>
        </w:rPr>
        <w:footnoteReference w:id="255"/>
      </w:r>
      <w:r w:rsidRPr="0044370F">
        <w:rPr>
          <w:rStyle w:val="a5"/>
          <w:rFonts w:eastAsiaTheme="majorEastAsia"/>
          <w:i w:val="0"/>
          <w:iCs w:val="0"/>
        </w:rPr>
        <w:t>s “state capture” scandal, where the company acknowledged governance failures related to third-party intermediaries. Although SAP implemented internal reforms and cooperated with authorities, the episode illustrates how firms embedded in public-sector infrastructures can become entangled in local political pathologies. For SAP, the case underscores that quasi-sovereign authority grounded in institutional trust remains contingent on sustained ethical governance.</w:t>
      </w:r>
    </w:p>
    <w:p w:rsidR="00D33237" w:rsidRPr="0044370F" w:rsidRDefault="00D33237" w:rsidP="00D33237">
      <w:pPr>
        <w:pStyle w:val="NormalWeb"/>
        <w:spacing w:line="360" w:lineRule="auto"/>
        <w:jc w:val="both"/>
        <w:rPr>
          <w:i/>
          <w:iCs/>
        </w:rPr>
      </w:pPr>
      <w:r w:rsidRPr="0044370F">
        <w:rPr>
          <w:rStyle w:val="a5"/>
          <w:rFonts w:eastAsiaTheme="majorEastAsia"/>
          <w:i w:val="0"/>
          <w:iCs w:val="0"/>
        </w:rPr>
        <w:t>SAP’s exposure to U.S. export control and sanctions</w:t>
      </w:r>
      <w:r w:rsidRPr="0044370F">
        <w:rPr>
          <w:rStyle w:val="a8"/>
          <w:i/>
          <w:iCs/>
        </w:rPr>
        <w:footnoteReference w:id="256"/>
      </w:r>
      <w:r w:rsidRPr="0044370F">
        <w:rPr>
          <w:rStyle w:val="a5"/>
          <w:rFonts w:eastAsiaTheme="majorEastAsia"/>
          <w:i w:val="0"/>
          <w:iCs w:val="0"/>
        </w:rPr>
        <w:t xml:space="preserve"> regimes further demonstrates the limits of corporate autonomy in a geopolitically structured legal order</w:t>
      </w:r>
      <w:r w:rsidRPr="0044370F">
        <w:rPr>
          <w:rStyle w:val="a8"/>
          <w:i/>
          <w:iCs/>
        </w:rPr>
        <w:footnoteReference w:id="257"/>
      </w:r>
      <w:r w:rsidRPr="0044370F">
        <w:rPr>
          <w:rStyle w:val="a5"/>
          <w:rFonts w:eastAsiaTheme="majorEastAsia"/>
          <w:i w:val="0"/>
          <w:iCs w:val="0"/>
        </w:rPr>
        <w:t xml:space="preserve">. Despite its European identity, </w:t>
      </w:r>
      <w:r w:rsidRPr="0044370F">
        <w:rPr>
          <w:rStyle w:val="a5"/>
          <w:rFonts w:eastAsiaTheme="majorEastAsia"/>
          <w:i w:val="0"/>
          <w:iCs w:val="0"/>
        </w:rPr>
        <w:lastRenderedPageBreak/>
        <w:t>SAP was required to comply with U.S. regulatory authority when violations related to sanctioned jurisdictions were identified</w:t>
      </w:r>
      <w:r w:rsidRPr="0044370F">
        <w:rPr>
          <w:rStyle w:val="a8"/>
          <w:i/>
          <w:iCs/>
        </w:rPr>
        <w:footnoteReference w:id="258"/>
      </w:r>
      <w:r w:rsidRPr="0044370F">
        <w:rPr>
          <w:rStyle w:val="a5"/>
          <w:rFonts w:eastAsiaTheme="majorEastAsia"/>
          <w:i w:val="0"/>
          <w:iCs w:val="0"/>
        </w:rPr>
        <w:t>. The company’s response, self-disclosure, cooperation with regulators, and operational withdrawal, highlights how quasi-sovereign firms remain subject to state legal sovereignty, particularly in domains framed as national security concerns. This dynamic reinforces the asymmetry between corporate infrastructural influence and ultimate state enforcement power.</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This incident demonstrates how SAP, despite being a German company, is subject to the geopolitical order largely shaped by U.S. regulatory power, a reminder that quasi-sovereign firms must still navigate and usually yield to the legal sovereignty of states when it comes to sanctions, trade controls, and law enforcement</w:t>
      </w:r>
      <w:r w:rsidRPr="0044370F">
        <w:rPr>
          <w:rStyle w:val="a8"/>
          <w:rFonts w:ascii="Times New Roman" w:eastAsia="Times New Roman" w:hAnsi="Times New Roman" w:cs="Times New Roman"/>
          <w:sz w:val="24"/>
          <w:szCs w:val="24"/>
          <w:lang w:eastAsia="en-IL"/>
        </w:rPr>
        <w:footnoteReference w:id="259"/>
      </w:r>
      <w:r w:rsidRPr="0044370F">
        <w:rPr>
          <w:rFonts w:ascii="Times New Roman" w:eastAsia="Times New Roman" w:hAnsi="Times New Roman" w:cs="Times New Roman"/>
          <w:sz w:val="24"/>
          <w:szCs w:val="24"/>
          <w:lang w:eastAsia="en-IL"/>
        </w:rPr>
        <w:t>.</w:t>
      </w:r>
    </w:p>
    <w:p w:rsidR="00D33237" w:rsidRPr="0044370F" w:rsidRDefault="00D33237" w:rsidP="00D33237">
      <w:pPr>
        <w:pStyle w:val="NormalWeb"/>
        <w:spacing w:line="360" w:lineRule="auto"/>
        <w:jc w:val="both"/>
        <w:rPr>
          <w:lang w:eastAsia="en-IL"/>
        </w:rPr>
      </w:pPr>
      <w:r w:rsidRPr="0044370F">
        <w:rPr>
          <w:lang w:eastAsia="en-IL"/>
        </w:rPr>
        <w:t xml:space="preserve">Notably, SAP’s conduct in these matters has differed from that of some other tech giants. Rather than defy or publicly fight regulations, SAP’s typical response has been </w:t>
      </w:r>
      <w:r w:rsidRPr="0044370F">
        <w:rPr>
          <w:b/>
          <w:bCs/>
          <w:lang w:eastAsia="en-IL"/>
        </w:rPr>
        <w:t>compliance and adaptation</w:t>
      </w:r>
      <w:r w:rsidRPr="0044370F">
        <w:rPr>
          <w:lang w:eastAsia="en-IL"/>
        </w:rPr>
        <w:t>: cooperating with authorities, tightening internal policies, and exiting markets if legally required (as seen in Russia and Iran</w:t>
      </w:r>
      <w:r w:rsidRPr="0044370F">
        <w:rPr>
          <w:rStyle w:val="a8"/>
          <w:lang w:eastAsia="en-IL"/>
        </w:rPr>
        <w:footnoteReference w:id="260"/>
      </w:r>
      <w:r w:rsidRPr="0044370F">
        <w:rPr>
          <w:lang w:eastAsia="en-IL"/>
        </w:rPr>
        <w:t>). This pragmatic alignment with state directives contrasts with, for example, Huawei’s more confrontational stance (Huawei has fought sanctions and security allegations</w:t>
      </w:r>
      <w:r w:rsidRPr="0044370F">
        <w:rPr>
          <w:rStyle w:val="a8"/>
          <w:lang w:eastAsia="en-IL"/>
        </w:rPr>
        <w:footnoteReference w:id="261"/>
      </w:r>
      <w:r w:rsidRPr="0044370F">
        <w:rPr>
          <w:lang w:eastAsia="en-IL"/>
        </w:rPr>
        <w:t xml:space="preserve">) or Meta’s frequent legal battles over regulations. SAP thus maintains a lower geopolitical profile; it does not seek to openly challenge state authority so much as quietly embed itself as an indispensable service provider </w:t>
      </w:r>
      <w:r w:rsidRPr="0044370F">
        <w:rPr>
          <w:i/>
          <w:iCs/>
          <w:lang w:eastAsia="en-IL"/>
        </w:rPr>
        <w:t>to</w:t>
      </w:r>
      <w:r w:rsidRPr="0044370F">
        <w:rPr>
          <w:lang w:eastAsia="en-IL"/>
        </w:rPr>
        <w:t xml:space="preserve"> states and industries. Its influence is exerted behind the scenes, through lobby groups and standard-setting fora rather than through public political campaigns. One could say SAP practices a form of </w:t>
      </w:r>
      <w:r w:rsidRPr="0044370F">
        <w:rPr>
          <w:b/>
          <w:bCs/>
          <w:lang w:eastAsia="en-IL"/>
        </w:rPr>
        <w:t>“stealth diplomacy”</w:t>
      </w:r>
      <w:r w:rsidRPr="0044370F">
        <w:rPr>
          <w:rStyle w:val="a8"/>
          <w:b/>
          <w:bCs/>
          <w:lang w:eastAsia="en-IL"/>
        </w:rPr>
        <w:footnoteReference w:id="262"/>
      </w:r>
      <w:r w:rsidRPr="0044370F">
        <w:rPr>
          <w:lang w:eastAsia="en-IL"/>
        </w:rPr>
        <w:t xml:space="preserve">: its executives engage with government leaders mainly on the promise of enterprise development and digital </w:t>
      </w:r>
      <w:r w:rsidRPr="0044370F">
        <w:rPr>
          <w:lang w:eastAsia="en-IL"/>
        </w:rPr>
        <w:lastRenderedPageBreak/>
        <w:t xml:space="preserve">modernization, which both expand SAP’s business and advance state interests in modernization. This mutualistic relationship has led some to describe SAP as a </w:t>
      </w:r>
      <w:r w:rsidRPr="0044370F">
        <w:rPr>
          <w:i/>
          <w:iCs/>
          <w:lang w:eastAsia="en-IL"/>
        </w:rPr>
        <w:t>strategic national asset</w:t>
      </w:r>
      <w:r w:rsidRPr="0044370F">
        <w:rPr>
          <w:lang w:eastAsia="en-IL"/>
        </w:rPr>
        <w:t xml:space="preserve"> for Germany and Europe, not in the spotlight of international controversies, but steadily reinforcing Europe’s technological infrastructure and autonomy.</w:t>
      </w:r>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 central paradox emerges from SAP’s position: while the company advocates digital sovereignty and European standards, it remains structurally dependent on non-European </w:t>
      </w:r>
      <w:proofErr w:type="spellStart"/>
      <w:r w:rsidRPr="0044370F">
        <w:rPr>
          <w:rFonts w:ascii="Times New Roman" w:eastAsia="Times New Roman" w:hAnsi="Times New Roman" w:cs="Times New Roman"/>
          <w:sz w:val="24"/>
          <w:szCs w:val="24"/>
        </w:rPr>
        <w:t>hyperscale</w:t>
      </w:r>
      <w:proofErr w:type="spellEnd"/>
      <w:r w:rsidRPr="0044370F">
        <w:rPr>
          <w:rFonts w:ascii="Times New Roman" w:eastAsia="Times New Roman" w:hAnsi="Times New Roman" w:cs="Times New Roman"/>
          <w:sz w:val="24"/>
          <w:szCs w:val="24"/>
        </w:rPr>
        <w:t xml:space="preserve"> cloud providers. This tension underscores the limits of </w:t>
      </w:r>
      <w:r w:rsidR="00960581" w:rsidRPr="0044370F">
        <w:rPr>
          <w:rFonts w:ascii="Times New Roman" w:eastAsia="Times New Roman" w:hAnsi="Times New Roman" w:cs="Times New Roman"/>
          <w:sz w:val="24"/>
          <w:szCs w:val="24"/>
        </w:rPr>
        <w:t>corporate quasi-sovereignty</w:t>
      </w:r>
      <w:r w:rsidRPr="0044370F">
        <w:rPr>
          <w:rFonts w:ascii="Times New Roman" w:eastAsia="Times New Roman" w:hAnsi="Times New Roman" w:cs="Times New Roman"/>
          <w:sz w:val="24"/>
          <w:szCs w:val="24"/>
        </w:rPr>
        <w:t xml:space="preserve"> claims in a globally interdependent infrastructure environment. SAP’s case illustrates how even firms aligned with sovereignty discourses remain constrained by deeper infrastructural dependencies, complicating narratives of technological autonomy.</w:t>
      </w:r>
    </w:p>
    <w:p w:rsidR="00D33237" w:rsidRPr="0044370F" w:rsidRDefault="00D33237" w:rsidP="00BF67B6">
      <w:pPr>
        <w:pStyle w:val="2"/>
        <w:rPr>
          <w:rFonts w:eastAsia="Times New Roman"/>
          <w:lang w:eastAsia="en-IL"/>
        </w:rPr>
      </w:pPr>
      <w:bookmarkStart w:id="177" w:name="_Toc222652841"/>
      <w:r w:rsidRPr="0044370F">
        <w:rPr>
          <w:rFonts w:eastAsia="Times New Roman"/>
          <w:lang w:eastAsia="en-IL"/>
        </w:rPr>
        <w:t>7.7</w:t>
      </w:r>
      <w:r w:rsidRPr="0044370F">
        <w:rPr>
          <w:rFonts w:eastAsia="Times New Roman"/>
          <w:lang w:eastAsia="en-IL"/>
        </w:rPr>
        <w:tab/>
        <w:t>Public Controversies and Governance Challenges</w:t>
      </w:r>
      <w:bookmarkEnd w:id="177"/>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Compared to consumer-facing giants like Meta, SAP has largely avoided the kind of mass public outrage that comes with data privacy scandals or content moderation failures. </w:t>
      </w:r>
      <w:r w:rsidRPr="0044370F">
        <w:rPr>
          <w:rFonts w:ascii="Times New Roman" w:eastAsia="Times New Roman" w:hAnsi="Times New Roman" w:cs="Times New Roman"/>
          <w:b/>
          <w:bCs/>
          <w:sz w:val="24"/>
          <w:szCs w:val="24"/>
          <w:lang w:eastAsia="en-IL"/>
        </w:rPr>
        <w:t>Its conflicts</w:t>
      </w:r>
      <w:r w:rsidRPr="0044370F">
        <w:rPr>
          <w:rFonts w:ascii="Times New Roman" w:eastAsia="Times New Roman" w:hAnsi="Times New Roman" w:cs="Times New Roman"/>
          <w:sz w:val="24"/>
          <w:szCs w:val="24"/>
          <w:lang w:eastAsia="en-IL"/>
        </w:rPr>
        <w:t xml:space="preserve"> </w:t>
      </w:r>
      <w:r w:rsidRPr="0044370F">
        <w:rPr>
          <w:rFonts w:ascii="Times New Roman" w:eastAsia="Times New Roman" w:hAnsi="Times New Roman" w:cs="Times New Roman"/>
          <w:b/>
          <w:bCs/>
          <w:sz w:val="24"/>
          <w:szCs w:val="24"/>
          <w:lang w:eastAsia="en-IL"/>
        </w:rPr>
        <w:t>tend to surface in the realm of B2B and public procurement</w:t>
      </w:r>
      <w:r w:rsidRPr="0044370F">
        <w:rPr>
          <w:rFonts w:ascii="Times New Roman" w:eastAsia="Times New Roman" w:hAnsi="Times New Roman" w:cs="Times New Roman"/>
          <w:sz w:val="24"/>
          <w:szCs w:val="24"/>
          <w:lang w:eastAsia="en-IL"/>
        </w:rPr>
        <w:t xml:space="preserve">, corruption probes, project failures, or client dissatisfaction, which, while serious, garner less global attention. Aside from the corruption cases noted above, SAP’s most significant governance challenges in recent years include </w:t>
      </w:r>
      <w:r w:rsidRPr="0044370F">
        <w:rPr>
          <w:rFonts w:ascii="Times New Roman" w:eastAsia="Times New Roman" w:hAnsi="Times New Roman" w:cs="Times New Roman"/>
          <w:b/>
          <w:bCs/>
          <w:sz w:val="24"/>
          <w:szCs w:val="24"/>
          <w:lang w:eastAsia="en-IL"/>
        </w:rPr>
        <w:t>major project and product transitions</w:t>
      </w:r>
      <w:r w:rsidRPr="0044370F">
        <w:rPr>
          <w:rFonts w:ascii="Times New Roman" w:eastAsia="Times New Roman" w:hAnsi="Times New Roman" w:cs="Times New Roman"/>
          <w:sz w:val="24"/>
          <w:szCs w:val="24"/>
          <w:lang w:eastAsia="en-IL"/>
        </w:rPr>
        <w:t>. For instance, SAP has been steering its massive installed base of customers away from legacy on-premises systems toward its new cloud-based S/4HANA platform</w:t>
      </w:r>
      <w:r w:rsidRPr="0044370F">
        <w:rPr>
          <w:rStyle w:val="a8"/>
          <w:rFonts w:ascii="Times New Roman" w:eastAsia="Times New Roman" w:hAnsi="Times New Roman" w:cs="Times New Roman"/>
          <w:sz w:val="24"/>
          <w:szCs w:val="24"/>
          <w:lang w:eastAsia="en-IL"/>
        </w:rPr>
        <w:footnoteReference w:id="263"/>
      </w:r>
      <w:r w:rsidRPr="0044370F">
        <w:rPr>
          <w:rFonts w:ascii="Times New Roman" w:eastAsia="Times New Roman" w:hAnsi="Times New Roman" w:cs="Times New Roman"/>
          <w:sz w:val="24"/>
          <w:szCs w:val="24"/>
          <w:lang w:eastAsia="en-IL"/>
        </w:rPr>
        <w:t>. This transition has been marked by technical and organizational hurdles: many customers have been slow to migrate, citing high costs and complexity, raising concerns about potential disruption when SAP eventually sunsets support for older systems. User groups in regulated industries have expressed concern about data sovereignty and cloud service reliability, pressing SAP to ensure transparency and flexibility in its cloud services</w:t>
      </w:r>
      <w:r w:rsidRPr="0044370F">
        <w:rPr>
          <w:rStyle w:val="a8"/>
          <w:rFonts w:ascii="Times New Roman" w:eastAsia="Times New Roman" w:hAnsi="Times New Roman" w:cs="Times New Roman"/>
          <w:sz w:val="24"/>
          <w:szCs w:val="24"/>
          <w:lang w:eastAsia="en-IL"/>
        </w:rPr>
        <w:footnoteReference w:id="264"/>
      </w:r>
      <w:r w:rsidRPr="0044370F">
        <w:rPr>
          <w:rFonts w:ascii="Times New Roman" w:eastAsia="Times New Roman" w:hAnsi="Times New Roman" w:cs="Times New Roman"/>
          <w:sz w:val="24"/>
          <w:szCs w:val="24"/>
          <w:lang w:eastAsia="en-IL"/>
        </w:rPr>
        <w:t xml:space="preserve">. Handling this </w:t>
      </w:r>
      <w:r w:rsidRPr="0044370F">
        <w:rPr>
          <w:rFonts w:ascii="Times New Roman" w:eastAsia="Times New Roman" w:hAnsi="Times New Roman" w:cs="Times New Roman"/>
          <w:b/>
          <w:bCs/>
          <w:sz w:val="24"/>
          <w:szCs w:val="24"/>
          <w:lang w:eastAsia="en-IL"/>
        </w:rPr>
        <w:t xml:space="preserve">cloud </w:t>
      </w:r>
      <w:r w:rsidRPr="0044370F">
        <w:rPr>
          <w:rFonts w:ascii="Times New Roman" w:eastAsia="Times New Roman" w:hAnsi="Times New Roman" w:cs="Times New Roman"/>
          <w:b/>
          <w:bCs/>
          <w:sz w:val="24"/>
          <w:szCs w:val="24"/>
          <w:lang w:eastAsia="en-IL"/>
        </w:rPr>
        <w:lastRenderedPageBreak/>
        <w:t>transformation</w:t>
      </w:r>
      <w:r w:rsidRPr="0044370F">
        <w:rPr>
          <w:rFonts w:ascii="Times New Roman" w:eastAsia="Times New Roman" w:hAnsi="Times New Roman" w:cs="Times New Roman"/>
          <w:sz w:val="24"/>
          <w:szCs w:val="24"/>
          <w:lang w:eastAsia="en-IL"/>
        </w:rPr>
        <w:t xml:space="preserve"> without alienating customers or causing financial disturbances is an ongoing governance challenge for SAP’s leadership.</w:t>
      </w:r>
    </w:p>
    <w:p w:rsidR="00D33237" w:rsidRPr="0044370F" w:rsidRDefault="00D33237" w:rsidP="00BF67B6">
      <w:pPr>
        <w:pStyle w:val="3"/>
      </w:pPr>
      <w:bookmarkStart w:id="178" w:name="_Toc222652842"/>
      <w:r w:rsidRPr="0044370F">
        <w:rPr>
          <w:rStyle w:val="a4"/>
          <w:rFonts w:eastAsiaTheme="majorEastAsia"/>
          <w:b/>
          <w:bCs/>
        </w:rPr>
        <w:t>7.7.1</w:t>
      </w:r>
      <w:r w:rsidRPr="0044370F">
        <w:rPr>
          <w:rStyle w:val="a4"/>
          <w:rFonts w:eastAsiaTheme="majorEastAsia"/>
          <w:b/>
          <w:bCs/>
        </w:rPr>
        <w:tab/>
        <w:t>Project Failures and Lessons Learned</w:t>
      </w:r>
      <w:bookmarkEnd w:id="178"/>
    </w:p>
    <w:p w:rsidR="00D33237" w:rsidRPr="0044370F" w:rsidRDefault="00D33237" w:rsidP="00D33237">
      <w:pPr>
        <w:pStyle w:val="NormalWeb"/>
        <w:spacing w:line="360" w:lineRule="auto"/>
        <w:jc w:val="both"/>
      </w:pPr>
      <w:r w:rsidRPr="0044370F">
        <w:t>Despite its record for reliability, SAP has been associated with several high-profile public-sector project failures that reveal the limits of standards-based governance. For example, large-scale SAP implementations in public agencies in Europe and beyond have at times been abandoned after years of development and substantial public expenditure due to cost overruns, organizational misalignment, or insufficient customization. These failures illustrate a recurring tension between SAP’s universal process models and the institutional complexity of public administration. While such projects rarely provoke geopolitical controversy, they expose governance risks inherent in delegating critical state functions to standardized corporate infrastructures.</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An additional challenge is </w:t>
      </w:r>
      <w:r w:rsidRPr="0044370F">
        <w:rPr>
          <w:rFonts w:ascii="Times New Roman" w:eastAsia="Times New Roman" w:hAnsi="Times New Roman" w:cs="Times New Roman"/>
          <w:b/>
          <w:bCs/>
          <w:sz w:val="24"/>
          <w:szCs w:val="24"/>
          <w:lang w:eastAsia="en-IL"/>
        </w:rPr>
        <w:t>cybersecurity</w:t>
      </w:r>
      <w:r w:rsidRPr="0044370F">
        <w:rPr>
          <w:rFonts w:ascii="Times New Roman" w:eastAsia="Times New Roman" w:hAnsi="Times New Roman" w:cs="Times New Roman"/>
          <w:sz w:val="24"/>
          <w:szCs w:val="24"/>
          <w:lang w:eastAsia="en-IL"/>
        </w:rPr>
        <w:t>. As SAP systems form the transactional core of so many enterprises, they are prime targets for cyberattacks. In 2020, U.S. cybersecurity agencies issued warnings about critical SAP vulnerabilities being actively exploited by threat actors to infiltrate companies’ networks</w:t>
      </w:r>
      <w:r w:rsidRPr="0044370F">
        <w:rPr>
          <w:rStyle w:val="a8"/>
          <w:rFonts w:ascii="Times New Roman" w:eastAsia="Times New Roman" w:hAnsi="Times New Roman" w:cs="Times New Roman"/>
          <w:sz w:val="24"/>
          <w:szCs w:val="24"/>
          <w:lang w:eastAsia="en-IL"/>
        </w:rPr>
        <w:footnoteReference w:id="265"/>
      </w:r>
      <w:r w:rsidRPr="0044370F">
        <w:rPr>
          <w:rFonts w:ascii="Times New Roman" w:eastAsia="Times New Roman" w:hAnsi="Times New Roman" w:cs="Times New Roman"/>
          <w:sz w:val="24"/>
          <w:szCs w:val="24"/>
          <w:lang w:eastAsia="en-IL"/>
        </w:rPr>
        <w:t xml:space="preserve">. SAP has had to work closely with state security agencies (like Germany’s BSI and the U.S. CISA) to share threat information and rapidly patch software, effectively acting as a guardian of a slice of critical digital infrastructure. In this sense, SAP’s responsibilities resemble those of a public utility: it must assure the continuous, secure operation of systems that, if compromised, could disrupt economic activity or even national security (consider an attack that paralyzes SAP systems across energy or defense companies).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public implicitly expects such stability, even if SAP’s name is not widely known outside professional circles. Any significant failure on SAP’s part, whether an outage, a data breach, or a botched implementation in a government agency, can become a controversy, calling into question the governance of this corporate actor. One notable episode was SAP’s partial role in high-profile IT project failures; for example, some public-sector SAP implementations (in municipalities or firms like Lidl) have been scrapped at great expense due to mismanagement. These incidents, </w:t>
      </w:r>
      <w:r w:rsidRPr="0044370F">
        <w:rPr>
          <w:rFonts w:ascii="Times New Roman" w:eastAsia="Times New Roman" w:hAnsi="Times New Roman" w:cs="Times New Roman"/>
          <w:sz w:val="24"/>
          <w:szCs w:val="24"/>
          <w:lang w:eastAsia="en-IL"/>
        </w:rPr>
        <w:lastRenderedPageBreak/>
        <w:t xml:space="preserve">while usually due to multiple factors, put pressure on SAP to improve its </w:t>
      </w:r>
      <w:r w:rsidRPr="0044370F">
        <w:rPr>
          <w:rFonts w:ascii="Times New Roman" w:eastAsia="Times New Roman" w:hAnsi="Times New Roman" w:cs="Times New Roman"/>
          <w:b/>
          <w:bCs/>
          <w:sz w:val="24"/>
          <w:szCs w:val="24"/>
          <w:lang w:eastAsia="en-IL"/>
        </w:rPr>
        <w:t>governance of implementations</w:t>
      </w:r>
      <w:r w:rsidRPr="0044370F">
        <w:rPr>
          <w:rStyle w:val="a8"/>
          <w:rFonts w:ascii="Times New Roman" w:eastAsia="Times New Roman" w:hAnsi="Times New Roman" w:cs="Times New Roman"/>
          <w:b/>
          <w:bCs/>
          <w:sz w:val="24"/>
          <w:szCs w:val="24"/>
          <w:lang w:eastAsia="en-IL"/>
        </w:rPr>
        <w:footnoteReference w:id="266"/>
      </w:r>
      <w:r w:rsidRPr="0044370F">
        <w:rPr>
          <w:rFonts w:ascii="Times New Roman" w:eastAsia="Times New Roman" w:hAnsi="Times New Roman" w:cs="Times New Roman"/>
          <w:sz w:val="24"/>
          <w:szCs w:val="24"/>
          <w:lang w:eastAsia="en-IL"/>
        </w:rPr>
        <w:t>, ensuring that its partners and integrators follow best practices and ethical guidelines</w:t>
      </w:r>
      <w:r w:rsidRPr="0044370F">
        <w:rPr>
          <w:rStyle w:val="a8"/>
          <w:rFonts w:ascii="Times New Roman" w:eastAsia="Times New Roman" w:hAnsi="Times New Roman" w:cs="Times New Roman"/>
          <w:sz w:val="24"/>
          <w:szCs w:val="24"/>
          <w:lang w:eastAsia="en-IL"/>
        </w:rPr>
        <w:footnoteReference w:id="267"/>
      </w:r>
      <w:r w:rsidRPr="0044370F">
        <w:rPr>
          <w:rFonts w:ascii="Times New Roman" w:eastAsia="Times New Roman" w:hAnsi="Times New Roman" w:cs="Times New Roman"/>
          <w:sz w:val="24"/>
          <w:szCs w:val="24"/>
          <w:lang w:eastAsia="en-IL"/>
        </w:rPr>
        <w:t xml:space="preserve">. They also demonstrate the difficulty in transplanting SAP’s standardized solutions into complex organizations, a tension between the </w:t>
      </w:r>
      <w:r w:rsidRPr="0044370F">
        <w:rPr>
          <w:rFonts w:ascii="Times New Roman" w:eastAsia="Times New Roman" w:hAnsi="Times New Roman" w:cs="Times New Roman"/>
          <w:i/>
          <w:iCs/>
          <w:sz w:val="24"/>
          <w:szCs w:val="24"/>
          <w:lang w:eastAsia="en-IL"/>
        </w:rPr>
        <w:t>universal</w:t>
      </w:r>
      <w:r w:rsidRPr="0044370F">
        <w:rPr>
          <w:rFonts w:ascii="Times New Roman" w:eastAsia="Times New Roman" w:hAnsi="Times New Roman" w:cs="Times New Roman"/>
          <w:sz w:val="24"/>
          <w:szCs w:val="24"/>
          <w:lang w:eastAsia="en-IL"/>
        </w:rPr>
        <w:t xml:space="preserve"> logic coded by SAP and the </w:t>
      </w:r>
      <w:r w:rsidRPr="0044370F">
        <w:rPr>
          <w:rFonts w:ascii="Times New Roman" w:eastAsia="Times New Roman" w:hAnsi="Times New Roman" w:cs="Times New Roman"/>
          <w:i/>
          <w:iCs/>
          <w:sz w:val="24"/>
          <w:szCs w:val="24"/>
          <w:lang w:eastAsia="en-IL"/>
        </w:rPr>
        <w:t>particular</w:t>
      </w:r>
      <w:r w:rsidRPr="0044370F">
        <w:rPr>
          <w:rFonts w:ascii="Times New Roman" w:eastAsia="Times New Roman" w:hAnsi="Times New Roman" w:cs="Times New Roman"/>
          <w:sz w:val="24"/>
          <w:szCs w:val="24"/>
          <w:lang w:eastAsia="en-IL"/>
        </w:rPr>
        <w:t xml:space="preserve"> needs of each customer</w:t>
      </w:r>
      <w:r w:rsidRPr="0044370F">
        <w:rPr>
          <w:rStyle w:val="a8"/>
          <w:rFonts w:ascii="Times New Roman" w:eastAsia="Times New Roman" w:hAnsi="Times New Roman" w:cs="Times New Roman"/>
          <w:sz w:val="24"/>
          <w:szCs w:val="24"/>
          <w:lang w:eastAsia="en-IL"/>
        </w:rPr>
        <w:footnoteReference w:id="268"/>
      </w:r>
      <w:r w:rsidRPr="0044370F">
        <w:rPr>
          <w:rFonts w:ascii="Times New Roman" w:eastAsia="Times New Roman" w:hAnsi="Times New Roman" w:cs="Times New Roman"/>
          <w:sz w:val="24"/>
          <w:szCs w:val="24"/>
          <w:lang w:eastAsia="en-IL"/>
        </w:rPr>
        <w:t>.</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Finally, SAP faces a subtle controversy in the context of global digital geopolitics: </w:t>
      </w:r>
      <w:r w:rsidRPr="0044370F">
        <w:rPr>
          <w:rFonts w:ascii="Times New Roman" w:eastAsia="Times New Roman" w:hAnsi="Times New Roman" w:cs="Times New Roman"/>
          <w:b/>
          <w:bCs/>
          <w:sz w:val="24"/>
          <w:szCs w:val="24"/>
          <w:lang w:eastAsia="en-IL"/>
        </w:rPr>
        <w:t>its relatively low public visibility itself</w:t>
      </w:r>
      <w:r w:rsidRPr="0044370F">
        <w:rPr>
          <w:rFonts w:ascii="Times New Roman" w:eastAsia="Times New Roman" w:hAnsi="Times New Roman" w:cs="Times New Roman"/>
          <w:sz w:val="24"/>
          <w:szCs w:val="24"/>
          <w:lang w:eastAsia="en-IL"/>
        </w:rPr>
        <w:t>. As an infrastructure provider, SAP wields enormous power with limited public scrutiny or democratic oversight. Unlike social media companies, which attract public debate, SAP’s decisions (such as how to structure data flows or which security standards to adopt) are typically discussed only in expert or industry circles</w:t>
      </w:r>
      <w:r w:rsidRPr="0044370F">
        <w:rPr>
          <w:rStyle w:val="a8"/>
          <w:rFonts w:ascii="Times New Roman" w:eastAsia="Times New Roman" w:hAnsi="Times New Roman" w:cs="Times New Roman"/>
          <w:sz w:val="24"/>
          <w:szCs w:val="24"/>
          <w:lang w:eastAsia="en-IL"/>
        </w:rPr>
        <w:footnoteReference w:id="269"/>
      </w:r>
      <w:r w:rsidRPr="0044370F">
        <w:rPr>
          <w:rFonts w:ascii="Times New Roman" w:eastAsia="Times New Roman" w:hAnsi="Times New Roman" w:cs="Times New Roman"/>
          <w:sz w:val="24"/>
          <w:szCs w:val="24"/>
          <w:lang w:eastAsia="en-IL"/>
        </w:rPr>
        <w:t xml:space="preserve">. This opacity can be a governance concern, as it raises concerns regarding accountability. For instance, if SAP’s policies on cloud data portability or on terminating services in a country can profoundly affect thousands of companies and government operations, should there be greater public oversight or input into those policies? Thus, one emerging challenge is how SAP can maintain legitimacy commensurate with its power.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company has taken steps in this regard by stressing </w:t>
      </w:r>
      <w:r w:rsidRPr="0044370F">
        <w:rPr>
          <w:rFonts w:ascii="Times New Roman" w:eastAsia="Times New Roman" w:hAnsi="Times New Roman" w:cs="Times New Roman"/>
          <w:b/>
          <w:bCs/>
          <w:sz w:val="24"/>
          <w:szCs w:val="24"/>
          <w:lang w:eastAsia="en-IL"/>
        </w:rPr>
        <w:t>corporate ethics and compliance</w:t>
      </w:r>
      <w:r w:rsidRPr="0044370F">
        <w:rPr>
          <w:rFonts w:ascii="Times New Roman" w:eastAsia="Times New Roman" w:hAnsi="Times New Roman" w:cs="Times New Roman"/>
          <w:sz w:val="24"/>
          <w:szCs w:val="24"/>
          <w:lang w:eastAsia="en-IL"/>
        </w:rPr>
        <w:t xml:space="preserve"> (in the wake of corruption issues, it substantially revamped its global compliance programs) and by publishing transparency reports on its sustainability and social impact. It touts adherence to frameworks like the U.N. Sustainable Development Goals and emphasizes that it operates under rigorous German and EU laws.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Still, as SAP’s influence spans borders, it sometimes sits in a gray zone of governance, neither entirely governed by any single state’s oversight nor fully visible to the global public, yet making </w:t>
      </w:r>
      <w:r w:rsidRPr="0044370F">
        <w:rPr>
          <w:rFonts w:asciiTheme="majorBidi" w:eastAsia="Times New Roman" w:hAnsiTheme="majorBidi" w:cstheme="majorBidi"/>
          <w:sz w:val="24"/>
          <w:szCs w:val="24"/>
          <w:lang w:eastAsia="en-IL"/>
        </w:rPr>
        <w:t xml:space="preserve">decisions with </w:t>
      </w:r>
      <w:r w:rsidRPr="0044370F">
        <w:rPr>
          <w:rFonts w:asciiTheme="majorBidi" w:hAnsiTheme="majorBidi" w:cstheme="majorBidi"/>
          <w:sz w:val="24"/>
          <w:szCs w:val="24"/>
        </w:rPr>
        <w:t>governance implications for markets and institutions</w:t>
      </w:r>
      <w:r w:rsidRPr="0044370F">
        <w:rPr>
          <w:rFonts w:asciiTheme="majorBidi" w:eastAsia="Times New Roman" w:hAnsiTheme="majorBidi" w:cstheme="majorBidi"/>
          <w:sz w:val="24"/>
          <w:szCs w:val="24"/>
          <w:lang w:eastAsia="en-IL"/>
        </w:rPr>
        <w:t>.</w:t>
      </w:r>
    </w:p>
    <w:p w:rsidR="00D33237" w:rsidRPr="0044370F" w:rsidRDefault="00D33237" w:rsidP="00BF67B6">
      <w:pPr>
        <w:pStyle w:val="2"/>
        <w:rPr>
          <w:rFonts w:eastAsia="Times New Roman"/>
          <w:lang w:eastAsia="en-IL"/>
        </w:rPr>
      </w:pPr>
      <w:bookmarkStart w:id="179" w:name="_Toc222652843"/>
      <w:r w:rsidRPr="0044370F">
        <w:rPr>
          <w:rFonts w:eastAsia="Times New Roman"/>
          <w:lang w:eastAsia="en-IL"/>
        </w:rPr>
        <w:t>7.8</w:t>
      </w:r>
      <w:r w:rsidRPr="0044370F">
        <w:rPr>
          <w:rFonts w:eastAsia="Times New Roman"/>
          <w:lang w:eastAsia="en-IL"/>
        </w:rPr>
        <w:tab/>
        <w:t>Contributions to Global Norms and Regulatory Models</w:t>
      </w:r>
      <w:bookmarkEnd w:id="179"/>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SAP’s power extends to shaping global norms, particularly in how enterprises and governments manage data and digital infrastructure. One of SAP’s notable contributions is through </w:t>
      </w:r>
      <w:r w:rsidRPr="0044370F">
        <w:rPr>
          <w:rFonts w:ascii="Times New Roman" w:eastAsia="Times New Roman" w:hAnsi="Times New Roman" w:cs="Times New Roman"/>
          <w:b/>
          <w:bCs/>
          <w:sz w:val="24"/>
          <w:szCs w:val="24"/>
          <w:lang w:eastAsia="en-IL"/>
        </w:rPr>
        <w:t>standard-setting in enterprise software</w:t>
      </w:r>
      <w:r w:rsidRPr="0044370F">
        <w:rPr>
          <w:rStyle w:val="a8"/>
          <w:rFonts w:ascii="Times New Roman" w:eastAsia="Times New Roman" w:hAnsi="Times New Roman" w:cs="Times New Roman"/>
          <w:b/>
          <w:bCs/>
          <w:sz w:val="24"/>
          <w:szCs w:val="24"/>
          <w:lang w:eastAsia="en-IL"/>
        </w:rPr>
        <w:footnoteReference w:id="270"/>
      </w:r>
      <w:r w:rsidRPr="0044370F">
        <w:rPr>
          <w:rFonts w:ascii="Times New Roman" w:eastAsia="Times New Roman" w:hAnsi="Times New Roman" w:cs="Times New Roman"/>
          <w:sz w:val="24"/>
          <w:szCs w:val="24"/>
          <w:lang w:eastAsia="en-IL"/>
        </w:rPr>
        <w:t>. By virtue of its wide adoption</w:t>
      </w:r>
      <w:r w:rsidRPr="0044370F">
        <w:rPr>
          <w:rStyle w:val="a8"/>
          <w:rFonts w:ascii="Times New Roman" w:eastAsia="Times New Roman" w:hAnsi="Times New Roman" w:cs="Times New Roman"/>
          <w:sz w:val="24"/>
          <w:szCs w:val="24"/>
          <w:lang w:eastAsia="en-IL"/>
        </w:rPr>
        <w:footnoteReference w:id="271"/>
      </w:r>
      <w:r w:rsidRPr="0044370F">
        <w:rPr>
          <w:rFonts w:ascii="Times New Roman" w:eastAsia="Times New Roman" w:hAnsi="Times New Roman" w:cs="Times New Roman"/>
          <w:sz w:val="24"/>
          <w:szCs w:val="24"/>
          <w:lang w:eastAsia="en-IL"/>
        </w:rPr>
        <w:t xml:space="preserve">, SAP has propagated certain norms, for example, the idea of integrated, </w:t>
      </w:r>
      <w:r w:rsidRPr="0044370F">
        <w:rPr>
          <w:rFonts w:ascii="Times New Roman" w:eastAsia="Times New Roman" w:hAnsi="Times New Roman" w:cs="Times New Roman"/>
          <w:b/>
          <w:bCs/>
          <w:sz w:val="24"/>
          <w:szCs w:val="24"/>
          <w:lang w:eastAsia="en-IL"/>
        </w:rPr>
        <w:t>real-time data management</w:t>
      </w:r>
      <w:r w:rsidRPr="0044370F">
        <w:rPr>
          <w:rFonts w:ascii="Times New Roman" w:eastAsia="Times New Roman" w:hAnsi="Times New Roman" w:cs="Times New Roman"/>
          <w:sz w:val="24"/>
          <w:szCs w:val="24"/>
          <w:lang w:eastAsia="en-IL"/>
        </w:rPr>
        <w:t xml:space="preserve"> for organizations</w:t>
      </w:r>
      <w:r w:rsidRPr="0044370F">
        <w:rPr>
          <w:rStyle w:val="a8"/>
          <w:rFonts w:ascii="Times New Roman" w:eastAsia="Times New Roman" w:hAnsi="Times New Roman" w:cs="Times New Roman"/>
          <w:sz w:val="24"/>
          <w:szCs w:val="24"/>
          <w:lang w:eastAsia="en-IL"/>
        </w:rPr>
        <w:footnoteReference w:id="272"/>
      </w:r>
      <w:r w:rsidRPr="0044370F">
        <w:rPr>
          <w:rFonts w:ascii="Times New Roman" w:eastAsia="Times New Roman" w:hAnsi="Times New Roman" w:cs="Times New Roman"/>
          <w:sz w:val="24"/>
          <w:szCs w:val="24"/>
          <w:lang w:eastAsia="en-IL"/>
        </w:rPr>
        <w:t xml:space="preserve">, which has driven global expectations that even public institutions should break down silos and adopt unified digital systems. This has dovetailed with global public-sector reforms; many governments, under the banner of efficiency and transparency, have implemented SAP or similar ERP systems, effectively importing private-sector “best practices” into public administration. In doing so, SAP acts as a carrier of norms such as accountability (through software audit trails), </w:t>
      </w:r>
      <w:r w:rsidRPr="0044370F">
        <w:rPr>
          <w:rFonts w:ascii="Times New Roman" w:eastAsia="Times New Roman" w:hAnsi="Times New Roman" w:cs="Times New Roman"/>
          <w:b/>
          <w:bCs/>
          <w:sz w:val="24"/>
          <w:szCs w:val="24"/>
          <w:lang w:eastAsia="en-IL"/>
        </w:rPr>
        <w:t>financial transparency</w:t>
      </w:r>
      <w:r w:rsidRPr="0044370F">
        <w:rPr>
          <w:rFonts w:ascii="Times New Roman" w:eastAsia="Times New Roman" w:hAnsi="Times New Roman" w:cs="Times New Roman"/>
          <w:sz w:val="24"/>
          <w:szCs w:val="24"/>
          <w:lang w:eastAsia="en-IL"/>
        </w:rPr>
        <w:t xml:space="preserve">, and </w:t>
      </w:r>
      <w:r w:rsidRPr="0044370F">
        <w:rPr>
          <w:rFonts w:ascii="Times New Roman" w:eastAsia="Times New Roman" w:hAnsi="Times New Roman" w:cs="Times New Roman"/>
          <w:b/>
          <w:bCs/>
          <w:sz w:val="24"/>
          <w:szCs w:val="24"/>
          <w:lang w:eastAsia="en-IL"/>
        </w:rPr>
        <w:t>process standardization</w:t>
      </w:r>
      <w:r w:rsidRPr="0044370F">
        <w:rPr>
          <w:rFonts w:ascii="Times New Roman" w:eastAsia="Times New Roman" w:hAnsi="Times New Roman" w:cs="Times New Roman"/>
          <w:sz w:val="24"/>
          <w:szCs w:val="24"/>
          <w:lang w:eastAsia="en-IL"/>
        </w:rPr>
        <w:t xml:space="preserve"> across borders</w:t>
      </w:r>
      <w:r w:rsidRPr="0044370F">
        <w:rPr>
          <w:rStyle w:val="a8"/>
          <w:rFonts w:ascii="Times New Roman" w:eastAsia="Times New Roman" w:hAnsi="Times New Roman" w:cs="Times New Roman"/>
          <w:sz w:val="24"/>
          <w:szCs w:val="24"/>
          <w:lang w:eastAsia="en-IL"/>
        </w:rPr>
        <w:footnoteReference w:id="273"/>
      </w:r>
      <w:r w:rsidRPr="0044370F">
        <w:rPr>
          <w:rFonts w:ascii="Times New Roman" w:eastAsia="Times New Roman" w:hAnsi="Times New Roman" w:cs="Times New Roman"/>
          <w:sz w:val="24"/>
          <w:szCs w:val="24"/>
          <w:lang w:eastAsia="en-IL"/>
        </w:rPr>
        <w:t xml:space="preserve">.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Scholars of political economy note that this kind of </w:t>
      </w:r>
      <w:r w:rsidRPr="0044370F">
        <w:rPr>
          <w:rFonts w:ascii="Times New Roman" w:eastAsia="Times New Roman" w:hAnsi="Times New Roman" w:cs="Times New Roman"/>
          <w:i/>
          <w:iCs/>
          <w:sz w:val="24"/>
          <w:szCs w:val="24"/>
          <w:lang w:eastAsia="en-IL"/>
        </w:rPr>
        <w:t>soft power</w:t>
      </w:r>
      <w:r w:rsidRPr="0044370F">
        <w:rPr>
          <w:rFonts w:ascii="Times New Roman" w:eastAsia="Times New Roman" w:hAnsi="Times New Roman" w:cs="Times New Roman"/>
          <w:sz w:val="24"/>
          <w:szCs w:val="24"/>
          <w:lang w:eastAsia="en-IL"/>
        </w:rPr>
        <w:t xml:space="preserve">, setting de facto standards, is a hallmark of private authority in global governance. SAP’s ERP templates and certification frameworks have become a transnational “language” of organizational management, one that consultants and managers worldwide share. Thus, SAP contributes to a </w:t>
      </w:r>
      <w:r w:rsidRPr="0044370F">
        <w:rPr>
          <w:rFonts w:ascii="Times New Roman" w:eastAsia="Times New Roman" w:hAnsi="Times New Roman" w:cs="Times New Roman"/>
          <w:b/>
          <w:bCs/>
          <w:sz w:val="24"/>
          <w:szCs w:val="24"/>
          <w:lang w:eastAsia="en-IL"/>
        </w:rPr>
        <w:t>regulatory model</w:t>
      </w:r>
      <w:r w:rsidRPr="0044370F">
        <w:rPr>
          <w:rFonts w:ascii="Times New Roman" w:eastAsia="Times New Roman" w:hAnsi="Times New Roman" w:cs="Times New Roman"/>
          <w:sz w:val="24"/>
          <w:szCs w:val="24"/>
          <w:lang w:eastAsia="en-IL"/>
        </w:rPr>
        <w:t xml:space="preserve"> in which corporations help enforce specific rules globally (e.g., consistent financial controls or data logging </w:t>
      </w:r>
      <w:r w:rsidRPr="0044370F">
        <w:rPr>
          <w:rFonts w:ascii="Times New Roman" w:eastAsia="Times New Roman" w:hAnsi="Times New Roman" w:cs="Times New Roman"/>
          <w:sz w:val="24"/>
          <w:szCs w:val="24"/>
          <w:lang w:eastAsia="en-IL"/>
        </w:rPr>
        <w:lastRenderedPageBreak/>
        <w:t xml:space="preserve">practices) even in the absence of uniform laws, a phenomenon sometimes described as </w:t>
      </w:r>
      <w:r w:rsidRPr="0044370F">
        <w:rPr>
          <w:rFonts w:ascii="Times New Roman" w:eastAsia="Times New Roman" w:hAnsi="Times New Roman" w:cs="Times New Roman"/>
          <w:i/>
          <w:iCs/>
          <w:sz w:val="24"/>
          <w:szCs w:val="24"/>
          <w:lang w:eastAsia="en-IL"/>
        </w:rPr>
        <w:t>private regulatory harmonization</w:t>
      </w:r>
      <w:r w:rsidRPr="0044370F">
        <w:rPr>
          <w:rFonts w:ascii="Times New Roman" w:eastAsia="Times New Roman" w:hAnsi="Times New Roman" w:cs="Times New Roman"/>
          <w:sz w:val="24"/>
          <w:szCs w:val="24"/>
          <w:lang w:eastAsia="en-IL"/>
        </w:rPr>
        <w:t>.</w:t>
      </w:r>
    </w:p>
    <w:p w:rsidR="00D33237" w:rsidRPr="0044370F" w:rsidRDefault="00D33237" w:rsidP="00BF67B6">
      <w:pPr>
        <w:pStyle w:val="3"/>
      </w:pPr>
      <w:bookmarkStart w:id="180" w:name="_Toc222652844"/>
      <w:r w:rsidRPr="0044370F">
        <w:rPr>
          <w:rStyle w:val="a4"/>
          <w:rFonts w:eastAsiaTheme="majorEastAsia"/>
          <w:b/>
          <w:bCs/>
        </w:rPr>
        <w:t>7.8.1</w:t>
      </w:r>
      <w:r w:rsidRPr="0044370F">
        <w:rPr>
          <w:rStyle w:val="a4"/>
          <w:rFonts w:eastAsiaTheme="majorEastAsia"/>
          <w:b/>
          <w:bCs/>
        </w:rPr>
        <w:tab/>
        <w:t>Public-Sector Reform and Norm Diffusion</w:t>
      </w:r>
      <w:bookmarkEnd w:id="180"/>
    </w:p>
    <w:p w:rsidR="00D33237" w:rsidRPr="0044370F" w:rsidRDefault="00D33237" w:rsidP="00D33237">
      <w:pPr>
        <w:pStyle w:val="NormalWeb"/>
        <w:spacing w:line="360" w:lineRule="auto"/>
        <w:jc w:val="both"/>
      </w:pPr>
      <w:r w:rsidRPr="0044370F">
        <w:t>SAP’s standards have concretely shaped public-sector reforms in multiple jurisdictions. In Germany, SAP systems underpin federal and state-level financial management and procurement processes, embedding standardized accounting and reporting practices across public administration. Similarly, several European governments have adopted SAP-based platforms as part of broader public-sector digitalization initiatives to enhance transparency, auditability, and fiscal control. These implementations effectively translate private-sector governance logics into public institutions, demonstrating how SAP’s software functions as a vehicle for norm diffusion and regulatory harmonization beyond formal legislation.</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the realm of </w:t>
      </w:r>
      <w:r w:rsidRPr="0044370F">
        <w:rPr>
          <w:rFonts w:ascii="Times New Roman" w:eastAsia="Times New Roman" w:hAnsi="Times New Roman" w:cs="Times New Roman"/>
          <w:b/>
          <w:bCs/>
          <w:sz w:val="24"/>
          <w:szCs w:val="24"/>
          <w:lang w:eastAsia="en-IL"/>
        </w:rPr>
        <w:t>cloud governance and digital sovereignty</w:t>
      </w:r>
      <w:r w:rsidRPr="0044370F">
        <w:rPr>
          <w:rStyle w:val="a8"/>
          <w:rFonts w:ascii="Times New Roman" w:eastAsia="Times New Roman" w:hAnsi="Times New Roman" w:cs="Times New Roman"/>
          <w:b/>
          <w:bCs/>
          <w:sz w:val="24"/>
          <w:szCs w:val="24"/>
          <w:lang w:eastAsia="en-IL"/>
        </w:rPr>
        <w:footnoteReference w:id="274"/>
      </w:r>
      <w:r w:rsidRPr="0044370F">
        <w:rPr>
          <w:rFonts w:ascii="Times New Roman" w:eastAsia="Times New Roman" w:hAnsi="Times New Roman" w:cs="Times New Roman"/>
          <w:sz w:val="24"/>
          <w:szCs w:val="24"/>
          <w:lang w:eastAsia="en-IL"/>
        </w:rPr>
        <w:t xml:space="preserve">, SAP has been at the forefront (especially in Europe) of articulating models for controlling data in the cloud era. The company has actively promoted the concept of </w:t>
      </w:r>
      <w:r w:rsidRPr="0044370F">
        <w:rPr>
          <w:rFonts w:ascii="Times New Roman" w:eastAsia="Times New Roman" w:hAnsi="Times New Roman" w:cs="Times New Roman"/>
          <w:b/>
          <w:bCs/>
          <w:sz w:val="24"/>
          <w:szCs w:val="24"/>
          <w:lang w:eastAsia="en-IL"/>
        </w:rPr>
        <w:t>“sovereign clouds”</w:t>
      </w:r>
      <w:r w:rsidRPr="0044370F">
        <w:rPr>
          <w:rFonts w:ascii="Times New Roman" w:eastAsia="Times New Roman" w:hAnsi="Times New Roman" w:cs="Times New Roman"/>
          <w:sz w:val="24"/>
          <w:szCs w:val="24"/>
          <w:lang w:eastAsia="en-IL"/>
        </w:rPr>
        <w:t xml:space="preserve">, cloud environments that meet stringent national requirements for data residency, access control by domestic personnel, and compliance with local privacy laws. For instance, SAP’s collaboration on GAIA-X is not just technological but normative: it advances a vision of cloud infrastructure that favors openness, interoperability, and user control, countering the prevailing model dominated by a few U.S. </w:t>
      </w:r>
      <w:proofErr w:type="spellStart"/>
      <w:r w:rsidRPr="0044370F">
        <w:rPr>
          <w:rFonts w:ascii="Times New Roman" w:eastAsia="Times New Roman" w:hAnsi="Times New Roman" w:cs="Times New Roman"/>
          <w:sz w:val="24"/>
          <w:szCs w:val="24"/>
          <w:lang w:eastAsia="en-IL"/>
        </w:rPr>
        <w:t>hyperscalers</w:t>
      </w:r>
      <w:proofErr w:type="spellEnd"/>
      <w:r w:rsidRPr="0044370F">
        <w:rPr>
          <w:rFonts w:ascii="Times New Roman" w:eastAsia="Times New Roman" w:hAnsi="Times New Roman" w:cs="Times New Roman"/>
          <w:sz w:val="24"/>
          <w:szCs w:val="24"/>
          <w:lang w:eastAsia="en-IL"/>
        </w:rPr>
        <w:t xml:space="preserve">. Christian Klein’s emphasis that SAP’s platforms will adhere to “European standards and common values” points to SAP's aim to embed EU principles, such as GDPR-style data protection, data portability rights, and fair competition, into the architecture of enterprise cloud services. By offering cloud services aligned with these values, SAP contributes to a global norm of data governance that emphasizes sovereignty and trust, a counterweight to the surveillance-capitalism model of some Silicon Valley firms and the state-monitored model of Chinese tech.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Indeed, as one analysis pointed out, </w:t>
      </w:r>
      <w:r w:rsidRPr="0044370F">
        <w:rPr>
          <w:rFonts w:ascii="Times New Roman" w:eastAsia="Times New Roman" w:hAnsi="Times New Roman" w:cs="Times New Roman"/>
          <w:b/>
          <w:bCs/>
          <w:sz w:val="24"/>
          <w:szCs w:val="24"/>
          <w:lang w:eastAsia="en-IL"/>
        </w:rPr>
        <w:t>SAP, once a European champion, now relies heavily on U.S. cloud giants</w:t>
      </w:r>
      <w:r w:rsidRPr="0044370F">
        <w:rPr>
          <w:rFonts w:ascii="Times New Roman" w:eastAsia="Times New Roman" w:hAnsi="Times New Roman" w:cs="Times New Roman"/>
          <w:sz w:val="24"/>
          <w:szCs w:val="24"/>
          <w:lang w:eastAsia="en-IL"/>
        </w:rPr>
        <w:t xml:space="preserve"> for underlying infrastructure, but this dependence has likely spurred SAP to </w:t>
      </w:r>
      <w:r w:rsidRPr="0044370F">
        <w:rPr>
          <w:rFonts w:ascii="Times New Roman" w:eastAsia="Times New Roman" w:hAnsi="Times New Roman" w:cs="Times New Roman"/>
          <w:sz w:val="24"/>
          <w:szCs w:val="24"/>
          <w:lang w:eastAsia="en-IL"/>
        </w:rPr>
        <w:lastRenderedPageBreak/>
        <w:t>innovate new approaches so that European customers can run SAP software on fully sovereign European infrastructure. The outcome of these efforts could set precedents for how cloud providers worldwide address national concerns, likely affecting regulations on cloud computing and data localization.</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Additionally, SAP has contributed to global norms by participating in the drafting of </w:t>
      </w:r>
      <w:r w:rsidRPr="0044370F">
        <w:rPr>
          <w:rFonts w:ascii="Times New Roman" w:eastAsia="Times New Roman" w:hAnsi="Times New Roman" w:cs="Times New Roman"/>
          <w:b/>
          <w:bCs/>
          <w:sz w:val="24"/>
          <w:szCs w:val="24"/>
          <w:lang w:eastAsia="en-IL"/>
        </w:rPr>
        <w:t>industry guidelines and best practices</w:t>
      </w:r>
      <w:r w:rsidRPr="0044370F">
        <w:rPr>
          <w:rStyle w:val="a8"/>
          <w:rFonts w:ascii="Times New Roman" w:eastAsia="Times New Roman" w:hAnsi="Times New Roman" w:cs="Times New Roman"/>
          <w:b/>
          <w:bCs/>
          <w:sz w:val="24"/>
          <w:szCs w:val="24"/>
          <w:lang w:eastAsia="en-IL"/>
        </w:rPr>
        <w:footnoteReference w:id="275"/>
      </w:r>
      <w:r w:rsidRPr="0044370F">
        <w:rPr>
          <w:rFonts w:ascii="Times New Roman" w:eastAsia="Times New Roman" w:hAnsi="Times New Roman" w:cs="Times New Roman"/>
          <w:sz w:val="24"/>
          <w:szCs w:val="24"/>
          <w:lang w:eastAsia="en-IL"/>
        </w:rPr>
        <w:t xml:space="preserve">. It has worked with international bodies (such as the International Standards Organization and industry consortia) on standards for data security, electronic invoicing, supply-chain traceability, and other domains relevant to its software. For example, SAP’s involvement in the </w:t>
      </w:r>
      <w:r w:rsidRPr="0044370F">
        <w:rPr>
          <w:rFonts w:ascii="Times New Roman" w:eastAsia="Times New Roman" w:hAnsi="Times New Roman" w:cs="Times New Roman"/>
          <w:b/>
          <w:bCs/>
          <w:sz w:val="24"/>
          <w:szCs w:val="24"/>
          <w:lang w:eastAsia="en-IL"/>
        </w:rPr>
        <w:t>Global Platform for Sustainable Procurement</w:t>
      </w:r>
      <w:r w:rsidRPr="0044370F">
        <w:rPr>
          <w:rFonts w:ascii="Times New Roman" w:eastAsia="Times New Roman" w:hAnsi="Times New Roman" w:cs="Times New Roman"/>
          <w:sz w:val="24"/>
          <w:szCs w:val="24"/>
          <w:lang w:eastAsia="en-IL"/>
        </w:rPr>
        <w:t xml:space="preserve"> and similar initiatives embeds sustainability criteria into procurement software, effectively encouraging companies globally to track and report on environmental and social metrics in their supply chains. This is a form of norm diffusion via technology. SAP updates its software to accommodate new regulatory requirements, thereby helping disseminate and normalize them among its hundreds of thousands of users.</w:t>
      </w:r>
    </w:p>
    <w:p w:rsidR="00D33237" w:rsidRPr="0044370F" w:rsidRDefault="00D33237" w:rsidP="00BF67B6">
      <w:pPr>
        <w:pStyle w:val="3"/>
        <w:rPr>
          <w:lang w:eastAsia="en-IL"/>
        </w:rPr>
      </w:pPr>
      <w:bookmarkStart w:id="181" w:name="_Toc222652845"/>
      <w:r w:rsidRPr="0044370F">
        <w:rPr>
          <w:lang w:eastAsia="en-IL"/>
        </w:rPr>
        <w:t>7.8.2</w:t>
      </w:r>
      <w:r w:rsidRPr="0044370F">
        <w:rPr>
          <w:lang w:eastAsia="en-IL"/>
        </w:rPr>
        <w:tab/>
        <w:t>Comparative Posture</w:t>
      </w:r>
      <w:bookmarkEnd w:id="181"/>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In comparing SAP’s quasi-sovereign role to that of firms like Meta and Huawei, several contrasts emerge. SAP’s power is </w:t>
      </w:r>
      <w:r w:rsidRPr="0044370F">
        <w:rPr>
          <w:rFonts w:ascii="Times New Roman" w:eastAsia="Times New Roman" w:hAnsi="Times New Roman" w:cs="Times New Roman"/>
          <w:b/>
          <w:bCs/>
          <w:sz w:val="24"/>
          <w:szCs w:val="24"/>
          <w:lang w:eastAsia="en-IL"/>
        </w:rPr>
        <w:t>infrastructural and standards-based</w:t>
      </w:r>
      <w:r w:rsidRPr="0044370F">
        <w:rPr>
          <w:rFonts w:ascii="Times New Roman" w:eastAsia="Times New Roman" w:hAnsi="Times New Roman" w:cs="Times New Roman"/>
          <w:sz w:val="24"/>
          <w:szCs w:val="24"/>
          <w:lang w:eastAsia="en-IL"/>
        </w:rPr>
        <w:t xml:space="preserve"> rather than ideational or overtly geopolitical. Unlike Meta, SAP does not shape public discourse or social narratives; unlike Huawei, it is not directly caught in great-power rivalries as a symbol of national tech dominance. SAP’s geopolitical posture has been described as </w:t>
      </w:r>
      <w:r w:rsidRPr="0044370F">
        <w:rPr>
          <w:rFonts w:ascii="Times New Roman" w:eastAsia="Times New Roman" w:hAnsi="Times New Roman" w:cs="Times New Roman"/>
          <w:i/>
          <w:iCs/>
          <w:sz w:val="24"/>
          <w:szCs w:val="24"/>
          <w:lang w:eastAsia="en-IL"/>
        </w:rPr>
        <w:t>low-visibility but high-consequence</w:t>
      </w:r>
      <w:r w:rsidRPr="0044370F">
        <w:rPr>
          <w:rFonts w:ascii="Times New Roman" w:eastAsia="Times New Roman" w:hAnsi="Times New Roman" w:cs="Times New Roman"/>
          <w:sz w:val="24"/>
          <w:szCs w:val="24"/>
          <w:lang w:eastAsia="en-IL"/>
        </w:rPr>
        <w:t>. It doesn’t provoke the kind of public diplomatic incidents Huawei does (e.g., bans from 5G networks), nor does it face mass campaigns as Meta has, yet SAP quietly sits at the heart of many systems that states consider sovereign domains, like taxation systems, defense logistics, or critical industry supply chains</w:t>
      </w:r>
      <w:r w:rsidRPr="0044370F">
        <w:rPr>
          <w:rStyle w:val="a8"/>
          <w:rFonts w:ascii="Times New Roman" w:eastAsia="Times New Roman" w:hAnsi="Times New Roman" w:cs="Times New Roman"/>
          <w:sz w:val="24"/>
          <w:szCs w:val="24"/>
          <w:lang w:eastAsia="en-IL"/>
        </w:rPr>
        <w:footnoteReference w:id="276"/>
      </w:r>
      <w:r w:rsidRPr="0044370F">
        <w:rPr>
          <w:rFonts w:ascii="Times New Roman" w:eastAsia="Times New Roman" w:hAnsi="Times New Roman" w:cs="Times New Roman"/>
          <w:sz w:val="24"/>
          <w:szCs w:val="24"/>
          <w:lang w:eastAsia="en-IL"/>
        </w:rPr>
        <w:t xml:space="preserve">. Its visibility to policymakers is increasing to the extent that </w:t>
      </w:r>
      <w:r w:rsidRPr="0044370F">
        <w:rPr>
          <w:rFonts w:ascii="Times New Roman" w:eastAsia="Times New Roman" w:hAnsi="Times New Roman" w:cs="Times New Roman"/>
          <w:b/>
          <w:bCs/>
          <w:sz w:val="24"/>
          <w:szCs w:val="24"/>
          <w:lang w:eastAsia="en-IL"/>
        </w:rPr>
        <w:t>enterprise software and data management are now recognized as strategic arenas</w:t>
      </w:r>
      <w:r w:rsidRPr="0044370F">
        <w:rPr>
          <w:rFonts w:ascii="Times New Roman" w:eastAsia="Times New Roman" w:hAnsi="Times New Roman" w:cs="Times New Roman"/>
          <w:sz w:val="24"/>
          <w:szCs w:val="24"/>
          <w:lang w:eastAsia="en-IL"/>
        </w:rPr>
        <w:t xml:space="preserve">. Indeed, European leaders concerned with “technological sovereignty” cite SAP as an example of home-grown capability </w:t>
      </w:r>
      <w:r w:rsidRPr="0044370F">
        <w:rPr>
          <w:rFonts w:ascii="Times New Roman" w:eastAsia="Times New Roman" w:hAnsi="Times New Roman" w:cs="Times New Roman"/>
          <w:sz w:val="24"/>
          <w:szCs w:val="24"/>
          <w:lang w:eastAsia="en-IL"/>
        </w:rPr>
        <w:lastRenderedPageBreak/>
        <w:t>that must be preserved and enhanced. SAP also differs in its legitimacy strategy: Meta usually claims populist legitimacy by connecting people, Huawei leans on cost advantages and host-country relationships, and SAP builds legitimacy through technical excellence, reliability, and alignment</w:t>
      </w:r>
      <w:r w:rsidRPr="0044370F">
        <w:rPr>
          <w:rFonts w:ascii="Times New Roman" w:eastAsia="Times New Roman" w:hAnsi="Times New Roman" w:cs="Times New Roman"/>
          <w:b/>
          <w:bCs/>
          <w:sz w:val="24"/>
          <w:szCs w:val="24"/>
          <w:lang w:eastAsia="en-IL"/>
        </w:rPr>
        <w:t xml:space="preserve"> with formal regulations</w:t>
      </w:r>
      <w:r w:rsidRPr="0044370F">
        <w:rPr>
          <w:rFonts w:ascii="Times New Roman" w:eastAsia="Times New Roman" w:hAnsi="Times New Roman" w:cs="Times New Roman"/>
          <w:sz w:val="24"/>
          <w:szCs w:val="24"/>
          <w:lang w:eastAsia="en-IL"/>
        </w:rPr>
        <w:t>. It thus enjoys a degree of trust and acceptance within governments; it is seen less as a potential threat and more as a crucial, if mundane, partner</w:t>
      </w:r>
      <w:r w:rsidRPr="0044370F">
        <w:rPr>
          <w:rStyle w:val="a8"/>
          <w:rFonts w:ascii="Times New Roman" w:eastAsia="Times New Roman" w:hAnsi="Times New Roman" w:cs="Times New Roman"/>
          <w:sz w:val="24"/>
          <w:szCs w:val="24"/>
          <w:lang w:eastAsia="en-IL"/>
        </w:rPr>
        <w:footnoteReference w:id="277"/>
      </w:r>
      <w:r w:rsidRPr="0044370F">
        <w:rPr>
          <w:rFonts w:ascii="Times New Roman" w:eastAsia="Times New Roman" w:hAnsi="Times New Roman" w:cs="Times New Roman"/>
          <w:sz w:val="24"/>
          <w:szCs w:val="24"/>
          <w:lang w:eastAsia="en-IL"/>
        </w:rPr>
        <w:t>.</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Nonetheless, SAP</w:t>
      </w:r>
      <w:r w:rsidRPr="0044370F">
        <w:rPr>
          <w:rStyle w:val="a8"/>
          <w:rFonts w:ascii="Times New Roman" w:eastAsia="Times New Roman" w:hAnsi="Times New Roman" w:cs="Times New Roman"/>
          <w:sz w:val="24"/>
          <w:szCs w:val="24"/>
          <w:lang w:eastAsia="en-IL"/>
        </w:rPr>
        <w:footnoteReference w:id="278"/>
      </w:r>
      <w:r w:rsidRPr="0044370F">
        <w:rPr>
          <w:rFonts w:ascii="Times New Roman" w:eastAsia="Times New Roman" w:hAnsi="Times New Roman" w:cs="Times New Roman"/>
          <w:sz w:val="24"/>
          <w:szCs w:val="24"/>
          <w:lang w:eastAsia="en-IL"/>
        </w:rPr>
        <w:t xml:space="preserve"> does resemble those firms in exercising </w:t>
      </w:r>
      <w:r w:rsidRPr="0044370F">
        <w:rPr>
          <w:rFonts w:ascii="Times New Roman" w:eastAsia="Times New Roman" w:hAnsi="Times New Roman" w:cs="Times New Roman"/>
          <w:b/>
          <w:bCs/>
          <w:sz w:val="24"/>
          <w:szCs w:val="24"/>
          <w:lang w:eastAsia="en-IL"/>
        </w:rPr>
        <w:t>private authority across borders</w:t>
      </w:r>
      <w:r w:rsidRPr="0044370F">
        <w:rPr>
          <w:rFonts w:ascii="Times New Roman" w:eastAsia="Times New Roman" w:hAnsi="Times New Roman" w:cs="Times New Roman"/>
          <w:sz w:val="24"/>
          <w:szCs w:val="24"/>
          <w:lang w:eastAsia="en-IL"/>
        </w:rPr>
        <w:t xml:space="preserve">. Like Meta’s community standards or Huawei’s telecom protocols, SAP’s enterprise standards function as a form of private governance. Its rule-setting is done solely in the esoteric language of business process code, rather than in content policies or network hardware. And, similar to its Big Tech peers, SAP’s global operations force it to negotiate with state power constantly; it must navigate trade policies and local laws, and occasionally act in place of states (for example, by cutting off services to sanctioned regions or by securing digital supply chains in crises).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SAP </w:t>
      </w:r>
      <w:r w:rsidRPr="0044370F">
        <w:rPr>
          <w:rFonts w:asciiTheme="majorBidi" w:hAnsiTheme="majorBidi" w:cstheme="majorBidi"/>
          <w:sz w:val="24"/>
          <w:szCs w:val="24"/>
        </w:rPr>
        <w:t xml:space="preserve">participates in the diffusion of regulatory and procedural norms </w:t>
      </w:r>
      <w:r w:rsidRPr="0044370F">
        <w:rPr>
          <w:rFonts w:asciiTheme="majorBidi" w:eastAsia="Times New Roman" w:hAnsiTheme="majorBidi" w:cstheme="majorBidi"/>
          <w:sz w:val="24"/>
          <w:szCs w:val="24"/>
          <w:lang w:eastAsia="en-IL"/>
        </w:rPr>
        <w:t>by</w:t>
      </w:r>
      <w:r w:rsidRPr="0044370F">
        <w:rPr>
          <w:rFonts w:ascii="Times New Roman" w:eastAsia="Times New Roman" w:hAnsi="Times New Roman" w:cs="Times New Roman"/>
          <w:sz w:val="24"/>
          <w:szCs w:val="24"/>
          <w:lang w:eastAsia="en-IL"/>
        </w:rPr>
        <w:t xml:space="preserve"> championing an enterprise-centric vision of digital order, one that emphasizes integrated systems, compliance, and sovereignty, and it does so with a </w:t>
      </w:r>
      <w:r w:rsidRPr="0044370F">
        <w:rPr>
          <w:rFonts w:ascii="Times New Roman" w:eastAsia="Times New Roman" w:hAnsi="Times New Roman" w:cs="Times New Roman"/>
          <w:i/>
          <w:iCs/>
          <w:sz w:val="24"/>
          <w:szCs w:val="24"/>
          <w:lang w:eastAsia="en-IL"/>
        </w:rPr>
        <w:t>quasi-sovereign authority</w:t>
      </w:r>
      <w:r w:rsidRPr="0044370F">
        <w:rPr>
          <w:rFonts w:ascii="Times New Roman" w:eastAsia="Times New Roman" w:hAnsi="Times New Roman" w:cs="Times New Roman"/>
          <w:sz w:val="24"/>
          <w:szCs w:val="24"/>
          <w:lang w:eastAsia="en-IL"/>
        </w:rPr>
        <w:t xml:space="preserve"> derived from being the invisible architect behind a significant portion of the world’s economic activities.</w:t>
      </w:r>
    </w:p>
    <w:p w:rsidR="00D33237" w:rsidRPr="0044370F" w:rsidRDefault="00D33237" w:rsidP="00BF67B6">
      <w:pPr>
        <w:pStyle w:val="2"/>
        <w:rPr>
          <w:rFonts w:eastAsia="Times New Roman"/>
          <w:lang w:eastAsia="en-IL"/>
        </w:rPr>
      </w:pPr>
      <w:bookmarkStart w:id="182" w:name="_Toc222652846"/>
      <w:r w:rsidRPr="0044370F">
        <w:rPr>
          <w:rFonts w:eastAsia="Times New Roman"/>
          <w:lang w:eastAsia="en-IL"/>
        </w:rPr>
        <w:t>7.9</w:t>
      </w:r>
      <w:r w:rsidRPr="0044370F">
        <w:rPr>
          <w:rFonts w:eastAsia="Times New Roman"/>
          <w:lang w:eastAsia="en-IL"/>
        </w:rPr>
        <w:tab/>
        <w:t>Conclusion</w:t>
      </w:r>
      <w:bookmarkEnd w:id="182"/>
    </w:p>
    <w:p w:rsidR="00D33237" w:rsidRPr="0044370F" w:rsidRDefault="00D33237" w:rsidP="00D33237">
      <w:pPr>
        <w:pStyle w:val="NormalWeb"/>
        <w:spacing w:line="360" w:lineRule="auto"/>
        <w:jc w:val="both"/>
      </w:pPr>
      <w:r w:rsidRPr="0044370F">
        <w:rPr>
          <w:lang w:eastAsia="en-IL"/>
        </w:rPr>
        <w:t xml:space="preserve">SAP’s case demonstrates that a company need not command headlines to wield sovereign-like influence. Through its strategic assets in software and data, its unparalleled reach into critical infrastructures, and its ability to set standards and shape institutional practices, </w:t>
      </w:r>
      <w:r w:rsidRPr="0044370F">
        <w:t>SAP demonstrates that sovereignty-like authority can operate through routinized institutional embedding rather than overt political visibility.</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lastRenderedPageBreak/>
        <w:t xml:space="preserve">It governs not by overt policy statements but through code and contracts; it achieves geopolitical significance not through rhetoric but through the dependencies it creates within state and corporate apparatuses. </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lang w:eastAsia="en-IL"/>
        </w:rPr>
      </w:pPr>
      <w:r w:rsidRPr="0044370F">
        <w:rPr>
          <w:rFonts w:ascii="Times New Roman" w:eastAsia="Times New Roman" w:hAnsi="Times New Roman" w:cs="Times New Roman"/>
          <w:sz w:val="24"/>
          <w:szCs w:val="24"/>
          <w:lang w:eastAsia="en-IL"/>
        </w:rPr>
        <w:t xml:space="preserve">The past five years have illustrated both the </w:t>
      </w:r>
      <w:r w:rsidRPr="0044370F">
        <w:rPr>
          <w:rFonts w:ascii="Times New Roman" w:eastAsia="Times New Roman" w:hAnsi="Times New Roman" w:cs="Times New Roman"/>
          <w:b/>
          <w:bCs/>
          <w:sz w:val="24"/>
          <w:szCs w:val="24"/>
          <w:lang w:eastAsia="en-IL"/>
        </w:rPr>
        <w:t>leverage and the constraints</w:t>
      </w:r>
      <w:r w:rsidRPr="0044370F">
        <w:rPr>
          <w:rFonts w:ascii="Times New Roman" w:eastAsia="Times New Roman" w:hAnsi="Times New Roman" w:cs="Times New Roman"/>
          <w:sz w:val="24"/>
          <w:szCs w:val="24"/>
          <w:lang w:eastAsia="en-IL"/>
        </w:rPr>
        <w:t xml:space="preserve"> of this position: SAP can profoundly affect national interests (as seen in Russia’s scramble to replace it), yet SAP itself is still bounded by state laws and susceptible to governance failures from within (as shown by corruption scandals). </w:t>
      </w:r>
    </w:p>
    <w:p w:rsidR="00D33237" w:rsidRPr="0044370F" w:rsidRDefault="00D33237" w:rsidP="00D33237">
      <w:pPr>
        <w:pStyle w:val="NormalWeb"/>
        <w:spacing w:line="360" w:lineRule="auto"/>
        <w:jc w:val="both"/>
        <w:rPr>
          <w:lang w:eastAsia="en-IL"/>
        </w:rPr>
      </w:pPr>
      <w:r w:rsidRPr="0044370F">
        <w:rPr>
          <w:lang w:eastAsia="en-IL"/>
        </w:rPr>
        <w:t>Ultimately, SAP occupies a unique space in the global order, less visible than the consumer tech behemoths, yet deeply interwoven with the sinews of the worldwide economy. Its evolution in the coming years, especially as cloud computing and calls for di</w:t>
      </w:r>
      <w:r w:rsidRPr="0044370F">
        <w:t>gital sovereignty grow, will be an indicator of how transnational corporate power and state authority continue to negotiate institutional boundaries in the digital era.</w:t>
      </w:r>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SAP case refines the four-dimensional framework by demonstrating that corporate quasi-sovereignty can be exercised most effectively through </w:t>
      </w:r>
      <w:proofErr w:type="spellStart"/>
      <w:r w:rsidRPr="0044370F">
        <w:rPr>
          <w:rFonts w:ascii="Times New Roman" w:eastAsia="Times New Roman" w:hAnsi="Times New Roman" w:cs="Times New Roman"/>
          <w:sz w:val="24"/>
          <w:szCs w:val="24"/>
        </w:rPr>
        <w:t>routinization</w:t>
      </w:r>
      <w:proofErr w:type="spellEnd"/>
      <w:r w:rsidRPr="0044370F">
        <w:rPr>
          <w:rFonts w:ascii="Times New Roman" w:eastAsia="Times New Roman" w:hAnsi="Times New Roman" w:cs="Times New Roman"/>
          <w:sz w:val="24"/>
          <w:szCs w:val="24"/>
        </w:rPr>
        <w:t>, procedural embedding, and regulatory trust rather than public visibility or confrontation. Unlike Meta, which highlights the instability of normative legitimacy, and Huawei, which exposes the geopolitical risks of infrastructural alignment with state power, SAP reveals how authority can become durable precisely by operating below the threshold of political controversy. This insight extends the framework beyond high-profile cases and underscores the importance of institutional and standards-based pathways to sovereignty-like authority.</w:t>
      </w:r>
    </w:p>
    <w:p w:rsidR="00D33237" w:rsidRPr="0044370F" w:rsidRDefault="00D33237" w:rsidP="00D33237">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SAP thus exemplifies a low-visibility, compliance-oriented form of corporate quasi-sovereignty, complementing the more visible and contested configurations represented by Meta and Huawei.</w:t>
      </w:r>
    </w:p>
    <w:p w:rsidR="00D33237" w:rsidRPr="0044370F" w:rsidRDefault="00D33237" w:rsidP="00D33237">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Together, the three cases demonstrate that corporate quasi-sovereignty is not a monolith but an adaptable framework enacted differently across organizational form, sector, and geopolitical position.</w:t>
      </w:r>
    </w:p>
    <w:p w:rsidR="00DC5AE7" w:rsidRPr="0044370F" w:rsidRDefault="00DC5AE7" w:rsidP="00D33237">
      <w:pPr>
        <w:spacing w:before="100" w:beforeAutospacing="1" w:after="100" w:afterAutospacing="1" w:line="360" w:lineRule="auto"/>
        <w:jc w:val="both"/>
        <w:rPr>
          <w:rFonts w:ascii="Times New Roman" w:eastAsia="Times New Roman" w:hAnsi="Times New Roman" w:cs="Times New Roman"/>
          <w:sz w:val="24"/>
          <w:szCs w:val="24"/>
        </w:rPr>
      </w:pPr>
    </w:p>
    <w:p w:rsidR="00D33237" w:rsidRPr="0044370F" w:rsidRDefault="00D33237" w:rsidP="00BF67B6">
      <w:pPr>
        <w:pStyle w:val="2"/>
      </w:pPr>
      <w:bookmarkStart w:id="183" w:name="_Toc222652847"/>
      <w:r w:rsidRPr="0044370F">
        <w:rPr>
          <w:rStyle w:val="a4"/>
          <w:b/>
          <w:bCs w:val="0"/>
        </w:rPr>
        <w:lastRenderedPageBreak/>
        <w:t>7.</w:t>
      </w:r>
      <w:r w:rsidR="00F6046C" w:rsidRPr="0044370F">
        <w:rPr>
          <w:rStyle w:val="a4"/>
          <w:b/>
          <w:bCs w:val="0"/>
        </w:rPr>
        <w:t>10</w:t>
      </w:r>
      <w:r w:rsidRPr="0044370F">
        <w:rPr>
          <w:rStyle w:val="a4"/>
          <w:b/>
          <w:bCs w:val="0"/>
        </w:rPr>
        <w:tab/>
        <w:t>Theoretical Contribution and Future Implications</w:t>
      </w:r>
      <w:bookmarkEnd w:id="183"/>
    </w:p>
    <w:p w:rsidR="00D33237" w:rsidRPr="0044370F" w:rsidRDefault="00D33237" w:rsidP="00D33237">
      <w:pPr>
        <w:pStyle w:val="NormalWeb"/>
        <w:spacing w:line="360" w:lineRule="auto"/>
        <w:jc w:val="both"/>
      </w:pPr>
      <w:r w:rsidRPr="0044370F">
        <w:t xml:space="preserve">SAP’s case demonstrates that corporate quasi-sovereignty can be exercised most effectively through infrastructural embedding, technical standardization, and regulatory trust rather than public visibility or political contestation. It suggests that future configurations of </w:t>
      </w:r>
      <w:r w:rsidR="00960581" w:rsidRPr="0044370F">
        <w:t>corporate quasi-sovereignty</w:t>
      </w:r>
      <w:r w:rsidRPr="0044370F">
        <w:t xml:space="preserve"> may increasingly operate through quiet, compliance-oriented architectures that shape governance from within institutions themselves. For scholars and policymakers, SAP highlights the need to expand analyses of sovereignty beyond overt power struggles to include the subtle yet systemic influence of enterprise infrastructure providers in the digital age.</w:t>
      </w:r>
    </w:p>
    <w:p w:rsidR="00D33237" w:rsidRPr="0044370F" w:rsidRDefault="00D33237" w:rsidP="00D33237">
      <w:pPr>
        <w:spacing w:beforeAutospacing="1" w:after="100" w:afterAutospacing="1" w:line="360" w:lineRule="auto"/>
        <w:jc w:val="both"/>
        <w:rPr>
          <w:rtl/>
        </w:rPr>
      </w:pPr>
    </w:p>
    <w:p w:rsidR="00D33237" w:rsidRPr="0044370F" w:rsidRDefault="00D33237">
      <w:r w:rsidRPr="0044370F">
        <w:br w:type="page"/>
      </w:r>
    </w:p>
    <w:p w:rsidR="00926B5D" w:rsidRPr="0044370F" w:rsidRDefault="00926B5D" w:rsidP="0093533E">
      <w:pPr>
        <w:pStyle w:val="1"/>
        <w:rPr>
          <w:rFonts w:eastAsia="Times New Roman"/>
          <w:rtl/>
          <w:lang w:eastAsia="en-IL"/>
        </w:rPr>
      </w:pPr>
      <w:bookmarkStart w:id="184" w:name="_Toc222652848"/>
      <w:r w:rsidRPr="0044370F">
        <w:rPr>
          <w:rFonts w:eastAsia="Times New Roman"/>
          <w:lang w:eastAsia="en-IL"/>
        </w:rPr>
        <w:lastRenderedPageBreak/>
        <w:t>Chapter 8</w:t>
      </w:r>
      <w:bookmarkEnd w:id="184"/>
      <w:r w:rsidRPr="0044370F">
        <w:rPr>
          <w:rFonts w:eastAsia="Times New Roman"/>
          <w:lang w:eastAsia="en-IL"/>
        </w:rPr>
        <w:t xml:space="preserve"> </w:t>
      </w:r>
    </w:p>
    <w:p w:rsidR="00926B5D" w:rsidRPr="0044370F" w:rsidRDefault="00926B5D" w:rsidP="0093533E">
      <w:pPr>
        <w:pStyle w:val="1"/>
        <w:rPr>
          <w:rFonts w:eastAsia="Times New Roman"/>
          <w:lang w:eastAsia="en-IL"/>
        </w:rPr>
      </w:pPr>
      <w:bookmarkStart w:id="185" w:name="_Toc222652849"/>
      <w:r w:rsidRPr="0044370F">
        <w:rPr>
          <w:rFonts w:eastAsia="Times New Roman"/>
          <w:lang w:eastAsia="en-IL"/>
        </w:rPr>
        <w:t>Comparative Analysis and Synthesis</w:t>
      </w:r>
      <w:bookmarkEnd w:id="185"/>
    </w:p>
    <w:p w:rsidR="0093533E" w:rsidRPr="0044370F" w:rsidRDefault="0093533E" w:rsidP="0093533E">
      <w:pPr>
        <w:rPr>
          <w:lang w:eastAsia="en-IL"/>
        </w:rPr>
      </w:pPr>
    </w:p>
    <w:p w:rsidR="00926B5D" w:rsidRPr="0044370F" w:rsidRDefault="00926B5D" w:rsidP="0093533E">
      <w:pPr>
        <w:pStyle w:val="2"/>
        <w:rPr>
          <w:rFonts w:eastAsia="Times New Roman"/>
          <w:lang w:eastAsia="en-IL"/>
        </w:rPr>
      </w:pPr>
      <w:bookmarkStart w:id="186" w:name="_Toc222652850"/>
      <w:r w:rsidRPr="0044370F">
        <w:rPr>
          <w:rFonts w:eastAsia="Times New Roman"/>
          <w:lang w:eastAsia="en-IL"/>
        </w:rPr>
        <w:t>8.1 Introduction</w:t>
      </w:r>
      <w:r w:rsidRPr="0044370F">
        <w:rPr>
          <w:rFonts w:eastAsia="Times New Roman" w:hint="cs"/>
          <w:rtl/>
          <w:lang w:eastAsia="en-IL"/>
        </w:rPr>
        <w:t xml:space="preserve">: </w:t>
      </w:r>
      <w:r w:rsidRPr="0044370F">
        <w:rPr>
          <w:rFonts w:eastAsia="Times New Roman"/>
        </w:rPr>
        <w:t>Comparative Synthesis</w:t>
      </w:r>
      <w:bookmarkEnd w:id="186"/>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chapter marks a decisive analytical shift in the dissertation: from a detailed, case-specific examination to a comparative synthesis and theoretical consolidation. While Chapters 5, 6, and 7 analyzed Meta, Huawei, and SAP as distinct empirical manifestations of corporate quasi-sovereignty, Chapter 8 aims to bring these cases into systematic dialogue. The goal is not merely to summarize similarities and differences, but to extract broader insights about how sovereignty-like authority is being reconfigured in the contemporary global order.</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central claim of this chapter is that multinational technology corporations assemble sovereignty-like authority through distinct but patterned configurations of strategic resources, infrastructural control, structural embeddedness, and normative legitimacy. These configurations do not replace state sovereignty, but reconfigure its operation across domains.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firms do not replace the state, nor do they operate entirely outside it. Instead, they occupy an intermediate and relational position in which sovereign functions are redistributed across corporate infrastructures, regulatory negotiations, and socio-technical systems. This chapter, therefore, conceptualizes corporate power not as an anomaly or temporary distortion, but as a structural feature of the evolving international system.</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To advance this argument, the chapter synthesizes the empirical findings through the hybrid analytical framework developed in Chapter 3, which identifies four interrelated dimensions of corporate quasi-sovereignty: strategic resource control, structural embeddedness, normative legitimacy, and infrastructural power. Each dimension captures a distinct modality through which corporate authority is constructed and exercised. Importantly, the framework is not additive but configurational: sovereignty-like authority emerges through different combinations and intensities of these dimensions rather than through their uniform presence. </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The comparative analysis thus seeks to identify patterns of convergence and divergence across the three cases, as well as the conditions under which corporate power approaches, intersects with, or is curtailed by state authority.</w:t>
      </w:r>
    </w:p>
    <w:p w:rsidR="00926B5D" w:rsidRPr="0044370F" w:rsidRDefault="00926B5D" w:rsidP="0093533E">
      <w:pPr>
        <w:pStyle w:val="3"/>
      </w:pPr>
      <w:bookmarkStart w:id="187" w:name="_Toc222652851"/>
      <w:r w:rsidRPr="0044370F">
        <w:t xml:space="preserve">8.1.1 </w:t>
      </w:r>
      <w:r w:rsidRPr="0044370F">
        <w:tab/>
        <w:t>From Case Studies to Comparative Logic</w:t>
      </w:r>
      <w:bookmarkEnd w:id="187"/>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transition from case-based analysis to comparative synthesis requires a shift in analytical posture</w:t>
      </w:r>
      <w:r w:rsidRPr="0044370F">
        <w:rPr>
          <w:rStyle w:val="a8"/>
          <w:rFonts w:ascii="Times New Roman" w:eastAsia="Times New Roman" w:hAnsi="Times New Roman" w:cs="Times New Roman"/>
          <w:sz w:val="24"/>
          <w:szCs w:val="24"/>
        </w:rPr>
        <w:footnoteReference w:id="279"/>
      </w:r>
      <w:r w:rsidRPr="0044370F">
        <w:rPr>
          <w:rFonts w:ascii="Times New Roman" w:eastAsia="Times New Roman" w:hAnsi="Times New Roman" w:cs="Times New Roman"/>
          <w:sz w:val="24"/>
          <w:szCs w:val="24"/>
        </w:rPr>
        <w:t>. In the previous chapters, each corporation was examined within its own historical, institutional, and geopolitical context. Meta was analyzed primarily as a platform governing digital public discourse and social interaction; Huawei as an infrastructure-centric firm embedded in geopolitical competition and state strategy; and SAP as a low-visibility but deeply institutionalized provider of enterprise infrastructure. Each case illuminated a different pathway through which corporate actors can acquire sovereignty-like capacities.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 this chapter, the comparative lens allows these pathways to be examined side by side. Rather than asking whether any single firm is “sovereign,” the analysis asks how different forms of corporate authority are assembled, legitimized, and contested across contexts. This approach moves beyond binary distinctions, state versus market, public versus private, and instead situates corporate power along a spectrum of authority that varies by domain, geography, and institutional alignment.</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Methodologically, the chapter builds on the structured, focused comparison approach articulated by George and Bennett. Each case is examined through the exact analytical dimensions and guiding questions, enabling systematic cross-case comparison while remaining attentive to contextual variation. This design strengthens the study's analytical leverage by allowing patterns to emerge inductively while maintaining theoretical coherence. The comparative strategy is embedded within a qualitative, constructivist research paradigm, which treats concepts such as sovereignty, legitimacy, and authority as socially constructed and context-dependent rather than fixed or universally defined.</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Before proceeding to dimensional comparison, the chapter first clarifies the conceptual boundaries of quasi-sovereignty and related forms of authority to ensure analytical precision.</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To enhance methodological transparency, each dimension of the framework was operationalized through consistent indicators across cases. </w:t>
      </w:r>
      <w:r w:rsidRPr="0044370F">
        <w:rPr>
          <w:rFonts w:ascii="Times New Roman" w:eastAsia="Times New Roman" w:hAnsi="Times New Roman" w:cs="Times New Roman"/>
          <w:b/>
          <w:bCs/>
          <w:sz w:val="24"/>
          <w:szCs w:val="24"/>
        </w:rPr>
        <w:t>Strategic resource control</w:t>
      </w:r>
      <w:r w:rsidRPr="0044370F">
        <w:rPr>
          <w:rFonts w:ascii="Times New Roman" w:eastAsia="Times New Roman" w:hAnsi="Times New Roman" w:cs="Times New Roman"/>
          <w:sz w:val="24"/>
          <w:szCs w:val="24"/>
        </w:rPr>
        <w:t xml:space="preserve"> was assessed through ownership of critical assets such as data, patents, and platforms; </w:t>
      </w:r>
      <w:r w:rsidRPr="0044370F">
        <w:rPr>
          <w:rFonts w:ascii="Times New Roman" w:eastAsia="Times New Roman" w:hAnsi="Times New Roman" w:cs="Times New Roman"/>
          <w:b/>
          <w:bCs/>
          <w:sz w:val="24"/>
          <w:szCs w:val="24"/>
        </w:rPr>
        <w:t>structural embeddedness</w:t>
      </w:r>
      <w:r w:rsidRPr="0044370F">
        <w:rPr>
          <w:rFonts w:ascii="Times New Roman" w:eastAsia="Times New Roman" w:hAnsi="Times New Roman" w:cs="Times New Roman"/>
          <w:sz w:val="24"/>
          <w:szCs w:val="24"/>
        </w:rPr>
        <w:t xml:space="preserve"> through long-term institutional integration and dependency relations; </w:t>
      </w:r>
      <w:r w:rsidRPr="0044370F">
        <w:rPr>
          <w:rFonts w:ascii="Times New Roman" w:eastAsia="Times New Roman" w:hAnsi="Times New Roman" w:cs="Times New Roman"/>
          <w:b/>
          <w:bCs/>
          <w:sz w:val="24"/>
          <w:szCs w:val="24"/>
        </w:rPr>
        <w:t>normative legitimacy</w:t>
      </w:r>
      <w:r w:rsidRPr="0044370F">
        <w:rPr>
          <w:rFonts w:ascii="Times New Roman" w:eastAsia="Times New Roman" w:hAnsi="Times New Roman" w:cs="Times New Roman"/>
          <w:sz w:val="24"/>
          <w:szCs w:val="24"/>
        </w:rPr>
        <w:t xml:space="preserve"> through public narratives, regulatory acceptance, and contestation; and </w:t>
      </w:r>
      <w:r w:rsidRPr="0044370F">
        <w:rPr>
          <w:rFonts w:ascii="Times New Roman" w:eastAsia="Times New Roman" w:hAnsi="Times New Roman" w:cs="Times New Roman"/>
          <w:b/>
          <w:bCs/>
          <w:sz w:val="24"/>
          <w:szCs w:val="24"/>
        </w:rPr>
        <w:t>infrastructural power</w:t>
      </w:r>
      <w:r w:rsidRPr="0044370F">
        <w:rPr>
          <w:rFonts w:ascii="Times New Roman" w:eastAsia="Times New Roman" w:hAnsi="Times New Roman" w:cs="Times New Roman"/>
          <w:sz w:val="24"/>
          <w:szCs w:val="24"/>
        </w:rPr>
        <w:t xml:space="preserve"> through control over systems that structure social and economic activity. Data sources included corporate reports, regulatory documents, policy statements, and investigative journalism, allowing for triangulation across institutional, political, and technological domains.</w:t>
      </w:r>
    </w:p>
    <w:p w:rsidR="00926B5D" w:rsidRPr="0044370F" w:rsidRDefault="00926B5D" w:rsidP="0093533E">
      <w:pPr>
        <w:pStyle w:val="3"/>
      </w:pPr>
      <w:bookmarkStart w:id="188" w:name="_Toc222652852"/>
      <w:r w:rsidRPr="0044370F">
        <w:t>8.1.2</w:t>
      </w:r>
      <w:r w:rsidRPr="0044370F">
        <w:tab/>
        <w:t>Clarifying Quasi-Sovereignty and Related Concepts</w:t>
      </w:r>
      <w:bookmarkEnd w:id="188"/>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 central task of this chapter is conceptual clarification. Throughout the dissertation, the term </w:t>
      </w:r>
      <w:r w:rsidRPr="0044370F">
        <w:rPr>
          <w:rFonts w:ascii="Times New Roman" w:eastAsia="Times New Roman" w:hAnsi="Times New Roman" w:cs="Times New Roman"/>
          <w:i/>
          <w:iCs/>
          <w:sz w:val="24"/>
          <w:szCs w:val="24"/>
        </w:rPr>
        <w:t>quasi-sovereignty</w:t>
      </w:r>
      <w:r w:rsidRPr="0044370F">
        <w:rPr>
          <w:rFonts w:ascii="Times New Roman" w:eastAsia="Times New Roman" w:hAnsi="Times New Roman" w:cs="Times New Roman"/>
          <w:sz w:val="24"/>
          <w:szCs w:val="24"/>
        </w:rPr>
        <w:t xml:space="preserve"> has been used to describe the authority that multinational technology corporations exercise. This concept requires careful distinction from both classical sovereignty and related notions such as para-sovereignty or private authority.</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Classical sovereignty, in the Westphalian tradition, refers to supreme authority within a territorially bounded polity, including the monopoly over the legitimate use of force, legal jurisdiction, and formal recognition by other sovereign entities. None of the corporations examined </w:t>
      </w:r>
      <w:r w:rsidRPr="0044370F">
        <w:rPr>
          <w:rFonts w:asciiTheme="majorBidi" w:hAnsiTheme="majorBidi" w:cstheme="majorBidi"/>
          <w:sz w:val="24"/>
          <w:szCs w:val="24"/>
        </w:rPr>
        <w:t>here possesses territorial or coercive sovereignty</w:t>
      </w:r>
      <w:r w:rsidRPr="0044370F">
        <w:rPr>
          <w:rFonts w:asciiTheme="majorBidi" w:eastAsia="Times New Roman" w:hAnsiTheme="majorBidi" w:cstheme="majorBidi"/>
          <w:sz w:val="24"/>
          <w:szCs w:val="24"/>
        </w:rPr>
        <w:t>.</w:t>
      </w:r>
      <w:r w:rsidRPr="0044370F">
        <w:rPr>
          <w:rFonts w:ascii="Times New Roman" w:eastAsia="Times New Roman" w:hAnsi="Times New Roman" w:cs="Times New Roman"/>
          <w:sz w:val="24"/>
          <w:szCs w:val="24"/>
        </w:rPr>
        <w:t xml:space="preserve"> They do not command armies, legislate through formal law, or enjoy international legal sovereignty.</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Quasi-sovereignty, as employed here, refers instead to the partial, functional, and domain-specific exercise of authority that resembles sovereign power without replicating it. Corporate quasi-sovereignty is characterized by the ability to set rules, shape environments, and constrain choices within specific domains—such as digital communication, network infrastructure, or enterprise administration—often at scales comparable to or exceeding those of states. This authority is exercised through infrastructures, standards, and governance mechanisms rather than through territorial control or coercion.</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Para-sovereignty, by contrast, is used in this chapter to describe emergent or adjacent forms of authority that coexist with but do not fully consolidate into stable configurations of quasi-sovereignty. Para-sovereign practices may include experimental governance arrangements, temporary assertions of authority, or contested claims that lack durability or broad acceptance. The distinction is important: not all corporate power is quasi-sovereign, and not all quasi-sovereign claims are equally stabilized across contexts.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distinguishing these concepts, the chapter sharpens analytical precision and avoids conflating metaphor with mechanism. The focus remains on how sovereignty-like authority is produced in practice through specific configurations of resources, legitimacy, and infrastructure.</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distinctions are used as analytical tools rather than as normative judgments, allowing the study to distinguish durable configurations of authority from more tentative or contested assertions of power.</w:t>
      </w:r>
    </w:p>
    <w:p w:rsidR="00926B5D" w:rsidRPr="0044370F" w:rsidRDefault="00926B5D" w:rsidP="0093533E">
      <w:pPr>
        <w:pStyle w:val="3"/>
      </w:pPr>
      <w:bookmarkStart w:id="189" w:name="_Toc222652853"/>
      <w:r w:rsidRPr="0044370F">
        <w:t>8.1.3</w:t>
      </w:r>
      <w:r w:rsidRPr="0044370F">
        <w:tab/>
        <w:t>The Four Dimensions as Comparative Axes</w:t>
      </w:r>
      <w:bookmarkEnd w:id="189"/>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four-dimensional framework provides the analytical backbone of the comparative synthesis. Strategic resource control refers to the firm’s command over assets that confer leverage and autonomy, including data, intellectual property, technological know-how, and financial capacity. Across the cases, resource control functions as a foundational enabling condition, but the nature of the resources varies significantly: Meta’s control over user data and attention, Huawei’s ownership of telecommunications technologies and patents, and SAP’s dominance over enterprise software ecosystems.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Structural embeddedness captures the degree to which a firm is integrated into the economic, institutional, and social structures of multiple states. High embeddedness generates mutual dependence: states and organizations rely on corporate infrastructures, while firms depend on regulatory accommodation and market access. This embeddedness can both stabilize corporate authority and expose it to political intervention.</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Normative legitimacy addresses the justificatory dimension of authority. Corporate power, like state power, requires some degree of acceptance to be practical and durable. </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The cases demonstrate divergent legitimacy strategies: Meta’s efforts to frame itself as a steward of free expression and community; Huawei’s emphasis on development, sovereignty, and technological progress; and SAP’s reliance on compliance, reliability, and institutional trust. Legitimacy is shown to be highly context-dependent and uneven across regions.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Infrastructural power refers to the ability to shape the underlying systems through which social and economic activity occurs. Drawing on Michael Mann’s concept, this dimension highlights how corporations govern by designing and controlling infrastructures that others must use. In all three cases, infrastructural power amplifies the effects of the other dimensions, enabling firms to enact rules and norms at scale with minimal direct intervention.</w:t>
      </w:r>
    </w:p>
    <w:p w:rsidR="00926B5D" w:rsidRPr="0044370F" w:rsidRDefault="00926B5D" w:rsidP="00AF788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Table 1</w:t>
      </w:r>
      <w:r w:rsidR="00AF788E" w:rsidRPr="0044370F">
        <w:rPr>
          <w:rFonts w:ascii="Times New Roman" w:eastAsia="Times New Roman" w:hAnsi="Times New Roman" w:cs="Times New Roman" w:hint="cs"/>
          <w:sz w:val="24"/>
          <w:szCs w:val="24"/>
          <w:rtl/>
        </w:rPr>
        <w:t>1</w:t>
      </w:r>
      <w:r w:rsidRPr="0044370F">
        <w:rPr>
          <w:rFonts w:ascii="Times New Roman" w:eastAsia="Times New Roman" w:hAnsi="Times New Roman" w:cs="Times New Roman"/>
          <w:sz w:val="24"/>
          <w:szCs w:val="24"/>
        </w:rPr>
        <w:t xml:space="preserve"> consolidates the operational logic of the four-dimensional framework as applied comparatively across the three cases.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br w:type="page"/>
      </w:r>
    </w:p>
    <w:p w:rsidR="00926B5D" w:rsidRPr="0044370F" w:rsidRDefault="00926B5D" w:rsidP="0093533E">
      <w:pPr>
        <w:pStyle w:val="3"/>
      </w:pPr>
      <w:bookmarkStart w:id="190" w:name="_Toc222652854"/>
      <w:r w:rsidRPr="0044370F">
        <w:lastRenderedPageBreak/>
        <w:t>Table 1</w:t>
      </w:r>
      <w:r w:rsidR="009E2790" w:rsidRPr="0044370F">
        <w:rPr>
          <w:rFonts w:hint="cs"/>
          <w:szCs w:val="28"/>
          <w:rtl/>
        </w:rPr>
        <w:t>1</w:t>
      </w:r>
      <w:r w:rsidRPr="0044370F">
        <w:t>: Operationalization of Corporate Quasi-Sovereignty</w:t>
      </w:r>
      <w:bookmarkEnd w:id="190"/>
    </w:p>
    <w:tbl>
      <w:tblPr>
        <w:tblStyle w:val="5"/>
        <w:tblpPr w:leftFromText="180" w:rightFromText="180" w:vertAnchor="text" w:horzAnchor="page" w:tblpX="1438" w:tblpY="184"/>
        <w:tblW w:w="0" w:type="auto"/>
        <w:tblLook w:val="04A0" w:firstRow="1" w:lastRow="0" w:firstColumn="1" w:lastColumn="0" w:noHBand="0" w:noVBand="1"/>
      </w:tblPr>
      <w:tblGrid>
        <w:gridCol w:w="1516"/>
        <w:gridCol w:w="1630"/>
        <w:gridCol w:w="1847"/>
        <w:gridCol w:w="2511"/>
        <w:gridCol w:w="1846"/>
      </w:tblGrid>
      <w:tr w:rsidR="00926B5D" w:rsidRPr="0044370F" w:rsidTr="009353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shd w:val="clear" w:color="auto" w:fill="BFBFBF" w:themeFill="background1" w:themeFillShade="BF"/>
            <w:hideMark/>
          </w:tcPr>
          <w:p w:rsidR="00926B5D" w:rsidRPr="0044370F" w:rsidRDefault="00926B5D" w:rsidP="009E2790">
            <w:pPr>
              <w:jc w:val="center"/>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Dimension</w:t>
            </w:r>
          </w:p>
        </w:tc>
        <w:tc>
          <w:tcPr>
            <w:tcW w:w="0" w:type="auto"/>
            <w:shd w:val="clear" w:color="auto" w:fill="009999"/>
            <w:hideMark/>
          </w:tcPr>
          <w:p w:rsidR="00926B5D" w:rsidRPr="0044370F" w:rsidRDefault="00926B5D"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Analytical Focus</w:t>
            </w:r>
          </w:p>
        </w:tc>
        <w:tc>
          <w:tcPr>
            <w:tcW w:w="0" w:type="auto"/>
            <w:shd w:val="clear" w:color="auto" w:fill="009999"/>
            <w:hideMark/>
          </w:tcPr>
          <w:p w:rsidR="00926B5D" w:rsidRPr="0044370F" w:rsidRDefault="00926B5D"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Key Indicators</w:t>
            </w:r>
          </w:p>
        </w:tc>
        <w:tc>
          <w:tcPr>
            <w:tcW w:w="0" w:type="auto"/>
            <w:shd w:val="clear" w:color="auto" w:fill="009999"/>
            <w:hideMark/>
          </w:tcPr>
          <w:p w:rsidR="00926B5D" w:rsidRPr="0044370F" w:rsidRDefault="00926B5D"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Empirical Manifestations (Cases)</w:t>
            </w:r>
          </w:p>
        </w:tc>
        <w:tc>
          <w:tcPr>
            <w:tcW w:w="0" w:type="auto"/>
            <w:shd w:val="clear" w:color="auto" w:fill="009999"/>
            <w:hideMark/>
          </w:tcPr>
          <w:p w:rsidR="00926B5D" w:rsidRPr="0044370F" w:rsidRDefault="00926B5D"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4"/>
                <w:szCs w:val="24"/>
                <w:lang w:val="en-US"/>
              </w:rPr>
            </w:pPr>
            <w:r w:rsidRPr="0044370F">
              <w:rPr>
                <w:rFonts w:ascii="Times New Roman" w:eastAsia="Times New Roman" w:hAnsi="Times New Roman" w:cs="Times New Roman"/>
                <w:color w:val="auto"/>
                <w:sz w:val="24"/>
                <w:szCs w:val="24"/>
                <w:lang w:val="en-US"/>
              </w:rPr>
              <w:t>Primary Data Sources</w:t>
            </w:r>
          </w:p>
        </w:tc>
      </w:tr>
      <w:tr w:rsidR="00926B5D" w:rsidRPr="0044370F" w:rsidTr="00935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shd w:val="clear" w:color="auto" w:fill="BFBFBF" w:themeFill="background1" w:themeFillShade="BF"/>
            <w:hideMark/>
          </w:tcPr>
          <w:p w:rsidR="00926B5D" w:rsidRPr="0044370F" w:rsidRDefault="00926B5D" w:rsidP="009E2790">
            <w:pPr>
              <w:rPr>
                <w:rFonts w:ascii="Times New Roman" w:eastAsia="Times New Roman" w:hAnsi="Times New Roman" w:cs="Times New Roman"/>
                <w:sz w:val="20"/>
                <w:szCs w:val="20"/>
                <w:lang w:val="en-US"/>
              </w:rPr>
            </w:pPr>
            <w:r w:rsidRPr="0044370F">
              <w:rPr>
                <w:rFonts w:ascii="Times New Roman" w:eastAsia="Times New Roman" w:hAnsi="Times New Roman" w:cs="Times New Roman"/>
                <w:color w:val="auto"/>
                <w:sz w:val="20"/>
                <w:szCs w:val="20"/>
                <w:lang w:val="en-US"/>
              </w:rPr>
              <w:t>Strategic Resource Control</w:t>
            </w:r>
          </w:p>
        </w:tc>
        <w:tc>
          <w:tcPr>
            <w:tcW w:w="0" w:type="auto"/>
            <w:shd w:val="clear" w:color="auto" w:fill="F2F2F2" w:themeFill="background1" w:themeFillShade="F2"/>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Control over critical assets that enable leverage beyond market competition</w:t>
            </w:r>
          </w:p>
        </w:tc>
        <w:tc>
          <w:tcPr>
            <w:tcW w:w="0" w:type="auto"/>
            <w:shd w:val="clear" w:color="auto" w:fill="F2F2F2" w:themeFill="background1" w:themeFillShade="F2"/>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Ownership of data, patents, platforms, AI capabilities, physical infrastructure</w:t>
            </w:r>
          </w:p>
        </w:tc>
        <w:tc>
          <w:tcPr>
            <w:tcW w:w="0" w:type="auto"/>
            <w:shd w:val="clear" w:color="auto" w:fill="F2F2F2" w:themeFill="background1" w:themeFillShade="F2"/>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Meta’s data and AI ecosystems; Huawei’s telecom technologies and patents; SAP’s enterprise software and data systems</w:t>
            </w:r>
          </w:p>
        </w:tc>
        <w:tc>
          <w:tcPr>
            <w:tcW w:w="0" w:type="auto"/>
            <w:shd w:val="clear" w:color="auto" w:fill="F2F2F2" w:themeFill="background1" w:themeFillShade="F2"/>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Corporate annual reports; R&amp;D disclosures; patent databases; financial filings</w:t>
            </w:r>
          </w:p>
        </w:tc>
      </w:tr>
      <w:tr w:rsidR="00926B5D" w:rsidRPr="0044370F" w:rsidTr="0093533E">
        <w:tc>
          <w:tcPr>
            <w:cnfStyle w:val="001000000000" w:firstRow="0" w:lastRow="0" w:firstColumn="1" w:lastColumn="0" w:oddVBand="0" w:evenVBand="0" w:oddHBand="0" w:evenHBand="0" w:firstRowFirstColumn="0" w:firstRowLastColumn="0" w:lastRowFirstColumn="0" w:lastRowLastColumn="0"/>
            <w:tcW w:w="1280" w:type="dxa"/>
            <w:shd w:val="clear" w:color="auto" w:fill="BFBFBF" w:themeFill="background1" w:themeFillShade="BF"/>
            <w:hideMark/>
          </w:tcPr>
          <w:p w:rsidR="00926B5D" w:rsidRPr="0044370F" w:rsidRDefault="00926B5D" w:rsidP="009E2790">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Structural Embeddedness</w:t>
            </w:r>
          </w:p>
        </w:tc>
        <w:tc>
          <w:tcPr>
            <w:tcW w:w="0" w:type="auto"/>
            <w:shd w:val="clear" w:color="auto" w:fill="D9D9D9" w:themeFill="background1" w:themeFillShade="D9"/>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Degree of long-term integration into state, economic, and institutional systems</w:t>
            </w:r>
          </w:p>
        </w:tc>
        <w:tc>
          <w:tcPr>
            <w:tcW w:w="0" w:type="auto"/>
            <w:shd w:val="clear" w:color="auto" w:fill="D9D9D9" w:themeFill="background1" w:themeFillShade="D9"/>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Dependency relations; lock-in effects; integration into public administration or national infrastructure</w:t>
            </w:r>
          </w:p>
        </w:tc>
        <w:tc>
          <w:tcPr>
            <w:tcW w:w="0" w:type="auto"/>
            <w:shd w:val="clear" w:color="auto" w:fill="D9D9D9" w:themeFill="background1" w:themeFillShade="D9"/>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SAP’s embedding in government ERP systems; Huawei’s integration into national telecom networks; Meta’s role in electoral and communication infrastructures</w:t>
            </w:r>
          </w:p>
        </w:tc>
        <w:tc>
          <w:tcPr>
            <w:tcW w:w="0" w:type="auto"/>
            <w:shd w:val="clear" w:color="auto" w:fill="D9D9D9" w:themeFill="background1" w:themeFillShade="D9"/>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Government contracts; regulatory documents; policy reports; investigative journalism</w:t>
            </w:r>
          </w:p>
        </w:tc>
      </w:tr>
      <w:tr w:rsidR="00926B5D" w:rsidRPr="0044370F" w:rsidTr="00935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0" w:type="dxa"/>
            <w:shd w:val="clear" w:color="auto" w:fill="BFBFBF" w:themeFill="background1" w:themeFillShade="BF"/>
            <w:hideMark/>
          </w:tcPr>
          <w:p w:rsidR="00926B5D" w:rsidRPr="0044370F" w:rsidRDefault="00926B5D" w:rsidP="009E2790">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Normative Legitimacy</w:t>
            </w:r>
          </w:p>
        </w:tc>
        <w:tc>
          <w:tcPr>
            <w:tcW w:w="0" w:type="auto"/>
            <w:shd w:val="clear" w:color="auto" w:fill="A6A6A6" w:themeFill="background1" w:themeFillShade="A6"/>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Processes through which corporate authority is justified, accepted, or contested</w:t>
            </w:r>
          </w:p>
        </w:tc>
        <w:tc>
          <w:tcPr>
            <w:tcW w:w="0" w:type="auto"/>
            <w:shd w:val="clear" w:color="auto" w:fill="A6A6A6" w:themeFill="background1" w:themeFillShade="A6"/>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Public narratives; governance mechanisms; regulatory acceptance; legitimacy crises</w:t>
            </w:r>
          </w:p>
        </w:tc>
        <w:tc>
          <w:tcPr>
            <w:tcW w:w="0" w:type="auto"/>
            <w:shd w:val="clear" w:color="auto" w:fill="A6A6A6" w:themeFill="background1" w:themeFillShade="A6"/>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Meta’s Oversight Board and content moderation controversies; SAP’s compliance-oriented trust; Huawei’s legitimacy disputes linked to security concerns</w:t>
            </w:r>
          </w:p>
        </w:tc>
        <w:tc>
          <w:tcPr>
            <w:tcW w:w="0" w:type="auto"/>
            <w:shd w:val="clear" w:color="auto" w:fill="A6A6A6" w:themeFill="background1" w:themeFillShade="A6"/>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Corporate policy statements; regulatory decisions; media analysis; NGO reports</w:t>
            </w:r>
          </w:p>
        </w:tc>
      </w:tr>
      <w:tr w:rsidR="00926B5D" w:rsidRPr="0044370F" w:rsidTr="0093533E">
        <w:tc>
          <w:tcPr>
            <w:cnfStyle w:val="001000000000" w:firstRow="0" w:lastRow="0" w:firstColumn="1" w:lastColumn="0" w:oddVBand="0" w:evenVBand="0" w:oddHBand="0" w:evenHBand="0" w:firstRowFirstColumn="0" w:firstRowLastColumn="0" w:lastRowFirstColumn="0" w:lastRowLastColumn="0"/>
            <w:tcW w:w="1280" w:type="dxa"/>
            <w:shd w:val="clear" w:color="auto" w:fill="BFBFBF" w:themeFill="background1" w:themeFillShade="BF"/>
            <w:hideMark/>
          </w:tcPr>
          <w:p w:rsidR="00926B5D" w:rsidRPr="0044370F" w:rsidRDefault="00926B5D" w:rsidP="009E2790">
            <w:pPr>
              <w:rPr>
                <w:rFonts w:ascii="Times New Roman" w:eastAsia="Times New Roman" w:hAnsi="Times New Roman" w:cs="Times New Roman"/>
                <w:color w:val="auto"/>
                <w:sz w:val="20"/>
                <w:szCs w:val="20"/>
                <w:lang w:val="en-US"/>
              </w:rPr>
            </w:pPr>
            <w:r w:rsidRPr="0044370F">
              <w:rPr>
                <w:rFonts w:ascii="Times New Roman" w:eastAsia="Times New Roman" w:hAnsi="Times New Roman" w:cs="Times New Roman"/>
                <w:color w:val="auto"/>
                <w:sz w:val="20"/>
                <w:szCs w:val="20"/>
                <w:lang w:val="en-US"/>
              </w:rPr>
              <w:t>Infrastructural Power</w:t>
            </w:r>
          </w:p>
        </w:tc>
        <w:tc>
          <w:tcPr>
            <w:tcW w:w="0" w:type="auto"/>
            <w:shd w:val="clear" w:color="auto" w:fill="808080" w:themeFill="background1" w:themeFillShade="80"/>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Control over systems that structure social, economic, and political activity</w:t>
            </w:r>
          </w:p>
        </w:tc>
        <w:tc>
          <w:tcPr>
            <w:tcW w:w="0" w:type="auto"/>
            <w:shd w:val="clear" w:color="auto" w:fill="808080" w:themeFill="background1" w:themeFillShade="80"/>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Ownership or operation of platforms, networks, standards, or protocols</w:t>
            </w:r>
          </w:p>
        </w:tc>
        <w:tc>
          <w:tcPr>
            <w:tcW w:w="0" w:type="auto"/>
            <w:shd w:val="clear" w:color="auto" w:fill="808080" w:themeFill="background1" w:themeFillShade="80"/>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Meta’s platforms as communication infrastructure; Huawei’s 5G networks and smart city systems; SAP’s software as administrative infrastructure</w:t>
            </w:r>
          </w:p>
        </w:tc>
        <w:tc>
          <w:tcPr>
            <w:tcW w:w="0" w:type="auto"/>
            <w:shd w:val="clear" w:color="auto" w:fill="808080" w:themeFill="background1" w:themeFillShade="80"/>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en-US"/>
              </w:rPr>
            </w:pPr>
            <w:r w:rsidRPr="0044370F">
              <w:rPr>
                <w:rFonts w:ascii="Times New Roman" w:eastAsia="Times New Roman" w:hAnsi="Times New Roman" w:cs="Times New Roman"/>
                <w:sz w:val="20"/>
                <w:szCs w:val="20"/>
                <w:lang w:val="en-US"/>
              </w:rPr>
              <w:t>Technical documentation; standards bodies (ITU, ISO); infrastructure investment data</w:t>
            </w:r>
          </w:p>
        </w:tc>
      </w:tr>
    </w:tbl>
    <w:p w:rsidR="00926B5D" w:rsidRPr="0044370F" w:rsidRDefault="00926B5D" w:rsidP="00926B5D">
      <w:pPr>
        <w:rPr>
          <w:rFonts w:ascii="Times New Roman" w:eastAsia="Times New Roman" w:hAnsi="Times New Roman" w:cs="Times New Roman"/>
          <w:b/>
          <w:bCs/>
          <w:sz w:val="28"/>
          <w:szCs w:val="28"/>
        </w:rPr>
      </w:pP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table clarifies how each analytical dimension was operationalized across cases, ensuring methodological consistency while allowing for variation in how quasi-sovereign authority manifests in different organizational and geopolitical contexts.</w:t>
      </w:r>
    </w:p>
    <w:p w:rsidR="00D806B6" w:rsidRPr="0044370F" w:rsidRDefault="00D806B6" w:rsidP="00D806B6">
      <w:pPr>
        <w:pStyle w:val="3"/>
      </w:pPr>
    </w:p>
    <w:p w:rsidR="00D806B6" w:rsidRPr="0044370F" w:rsidRDefault="00D806B6" w:rsidP="00D806B6">
      <w:pPr>
        <w:pStyle w:val="3"/>
      </w:pPr>
    </w:p>
    <w:p w:rsidR="00D806B6" w:rsidRPr="0044370F" w:rsidRDefault="00D806B6" w:rsidP="00D806B6">
      <w:pPr>
        <w:pStyle w:val="3"/>
      </w:pPr>
    </w:p>
    <w:p w:rsidR="00D806B6" w:rsidRPr="0044370F" w:rsidRDefault="00D806B6" w:rsidP="00D806B6">
      <w:pPr>
        <w:pStyle w:val="3"/>
      </w:pPr>
    </w:p>
    <w:p w:rsidR="00D806B6" w:rsidRPr="0044370F" w:rsidRDefault="00D806B6" w:rsidP="00D806B6">
      <w:pPr>
        <w:pStyle w:val="3"/>
      </w:pPr>
    </w:p>
    <w:p w:rsidR="00D806B6" w:rsidRPr="0044370F" w:rsidRDefault="00D806B6" w:rsidP="00D806B6">
      <w:pPr>
        <w:pStyle w:val="3"/>
      </w:pPr>
      <w:bookmarkStart w:id="191" w:name="_Toc222652855"/>
      <w:r w:rsidRPr="0044370F">
        <w:lastRenderedPageBreak/>
        <w:t>Figure 4: Venn Diagram of Corporate Quasi-Sovereignty</w:t>
      </w:r>
      <w:bookmarkEnd w:id="191"/>
      <w:r w:rsidRPr="0044370F">
        <w:t xml:space="preserve"> </w:t>
      </w:r>
    </w:p>
    <w:p w:rsidR="00926B5D" w:rsidRPr="0044370F" w:rsidRDefault="00926B5D" w:rsidP="00926B5D">
      <w:pPr>
        <w:rPr>
          <w:rFonts w:ascii="Times New Roman" w:eastAsia="Times New Roman" w:hAnsi="Times New Roman" w:cs="Times New Roman"/>
          <w:b/>
          <w:bCs/>
          <w:sz w:val="28"/>
          <w:szCs w:val="28"/>
        </w:rPr>
      </w:pPr>
      <w:r w:rsidRPr="0044370F">
        <w:rPr>
          <w:rFonts w:ascii="Times New Roman" w:eastAsia="Times New Roman" w:hAnsi="Times New Roman" w:cs="Times New Roman"/>
          <w:b/>
          <w:bCs/>
          <w:noProof/>
          <w:sz w:val="28"/>
          <w:szCs w:val="28"/>
        </w:rPr>
        <w:drawing>
          <wp:inline distT="0" distB="0" distL="0" distR="0" wp14:anchorId="47A4BA3A" wp14:editId="15891605">
            <wp:extent cx="5274310" cy="3469640"/>
            <wp:effectExtent l="0" t="0" r="254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X Venn Diagram of Corporate Quasi-Sovereignty (8).png"/>
                    <pic:cNvPicPr/>
                  </pic:nvPicPr>
                  <pic:blipFill>
                    <a:blip r:embed="rId15">
                      <a:extLst>
                        <a:ext uri="{28A0092B-C50C-407E-A947-70E740481C1C}">
                          <a14:useLocalDpi xmlns:a14="http://schemas.microsoft.com/office/drawing/2010/main" val="0"/>
                        </a:ext>
                      </a:extLst>
                    </a:blip>
                    <a:stretch>
                      <a:fillRect/>
                    </a:stretch>
                  </pic:blipFill>
                  <pic:spPr>
                    <a:xfrm>
                      <a:off x="0" y="0"/>
                      <a:ext cx="5274310" cy="3469640"/>
                    </a:xfrm>
                    <a:prstGeom prst="rect">
                      <a:avLst/>
                    </a:prstGeom>
                  </pic:spPr>
                </pic:pic>
              </a:graphicData>
            </a:graphic>
          </wp:inline>
        </w:drawing>
      </w:r>
    </w:p>
    <w:p w:rsidR="00926B5D" w:rsidRPr="0044370F" w:rsidRDefault="00926B5D" w:rsidP="009F0142">
      <w:pPr>
        <w:spacing w:beforeAutospacing="1" w:after="100" w:afterAutospacing="1" w:line="360" w:lineRule="auto"/>
        <w:jc w:val="both"/>
        <w:rPr>
          <w:rFonts w:asciiTheme="majorBidi" w:eastAsia="Times New Roman" w:hAnsiTheme="majorBidi" w:cstheme="majorBidi"/>
          <w:sz w:val="24"/>
          <w:szCs w:val="24"/>
        </w:rPr>
      </w:pPr>
      <w:r w:rsidRPr="0044370F">
        <w:rPr>
          <w:rFonts w:ascii="Times New Roman" w:eastAsia="Times New Roman" w:hAnsi="Times New Roman" w:cs="Times New Roman"/>
          <w:sz w:val="24"/>
          <w:szCs w:val="24"/>
        </w:rPr>
        <w:t xml:space="preserve">This Venn diagram illustrates the analytical logic of the four-dimensional framework developed in this dissertation. </w:t>
      </w:r>
      <w:r w:rsidR="009F0142" w:rsidRPr="0044370F">
        <w:rPr>
          <w:rFonts w:asciiTheme="majorBidi" w:hAnsiTheme="majorBidi" w:cstheme="majorBidi"/>
          <w:sz w:val="24"/>
          <w:szCs w:val="24"/>
        </w:rPr>
        <w:t>Each circle represents one dimension of corporate quasi-sovereignty: strategic resource control, structural embeddedness, normative legitimacy, and infrastructural power</w:t>
      </w:r>
      <w:r w:rsidR="00EA7193" w:rsidRPr="0044370F">
        <w:rPr>
          <w:rFonts w:asciiTheme="majorBidi" w:eastAsia="Times New Roman" w:hAnsiTheme="majorBidi" w:cstheme="majorBidi"/>
          <w:sz w:val="24"/>
          <w:szCs w:val="24"/>
        </w:rPr>
        <w:t>;</w:t>
      </w:r>
      <w:r w:rsidRPr="0044370F">
        <w:rPr>
          <w:rFonts w:asciiTheme="majorBidi" w:eastAsia="Times New Roman" w:hAnsiTheme="majorBidi" w:cstheme="majorBidi"/>
          <w:sz w:val="24"/>
          <w:szCs w:val="24"/>
        </w:rPr>
        <w:t xml:space="preserve"> none of which alone is sufficient to constitute corporate quasi-sovereignty.</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central intersection represents an ideal-typical configuration in which all four dimensions converge. In practice, however, corporate quasi-sovereignty may emerge through partial or uneven combinations of these dimensions, depending on sectoral position, geopolitical alignment, and institutional context.</w:t>
      </w:r>
    </w:p>
    <w:p w:rsidR="00926B5D" w:rsidRPr="0044370F" w:rsidRDefault="00926B5D" w:rsidP="00F6046C">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diagram</w:t>
      </w:r>
      <w:r w:rsidR="00F6046C" w:rsidRPr="0044370F">
        <w:rPr>
          <w:rFonts w:ascii="Times New Roman" w:eastAsia="Times New Roman" w:hAnsi="Times New Roman" w:cs="Times New Roman"/>
          <w:sz w:val="24"/>
          <w:szCs w:val="24"/>
        </w:rPr>
        <w:t>, therefore,</w:t>
      </w:r>
      <w:r w:rsidRPr="0044370F">
        <w:rPr>
          <w:rFonts w:ascii="Times New Roman" w:eastAsia="Times New Roman" w:hAnsi="Times New Roman" w:cs="Times New Roman"/>
          <w:sz w:val="24"/>
          <w:szCs w:val="24"/>
        </w:rPr>
        <w:t xml:space="preserve"> emphasizes that corporate quasi-sovereignty is not a binary condition but a relational and gradational phenomenon shaped by the interaction and relative intensity of multiple dimensions of power.</w:t>
      </w:r>
    </w:p>
    <w:p w:rsidR="00D806B6" w:rsidRPr="0044370F" w:rsidRDefault="00D806B6" w:rsidP="00F6046C">
      <w:pPr>
        <w:spacing w:before="100" w:beforeAutospacing="1" w:after="100" w:afterAutospacing="1" w:line="360" w:lineRule="auto"/>
        <w:jc w:val="both"/>
        <w:rPr>
          <w:rFonts w:ascii="Times New Roman" w:eastAsia="Times New Roman" w:hAnsi="Times New Roman" w:cs="Times New Roman"/>
          <w:sz w:val="24"/>
          <w:szCs w:val="24"/>
        </w:rPr>
      </w:pPr>
    </w:p>
    <w:p w:rsidR="00D806B6" w:rsidRPr="0044370F" w:rsidRDefault="00D806B6" w:rsidP="00F6046C">
      <w:pPr>
        <w:spacing w:before="100" w:beforeAutospacing="1" w:after="100" w:afterAutospacing="1" w:line="360" w:lineRule="auto"/>
        <w:jc w:val="both"/>
        <w:rPr>
          <w:rFonts w:ascii="Times New Roman" w:eastAsia="Times New Roman" w:hAnsi="Times New Roman" w:cs="Times New Roman"/>
          <w:sz w:val="24"/>
          <w:szCs w:val="24"/>
        </w:rPr>
      </w:pPr>
    </w:p>
    <w:p w:rsidR="00926B5D" w:rsidRPr="0044370F" w:rsidRDefault="00926B5D" w:rsidP="0093533E">
      <w:pPr>
        <w:pStyle w:val="3"/>
      </w:pPr>
      <w:bookmarkStart w:id="192" w:name="_Toc222652856"/>
      <w:r w:rsidRPr="0044370F">
        <w:lastRenderedPageBreak/>
        <w:t>8.1.4</w:t>
      </w:r>
      <w:r w:rsidRPr="0044370F">
        <w:tab/>
        <w:t>Why These Cases Matter</w:t>
      </w:r>
      <w:bookmarkEnd w:id="192"/>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selection of Meta, Huawei, and SAP reflects both maximum variation and analytical relevance. The firms differ in geographic origin (United States, China, Europe), sectoral focus (social media, telecommunications infrastructure, enterprise software), and relationship to state power. Yet all three exhibit the capacity to function as geopolitical actors whose decisions have cross-border consequences.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Meta represents a model of quasi-sovereignty rooted in control over digital public discourse and social interaction. Huawei exemplifies a state-aligned, infrastructure-centric configuration in which corporate power is closely intertwined with national strategy and geopolitical rivalry. SAP illustrates a quieter but no less consequential form of authority exercised through technical standards and institutional embedding.</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Together, these cases demonstrate that corporate quasi-sovereignty is not a monolithic phenomenon but a set of differentiated configurations shaped by political economy, institutional context, and technological domain. This comparative insight is essential for moving beyond anecdotal accounts of corporate power toward a more systematic theory of authority in the digital age.</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While these cases are not statistically representative of the entire technology sector, they were selected for their analytical relevance as extreme and illustrative configurations of corporate quasi-sovereignty.</w:t>
      </w:r>
    </w:p>
    <w:p w:rsidR="00926B5D" w:rsidRPr="0044370F" w:rsidRDefault="00926B5D" w:rsidP="0093533E">
      <w:pPr>
        <w:pStyle w:val="3"/>
      </w:pPr>
      <w:bookmarkStart w:id="193" w:name="_Toc222652857"/>
      <w:r w:rsidRPr="0044370F">
        <w:t>8.1.5</w:t>
      </w:r>
      <w:r w:rsidRPr="0044370F">
        <w:tab/>
        <w:t>From Empirical Patterns to Theoretical Implications</w:t>
      </w:r>
      <w:bookmarkEnd w:id="193"/>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remainder of this chapter builds on this foundation by systematically comparing the three cases across each of the four dimensions (Section 8.2), identifying distinct configurations of </w:t>
      </w:r>
      <w:r w:rsidR="00960581" w:rsidRPr="0044370F">
        <w:rPr>
          <w:rFonts w:ascii="Times New Roman" w:eastAsia="Times New Roman" w:hAnsi="Times New Roman" w:cs="Times New Roman"/>
          <w:sz w:val="24"/>
          <w:szCs w:val="24"/>
        </w:rPr>
        <w:t>corporate quasi-sovereignty</w:t>
      </w:r>
      <w:r w:rsidRPr="0044370F">
        <w:rPr>
          <w:rFonts w:ascii="Times New Roman" w:eastAsia="Times New Roman" w:hAnsi="Times New Roman" w:cs="Times New Roman"/>
          <w:sz w:val="24"/>
          <w:szCs w:val="24"/>
        </w:rPr>
        <w:t xml:space="preserve"> (Section 8.3), and situating these findings within broader debates about global order and governance (Section 8.4). The analysis moves from empirical comparison to theoretical abstraction, generating insights that inform the dissertation’s broader contributions.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By reframing multinational technology corporations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 xml:space="preserve"> operating within a fragmented and networked sovereignty regime, this chapter bridges the empirical analysis of </w:t>
      </w:r>
      <w:r w:rsidRPr="0044370F">
        <w:rPr>
          <w:rFonts w:ascii="Times New Roman" w:eastAsia="Times New Roman" w:hAnsi="Times New Roman" w:cs="Times New Roman"/>
          <w:sz w:val="24"/>
          <w:szCs w:val="24"/>
        </w:rPr>
        <w:lastRenderedPageBreak/>
        <w:t>earlier chapters with the normative and theoretical discussions that follow. It prepares the ground for Chapter 9, which articulates the dissertation’s contributions to theory and practice, and Chapter 10, which reflects on the future trajectories of sovereignty, governance, and corporate power in an increasingly digital world.</w:t>
      </w:r>
    </w:p>
    <w:p w:rsidR="00926B5D" w:rsidRPr="0044370F" w:rsidRDefault="00926B5D" w:rsidP="0093533E">
      <w:pPr>
        <w:pStyle w:val="2"/>
        <w:rPr>
          <w:rFonts w:eastAsia="Times New Roman"/>
        </w:rPr>
      </w:pPr>
      <w:bookmarkStart w:id="194" w:name="_Toc222652858"/>
      <w:r w:rsidRPr="0044370F">
        <w:rPr>
          <w:rFonts w:eastAsia="Times New Roman"/>
        </w:rPr>
        <w:t>8.2</w:t>
      </w:r>
      <w:r w:rsidRPr="0044370F">
        <w:rPr>
          <w:rFonts w:eastAsia="Times New Roman"/>
        </w:rPr>
        <w:tab/>
        <w:t>Convergence and Divergence Across the Four Dimensions of Quasi-Sovereignty</w:t>
      </w:r>
      <w:bookmarkEnd w:id="194"/>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Building on the comparative framework established in Section 8.1, this section systematically examines how Meta, Huawei, and SAP converge and diverge across the four analytical dimensions of corporate quasi-sovereignty: strategic resource control, structural embeddedness, normative legitimacy, and infrastructural power</w:t>
      </w:r>
      <w:r w:rsidRPr="0044370F">
        <w:rPr>
          <w:rStyle w:val="a8"/>
          <w:rFonts w:ascii="Times New Roman" w:eastAsia="Times New Roman" w:hAnsi="Times New Roman" w:cs="Times New Roman"/>
          <w:sz w:val="24"/>
          <w:szCs w:val="24"/>
        </w:rPr>
        <w:footnoteReference w:id="280"/>
      </w:r>
      <w:r w:rsidRPr="0044370F">
        <w:rPr>
          <w:rFonts w:ascii="Times New Roman" w:eastAsia="Times New Roman" w:hAnsi="Times New Roman" w:cs="Times New Roman"/>
          <w:sz w:val="24"/>
          <w:szCs w:val="24"/>
        </w:rPr>
        <w:t>. The aim is not to rank firms in terms of “more” or “less” sovereign power, but to identify patterned similarities and differences in how sovereignty-like authority is assembled, stabilized, and contested across corporate configurations.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analysis reveals two overarching findings. First, there is a clear convergence among the three firms in their ability to accumulate power beyond ordinary market influence. Each has acquired resources, embedded itself structurally, and constructed forms of authority that allow it to shape outcomes across borders. Second, the modes through which this authority is exercised diverge sharply, reflecting differences in sectoral position, geopolitical context, and institutional alignment. These divergences underscore the dissertation's central argument: quasi-sovereignty is not a unitary phenomenon but a configurational one.</w:t>
      </w:r>
    </w:p>
    <w:p w:rsidR="00926B5D" w:rsidRPr="0044370F" w:rsidRDefault="00926B5D" w:rsidP="0093533E">
      <w:pPr>
        <w:pStyle w:val="3"/>
      </w:pPr>
      <w:bookmarkStart w:id="195" w:name="_Toc222652859"/>
      <w:r w:rsidRPr="0044370F">
        <w:t>8.2.1 Strategic Resource Control: Convergent Accumulation, Divergent Assets</w:t>
      </w:r>
      <w:bookmarkEnd w:id="195"/>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Across all three cases, strategic resource control</w:t>
      </w:r>
      <w:r w:rsidRPr="0044370F">
        <w:rPr>
          <w:rStyle w:val="a8"/>
          <w:rFonts w:ascii="Times New Roman" w:eastAsia="Times New Roman" w:hAnsi="Times New Roman" w:cs="Times New Roman"/>
          <w:sz w:val="24"/>
          <w:szCs w:val="24"/>
        </w:rPr>
        <w:footnoteReference w:id="281"/>
      </w:r>
      <w:r w:rsidRPr="0044370F">
        <w:rPr>
          <w:rFonts w:ascii="Times New Roman" w:eastAsia="Times New Roman" w:hAnsi="Times New Roman" w:cs="Times New Roman"/>
          <w:sz w:val="24"/>
          <w:szCs w:val="24"/>
        </w:rPr>
        <w:t xml:space="preserve"> emerges as a foundational dimension of quasi-sovereign authority. Meta, Huawei, and SAP each command assets that are difficult to substitute and that confer leverage over states, markets, and societies. This convergence supports the claim </w:t>
      </w:r>
      <w:r w:rsidRPr="0044370F">
        <w:rPr>
          <w:rFonts w:ascii="Times New Roman" w:eastAsia="Times New Roman" w:hAnsi="Times New Roman" w:cs="Times New Roman"/>
          <w:sz w:val="24"/>
          <w:szCs w:val="24"/>
        </w:rPr>
        <w:lastRenderedPageBreak/>
        <w:t>that control over critical resources is a necessary, though not sufficient, condition for sovereignty-like power</w:t>
      </w:r>
      <w:r w:rsidRPr="0044370F">
        <w:rPr>
          <w:rStyle w:val="a8"/>
          <w:rFonts w:ascii="Times New Roman" w:eastAsia="Times New Roman" w:hAnsi="Times New Roman" w:cs="Times New Roman"/>
          <w:sz w:val="24"/>
          <w:szCs w:val="24"/>
        </w:rPr>
        <w:footnoteReference w:id="282"/>
      </w:r>
      <w:r w:rsidRPr="0044370F">
        <w:rPr>
          <w:rFonts w:ascii="Times New Roman" w:eastAsia="Times New Roman" w:hAnsi="Times New Roman" w:cs="Times New Roman"/>
          <w:sz w:val="24"/>
          <w:szCs w:val="24"/>
        </w:rPr>
        <w:t>.</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nature of these resources, however, diverges significantly. Meta’s strategic resources are primarily informational and relational: user data, social graphs, attention, and algorithmic systems that monetize and govern human interaction. These assets grant Meta influence over public discourse and social coordination at a scale that rivals national populations. Huawei’s resources are technological and material</w:t>
      </w:r>
      <w:r w:rsidRPr="0044370F">
        <w:rPr>
          <w:rStyle w:val="a8"/>
          <w:rFonts w:ascii="Times New Roman" w:eastAsia="Times New Roman" w:hAnsi="Times New Roman" w:cs="Times New Roman"/>
          <w:sz w:val="24"/>
          <w:szCs w:val="24"/>
        </w:rPr>
        <w:footnoteReference w:id="283"/>
      </w:r>
      <w:r w:rsidRPr="0044370F">
        <w:rPr>
          <w:rFonts w:ascii="Times New Roman" w:eastAsia="Times New Roman" w:hAnsi="Times New Roman" w:cs="Times New Roman"/>
          <w:sz w:val="24"/>
          <w:szCs w:val="24"/>
        </w:rPr>
        <w:t>: telecommunications hardware, standard-essential patents, and manufacturing capacity in strategic sectors such as 5G. These assets position Huawei as a gatekeeper of connectivity and national digital infrastructure. SAP’s resources</w:t>
      </w:r>
      <w:r w:rsidRPr="0044370F">
        <w:rPr>
          <w:rStyle w:val="a8"/>
          <w:rFonts w:ascii="Times New Roman" w:eastAsia="Times New Roman" w:hAnsi="Times New Roman" w:cs="Times New Roman"/>
          <w:sz w:val="24"/>
          <w:szCs w:val="24"/>
        </w:rPr>
        <w:footnoteReference w:id="284"/>
      </w:r>
      <w:r w:rsidRPr="0044370F">
        <w:rPr>
          <w:rFonts w:ascii="Times New Roman" w:eastAsia="Times New Roman" w:hAnsi="Times New Roman" w:cs="Times New Roman"/>
          <w:sz w:val="24"/>
          <w:szCs w:val="24"/>
        </w:rPr>
        <w:t xml:space="preserve"> are institutional and procedural: proprietary enterprise software, embedded business logic, and long-term client lock-in through ERP systems that structure organizational decision-making.</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differences matter analytically. Meta’s resource control generates political contestation because its assets intersect directly with rights, speech, and democratic processes. Huawei’s assets provoke geopolitical concern because they raise concerns about national security and strategic autonomy</w:t>
      </w:r>
      <w:r w:rsidRPr="0044370F">
        <w:rPr>
          <w:rStyle w:val="a8"/>
          <w:rFonts w:ascii="Times New Roman" w:eastAsia="Times New Roman" w:hAnsi="Times New Roman" w:cs="Times New Roman"/>
          <w:sz w:val="24"/>
          <w:szCs w:val="24"/>
        </w:rPr>
        <w:footnoteReference w:id="285"/>
      </w:r>
      <w:r w:rsidRPr="0044370F">
        <w:rPr>
          <w:rFonts w:ascii="Times New Roman" w:eastAsia="Times New Roman" w:hAnsi="Times New Roman" w:cs="Times New Roman"/>
          <w:sz w:val="24"/>
          <w:szCs w:val="24"/>
        </w:rPr>
        <w:t>. SAP’s resources</w:t>
      </w:r>
      <w:r w:rsidRPr="0044370F">
        <w:rPr>
          <w:rStyle w:val="a8"/>
          <w:rFonts w:ascii="Times New Roman" w:eastAsia="Times New Roman" w:hAnsi="Times New Roman" w:cs="Times New Roman"/>
          <w:sz w:val="24"/>
          <w:szCs w:val="24"/>
        </w:rPr>
        <w:footnoteReference w:id="286"/>
      </w:r>
      <w:r w:rsidRPr="0044370F">
        <w:rPr>
          <w:rFonts w:ascii="Times New Roman" w:eastAsia="Times New Roman" w:hAnsi="Times New Roman" w:cs="Times New Roman"/>
          <w:sz w:val="24"/>
          <w:szCs w:val="24"/>
        </w:rPr>
        <w:t>, by contrast, are rarely politicized publicly, yet they exert quiet but durable influence over economic governance</w:t>
      </w:r>
      <w:r w:rsidRPr="0044370F">
        <w:rPr>
          <w:rStyle w:val="a8"/>
          <w:rFonts w:ascii="Times New Roman" w:eastAsia="Times New Roman" w:hAnsi="Times New Roman" w:cs="Times New Roman"/>
          <w:sz w:val="24"/>
          <w:szCs w:val="24"/>
        </w:rPr>
        <w:footnoteReference w:id="287"/>
      </w:r>
      <w:r w:rsidRPr="0044370F">
        <w:rPr>
          <w:rFonts w:ascii="Times New Roman" w:eastAsia="Times New Roman" w:hAnsi="Times New Roman" w:cs="Times New Roman"/>
          <w:sz w:val="24"/>
          <w:szCs w:val="24"/>
        </w:rPr>
        <w:t xml:space="preserve">. The divergence suggests that the political </w:t>
      </w:r>
      <w:r w:rsidRPr="0044370F">
        <w:rPr>
          <w:rFonts w:ascii="Times New Roman" w:eastAsia="Times New Roman" w:hAnsi="Times New Roman" w:cs="Times New Roman"/>
          <w:sz w:val="24"/>
          <w:szCs w:val="24"/>
        </w:rPr>
        <w:lastRenderedPageBreak/>
        <w:t>salience of corporate quasi-sovereignty depends not only on the magnitude of resources controlled but also on their functional proximity to core state prerogatives</w:t>
      </w:r>
      <w:r w:rsidRPr="0044370F">
        <w:rPr>
          <w:rStyle w:val="a8"/>
          <w:rFonts w:ascii="Times New Roman" w:eastAsia="Times New Roman" w:hAnsi="Times New Roman" w:cs="Times New Roman"/>
          <w:sz w:val="24"/>
          <w:szCs w:val="24"/>
        </w:rPr>
        <w:footnoteReference w:id="288"/>
      </w:r>
      <w:r w:rsidRPr="0044370F">
        <w:rPr>
          <w:rFonts w:ascii="Times New Roman" w:eastAsia="Times New Roman" w:hAnsi="Times New Roman" w:cs="Times New Roman"/>
          <w:sz w:val="24"/>
          <w:szCs w:val="24"/>
        </w:rPr>
        <w:t>.</w:t>
      </w:r>
    </w:p>
    <w:p w:rsidR="00926B5D" w:rsidRPr="0044370F" w:rsidRDefault="00926B5D" w:rsidP="0093533E">
      <w:pPr>
        <w:pStyle w:val="3"/>
      </w:pPr>
      <w:bookmarkStart w:id="196" w:name="_Toc222652860"/>
      <w:r w:rsidRPr="0044370F">
        <w:t>8.2.2 Structural Embeddedness: Shared Indispensability, Distinct Pathways</w:t>
      </w:r>
      <w:bookmarkEnd w:id="196"/>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All three firms exhibit high levels of structural embeddedness, meaning that they are deeply integrated into the economic, institutional, or social infrastructures of multiple states</w:t>
      </w:r>
      <w:r w:rsidRPr="0044370F">
        <w:rPr>
          <w:rStyle w:val="a8"/>
          <w:rFonts w:ascii="Times New Roman" w:eastAsia="Times New Roman" w:hAnsi="Times New Roman" w:cs="Times New Roman"/>
          <w:sz w:val="24"/>
          <w:szCs w:val="24"/>
        </w:rPr>
        <w:footnoteReference w:id="289"/>
      </w:r>
      <w:r w:rsidRPr="0044370F">
        <w:rPr>
          <w:rFonts w:ascii="Times New Roman" w:eastAsia="Times New Roman" w:hAnsi="Times New Roman" w:cs="Times New Roman"/>
          <w:sz w:val="24"/>
          <w:szCs w:val="24"/>
        </w:rPr>
        <w:t>. This embeddedness generates mutual dependence: removing or replacing these firms would impose high costs on states and organizations, thereby constraining regulatory or political action</w:t>
      </w:r>
      <w:r w:rsidRPr="0044370F">
        <w:rPr>
          <w:rStyle w:val="a8"/>
          <w:rFonts w:ascii="Times New Roman" w:eastAsia="Times New Roman" w:hAnsi="Times New Roman" w:cs="Times New Roman"/>
          <w:sz w:val="24"/>
          <w:szCs w:val="24"/>
        </w:rPr>
        <w:footnoteReference w:id="290"/>
      </w:r>
      <w:r w:rsidRPr="0044370F">
        <w:rPr>
          <w:rFonts w:ascii="Times New Roman" w:eastAsia="Times New Roman" w:hAnsi="Times New Roman" w:cs="Times New Roman"/>
          <w:sz w:val="24"/>
          <w:szCs w:val="24"/>
        </w:rPr>
        <w:t>.</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Despite this convergence, the pathways to embeddedness differ markedly. Meta’s embeddedness is societal and market-driven</w:t>
      </w:r>
      <w:r w:rsidRPr="0044370F">
        <w:rPr>
          <w:rStyle w:val="a8"/>
          <w:rFonts w:ascii="Times New Roman" w:eastAsia="Times New Roman" w:hAnsi="Times New Roman" w:cs="Times New Roman"/>
          <w:sz w:val="24"/>
          <w:szCs w:val="24"/>
        </w:rPr>
        <w:footnoteReference w:id="291"/>
      </w:r>
      <w:r w:rsidRPr="0044370F">
        <w:rPr>
          <w:rFonts w:ascii="Times New Roman" w:eastAsia="Times New Roman" w:hAnsi="Times New Roman" w:cs="Times New Roman"/>
          <w:sz w:val="24"/>
          <w:szCs w:val="24"/>
        </w:rPr>
        <w:t>. Its platforms have become integral to everyday communication, media ecosystems, and digital advertising markets, often outpacing regulatory frameworks. This bottom-up integration grants Meta leverage but also exposes it to abrupt state intervention, including bans, fines, or content regulation.</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Huawei’s embeddedness is infrastructural and often state-mediated</w:t>
      </w:r>
      <w:r w:rsidRPr="0044370F">
        <w:rPr>
          <w:rStyle w:val="a8"/>
          <w:rFonts w:ascii="Times New Roman" w:eastAsia="Times New Roman" w:hAnsi="Times New Roman" w:cs="Times New Roman"/>
          <w:sz w:val="24"/>
          <w:szCs w:val="24"/>
        </w:rPr>
        <w:footnoteReference w:id="292"/>
      </w:r>
      <w:r w:rsidRPr="0044370F">
        <w:rPr>
          <w:rFonts w:ascii="Times New Roman" w:eastAsia="Times New Roman" w:hAnsi="Times New Roman" w:cs="Times New Roman"/>
          <w:sz w:val="24"/>
          <w:szCs w:val="24"/>
        </w:rPr>
        <w:t>. Through large-scale contracts to build national telecom networks and innovative infrastructure, Huawei embeds itself via top-down agreements that tie corporate presence to government strategy. This form of embeddedness is highly resilient in some contexts (particularly in parts of the Global South) and highly contested in others (notably in the United States and allied democracies).</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SAP’s embeddedness is institutional and procedural. By aligning closely with legal, accounting, and administrative standards, SAP integrates itself into the routine functioning of enterprises and public agencies. This compliance-oriented embeddedness minimizes overt political conflict while maximizing durability. The divergence here highlights that structural embeddedness can be </w:t>
      </w:r>
      <w:r w:rsidRPr="0044370F">
        <w:rPr>
          <w:rFonts w:ascii="Times New Roman" w:eastAsia="Times New Roman" w:hAnsi="Times New Roman" w:cs="Times New Roman"/>
          <w:sz w:val="24"/>
          <w:szCs w:val="24"/>
        </w:rPr>
        <w:lastRenderedPageBreak/>
        <w:t>achieved through social adoption, geopolitical alignment, or institutional integration—each producing different constraints and opportunities for corporate authority.</w:t>
      </w:r>
    </w:p>
    <w:p w:rsidR="00926B5D" w:rsidRPr="0044370F" w:rsidRDefault="00926B5D" w:rsidP="0093533E">
      <w:pPr>
        <w:pStyle w:val="3"/>
      </w:pPr>
      <w:bookmarkStart w:id="197" w:name="_Toc222652861"/>
      <w:r w:rsidRPr="0044370F">
        <w:t>8.2.3 Normative Legitimacy: Universal Aspiration, Fragmented Reception</w:t>
      </w:r>
      <w:bookmarkEnd w:id="197"/>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Normative legitimacy constitutes the most uneven dimension across the cases. All three firms engage in legitimacy-seeking behavior, recognizing that authority without acceptance is fragile. Yet the sources, strategies, and outcomes of legitimacy-building diverge sharply.</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Meta actively seeks legitimacy through public narratives of connectivity</w:t>
      </w:r>
      <w:r w:rsidRPr="0044370F">
        <w:rPr>
          <w:rStyle w:val="a8"/>
          <w:rFonts w:ascii="Times New Roman" w:eastAsia="Times New Roman" w:hAnsi="Times New Roman" w:cs="Times New Roman"/>
          <w:sz w:val="24"/>
          <w:szCs w:val="24"/>
        </w:rPr>
        <w:footnoteReference w:id="293"/>
      </w:r>
      <w:r w:rsidRPr="0044370F">
        <w:rPr>
          <w:rFonts w:ascii="Times New Roman" w:eastAsia="Times New Roman" w:hAnsi="Times New Roman" w:cs="Times New Roman"/>
          <w:sz w:val="24"/>
          <w:szCs w:val="24"/>
        </w:rPr>
        <w:t>, free expression, and community governance. Its creation of the Oversight Board</w:t>
      </w:r>
      <w:r w:rsidRPr="0044370F">
        <w:rPr>
          <w:rStyle w:val="a8"/>
          <w:rFonts w:ascii="Times New Roman" w:eastAsia="Times New Roman" w:hAnsi="Times New Roman" w:cs="Times New Roman"/>
          <w:sz w:val="24"/>
          <w:szCs w:val="24"/>
        </w:rPr>
        <w:footnoteReference w:id="294"/>
      </w:r>
      <w:r w:rsidRPr="0044370F">
        <w:rPr>
          <w:rFonts w:ascii="Times New Roman" w:eastAsia="Times New Roman" w:hAnsi="Times New Roman" w:cs="Times New Roman"/>
          <w:sz w:val="24"/>
          <w:szCs w:val="24"/>
        </w:rPr>
        <w:t xml:space="preserve"> exemplifies an attempt to institutionalize normative authority by mimicking judicial</w:t>
      </w:r>
      <w:r w:rsidRPr="0044370F">
        <w:rPr>
          <w:rStyle w:val="a8"/>
          <w:rFonts w:ascii="Times New Roman" w:eastAsia="Times New Roman" w:hAnsi="Times New Roman" w:cs="Times New Roman"/>
          <w:sz w:val="24"/>
          <w:szCs w:val="24"/>
        </w:rPr>
        <w:footnoteReference w:id="295"/>
      </w:r>
      <w:r w:rsidRPr="0044370F">
        <w:rPr>
          <w:rFonts w:ascii="Times New Roman" w:eastAsia="Times New Roman" w:hAnsi="Times New Roman" w:cs="Times New Roman"/>
          <w:sz w:val="24"/>
          <w:szCs w:val="24"/>
        </w:rPr>
        <w:t xml:space="preserve"> review and anchoring decisions in human rights discourse. Nevertheless, Meta’s legitimacy remains persistently contested in liberal democracies, where it is judged against quasi-governmental standards of accountability</w:t>
      </w:r>
      <w:r w:rsidRPr="0044370F">
        <w:rPr>
          <w:rStyle w:val="a8"/>
          <w:rFonts w:ascii="Times New Roman" w:eastAsia="Times New Roman" w:hAnsi="Times New Roman" w:cs="Times New Roman"/>
          <w:sz w:val="24"/>
          <w:szCs w:val="24"/>
        </w:rPr>
        <w:footnoteReference w:id="296"/>
      </w:r>
      <w:r w:rsidRPr="0044370F">
        <w:rPr>
          <w:rFonts w:ascii="Times New Roman" w:eastAsia="Times New Roman" w:hAnsi="Times New Roman" w:cs="Times New Roman"/>
          <w:sz w:val="24"/>
          <w:szCs w:val="24"/>
        </w:rPr>
        <w:t>.</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Huawei’s legitimacy is deeply context-dependent. In many developing countries, it derives legitimacy from performance, affordable infrastructure, rapid deployment, and capacity-building</w:t>
      </w:r>
      <w:r w:rsidRPr="0044370F">
        <w:rPr>
          <w:rStyle w:val="a8"/>
          <w:rFonts w:ascii="Times New Roman" w:eastAsia="Times New Roman" w:hAnsi="Times New Roman" w:cs="Times New Roman"/>
          <w:sz w:val="24"/>
          <w:szCs w:val="24"/>
        </w:rPr>
        <w:footnoteReference w:id="297"/>
      </w:r>
      <w:r w:rsidRPr="0044370F">
        <w:rPr>
          <w:rFonts w:ascii="Times New Roman" w:eastAsia="Times New Roman" w:hAnsi="Times New Roman" w:cs="Times New Roman"/>
          <w:sz w:val="24"/>
          <w:szCs w:val="24"/>
        </w:rPr>
        <w:t>. In Western democracies</w:t>
      </w:r>
      <w:r w:rsidRPr="0044370F">
        <w:rPr>
          <w:rStyle w:val="a8"/>
          <w:rFonts w:ascii="Times New Roman" w:eastAsia="Times New Roman" w:hAnsi="Times New Roman" w:cs="Times New Roman"/>
          <w:sz w:val="24"/>
          <w:szCs w:val="24"/>
        </w:rPr>
        <w:footnoteReference w:id="298"/>
      </w:r>
      <w:r w:rsidRPr="0044370F">
        <w:rPr>
          <w:rFonts w:ascii="Times New Roman" w:eastAsia="Times New Roman" w:hAnsi="Times New Roman" w:cs="Times New Roman"/>
          <w:sz w:val="24"/>
          <w:szCs w:val="24"/>
        </w:rPr>
        <w:t>, however, Huawei faces a systemic legitimacy deficit rooted in security concerns and geopolitical distrust</w:t>
      </w:r>
      <w:r w:rsidRPr="0044370F">
        <w:rPr>
          <w:rStyle w:val="a8"/>
          <w:rFonts w:ascii="Times New Roman" w:eastAsia="Times New Roman" w:hAnsi="Times New Roman" w:cs="Times New Roman"/>
          <w:sz w:val="24"/>
          <w:szCs w:val="24"/>
        </w:rPr>
        <w:footnoteReference w:id="299"/>
      </w:r>
      <w:r w:rsidRPr="0044370F">
        <w:rPr>
          <w:rFonts w:ascii="Times New Roman" w:eastAsia="Times New Roman" w:hAnsi="Times New Roman" w:cs="Times New Roman"/>
          <w:sz w:val="24"/>
          <w:szCs w:val="24"/>
        </w:rPr>
        <w:t>. Huawei’s promotion of “cyber sovereignty” reflects an alternative normative framework that resonates unevenly across regions</w:t>
      </w:r>
      <w:r w:rsidRPr="0044370F">
        <w:rPr>
          <w:rStyle w:val="a8"/>
          <w:rFonts w:ascii="Times New Roman" w:eastAsia="Times New Roman" w:hAnsi="Times New Roman" w:cs="Times New Roman"/>
          <w:sz w:val="24"/>
          <w:szCs w:val="24"/>
        </w:rPr>
        <w:footnoteReference w:id="300"/>
      </w:r>
      <w:r w:rsidRPr="0044370F">
        <w:rPr>
          <w:rFonts w:ascii="Times New Roman" w:eastAsia="Times New Roman" w:hAnsi="Times New Roman" w:cs="Times New Roman"/>
          <w:sz w:val="24"/>
          <w:szCs w:val="24"/>
        </w:rPr>
        <w:t>.</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lastRenderedPageBreak/>
        <w:t>SAP occupies a distinct</w:t>
      </w:r>
      <w:r w:rsidRPr="0044370F">
        <w:rPr>
          <w:rStyle w:val="a8"/>
          <w:rFonts w:ascii="Times New Roman" w:eastAsia="Times New Roman" w:hAnsi="Times New Roman" w:cs="Times New Roman"/>
          <w:sz w:val="24"/>
          <w:szCs w:val="24"/>
        </w:rPr>
        <w:footnoteReference w:id="301"/>
      </w:r>
      <w:r w:rsidRPr="0044370F">
        <w:rPr>
          <w:rFonts w:ascii="Times New Roman" w:eastAsia="Times New Roman" w:hAnsi="Times New Roman" w:cs="Times New Roman"/>
          <w:sz w:val="24"/>
          <w:szCs w:val="24"/>
        </w:rPr>
        <w:t xml:space="preserve"> legitimacy position. Its authority</w:t>
      </w:r>
      <w:r w:rsidRPr="0044370F">
        <w:rPr>
          <w:rStyle w:val="a8"/>
          <w:rFonts w:ascii="Times New Roman" w:eastAsia="Times New Roman" w:hAnsi="Times New Roman" w:cs="Times New Roman"/>
          <w:sz w:val="24"/>
          <w:szCs w:val="24"/>
        </w:rPr>
        <w:footnoteReference w:id="302"/>
      </w:r>
      <w:r w:rsidRPr="0044370F">
        <w:rPr>
          <w:rFonts w:ascii="Times New Roman" w:eastAsia="Times New Roman" w:hAnsi="Times New Roman" w:cs="Times New Roman"/>
          <w:sz w:val="24"/>
          <w:szCs w:val="24"/>
        </w:rPr>
        <w:t xml:space="preserve"> is grounded less in public discourse and more in professional trust, regulatory compliance, and institutional reliability. SAP’s low public visibility</w:t>
      </w:r>
      <w:r w:rsidRPr="0044370F">
        <w:rPr>
          <w:rStyle w:val="a8"/>
          <w:rFonts w:ascii="Times New Roman" w:eastAsia="Times New Roman" w:hAnsi="Times New Roman" w:cs="Times New Roman"/>
          <w:sz w:val="24"/>
          <w:szCs w:val="24"/>
        </w:rPr>
        <w:footnoteReference w:id="303"/>
      </w:r>
      <w:r w:rsidRPr="0044370F">
        <w:rPr>
          <w:rFonts w:ascii="Times New Roman" w:eastAsia="Times New Roman" w:hAnsi="Times New Roman" w:cs="Times New Roman"/>
          <w:sz w:val="24"/>
          <w:szCs w:val="24"/>
        </w:rPr>
        <w:t xml:space="preserve"> shields it from mass legitimacy crises, but its legitimacy is nonetheless contingent on adherence to legal and ethical standards</w:t>
      </w:r>
      <w:r w:rsidRPr="0044370F">
        <w:rPr>
          <w:rStyle w:val="a8"/>
          <w:rFonts w:ascii="Times New Roman" w:eastAsia="Times New Roman" w:hAnsi="Times New Roman" w:cs="Times New Roman"/>
          <w:sz w:val="24"/>
          <w:szCs w:val="24"/>
        </w:rPr>
        <w:footnoteReference w:id="304"/>
      </w:r>
      <w:r w:rsidRPr="0044370F">
        <w:rPr>
          <w:rFonts w:ascii="Times New Roman" w:eastAsia="Times New Roman" w:hAnsi="Times New Roman" w:cs="Times New Roman"/>
          <w:sz w:val="24"/>
          <w:szCs w:val="24"/>
        </w:rPr>
        <w:t>. The divergence suggests that normative legitimacy in corporate quasi-sovereignty is neither universal nor stable</w:t>
      </w:r>
      <w:r w:rsidRPr="0044370F">
        <w:rPr>
          <w:rStyle w:val="a8"/>
          <w:rFonts w:ascii="Times New Roman" w:eastAsia="Times New Roman" w:hAnsi="Times New Roman" w:cs="Times New Roman"/>
          <w:sz w:val="24"/>
          <w:szCs w:val="24"/>
        </w:rPr>
        <w:footnoteReference w:id="305"/>
      </w:r>
      <w:r w:rsidRPr="0044370F">
        <w:rPr>
          <w:rFonts w:ascii="Times New Roman" w:eastAsia="Times New Roman" w:hAnsi="Times New Roman" w:cs="Times New Roman"/>
          <w:sz w:val="24"/>
          <w:szCs w:val="24"/>
        </w:rPr>
        <w:t>; political culture, stakeholder expectations, and sectoral roles mediate it</w:t>
      </w:r>
      <w:r w:rsidRPr="0044370F">
        <w:rPr>
          <w:rStyle w:val="a8"/>
          <w:rFonts w:ascii="Times New Roman" w:eastAsia="Times New Roman" w:hAnsi="Times New Roman" w:cs="Times New Roman"/>
          <w:sz w:val="24"/>
          <w:szCs w:val="24"/>
        </w:rPr>
        <w:footnoteReference w:id="306"/>
      </w:r>
      <w:r w:rsidRPr="0044370F">
        <w:rPr>
          <w:rFonts w:ascii="Times New Roman" w:eastAsia="Times New Roman" w:hAnsi="Times New Roman" w:cs="Times New Roman"/>
          <w:sz w:val="24"/>
          <w:szCs w:val="24"/>
        </w:rPr>
        <w:t>.</w:t>
      </w:r>
    </w:p>
    <w:p w:rsidR="00926B5D" w:rsidRPr="0044370F" w:rsidRDefault="00926B5D" w:rsidP="0093533E">
      <w:pPr>
        <w:pStyle w:val="3"/>
      </w:pPr>
      <w:bookmarkStart w:id="198" w:name="_Toc222652862"/>
      <w:r w:rsidRPr="0044370F">
        <w:t>8.2.4 Infrastructural Power: Shared Reach, Divergent Arenas</w:t>
      </w:r>
      <w:bookmarkEnd w:id="198"/>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Infrastructural power represents the dimension where quasi-sovereignty becomes most operational</w:t>
      </w:r>
      <w:r w:rsidRPr="0044370F">
        <w:rPr>
          <w:rStyle w:val="a8"/>
          <w:rFonts w:ascii="Times New Roman" w:eastAsia="Times New Roman" w:hAnsi="Times New Roman" w:cs="Times New Roman"/>
          <w:sz w:val="24"/>
          <w:szCs w:val="24"/>
        </w:rPr>
        <w:footnoteReference w:id="307"/>
      </w:r>
      <w:r w:rsidRPr="0044370F">
        <w:rPr>
          <w:rFonts w:ascii="Times New Roman" w:eastAsia="Times New Roman" w:hAnsi="Times New Roman" w:cs="Times New Roman"/>
          <w:sz w:val="24"/>
          <w:szCs w:val="24"/>
        </w:rPr>
        <w:t>. Meta, Huawei, and SAP each control infrastructures that others must use, enabling them to enact rules and norms at scale with limited direct coercion</w:t>
      </w:r>
      <w:r w:rsidRPr="0044370F">
        <w:rPr>
          <w:rStyle w:val="a8"/>
          <w:rFonts w:ascii="Times New Roman" w:eastAsia="Times New Roman" w:hAnsi="Times New Roman" w:cs="Times New Roman"/>
          <w:sz w:val="24"/>
          <w:szCs w:val="24"/>
        </w:rPr>
        <w:footnoteReference w:id="308"/>
      </w:r>
      <w:r w:rsidRPr="0044370F">
        <w:rPr>
          <w:rFonts w:ascii="Times New Roman" w:eastAsia="Times New Roman" w:hAnsi="Times New Roman" w:cs="Times New Roman"/>
          <w:sz w:val="24"/>
          <w:szCs w:val="24"/>
        </w:rPr>
        <w:t>.</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Meta’s infrastructural power operates in the digital public sphere</w:t>
      </w:r>
      <w:r w:rsidRPr="0044370F">
        <w:rPr>
          <w:rStyle w:val="a8"/>
          <w:rFonts w:ascii="Times New Roman" w:eastAsia="Times New Roman" w:hAnsi="Times New Roman" w:cs="Times New Roman"/>
          <w:sz w:val="24"/>
          <w:szCs w:val="24"/>
        </w:rPr>
        <w:footnoteReference w:id="309"/>
      </w:r>
      <w:r w:rsidRPr="0044370F">
        <w:rPr>
          <w:rFonts w:ascii="Times New Roman" w:eastAsia="Times New Roman" w:hAnsi="Times New Roman" w:cs="Times New Roman"/>
          <w:sz w:val="24"/>
          <w:szCs w:val="24"/>
        </w:rPr>
        <w:t>. By governing platforms that function as privatized public spaces, Meta sets rules for visibility, speech, and interaction. Huawei’s infrastructural power is physical and network-based, embedded in telecom systems that underpin national connectivity</w:t>
      </w:r>
      <w:r w:rsidRPr="0044370F">
        <w:rPr>
          <w:rStyle w:val="a8"/>
          <w:rFonts w:ascii="Times New Roman" w:eastAsia="Times New Roman" w:hAnsi="Times New Roman" w:cs="Times New Roman"/>
          <w:sz w:val="24"/>
          <w:szCs w:val="24"/>
        </w:rPr>
        <w:footnoteReference w:id="310"/>
      </w:r>
      <w:r w:rsidRPr="0044370F">
        <w:rPr>
          <w:rFonts w:ascii="Times New Roman" w:eastAsia="Times New Roman" w:hAnsi="Times New Roman" w:cs="Times New Roman"/>
          <w:sz w:val="24"/>
          <w:szCs w:val="24"/>
        </w:rPr>
        <w:t xml:space="preserve">. SAP’s infrastructural power is organizational, embedded in </w:t>
      </w:r>
      <w:r w:rsidRPr="0044370F">
        <w:rPr>
          <w:rFonts w:ascii="Times New Roman" w:eastAsia="Times New Roman" w:hAnsi="Times New Roman" w:cs="Times New Roman"/>
          <w:sz w:val="24"/>
          <w:szCs w:val="24"/>
        </w:rPr>
        <w:lastRenderedPageBreak/>
        <w:t>enterprise software that governs how institutions manage resources, comply with regulations, and coordinate activity</w:t>
      </w:r>
      <w:r w:rsidRPr="0044370F">
        <w:rPr>
          <w:rStyle w:val="a8"/>
          <w:rFonts w:ascii="Times New Roman" w:eastAsia="Times New Roman" w:hAnsi="Times New Roman" w:cs="Times New Roman"/>
          <w:sz w:val="24"/>
          <w:szCs w:val="24"/>
        </w:rPr>
        <w:footnoteReference w:id="311"/>
      </w:r>
      <w:r w:rsidRPr="0044370F">
        <w:rPr>
          <w:rFonts w:ascii="Times New Roman" w:eastAsia="Times New Roman" w:hAnsi="Times New Roman" w:cs="Times New Roman"/>
          <w:sz w:val="24"/>
          <w:szCs w:val="24"/>
        </w:rPr>
        <w:t>.</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convergence lies in the capacity to shape environments rather than merely influence behavior. The divergence lies in the arena of control: public discourse, physical connectivity, or organizational processes</w:t>
      </w:r>
      <w:r w:rsidRPr="0044370F">
        <w:rPr>
          <w:rStyle w:val="a8"/>
          <w:rFonts w:ascii="Times New Roman" w:eastAsia="Times New Roman" w:hAnsi="Times New Roman" w:cs="Times New Roman"/>
          <w:sz w:val="24"/>
          <w:szCs w:val="24"/>
        </w:rPr>
        <w:footnoteReference w:id="312"/>
      </w:r>
      <w:r w:rsidRPr="0044370F">
        <w:rPr>
          <w:rFonts w:ascii="Times New Roman" w:eastAsia="Times New Roman" w:hAnsi="Times New Roman" w:cs="Times New Roman"/>
          <w:sz w:val="24"/>
          <w:szCs w:val="24"/>
        </w:rPr>
        <w:t>. These differences reinforce the argument that infrastructural power is a key vector of quasi-sovereignty, but one that manifests differently across technological domains and political contexts</w:t>
      </w:r>
      <w:r w:rsidRPr="0044370F">
        <w:rPr>
          <w:rStyle w:val="a8"/>
          <w:rFonts w:ascii="Times New Roman" w:eastAsia="Times New Roman" w:hAnsi="Times New Roman" w:cs="Times New Roman"/>
          <w:sz w:val="24"/>
          <w:szCs w:val="24"/>
        </w:rPr>
        <w:footnoteReference w:id="313"/>
      </w:r>
      <w:r w:rsidRPr="0044370F">
        <w:rPr>
          <w:rFonts w:ascii="Times New Roman" w:eastAsia="Times New Roman" w:hAnsi="Times New Roman" w:cs="Times New Roman"/>
          <w:sz w:val="24"/>
          <w:szCs w:val="24"/>
        </w:rPr>
        <w:t>.</w:t>
      </w:r>
    </w:p>
    <w:p w:rsidR="00926B5D" w:rsidRPr="0044370F" w:rsidRDefault="00926B5D" w:rsidP="0093533E">
      <w:pPr>
        <w:pStyle w:val="3"/>
      </w:pPr>
      <w:bookmarkStart w:id="199" w:name="_Toc222652863"/>
      <w:r w:rsidRPr="0044370F">
        <w:t>8.2.5 Interim Comparative Insights</w:t>
      </w:r>
      <w:bookmarkEnd w:id="199"/>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Taken together, the comparison across </w:t>
      </w:r>
      <w:r w:rsidR="00DD3FE9" w:rsidRPr="0044370F">
        <w:rPr>
          <w:rFonts w:ascii="Times New Roman" w:eastAsia="Times New Roman" w:hAnsi="Times New Roman" w:cs="Times New Roman"/>
          <w:sz w:val="24"/>
          <w:szCs w:val="24"/>
        </w:rPr>
        <w:t>dimensions’</w:t>
      </w:r>
      <w:r w:rsidRPr="0044370F">
        <w:rPr>
          <w:rFonts w:ascii="Times New Roman" w:eastAsia="Times New Roman" w:hAnsi="Times New Roman" w:cs="Times New Roman"/>
          <w:sz w:val="24"/>
          <w:szCs w:val="24"/>
        </w:rPr>
        <w:t xml:space="preserve"> reveals that corporate quasi-sovereignty is best understood as a set of patterned configurations rather than a single model. Meta, Huawei, and SAP converge in their accumulation of power beyond market exchange, yet diverge in how that power is assembled, legitimized, and contested.</w:t>
      </w:r>
    </w:p>
    <w:p w:rsidR="00926B5D" w:rsidRPr="0044370F" w:rsidRDefault="00926B5D" w:rsidP="00926B5D">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Meta exemplifies a normatively visible and publicly contested form of quasi-sovereignty rooted in control over social interaction. Huawei exemplifies an infrastructure-centric, geopolitically charged configuration closely aligned with state power. SAP demonstrates a low-visibility, standards-based configuration embedded within institutional routines. These patterns set the stage for the next section, which moves from dimensional comparison to a typology of </w:t>
      </w:r>
      <w:r w:rsidR="00960581" w:rsidRPr="0044370F">
        <w:rPr>
          <w:rFonts w:ascii="Times New Roman" w:eastAsia="Times New Roman" w:hAnsi="Times New Roman" w:cs="Times New Roman"/>
          <w:sz w:val="24"/>
          <w:szCs w:val="24"/>
        </w:rPr>
        <w:t>corporate quasi-sovereignty</w:t>
      </w:r>
      <w:r w:rsidRPr="0044370F">
        <w:rPr>
          <w:rFonts w:ascii="Times New Roman" w:eastAsia="Times New Roman" w:hAnsi="Times New Roman" w:cs="Times New Roman"/>
          <w:sz w:val="24"/>
          <w:szCs w:val="24"/>
        </w:rPr>
        <w:t xml:space="preserve"> configurations.</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At the same time, the comparison highlights important limits to corporate quasi-sovereignty. In each case, corporate authority remains contingent upon state tolerance, legal enforcement, and political legitimacy. </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Meta faces regulatory backlash and declining trust in liberal democracies; Huawei’s infrastructural power is reversible through exclusion and sanctions; and SAP’s authority is constrained by legal compliance and dependence on external cloud providers. </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dynamics underscore that quasi-sovereignty is neither absolute nor irreversible, but continuously negotiated within broader political and legal structures.</w:t>
      </w:r>
    </w:p>
    <w:p w:rsidR="00926B5D" w:rsidRPr="0044370F" w:rsidRDefault="00926B5D" w:rsidP="0093533E">
      <w:pPr>
        <w:pStyle w:val="2"/>
        <w:rPr>
          <w:rFonts w:eastAsia="Times New Roman"/>
          <w:lang w:eastAsia="en-IL"/>
        </w:rPr>
      </w:pPr>
      <w:bookmarkStart w:id="200" w:name="_Toc222652864"/>
      <w:r w:rsidRPr="0044370F">
        <w:rPr>
          <w:rFonts w:eastAsia="Times New Roman"/>
          <w:lang w:eastAsia="en-IL"/>
        </w:rPr>
        <w:t>8.3</w:t>
      </w:r>
      <w:r w:rsidRPr="0044370F">
        <w:rPr>
          <w:rFonts w:ascii="Times New Roman" w:eastAsia="Times New Roman" w:hAnsi="Times New Roman"/>
          <w:lang w:eastAsia="en-IL"/>
        </w:rPr>
        <w:tab/>
      </w:r>
      <w:r w:rsidRPr="0044370F">
        <w:rPr>
          <w:rFonts w:eastAsia="Times New Roman"/>
          <w:lang w:eastAsia="en-IL"/>
        </w:rPr>
        <w:t xml:space="preserve"> Configurations of </w:t>
      </w:r>
      <w:r w:rsidR="00960581" w:rsidRPr="0044370F">
        <w:rPr>
          <w:rFonts w:eastAsia="Times New Roman"/>
          <w:lang w:eastAsia="en-IL"/>
        </w:rPr>
        <w:t>Corporate quasi-sovereignty</w:t>
      </w:r>
      <w:bookmarkEnd w:id="200"/>
    </w:p>
    <w:p w:rsidR="00926B5D" w:rsidRPr="0044370F" w:rsidRDefault="00926B5D" w:rsidP="0093533E">
      <w:pPr>
        <w:pStyle w:val="3"/>
      </w:pPr>
      <w:bookmarkStart w:id="201" w:name="_Toc222652865"/>
      <w:r w:rsidRPr="0044370F">
        <w:rPr>
          <w:rStyle w:val="a4"/>
          <w:rFonts w:eastAsiaTheme="majorEastAsia"/>
          <w:b/>
          <w:bCs/>
        </w:rPr>
        <w:t>8.3.1</w:t>
      </w:r>
      <w:r w:rsidRPr="0044370F">
        <w:rPr>
          <w:rStyle w:val="a4"/>
          <w:rFonts w:eastAsiaTheme="majorEastAsia"/>
          <w:b/>
          <w:bCs/>
        </w:rPr>
        <w:tab/>
        <w:t>From Dimensional Comparison to Configurational Analysis</w:t>
      </w:r>
      <w:bookmarkEnd w:id="201"/>
    </w:p>
    <w:p w:rsidR="00926B5D" w:rsidRPr="0044370F" w:rsidRDefault="00926B5D" w:rsidP="00926B5D">
      <w:pPr>
        <w:pStyle w:val="NormalWeb"/>
        <w:spacing w:line="360" w:lineRule="auto"/>
        <w:jc w:val="both"/>
      </w:pPr>
      <w:r w:rsidRPr="0044370F">
        <w:t>While the preceding section compared Meta, Huawei, and SAP across the four analytical dimensions of corporate quasi-sovereignty, this section shifts from dimensional comparison to configurational analysis. Rather than treating the dimensions as independent variables, this section examines how different combinations of strategic resource control, structural embeddedness, normative legitimacy, and infrastructural power coalesce into distinct configurations of corporate quasi-sovereignty. These configurations should be understood as ideal-typical patterns rather than exhaustive categories, capturing how sovereignty-like authority is assembled differently across corporate actors depending on sectoral position, geopolitical alignment, and institutional context.</w:t>
      </w:r>
    </w:p>
    <w:p w:rsidR="00926B5D" w:rsidRPr="0044370F" w:rsidRDefault="00926B5D" w:rsidP="00926B5D">
      <w:pPr>
        <w:pStyle w:val="NormalWeb"/>
        <w:spacing w:line="360" w:lineRule="auto"/>
        <w:jc w:val="both"/>
        <w:rPr>
          <w:rFonts w:asciiTheme="majorBidi" w:hAnsiTheme="majorBidi" w:cstheme="majorBidi"/>
          <w:rtl/>
        </w:rPr>
      </w:pPr>
      <w:r w:rsidRPr="0044370F">
        <w:rPr>
          <w:rFonts w:asciiTheme="majorBidi" w:hAnsiTheme="majorBidi" w:cstheme="majorBidi"/>
        </w:rPr>
        <w:t xml:space="preserve">Each of the three case studies exemplifies a unique configuration of how multinational tech corporations function as </w:t>
      </w:r>
      <w:r w:rsidR="00960581" w:rsidRPr="0044370F">
        <w:rPr>
          <w:rFonts w:asciiTheme="majorBidi" w:hAnsiTheme="majorBidi" w:cstheme="majorBidi"/>
        </w:rPr>
        <w:t>quasi-sovereign authority</w:t>
      </w:r>
      <w:r w:rsidRPr="0044370F">
        <w:rPr>
          <w:rFonts w:asciiTheme="majorBidi" w:hAnsiTheme="majorBidi" w:cstheme="majorBidi"/>
        </w:rPr>
        <w:t>. Through different means, Meta, Huawei, and SAP each attain a form of authority reminiscent of sovereign power.</w:t>
      </w:r>
    </w:p>
    <w:p w:rsidR="00926B5D" w:rsidRPr="0044370F" w:rsidRDefault="00926B5D" w:rsidP="0093533E">
      <w:pPr>
        <w:pStyle w:val="4"/>
      </w:pPr>
      <w:r w:rsidRPr="0044370F">
        <w:lastRenderedPageBreak/>
        <w:t>8.3.1.1</w:t>
      </w:r>
      <w:r w:rsidRPr="0044370F">
        <w:tab/>
      </w:r>
      <w:r w:rsidRPr="0044370F">
        <w:rPr>
          <w:rtl/>
        </w:rPr>
        <w:tab/>
      </w:r>
      <w:r w:rsidRPr="0044370F">
        <w:t>Meta: Sovereignty via Public Discourse Control and Self-Regulation</w:t>
      </w:r>
    </w:p>
    <w:p w:rsidR="00926B5D" w:rsidRPr="0044370F" w:rsidRDefault="00926B5D" w:rsidP="009F0142">
      <w:pPr>
        <w:pStyle w:val="NormalWeb"/>
        <w:spacing w:line="360" w:lineRule="auto"/>
        <w:jc w:val="both"/>
        <w:rPr>
          <w:rFonts w:asciiTheme="majorBidi" w:hAnsiTheme="majorBidi" w:cstheme="majorBidi"/>
        </w:rPr>
      </w:pPr>
      <w:r w:rsidRPr="0044370F">
        <w:rPr>
          <w:rFonts w:asciiTheme="majorBidi" w:hAnsiTheme="majorBidi" w:cstheme="majorBidi"/>
        </w:rPr>
        <w:t xml:space="preserve">Meta exercises </w:t>
      </w:r>
      <w:r w:rsidR="009F0142" w:rsidRPr="0044370F">
        <w:t>sovereignty-like authority</w:t>
      </w:r>
      <w:r w:rsidRPr="0044370F">
        <w:rPr>
          <w:rFonts w:asciiTheme="majorBidi" w:hAnsiTheme="majorBidi" w:cstheme="majorBidi"/>
        </w:rPr>
        <w:t xml:space="preserve"> by dominating public discourse and instituting its own governance mechanisms</w:t>
      </w:r>
      <w:r w:rsidRPr="0044370F">
        <w:rPr>
          <w:rStyle w:val="a8"/>
          <w:rFonts w:asciiTheme="majorBidi" w:hAnsiTheme="majorBidi" w:cstheme="majorBidi"/>
        </w:rPr>
        <w:footnoteReference w:id="314"/>
      </w:r>
      <w:r w:rsidRPr="0044370F">
        <w:rPr>
          <w:rFonts w:asciiTheme="majorBidi" w:hAnsiTheme="majorBidi" w:cstheme="majorBidi"/>
        </w:rPr>
        <w:t xml:space="preserve">. The company’s </w:t>
      </w:r>
      <w:r w:rsidRPr="0044370F">
        <w:rPr>
          <w:rStyle w:val="a4"/>
          <w:rFonts w:asciiTheme="majorBidi" w:eastAsiaTheme="majorEastAsia" w:hAnsiTheme="majorBidi"/>
        </w:rPr>
        <w:t>control over public discourse</w:t>
      </w:r>
      <w:r w:rsidRPr="0044370F">
        <w:rPr>
          <w:rStyle w:val="a8"/>
          <w:rFonts w:asciiTheme="majorBidi" w:hAnsiTheme="majorBidi" w:cstheme="majorBidi"/>
        </w:rPr>
        <w:footnoteReference w:id="315"/>
      </w:r>
      <w:r w:rsidRPr="0044370F">
        <w:rPr>
          <w:rFonts w:asciiTheme="majorBidi" w:hAnsiTheme="majorBidi" w:cstheme="majorBidi"/>
        </w:rPr>
        <w:t xml:space="preserve"> is evident in its content policies and algorithms that determine what information is amplified or suppressed worldwide. This control gives Meta agenda-setting power traditionally associated with states; it can shape societal narratives and even influence democratic processes by modulating the visibility of political speech</w:t>
      </w:r>
      <w:r w:rsidRPr="0044370F">
        <w:rPr>
          <w:rStyle w:val="a8"/>
          <w:rFonts w:asciiTheme="majorBidi" w:hAnsiTheme="majorBidi" w:cstheme="majorBidi"/>
        </w:rPr>
        <w:footnoteReference w:id="316"/>
      </w:r>
      <w:r w:rsidRPr="0044370F">
        <w:rPr>
          <w:rFonts w:asciiTheme="majorBidi" w:hAnsiTheme="majorBidi" w:cstheme="majorBidi"/>
        </w:rPr>
        <w:t xml:space="preserve">.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Instead of nation-state oversight, Meta has pursued </w:t>
      </w:r>
      <w:r w:rsidRPr="0044370F">
        <w:rPr>
          <w:rStyle w:val="a4"/>
          <w:rFonts w:asciiTheme="majorBidi" w:eastAsiaTheme="majorEastAsia" w:hAnsiTheme="majorBidi"/>
        </w:rPr>
        <w:t>self-regulation</w:t>
      </w:r>
      <w:r w:rsidRPr="0044370F">
        <w:rPr>
          <w:rFonts w:asciiTheme="majorBidi" w:hAnsiTheme="majorBidi" w:cstheme="majorBidi"/>
        </w:rPr>
        <w:t xml:space="preserve"> by creating internal institutions to govern its domain. Most notably, it established the Oversight Board</w:t>
      </w:r>
      <w:r w:rsidRPr="0044370F">
        <w:rPr>
          <w:rStyle w:val="a8"/>
          <w:rFonts w:asciiTheme="majorBidi" w:hAnsiTheme="majorBidi" w:cstheme="majorBidi"/>
        </w:rPr>
        <w:footnoteReference w:id="317"/>
      </w:r>
      <w:r w:rsidRPr="0044370F">
        <w:rPr>
          <w:rFonts w:asciiTheme="majorBidi" w:hAnsiTheme="majorBidi" w:cstheme="majorBidi"/>
        </w:rPr>
        <w:t>, a quasi-independent body that reviews content decisions. The Board operates like a judicial branch, hearing appeals on content removal and issuing binding choices, and it grounds its rulings in international human rights law (e.g., free expression principles). By voluntarily submitting to this self-imposed regulation, Meta asserts a sovereign-like authority to adjudicate and enforce norms within its platform</w:t>
      </w:r>
      <w:r w:rsidRPr="0044370F">
        <w:rPr>
          <w:rStyle w:val="a8"/>
          <w:rFonts w:asciiTheme="majorBidi" w:hAnsiTheme="majorBidi" w:cstheme="majorBidi"/>
        </w:rPr>
        <w:footnoteReference w:id="318"/>
      </w:r>
      <w:r w:rsidRPr="0044370F">
        <w:rPr>
          <w:rFonts w:asciiTheme="majorBidi" w:hAnsiTheme="majorBidi" w:cstheme="majorBidi"/>
        </w:rPr>
        <w:t xml:space="preserve">. In effect, Meta’s control over speech and its self-governing institutions illustrates a </w:t>
      </w:r>
      <w:r w:rsidR="00960581" w:rsidRPr="0044370F">
        <w:rPr>
          <w:rFonts w:asciiTheme="majorBidi" w:hAnsiTheme="majorBidi" w:cstheme="majorBidi"/>
        </w:rPr>
        <w:t>corporate quasi-sovereignty</w:t>
      </w:r>
      <w:r w:rsidRPr="0044370F">
        <w:rPr>
          <w:rFonts w:asciiTheme="majorBidi" w:hAnsiTheme="majorBidi" w:cstheme="majorBidi"/>
        </w:rPr>
        <w:t xml:space="preserve"> grounded in normative power and global visibility. The company sets rules for a virtual populace and administers justice, thereby performing functions ordinarily reserved to sovereign states.</w:t>
      </w:r>
    </w:p>
    <w:p w:rsidR="00926B5D" w:rsidRPr="0044370F" w:rsidRDefault="00926B5D" w:rsidP="0093533E">
      <w:pPr>
        <w:pStyle w:val="4"/>
      </w:pPr>
      <w:r w:rsidRPr="0044370F">
        <w:t>8.3.1.2</w:t>
      </w:r>
      <w:r w:rsidRPr="0044370F">
        <w:tab/>
      </w:r>
      <w:r w:rsidRPr="0044370F">
        <w:rPr>
          <w:rtl/>
        </w:rPr>
        <w:tab/>
      </w:r>
      <w:r w:rsidRPr="0044370F">
        <w:t>Huawei: Sovereignty via Material Power, State Alignment, and Infrastructural Dominance</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Here, quasi-sovereignty is constituted through the convergence of strategic resource control and infrastructural power, amplified by close alignment with state strategy and geopolitical objectives.</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lastRenderedPageBreak/>
        <w:t xml:space="preserve">Huawei’s case demonstrates </w:t>
      </w:r>
      <w:r w:rsidR="00960581" w:rsidRPr="0044370F">
        <w:rPr>
          <w:rFonts w:asciiTheme="majorBidi" w:hAnsiTheme="majorBidi" w:cstheme="majorBidi"/>
        </w:rPr>
        <w:t>corporate quasi-sovereignty</w:t>
      </w:r>
      <w:r w:rsidRPr="0044370F">
        <w:rPr>
          <w:rFonts w:asciiTheme="majorBidi" w:hAnsiTheme="majorBidi" w:cstheme="majorBidi"/>
        </w:rPr>
        <w:t xml:space="preserve"> rooted in </w:t>
      </w:r>
      <w:r w:rsidRPr="0044370F">
        <w:rPr>
          <w:rStyle w:val="a4"/>
          <w:rFonts w:asciiTheme="majorBidi" w:eastAsiaTheme="majorEastAsia" w:hAnsiTheme="majorBidi"/>
        </w:rPr>
        <w:t>material power and infrastructural dominance</w:t>
      </w:r>
      <w:r w:rsidRPr="0044370F">
        <w:rPr>
          <w:rFonts w:asciiTheme="majorBidi" w:hAnsiTheme="majorBidi" w:cstheme="majorBidi"/>
        </w:rPr>
        <w:t>, closely intertwined with state interests. As a leading global provider of 5G networks and telecom equipment, Huawei has built critical communications infrastructure across dozens of countries</w:t>
      </w:r>
      <w:r w:rsidRPr="0044370F">
        <w:rPr>
          <w:rStyle w:val="a8"/>
          <w:rFonts w:asciiTheme="majorBidi" w:hAnsiTheme="majorBidi" w:cstheme="majorBidi"/>
        </w:rPr>
        <w:footnoteReference w:id="319"/>
      </w:r>
      <w:r w:rsidRPr="0044370F">
        <w:rPr>
          <w:rFonts w:asciiTheme="majorBidi" w:hAnsiTheme="majorBidi" w:cstheme="majorBidi"/>
        </w:rPr>
        <w:t xml:space="preserve">. This gives the company a strategic lever analogous to sovereign influence: control over physical infrastructure that other societies depend on. By offering </w:t>
      </w:r>
      <w:r w:rsidRPr="0044370F">
        <w:rPr>
          <w:rStyle w:val="a5"/>
          <w:rFonts w:asciiTheme="majorBidi" w:eastAsiaTheme="majorEastAsia" w:hAnsiTheme="majorBidi"/>
        </w:rPr>
        <w:t>cost-effective, high-quality</w:t>
      </w:r>
      <w:r w:rsidRPr="0044370F">
        <w:rPr>
          <w:rFonts w:asciiTheme="majorBidi" w:hAnsiTheme="majorBidi" w:cstheme="majorBidi"/>
        </w:rPr>
        <w:t xml:space="preserve"> network solutions, Huawei became the </w:t>
      </w:r>
      <w:r w:rsidRPr="0044370F">
        <w:rPr>
          <w:rStyle w:val="a5"/>
          <w:rFonts w:asciiTheme="majorBidi" w:eastAsiaTheme="majorEastAsia" w:hAnsiTheme="majorBidi"/>
        </w:rPr>
        <w:t>preferred</w:t>
      </w:r>
      <w:r w:rsidRPr="0044370F">
        <w:rPr>
          <w:rFonts w:asciiTheme="majorBidi" w:hAnsiTheme="majorBidi" w:cstheme="majorBidi"/>
        </w:rPr>
        <w:t xml:space="preserve"> vendor for many telecom operators and national projects, including Thailand’s rapid 5G rollout.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In doing so, Huawei </w:t>
      </w:r>
      <w:r w:rsidRPr="0044370F">
        <w:rPr>
          <w:rStyle w:val="a4"/>
          <w:rFonts w:asciiTheme="majorBidi" w:eastAsiaTheme="majorEastAsia" w:hAnsiTheme="majorBidi"/>
        </w:rPr>
        <w:t>aligned its offerings with government priorities</w:t>
      </w:r>
      <w:r w:rsidRPr="0044370F">
        <w:rPr>
          <w:rFonts w:asciiTheme="majorBidi" w:hAnsiTheme="majorBidi" w:cstheme="majorBidi"/>
        </w:rPr>
        <w:t>, embedding itself in national development initiatives (such as smart cities, ports, and rail systems) and earning political goodwill. This alignment with state interests, particularly those of China, amplifies Huawei’s quasi-sovereign role. The Chinese government’s strategic support for Huawei</w:t>
      </w:r>
      <w:r w:rsidRPr="0044370F">
        <w:rPr>
          <w:rStyle w:val="a8"/>
          <w:rFonts w:asciiTheme="majorBidi" w:hAnsiTheme="majorBidi" w:cstheme="majorBidi"/>
        </w:rPr>
        <w:footnoteReference w:id="320"/>
      </w:r>
      <w:r w:rsidRPr="0044370F">
        <w:rPr>
          <w:rFonts w:asciiTheme="majorBidi" w:hAnsiTheme="majorBidi" w:cstheme="majorBidi"/>
        </w:rPr>
        <w:t xml:space="preserve"> and the company’s participation in China’s </w:t>
      </w:r>
      <w:r w:rsidRPr="0044370F">
        <w:rPr>
          <w:rStyle w:val="a5"/>
          <w:rFonts w:asciiTheme="majorBidi" w:eastAsiaTheme="majorEastAsia" w:hAnsiTheme="majorBidi"/>
        </w:rPr>
        <w:t>Digital Silk Road</w:t>
      </w:r>
      <w:r w:rsidRPr="0044370F">
        <w:rPr>
          <w:rFonts w:asciiTheme="majorBidi" w:hAnsiTheme="majorBidi" w:cstheme="majorBidi"/>
        </w:rPr>
        <w:t xml:space="preserve"> initiative indicate a symbiotic relationship: Huawei advances national geopolitical objectives (expanding digital influence abroad) while enjoying state backing in markets and technology. In effect, Huawei operates as an </w:t>
      </w:r>
      <w:r w:rsidRPr="0044370F">
        <w:rPr>
          <w:rStyle w:val="a5"/>
          <w:rFonts w:asciiTheme="majorBidi" w:eastAsiaTheme="majorEastAsia" w:hAnsiTheme="majorBidi"/>
        </w:rPr>
        <w:t>extension of state power</w:t>
      </w:r>
      <w:r w:rsidRPr="0044370F">
        <w:rPr>
          <w:rStyle w:val="a8"/>
          <w:rFonts w:asciiTheme="majorBidi" w:eastAsiaTheme="majorEastAsia" w:hAnsiTheme="majorBidi" w:cstheme="majorBidi"/>
          <w:i/>
          <w:iCs/>
        </w:rPr>
        <w:footnoteReference w:id="321"/>
      </w:r>
      <w:r w:rsidRPr="0044370F">
        <w:rPr>
          <w:rFonts w:asciiTheme="majorBidi" w:hAnsiTheme="majorBidi" w:cstheme="majorBidi"/>
        </w:rPr>
        <w:t xml:space="preserve"> on the global stage, blurring the line between corporate and national interest.</w:t>
      </w:r>
    </w:p>
    <w:p w:rsidR="00926B5D" w:rsidRPr="0044370F" w:rsidRDefault="00926B5D" w:rsidP="00926B5D">
      <w:pPr>
        <w:pStyle w:val="NormalWeb"/>
        <w:spacing w:line="360" w:lineRule="auto"/>
        <w:jc w:val="both"/>
        <w:rPr>
          <w:rFonts w:asciiTheme="majorBidi" w:hAnsiTheme="majorBidi" w:cstheme="majorBidi"/>
          <w:rtl/>
        </w:rPr>
      </w:pPr>
      <w:r w:rsidRPr="0044370F">
        <w:rPr>
          <w:rFonts w:asciiTheme="majorBidi" w:hAnsiTheme="majorBidi" w:cstheme="majorBidi"/>
        </w:rPr>
        <w:t xml:space="preserve">Huawei’s </w:t>
      </w:r>
      <w:r w:rsidRPr="0044370F">
        <w:rPr>
          <w:rStyle w:val="a4"/>
          <w:rFonts w:asciiTheme="majorBidi" w:eastAsiaTheme="majorEastAsia" w:hAnsiTheme="majorBidi"/>
        </w:rPr>
        <w:t>infrastructural dominance</w:t>
      </w:r>
      <w:r w:rsidRPr="0044370F">
        <w:rPr>
          <w:rFonts w:asciiTheme="majorBidi" w:hAnsiTheme="majorBidi" w:cstheme="majorBidi"/>
        </w:rPr>
        <w:t xml:space="preserve"> translates into real leverage over other states’ digital sovereignty. Countries that integrate Huawei’s equipment deeply into their communication networks risk </w:t>
      </w:r>
      <w:r w:rsidRPr="0044370F">
        <w:rPr>
          <w:rStyle w:val="a5"/>
          <w:rFonts w:asciiTheme="majorBidi" w:eastAsiaTheme="majorEastAsia" w:hAnsiTheme="majorBidi"/>
        </w:rPr>
        <w:t>vendor lock-in</w:t>
      </w:r>
      <w:r w:rsidRPr="0044370F">
        <w:rPr>
          <w:rFonts w:asciiTheme="majorBidi" w:hAnsiTheme="majorBidi" w:cstheme="majorBidi"/>
        </w:rPr>
        <w:t xml:space="preserve"> and dependency. </w:t>
      </w:r>
    </w:p>
    <w:p w:rsidR="00926B5D" w:rsidRPr="0044370F" w:rsidRDefault="00926B5D" w:rsidP="0093533E">
      <w:pPr>
        <w:pStyle w:val="4"/>
      </w:pPr>
      <w:r w:rsidRPr="0044370F">
        <w:t>8.3.1.3</w:t>
      </w:r>
      <w:r w:rsidRPr="0044370F">
        <w:tab/>
      </w:r>
      <w:r w:rsidRPr="0044370F">
        <w:rPr>
          <w:rtl/>
        </w:rPr>
        <w:tab/>
      </w:r>
      <w:r w:rsidRPr="0044370F">
        <w:t>SAP: Sovereignty via Technical Standards and Institutional Neutrality</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In this case, quasi-sovereignty emerges from deep structural embeddedness and standards-based infrastructural power, sustained by regulatory alignment and institutional trust rather than public visibility or geopolitical confrontation.</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lastRenderedPageBreak/>
        <w:t xml:space="preserve">SAP embodies a </w:t>
      </w:r>
      <w:r w:rsidRPr="0044370F">
        <w:rPr>
          <w:rStyle w:val="a5"/>
          <w:rFonts w:asciiTheme="majorBidi" w:eastAsiaTheme="majorEastAsia" w:hAnsiTheme="majorBidi"/>
        </w:rPr>
        <w:t>“quiet”</w:t>
      </w:r>
      <w:r w:rsidRPr="0044370F">
        <w:rPr>
          <w:rFonts w:asciiTheme="majorBidi" w:hAnsiTheme="majorBidi" w:cstheme="majorBidi"/>
        </w:rPr>
        <w:t xml:space="preserve"> configuration of </w:t>
      </w:r>
      <w:r w:rsidR="00973E2B" w:rsidRPr="0044370F">
        <w:rPr>
          <w:rFonts w:asciiTheme="majorBidi" w:hAnsiTheme="majorBidi" w:cstheme="majorBidi"/>
        </w:rPr>
        <w:t>corporate quasi-sovereignty</w:t>
      </w:r>
      <w:r w:rsidRPr="0044370F">
        <w:rPr>
          <w:rStyle w:val="a8"/>
          <w:rFonts w:asciiTheme="majorBidi" w:hAnsiTheme="majorBidi" w:cstheme="majorBidi"/>
        </w:rPr>
        <w:footnoteReference w:id="322"/>
      </w:r>
      <w:r w:rsidRPr="0044370F">
        <w:rPr>
          <w:rFonts w:asciiTheme="majorBidi" w:hAnsiTheme="majorBidi" w:cstheme="majorBidi"/>
        </w:rPr>
        <w:t xml:space="preserve">, achieved through </w:t>
      </w:r>
      <w:r w:rsidRPr="0044370F">
        <w:rPr>
          <w:rStyle w:val="a4"/>
          <w:rFonts w:asciiTheme="majorBidi" w:eastAsiaTheme="majorEastAsia" w:hAnsiTheme="majorBidi"/>
        </w:rPr>
        <w:t>technical standard-setting and an institutional neutrality posture</w:t>
      </w:r>
      <w:r w:rsidRPr="0044370F">
        <w:rPr>
          <w:rFonts w:asciiTheme="majorBidi" w:hAnsiTheme="majorBidi" w:cstheme="majorBidi"/>
        </w:rPr>
        <w:t xml:space="preserve">. As the world’s largest enterprise software firm, SAP provides the backbone systems (ERP, databases, cloud platforms) that run the operations of countless corporations and public agencies. Over decades, SAP’s software has become a </w:t>
      </w:r>
      <w:r w:rsidRPr="0044370F">
        <w:rPr>
          <w:rStyle w:val="a5"/>
          <w:rFonts w:asciiTheme="majorBidi" w:eastAsiaTheme="majorEastAsia" w:hAnsiTheme="majorBidi"/>
        </w:rPr>
        <w:t>de facto global standard</w:t>
      </w:r>
      <w:r w:rsidRPr="0044370F">
        <w:rPr>
          <w:rFonts w:asciiTheme="majorBidi" w:hAnsiTheme="majorBidi" w:cstheme="majorBidi"/>
        </w:rPr>
        <w:t xml:space="preserve"> for business processes integration.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This ubiquity means SAP effectively sets </w:t>
      </w:r>
      <w:r w:rsidRPr="0044370F">
        <w:rPr>
          <w:rStyle w:val="a4"/>
          <w:rFonts w:asciiTheme="majorBidi" w:eastAsiaTheme="majorEastAsia" w:hAnsiTheme="majorBidi"/>
        </w:rPr>
        <w:t>technical and procedural standards</w:t>
      </w:r>
      <w:r w:rsidRPr="0044370F">
        <w:rPr>
          <w:rFonts w:asciiTheme="majorBidi" w:hAnsiTheme="majorBidi" w:cstheme="majorBidi"/>
        </w:rPr>
        <w:t xml:space="preserve"> across industries worldwide</w:t>
      </w:r>
      <w:r w:rsidRPr="0044370F">
        <w:rPr>
          <w:rStyle w:val="a8"/>
          <w:rFonts w:asciiTheme="majorBidi" w:hAnsiTheme="majorBidi" w:cstheme="majorBidi"/>
        </w:rPr>
        <w:footnoteReference w:id="323"/>
      </w:r>
      <w:r w:rsidRPr="0044370F">
        <w:rPr>
          <w:rFonts w:asciiTheme="majorBidi" w:hAnsiTheme="majorBidi" w:cstheme="majorBidi"/>
        </w:rPr>
        <w:t>. Corporations, regardless of country, often adopt SAP’s built-in processes for finance, supply chain, and HR management, thereby harmonizing practices with SAP’s design. In this way, SAP quietly exercises a normative power akin to sovereignty: it defines rules and protocols that other institutions must operate within. Indeed, adopting an SAP ERP has become “just a necessity for</w:t>
      </w:r>
      <w:r w:rsidRPr="0044370F">
        <w:rPr>
          <w:rFonts w:asciiTheme="majorBidi" w:hAnsiTheme="majorBidi" w:cstheme="majorBidi" w:hint="cs"/>
          <w:rtl/>
        </w:rPr>
        <w:t xml:space="preserve"> </w:t>
      </w:r>
      <w:r w:rsidRPr="0044370F">
        <w:rPr>
          <w:rFonts w:asciiTheme="majorBidi" w:hAnsiTheme="majorBidi" w:cstheme="majorBidi"/>
        </w:rPr>
        <w:t>conducting business” in many sectors, underscoring how the company’s software standards have forcefully shaped the global economic infrastructure</w:t>
      </w:r>
      <w:r w:rsidRPr="0044370F">
        <w:rPr>
          <w:rStyle w:val="a8"/>
          <w:rFonts w:asciiTheme="majorBidi" w:hAnsiTheme="majorBidi" w:cstheme="majorBidi"/>
        </w:rPr>
        <w:footnoteReference w:id="324"/>
      </w:r>
      <w:r w:rsidRPr="0044370F">
        <w:rPr>
          <w:rFonts w:asciiTheme="majorBidi" w:hAnsiTheme="majorBidi" w:cstheme="majorBidi"/>
        </w:rPr>
        <w:t>.</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Crucially, SAP achieves this influence while maintaining an image of </w:t>
      </w:r>
      <w:r w:rsidRPr="0044370F">
        <w:rPr>
          <w:rStyle w:val="a4"/>
          <w:rFonts w:asciiTheme="majorBidi" w:eastAsiaTheme="majorEastAsia" w:hAnsiTheme="majorBidi"/>
        </w:rPr>
        <w:t>institutional neutrality</w:t>
      </w:r>
      <w:r w:rsidRPr="0044370F">
        <w:rPr>
          <w:rFonts w:asciiTheme="majorBidi" w:hAnsiTheme="majorBidi" w:cstheme="majorBidi"/>
        </w:rPr>
        <w:t>. The company does not engage in overt political discourse or align itself publicly with particular governments or ideologies. This neutrality</w:t>
      </w:r>
      <w:r w:rsidRPr="0044370F">
        <w:rPr>
          <w:rStyle w:val="a8"/>
          <w:rFonts w:asciiTheme="majorBidi" w:hAnsiTheme="majorBidi" w:cstheme="majorBidi"/>
        </w:rPr>
        <w:footnoteReference w:id="325"/>
      </w:r>
      <w:r w:rsidRPr="0044370F">
        <w:rPr>
          <w:rFonts w:asciiTheme="majorBidi" w:hAnsiTheme="majorBidi" w:cstheme="majorBidi"/>
        </w:rPr>
        <w:t xml:space="preserve"> ensures that SAP’s products are trusted by businesses and governments across geopolitical divides, from Europe and the US to Asia and Africa, allowing it to embed deeply without provoking the kind of political scrutiny Meta or Huawei faces. By focusing solely on technical solutions, SAP positions itself as a neutral enabler of enterprise and </w:t>
      </w:r>
      <w:r w:rsidRPr="0044370F">
        <w:rPr>
          <w:rFonts w:asciiTheme="majorBidi" w:hAnsiTheme="majorBidi" w:cstheme="majorBidi"/>
        </w:rPr>
        <w:lastRenderedPageBreak/>
        <w:t xml:space="preserve">governance, even as it wields immense sway over how these enterprises and governments operate internally.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This quiet sovereignty is evident in how SAP can propagate global initiatives (for example, new accounting standards or sustainability metrics baked into its software</w:t>
      </w:r>
      <w:r w:rsidRPr="0044370F">
        <w:rPr>
          <w:rStyle w:val="a8"/>
          <w:rFonts w:asciiTheme="majorBidi" w:hAnsiTheme="majorBidi" w:cstheme="majorBidi"/>
        </w:rPr>
        <w:footnoteReference w:id="326"/>
      </w:r>
      <w:r w:rsidRPr="0044370F">
        <w:rPr>
          <w:rFonts w:asciiTheme="majorBidi" w:hAnsiTheme="majorBidi" w:cstheme="majorBidi"/>
        </w:rPr>
        <w:t xml:space="preserve">) that clients worldwide will adopt, effectively disseminating new norms through technical means. While SAP lacks the visible political clout of a social media giant or the strategic drama of a telecom titan, its power resides in </w:t>
      </w:r>
      <w:r w:rsidRPr="0044370F">
        <w:rPr>
          <w:rStyle w:val="a4"/>
          <w:rFonts w:asciiTheme="majorBidi" w:eastAsiaTheme="majorEastAsia" w:hAnsiTheme="majorBidi"/>
        </w:rPr>
        <w:t>structural and standard-setting authority</w:t>
      </w:r>
      <w:r w:rsidRPr="0044370F">
        <w:rPr>
          <w:rStyle w:val="a8"/>
          <w:rFonts w:asciiTheme="majorBidi" w:hAnsiTheme="majorBidi" w:cstheme="majorBidi"/>
          <w:b/>
          <w:bCs/>
        </w:rPr>
        <w:footnoteReference w:id="327"/>
      </w:r>
      <w:r w:rsidRPr="0044370F">
        <w:rPr>
          <w:rFonts w:asciiTheme="majorBidi" w:hAnsiTheme="majorBidi" w:cstheme="majorBidi"/>
        </w:rPr>
        <w:t xml:space="preserve">. </w:t>
      </w:r>
    </w:p>
    <w:p w:rsidR="00926B5D" w:rsidRPr="0044370F" w:rsidRDefault="00926B5D" w:rsidP="00926B5D">
      <w:pPr>
        <w:pStyle w:val="NormalWeb"/>
        <w:spacing w:line="360" w:lineRule="auto"/>
        <w:jc w:val="both"/>
        <w:rPr>
          <w:rFonts w:cstheme="majorBidi"/>
          <w:rtl/>
        </w:rPr>
      </w:pPr>
      <w:r w:rsidRPr="0044370F">
        <w:rPr>
          <w:rFonts w:asciiTheme="majorBidi" w:hAnsiTheme="majorBidi" w:cstheme="majorBidi"/>
        </w:rPr>
        <w:t xml:space="preserve">In practice, SAP has created an </w:t>
      </w:r>
      <w:r w:rsidRPr="0044370F">
        <w:rPr>
          <w:rStyle w:val="a5"/>
          <w:rFonts w:asciiTheme="majorBidi" w:eastAsiaTheme="majorEastAsia" w:hAnsiTheme="majorBidi"/>
        </w:rPr>
        <w:t>institutional ecosystem</w:t>
      </w:r>
      <w:r w:rsidRPr="0044370F">
        <w:rPr>
          <w:rStyle w:val="a8"/>
          <w:rFonts w:asciiTheme="majorBidi" w:eastAsiaTheme="majorEastAsia" w:hAnsiTheme="majorBidi" w:cstheme="majorBidi"/>
          <w:i/>
          <w:iCs/>
        </w:rPr>
        <w:footnoteReference w:id="328"/>
      </w:r>
      <w:r w:rsidRPr="0044370F">
        <w:rPr>
          <w:rFonts w:asciiTheme="majorBidi" w:hAnsiTheme="majorBidi" w:cstheme="majorBidi"/>
        </w:rPr>
        <w:t xml:space="preserve"> that many organizations are dependent on, granting it influence analogous to a sovereign’s, subtle but pervasive. In sum, SAP’s case shows that a corporation can attain quasi-sovereign status by becoming the </w:t>
      </w:r>
      <w:r w:rsidRPr="0044370F">
        <w:rPr>
          <w:rStyle w:val="a5"/>
          <w:rFonts w:asciiTheme="majorBidi" w:eastAsiaTheme="majorEastAsia" w:hAnsiTheme="majorBidi"/>
        </w:rPr>
        <w:t>invisible infrastructure</w:t>
      </w:r>
      <w:r w:rsidRPr="0044370F">
        <w:rPr>
          <w:rFonts w:asciiTheme="majorBidi" w:hAnsiTheme="majorBidi" w:cstheme="majorBidi"/>
        </w:rPr>
        <w:t xml:space="preserve"> of global business, exerting standard-setting power under the cloak of neutrality.</w:t>
      </w:r>
    </w:p>
    <w:p w:rsidR="00926B5D" w:rsidRPr="0044370F" w:rsidRDefault="00926B5D" w:rsidP="0093533E">
      <w:pPr>
        <w:pStyle w:val="3"/>
      </w:pPr>
      <w:bookmarkStart w:id="202" w:name="_Toc222652866"/>
      <w:r w:rsidRPr="0044370F">
        <w:rPr>
          <w:rStyle w:val="a4"/>
          <w:rFonts w:eastAsiaTheme="majorEastAsia"/>
          <w:b/>
          <w:bCs/>
        </w:rPr>
        <w:t>8.3.2</w:t>
      </w:r>
      <w:r w:rsidRPr="0044370F">
        <w:rPr>
          <w:rStyle w:val="a4"/>
          <w:rFonts w:eastAsiaTheme="majorEastAsia"/>
          <w:b/>
          <w:bCs/>
        </w:rPr>
        <w:tab/>
        <w:t>Configurational Implications for the Concept of Quasi-Sovereignty</w:t>
      </w:r>
      <w:bookmarkEnd w:id="202"/>
    </w:p>
    <w:p w:rsidR="00926B5D" w:rsidRPr="0044370F" w:rsidRDefault="00926B5D" w:rsidP="00926B5D">
      <w:pPr>
        <w:pStyle w:val="NormalWeb"/>
        <w:spacing w:line="360" w:lineRule="auto"/>
        <w:jc w:val="both"/>
      </w:pPr>
      <w:r w:rsidRPr="0044370F">
        <w:t xml:space="preserve">Taken together, these three configurations demonstrate that corporate quasi-sovereignty is not a singular or uniform phenomenon, but a relational and context-dependent form of authority. Meta, Huawei, and SAP do not simply differ in degree of power; they differ in the mechanisms through which authority is constructed, legitimized, and stabilized. This configurational variation helps clarify the analytical boundaries between sovereign, quasi-sovereign, and para-sovereign forms of power. While none of the cases possesses full sovereign authority, each exhibits a durable capacity to govern specific domains in ways that constrain state action and reshape governance outcomes. Quasi-sovereignty, in this sense, denotes a stabilized configuration of domain-specific authority, whereas para-sovereignty captures more tentative or contested assertions of power that lack institutional consolidation. This distinction sharpens the dissertation's conceptual contribution and </w:t>
      </w:r>
      <w:r w:rsidRPr="0044370F">
        <w:lastRenderedPageBreak/>
        <w:t>prepares the ground for the broader theoretical discussion of sovereignty and world order in the following section.</w:t>
      </w:r>
    </w:p>
    <w:p w:rsidR="00926B5D" w:rsidRPr="0044370F" w:rsidRDefault="0093533E" w:rsidP="0093533E">
      <w:pPr>
        <w:pStyle w:val="2"/>
      </w:pPr>
      <w:bookmarkStart w:id="203" w:name="_Toc222652867"/>
      <w:r w:rsidRPr="0044370F">
        <w:rPr>
          <w:rStyle w:val="a4"/>
          <w:b/>
          <w:bCs w:val="0"/>
        </w:rPr>
        <w:t>8.4</w:t>
      </w:r>
      <w:r w:rsidRPr="0044370F">
        <w:rPr>
          <w:rStyle w:val="a4"/>
          <w:b/>
          <w:bCs w:val="0"/>
        </w:rPr>
        <w:tab/>
      </w:r>
      <w:r w:rsidR="00926B5D" w:rsidRPr="0044370F">
        <w:rPr>
          <w:rStyle w:val="a4"/>
          <w:b/>
          <w:bCs w:val="0"/>
        </w:rPr>
        <w:t>Theoretical Discussion: Distributed Sovereignty, Contextual Sovereignty, and Non-State Power</w:t>
      </w:r>
      <w:bookmarkEnd w:id="203"/>
    </w:p>
    <w:p w:rsidR="00926B5D" w:rsidRPr="0044370F" w:rsidRDefault="00926B5D" w:rsidP="00926B5D">
      <w:pPr>
        <w:pStyle w:val="NormalWeb"/>
        <w:spacing w:line="360" w:lineRule="auto"/>
        <w:jc w:val="both"/>
      </w:pPr>
      <w:r w:rsidRPr="0044370F">
        <w:t>Building on the configurational analysis above, this section interprets the findings through broader theoretical lenses concerned with the transformation of sovereignty and non-state power.</w:t>
      </w:r>
    </w:p>
    <w:p w:rsidR="00926B5D" w:rsidRPr="0044370F" w:rsidRDefault="00926B5D" w:rsidP="00926B5D">
      <w:pPr>
        <w:pStyle w:val="NormalWeb"/>
        <w:spacing w:line="360" w:lineRule="auto"/>
        <w:jc w:val="both"/>
        <w:rPr>
          <w:rFonts w:cstheme="majorBidi"/>
        </w:rPr>
      </w:pPr>
      <w:r w:rsidRPr="0044370F">
        <w:rPr>
          <w:rFonts w:asciiTheme="majorBidi" w:hAnsiTheme="majorBidi" w:cstheme="majorBidi"/>
        </w:rPr>
        <w:t xml:space="preserve">The above configurations illustrate how sovereignty in the contemporary era can be </w:t>
      </w:r>
      <w:r w:rsidRPr="0044370F">
        <w:rPr>
          <w:rStyle w:val="a4"/>
          <w:rFonts w:asciiTheme="majorBidi" w:eastAsiaTheme="majorEastAsia" w:hAnsiTheme="majorBidi"/>
        </w:rPr>
        <w:t>distributed, contextual, and exercised by non-state actors</w:t>
      </w:r>
      <w:r w:rsidRPr="0044370F">
        <w:rPr>
          <w:rFonts w:asciiTheme="majorBidi" w:hAnsiTheme="majorBidi" w:cstheme="majorBidi"/>
        </w:rPr>
        <w:t xml:space="preserve">. We now interpret these findings through three conceptual lenses, </w:t>
      </w:r>
      <w:r w:rsidRPr="0044370F">
        <w:rPr>
          <w:rStyle w:val="a5"/>
          <w:rFonts w:asciiTheme="majorBidi" w:eastAsiaTheme="majorEastAsia" w:hAnsiTheme="majorBidi"/>
        </w:rPr>
        <w:t>distributed sovereignty</w:t>
      </w:r>
      <w:r w:rsidRPr="0044370F">
        <w:rPr>
          <w:rFonts w:asciiTheme="majorBidi" w:hAnsiTheme="majorBidi" w:cstheme="majorBidi"/>
        </w:rPr>
        <w:t xml:space="preserve">, </w:t>
      </w:r>
      <w:r w:rsidRPr="0044370F">
        <w:rPr>
          <w:rStyle w:val="a5"/>
          <w:rFonts w:asciiTheme="majorBidi" w:eastAsiaTheme="majorEastAsia" w:hAnsiTheme="majorBidi"/>
        </w:rPr>
        <w:t>contextual sovereignty</w:t>
      </w:r>
      <w:r w:rsidRPr="0044370F">
        <w:rPr>
          <w:rFonts w:asciiTheme="majorBidi" w:hAnsiTheme="majorBidi" w:cstheme="majorBidi"/>
        </w:rPr>
        <w:t xml:space="preserve">, and </w:t>
      </w:r>
      <w:r w:rsidRPr="0044370F">
        <w:rPr>
          <w:rStyle w:val="a5"/>
          <w:rFonts w:asciiTheme="majorBidi" w:eastAsiaTheme="majorEastAsia" w:hAnsiTheme="majorBidi"/>
        </w:rPr>
        <w:t>the anatomy of non-state power</w:t>
      </w:r>
      <w:r w:rsidRPr="0044370F">
        <w:rPr>
          <w:rFonts w:asciiTheme="majorBidi" w:hAnsiTheme="majorBidi" w:cstheme="majorBidi"/>
        </w:rPr>
        <w:t>, to understand the evolving nature of authority in global governance.</w:t>
      </w:r>
    </w:p>
    <w:p w:rsidR="00926B5D" w:rsidRPr="0044370F" w:rsidRDefault="00926B5D" w:rsidP="0093533E">
      <w:pPr>
        <w:pStyle w:val="3"/>
      </w:pPr>
      <w:bookmarkStart w:id="204" w:name="_Toc222652868"/>
      <w:r w:rsidRPr="0044370F">
        <w:t>8.4.1</w:t>
      </w:r>
      <w:r w:rsidRPr="0044370F">
        <w:tab/>
        <w:t>Distributed Sovereignty</w:t>
      </w:r>
      <w:bookmarkEnd w:id="204"/>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The rise of corporate actors with sovereign-like power suggests that sovereignty is no longer the sole province of nation-states; instead, it is </w:t>
      </w:r>
      <w:r w:rsidRPr="0044370F">
        <w:rPr>
          <w:rStyle w:val="a4"/>
          <w:rFonts w:asciiTheme="majorBidi" w:eastAsiaTheme="majorEastAsia" w:hAnsiTheme="majorBidi"/>
        </w:rPr>
        <w:t>distributed among multiple sites of authority</w:t>
      </w:r>
      <w:r w:rsidRPr="0044370F">
        <w:rPr>
          <w:rFonts w:asciiTheme="majorBidi" w:hAnsiTheme="majorBidi" w:cstheme="majorBidi"/>
        </w:rPr>
        <w:t xml:space="preserve">. In each case study, we saw sovereignty dispersed: Meta shares governance over the public sphere with states (and sometimes usurps it within its platforms), Huawei’s influence emerges from a state-corporate nexus spanning borders, and SAP’s authority permeates through market networks.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This aligns with contemporary scholarship positing that </w:t>
      </w:r>
      <w:r w:rsidRPr="0044370F">
        <w:rPr>
          <w:rStyle w:val="a5"/>
          <w:rFonts w:asciiTheme="majorBidi" w:eastAsiaTheme="majorEastAsia" w:hAnsiTheme="majorBidi"/>
        </w:rPr>
        <w:t>“sovereignty is distributed among a range of state and non-state actors</w:t>
      </w:r>
      <w:r w:rsidRPr="0044370F">
        <w:rPr>
          <w:rStyle w:val="a8"/>
          <w:rFonts w:asciiTheme="majorBidi" w:eastAsiaTheme="majorEastAsia" w:hAnsiTheme="majorBidi" w:cstheme="majorBidi"/>
          <w:i/>
          <w:iCs/>
        </w:rPr>
        <w:footnoteReference w:id="329"/>
      </w:r>
      <w:r w:rsidRPr="0044370F">
        <w:rPr>
          <w:rStyle w:val="a5"/>
          <w:rFonts w:asciiTheme="majorBidi" w:eastAsiaTheme="majorEastAsia" w:hAnsiTheme="majorBidi"/>
        </w:rPr>
        <w:t>”.</w:t>
      </w:r>
      <w:r w:rsidRPr="0044370F">
        <w:rPr>
          <w:rFonts w:asciiTheme="majorBidi" w:hAnsiTheme="majorBidi" w:cstheme="majorBidi"/>
        </w:rPr>
        <w:t xml:space="preserve"> Rather than a Westphalian model</w:t>
      </w:r>
      <w:r w:rsidRPr="0044370F">
        <w:rPr>
          <w:rStyle w:val="a8"/>
          <w:rFonts w:asciiTheme="majorBidi" w:hAnsiTheme="majorBidi" w:cstheme="majorBidi"/>
        </w:rPr>
        <w:footnoteReference w:id="330"/>
      </w:r>
      <w:r w:rsidRPr="0044370F">
        <w:rPr>
          <w:rFonts w:asciiTheme="majorBidi" w:hAnsiTheme="majorBidi" w:cstheme="majorBidi"/>
        </w:rPr>
        <w:t xml:space="preserve"> of neatly bounded, unitary state sovereignty, we observe a more polycentric arrangement where corporations, states, and other entities collectively constitute the governing system. </w:t>
      </w:r>
      <w:r w:rsidRPr="0044370F">
        <w:rPr>
          <w:rStyle w:val="a4"/>
          <w:rFonts w:asciiTheme="majorBidi" w:eastAsiaTheme="majorEastAsia" w:hAnsiTheme="majorBidi"/>
        </w:rPr>
        <w:t>Distributed sovereignty</w:t>
      </w:r>
      <w:r w:rsidRPr="0044370F">
        <w:rPr>
          <w:rFonts w:asciiTheme="majorBidi" w:hAnsiTheme="majorBidi" w:cstheme="majorBidi"/>
        </w:rPr>
        <w:t xml:space="preserve"> means power is networked. Similarly, Huawei’s entanglement in international 5G rollout shows sovereignty </w:t>
      </w:r>
      <w:r w:rsidRPr="0044370F">
        <w:rPr>
          <w:rFonts w:asciiTheme="majorBidi" w:hAnsiTheme="majorBidi" w:cstheme="majorBidi"/>
        </w:rPr>
        <w:lastRenderedPageBreak/>
        <w:t>operating through supply chains and strategic partnerships; decisions about infrastructure involve not just host states but also Huawei (guided by China’s policy)</w:t>
      </w:r>
      <w:r w:rsidRPr="0044370F">
        <w:rPr>
          <w:rStyle w:val="a8"/>
          <w:rFonts w:asciiTheme="majorBidi" w:hAnsiTheme="majorBidi" w:cstheme="majorBidi"/>
        </w:rPr>
        <w:footnoteReference w:id="331"/>
      </w:r>
      <w:r w:rsidRPr="0044370F">
        <w:rPr>
          <w:rFonts w:asciiTheme="majorBidi" w:hAnsiTheme="majorBidi" w:cstheme="majorBidi"/>
        </w:rPr>
        <w:t xml:space="preserve">.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This dispersion does not imply equal power relations; indeed, the corporate “nodes” often enjoy asymmetric advantages, but it does mean sovereignty is </w:t>
      </w:r>
      <w:r w:rsidRPr="0044370F">
        <w:rPr>
          <w:rStyle w:val="a4"/>
          <w:rFonts w:asciiTheme="majorBidi" w:eastAsiaTheme="majorEastAsia" w:hAnsiTheme="majorBidi"/>
        </w:rPr>
        <w:t>shared and negotiated</w:t>
      </w:r>
      <w:r w:rsidRPr="0044370F">
        <w:rPr>
          <w:rFonts w:asciiTheme="majorBidi" w:hAnsiTheme="majorBidi" w:cstheme="majorBidi"/>
        </w:rPr>
        <w:t xml:space="preserve"> across different actors. We see emergent forms of </w:t>
      </w:r>
      <w:r w:rsidRPr="0044370F">
        <w:rPr>
          <w:rStyle w:val="a4"/>
          <w:rFonts w:asciiTheme="majorBidi" w:eastAsiaTheme="majorEastAsia" w:hAnsiTheme="majorBidi"/>
        </w:rPr>
        <w:t>network sovereignty</w:t>
      </w:r>
      <w:r w:rsidRPr="0044370F">
        <w:rPr>
          <w:rFonts w:asciiTheme="majorBidi" w:hAnsiTheme="majorBidi" w:cstheme="majorBidi"/>
        </w:rPr>
        <w:t xml:space="preserve"> or </w:t>
      </w:r>
      <w:r w:rsidRPr="0044370F">
        <w:rPr>
          <w:rStyle w:val="a4"/>
          <w:rFonts w:asciiTheme="majorBidi" w:eastAsiaTheme="majorEastAsia" w:hAnsiTheme="majorBidi"/>
        </w:rPr>
        <w:t>multilevel governance</w:t>
      </w:r>
      <w:r w:rsidRPr="0044370F">
        <w:rPr>
          <w:rFonts w:asciiTheme="majorBidi" w:hAnsiTheme="majorBidi" w:cstheme="majorBidi"/>
        </w:rPr>
        <w:t xml:space="preserve"> in which corporations exercise significant autonomous authority within their domains</w:t>
      </w:r>
      <w:r w:rsidRPr="0044370F">
        <w:rPr>
          <w:rStyle w:val="a8"/>
          <w:rFonts w:asciiTheme="majorBidi" w:hAnsiTheme="majorBidi" w:cstheme="majorBidi"/>
        </w:rPr>
        <w:footnoteReference w:id="332"/>
      </w:r>
      <w:r w:rsidRPr="0044370F">
        <w:rPr>
          <w:rFonts w:asciiTheme="majorBidi" w:hAnsiTheme="majorBidi" w:cstheme="majorBidi"/>
        </w:rPr>
        <w:t>. Importantly, such distributed sovereignty can undermine traditional notions of accountability: when authority is diffuse, no single sovereign is fully answerable. This raises urgent questions about how to constrain and guide corporate power that transcends jurisdictions.</w:t>
      </w:r>
    </w:p>
    <w:p w:rsidR="00926B5D" w:rsidRPr="0044370F" w:rsidRDefault="00926B5D" w:rsidP="0093533E">
      <w:pPr>
        <w:pStyle w:val="3"/>
      </w:pPr>
      <w:bookmarkStart w:id="205" w:name="_Toc222652869"/>
      <w:r w:rsidRPr="0044370F">
        <w:t>8.4.2</w:t>
      </w:r>
      <w:r w:rsidRPr="0044370F">
        <w:tab/>
        <w:t>Contextual Sovereignty</w:t>
      </w:r>
      <w:bookmarkEnd w:id="205"/>
    </w:p>
    <w:p w:rsidR="00926B5D" w:rsidRPr="0044370F" w:rsidRDefault="00926B5D" w:rsidP="00926B5D">
      <w:pPr>
        <w:pStyle w:val="NormalWeb"/>
        <w:spacing w:line="360" w:lineRule="auto"/>
        <w:jc w:val="both"/>
        <w:rPr>
          <w:rFonts w:asciiTheme="majorBidi" w:hAnsiTheme="majorBidi" w:cstheme="majorBidi"/>
          <w:rtl/>
        </w:rPr>
      </w:pPr>
      <w:r w:rsidRPr="0044370F">
        <w:rPr>
          <w:rFonts w:asciiTheme="majorBidi" w:hAnsiTheme="majorBidi" w:cstheme="majorBidi"/>
        </w:rPr>
        <w:t xml:space="preserve">Hand in hand with distribution comes the idea of </w:t>
      </w:r>
      <w:r w:rsidRPr="0044370F">
        <w:rPr>
          <w:rStyle w:val="a4"/>
          <w:rFonts w:asciiTheme="majorBidi" w:eastAsiaTheme="majorEastAsia" w:hAnsiTheme="majorBidi"/>
        </w:rPr>
        <w:t>contextual sovereignty</w:t>
      </w:r>
      <w:r w:rsidRPr="0044370F">
        <w:rPr>
          <w:rFonts w:asciiTheme="majorBidi" w:hAnsiTheme="majorBidi" w:cstheme="majorBidi"/>
        </w:rPr>
        <w:t>: the notion that sovereign-like power is exercised differently across contexts or domains</w:t>
      </w:r>
      <w:r w:rsidRPr="0044370F">
        <w:rPr>
          <w:rStyle w:val="a8"/>
          <w:rFonts w:asciiTheme="majorBidi" w:hAnsiTheme="majorBidi" w:cstheme="majorBidi"/>
        </w:rPr>
        <w:footnoteReference w:id="333"/>
      </w:r>
      <w:r w:rsidRPr="0044370F">
        <w:rPr>
          <w:rFonts w:asciiTheme="majorBidi" w:hAnsiTheme="majorBidi" w:cstheme="majorBidi"/>
        </w:rPr>
        <w:t>. The case studies demonstrate that who behaves as a “sovereign” varies by context</w:t>
      </w:r>
      <w:r w:rsidRPr="0044370F">
        <w:rPr>
          <w:rStyle w:val="a8"/>
          <w:rFonts w:asciiTheme="majorBidi" w:hAnsiTheme="majorBidi" w:cstheme="majorBidi"/>
        </w:rPr>
        <w:footnoteReference w:id="334"/>
      </w:r>
      <w:r w:rsidRPr="0044370F">
        <w:rPr>
          <w:rFonts w:asciiTheme="majorBidi" w:hAnsiTheme="majorBidi" w:cstheme="majorBidi"/>
        </w:rPr>
        <w:t xml:space="preserve">, and the nature of that sovereignty is context-specific. In the </w:t>
      </w:r>
      <w:r w:rsidRPr="0044370F">
        <w:rPr>
          <w:rStyle w:val="a5"/>
          <w:rFonts w:asciiTheme="majorBidi" w:eastAsiaTheme="majorEastAsia" w:hAnsiTheme="majorBidi"/>
        </w:rPr>
        <w:t>digital communications context</w:t>
      </w:r>
      <w:r w:rsidRPr="0044370F">
        <w:rPr>
          <w:rFonts w:asciiTheme="majorBidi" w:hAnsiTheme="majorBidi" w:cstheme="majorBidi"/>
        </w:rPr>
        <w:t>, Meta assumes a sovereign role by governing speech and information flows</w:t>
      </w:r>
      <w:r w:rsidRPr="0044370F">
        <w:rPr>
          <w:rStyle w:val="a8"/>
          <w:rFonts w:asciiTheme="majorBidi" w:hAnsiTheme="majorBidi" w:cstheme="majorBidi"/>
        </w:rPr>
        <w:footnoteReference w:id="335"/>
      </w:r>
      <w:r w:rsidRPr="0044370F">
        <w:rPr>
          <w:rFonts w:asciiTheme="majorBidi" w:hAnsiTheme="majorBidi" w:cstheme="majorBidi"/>
        </w:rPr>
        <w:t xml:space="preserve">, whereas national governments often defer or react to Meta’s policies in that realm. In the </w:t>
      </w:r>
      <w:r w:rsidRPr="0044370F">
        <w:rPr>
          <w:rStyle w:val="a5"/>
          <w:rFonts w:asciiTheme="majorBidi" w:eastAsiaTheme="majorEastAsia" w:hAnsiTheme="majorBidi"/>
        </w:rPr>
        <w:t>telecommunications and infrastructure context</w:t>
      </w:r>
      <w:r w:rsidRPr="0044370F">
        <w:rPr>
          <w:rFonts w:asciiTheme="majorBidi" w:hAnsiTheme="majorBidi" w:cstheme="majorBidi"/>
        </w:rPr>
        <w:t xml:space="preserve">, a company like Huawei can wield dominant power, but its sovereignty is interwoven with the geopolitical context (i.e., the U.S.-China tech rivalry). </w:t>
      </w:r>
    </w:p>
    <w:p w:rsidR="00926B5D" w:rsidRPr="0044370F" w:rsidRDefault="00926B5D" w:rsidP="00926B5D">
      <w:pPr>
        <w:pStyle w:val="NormalWeb"/>
        <w:spacing w:line="360" w:lineRule="auto"/>
        <w:jc w:val="both"/>
        <w:rPr>
          <w:rFonts w:cstheme="majorBidi"/>
        </w:rPr>
      </w:pPr>
      <w:r w:rsidRPr="0044370F">
        <w:rPr>
          <w:rFonts w:asciiTheme="majorBidi" w:hAnsiTheme="majorBidi" w:cstheme="majorBidi"/>
        </w:rPr>
        <w:lastRenderedPageBreak/>
        <w:t xml:space="preserve">Taken together, the contemporary literature suggests that sovereignty in the digital age should be conceptualized not as a singular, territorially bounded attribute of states, but as a </w:t>
      </w:r>
      <w:r w:rsidRPr="0044370F">
        <w:rPr>
          <w:rStyle w:val="a4"/>
          <w:rFonts w:asciiTheme="majorBidi" w:eastAsiaTheme="majorEastAsia" w:hAnsiTheme="majorBidi"/>
        </w:rPr>
        <w:t>multi-modal structure distributed across actors, domains, and infrastructures</w:t>
      </w:r>
      <w:r w:rsidRPr="0044370F">
        <w:rPr>
          <w:rStyle w:val="a8"/>
          <w:rFonts w:asciiTheme="majorBidi" w:hAnsiTheme="majorBidi" w:cstheme="majorBidi"/>
          <w:b/>
          <w:bCs/>
        </w:rPr>
        <w:footnoteReference w:id="336"/>
      </w:r>
      <w:r w:rsidRPr="0044370F">
        <w:rPr>
          <w:rFonts w:asciiTheme="majorBidi" w:hAnsiTheme="majorBidi" w:cstheme="majorBidi"/>
        </w:rPr>
        <w:t xml:space="preserve">. </w:t>
      </w:r>
    </w:p>
    <w:p w:rsidR="00926B5D" w:rsidRPr="0044370F" w:rsidRDefault="00926B5D" w:rsidP="00926B5D">
      <w:pPr>
        <w:pStyle w:val="NormalWeb"/>
        <w:spacing w:line="360" w:lineRule="auto"/>
        <w:jc w:val="both"/>
        <w:rPr>
          <w:rFonts w:cstheme="majorBidi"/>
        </w:rPr>
      </w:pPr>
      <w:r w:rsidRPr="0044370F">
        <w:rPr>
          <w:rFonts w:asciiTheme="majorBidi" w:hAnsiTheme="majorBidi" w:cstheme="majorBidi"/>
        </w:rPr>
        <w:t xml:space="preserve">First, </w:t>
      </w:r>
      <w:r w:rsidRPr="0044370F">
        <w:rPr>
          <w:rStyle w:val="a5"/>
          <w:rFonts w:asciiTheme="majorBidi" w:eastAsiaTheme="majorEastAsia" w:hAnsiTheme="majorBidi"/>
        </w:rPr>
        <w:t>distributed sovereignty</w:t>
      </w:r>
      <w:r w:rsidRPr="0044370F">
        <w:rPr>
          <w:rFonts w:asciiTheme="majorBidi" w:hAnsiTheme="majorBidi" w:cstheme="majorBidi"/>
        </w:rPr>
        <w:t xml:space="preserve"> captures the diffusion of authority across states, corporations, and transnational bodies, creating governance arrangements in which no single actor monopolizes control. Second, </w:t>
      </w:r>
      <w:r w:rsidRPr="0044370F">
        <w:rPr>
          <w:rStyle w:val="a5"/>
          <w:rFonts w:asciiTheme="majorBidi" w:eastAsiaTheme="majorEastAsia" w:hAnsiTheme="majorBidi"/>
        </w:rPr>
        <w:t>contextual sovereignty</w:t>
      </w:r>
      <w:r w:rsidRPr="0044370F">
        <w:rPr>
          <w:rFonts w:asciiTheme="majorBidi" w:hAnsiTheme="majorBidi" w:cstheme="majorBidi"/>
        </w:rPr>
        <w:t xml:space="preserve"> highlights that sovereign-like authority is domain-specific: platforms like Meta wield sovereignty over digital speech and visibility, while infrastructure firms like Huawei exercise sovereignty over network architectures, each commanding a different arena of rule-setting. Third, </w:t>
      </w:r>
      <w:r w:rsidRPr="0044370F">
        <w:rPr>
          <w:rStyle w:val="a5"/>
          <w:rFonts w:asciiTheme="majorBidi" w:eastAsiaTheme="majorEastAsia" w:hAnsiTheme="majorBidi"/>
        </w:rPr>
        <w:t>hybrid sovereignty</w:t>
      </w:r>
      <w:r w:rsidRPr="0044370F">
        <w:rPr>
          <w:rFonts w:asciiTheme="majorBidi" w:hAnsiTheme="majorBidi" w:cstheme="majorBidi"/>
        </w:rPr>
        <w:t xml:space="preserve"> describes arrangements in which corporate and state power become intertwined, as in Huawei’s alignment with the Chinese state, producing a blended form of authority that derives legitimacy and capacity from both market position and geopolitical backing. Finally, </w:t>
      </w:r>
      <w:r w:rsidRPr="0044370F">
        <w:rPr>
          <w:rStyle w:val="a5"/>
          <w:rFonts w:asciiTheme="majorBidi" w:eastAsiaTheme="majorEastAsia" w:hAnsiTheme="majorBidi"/>
        </w:rPr>
        <w:t>network sovereignty</w:t>
      </w:r>
      <w:r w:rsidRPr="0044370F">
        <w:rPr>
          <w:rFonts w:asciiTheme="majorBidi" w:hAnsiTheme="majorBidi" w:cstheme="majorBidi"/>
        </w:rPr>
        <w:t xml:space="preserve"> emphasizes that power emerges from control of interconnected socio-technical systems: the ability of firms to set standards, structure information flows, or shape infrastructure functionality becomes a form of rule-making embedded within global networks themselves.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Synthesized, these concepts illuminate how Meta, Huawei, and SAP each assume sovereign-like authority through distinct modalities, discursive, infrastructural, institutional, or geopolitical, demonstrating that sovereignty today is fragmented, relational, and enacted through digital architectures rather than confined to territorial rule.</w:t>
      </w:r>
    </w:p>
    <w:p w:rsidR="00DC5AE7" w:rsidRPr="0044370F" w:rsidRDefault="00926B5D" w:rsidP="00DC5AE7">
      <w:pPr>
        <w:pStyle w:val="NormalWeb"/>
        <w:spacing w:line="360" w:lineRule="auto"/>
        <w:jc w:val="both"/>
        <w:rPr>
          <w:rStyle w:val="a4"/>
          <w:rFonts w:cstheme="majorBidi"/>
          <w:b w:val="0"/>
          <w:bCs w:val="0"/>
          <w:rtl/>
        </w:rPr>
      </w:pPr>
      <w:r w:rsidRPr="0044370F">
        <w:rPr>
          <w:rFonts w:asciiTheme="majorBidi" w:hAnsiTheme="majorBidi" w:cstheme="majorBidi"/>
        </w:rPr>
        <w:t>Moreover, contextual sovereignty highlights how non-state actors leverage specific contexts to gain autonomy: SAP stays apolitical and thus secures sovereignty in the economic-tech context; Huawei’s sovereignty is amplified in developing telecom markets that welcome its expertise; Meta’s sovereignty is greatest in regulatory grey zones of the global internet</w:t>
      </w:r>
      <w:r w:rsidRPr="0044370F">
        <w:rPr>
          <w:rStyle w:val="a8"/>
          <w:rFonts w:asciiTheme="majorBidi" w:hAnsiTheme="majorBidi" w:cstheme="majorBidi"/>
        </w:rPr>
        <w:footnoteReference w:id="337"/>
      </w:r>
      <w:r w:rsidRPr="0044370F">
        <w:rPr>
          <w:rFonts w:asciiTheme="majorBidi" w:hAnsiTheme="majorBidi" w:cstheme="majorBidi"/>
        </w:rPr>
        <w:t xml:space="preserve">. Understanding these contextual dynamics is key to managing the overlap (and potential clashes) between state sovereignty and corporate quasi-sovereignty. </w:t>
      </w:r>
    </w:p>
    <w:p w:rsidR="00926B5D" w:rsidRPr="0044370F" w:rsidRDefault="00DC5AE7" w:rsidP="0093533E">
      <w:pPr>
        <w:pStyle w:val="3"/>
        <w:rPr>
          <w:rStyle w:val="a4"/>
          <w:b/>
          <w:bCs/>
          <w:szCs w:val="28"/>
          <w:rtl/>
        </w:rPr>
      </w:pPr>
      <w:r w:rsidRPr="0044370F">
        <w:rPr>
          <w:rStyle w:val="a4"/>
          <w:rFonts w:cstheme="majorBidi"/>
          <w:b/>
          <w:bCs/>
          <w:rtl/>
        </w:rPr>
        <w:br w:type="page"/>
      </w:r>
      <w:bookmarkStart w:id="206" w:name="_Toc222652870"/>
      <w:r w:rsidR="00926B5D" w:rsidRPr="0044370F">
        <w:rPr>
          <w:rStyle w:val="a4"/>
          <w:b/>
          <w:bCs/>
        </w:rPr>
        <w:lastRenderedPageBreak/>
        <w:t>Table 1</w:t>
      </w:r>
      <w:r w:rsidR="009E2790" w:rsidRPr="0044370F">
        <w:rPr>
          <w:rStyle w:val="a4"/>
          <w:rFonts w:hint="cs"/>
          <w:b/>
          <w:bCs/>
          <w:szCs w:val="28"/>
          <w:rtl/>
        </w:rPr>
        <w:t>2</w:t>
      </w:r>
      <w:r w:rsidR="00926B5D" w:rsidRPr="0044370F">
        <w:rPr>
          <w:rStyle w:val="a4"/>
          <w:b/>
          <w:bCs/>
        </w:rPr>
        <w:t>: Comparative Forms of Sovereignty Across Meta, Huawei, and SAP</w:t>
      </w:r>
      <w:bookmarkEnd w:id="206"/>
    </w:p>
    <w:tbl>
      <w:tblPr>
        <w:tblStyle w:val="5"/>
        <w:tblW w:w="9923" w:type="dxa"/>
        <w:tblInd w:w="-5" w:type="dxa"/>
        <w:tblLayout w:type="fixed"/>
        <w:tblLook w:val="04A0" w:firstRow="1" w:lastRow="0" w:firstColumn="1" w:lastColumn="0" w:noHBand="0" w:noVBand="1"/>
      </w:tblPr>
      <w:tblGrid>
        <w:gridCol w:w="1560"/>
        <w:gridCol w:w="2977"/>
        <w:gridCol w:w="2693"/>
        <w:gridCol w:w="2693"/>
      </w:tblGrid>
      <w:tr w:rsidR="00926B5D" w:rsidRPr="0044370F" w:rsidTr="009353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666699"/>
            <w:hideMark/>
          </w:tcPr>
          <w:p w:rsidR="00926B5D" w:rsidRPr="0044370F" w:rsidRDefault="00926B5D" w:rsidP="009E2790">
            <w:pPr>
              <w:spacing w:line="360" w:lineRule="auto"/>
              <w:jc w:val="center"/>
              <w:rPr>
                <w:rFonts w:asciiTheme="majorBidi" w:hAnsiTheme="majorBidi" w:cstheme="majorBidi"/>
                <w:b w:val="0"/>
                <w:bCs w:val="0"/>
                <w:sz w:val="24"/>
                <w:szCs w:val="24"/>
              </w:rPr>
            </w:pPr>
            <w:r w:rsidRPr="0044370F">
              <w:rPr>
                <w:rStyle w:val="a4"/>
                <w:rFonts w:asciiTheme="majorBidi" w:hAnsiTheme="majorBidi"/>
                <w:sz w:val="24"/>
                <w:szCs w:val="24"/>
              </w:rPr>
              <w:t>Sovereignty Concept</w:t>
            </w:r>
          </w:p>
        </w:tc>
        <w:tc>
          <w:tcPr>
            <w:tcW w:w="2977" w:type="dxa"/>
            <w:shd w:val="clear" w:color="auto" w:fill="666699"/>
            <w:hideMark/>
          </w:tcPr>
          <w:p w:rsidR="00926B5D" w:rsidRPr="0044370F" w:rsidRDefault="00926B5D" w:rsidP="009E279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44370F">
              <w:rPr>
                <w:rStyle w:val="a4"/>
                <w:rFonts w:asciiTheme="majorBidi" w:hAnsiTheme="majorBidi"/>
                <w:sz w:val="24"/>
                <w:szCs w:val="24"/>
              </w:rPr>
              <w:t>Meta</w:t>
            </w:r>
          </w:p>
        </w:tc>
        <w:tc>
          <w:tcPr>
            <w:tcW w:w="2693" w:type="dxa"/>
            <w:shd w:val="clear" w:color="auto" w:fill="666699"/>
            <w:hideMark/>
          </w:tcPr>
          <w:p w:rsidR="00926B5D" w:rsidRPr="0044370F" w:rsidRDefault="00926B5D" w:rsidP="009E279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44370F">
              <w:rPr>
                <w:rStyle w:val="a4"/>
                <w:rFonts w:asciiTheme="majorBidi" w:hAnsiTheme="majorBidi"/>
                <w:sz w:val="24"/>
                <w:szCs w:val="24"/>
              </w:rPr>
              <w:t>Huawei</w:t>
            </w:r>
          </w:p>
        </w:tc>
        <w:tc>
          <w:tcPr>
            <w:tcW w:w="2693" w:type="dxa"/>
            <w:shd w:val="clear" w:color="auto" w:fill="666699"/>
            <w:hideMark/>
          </w:tcPr>
          <w:p w:rsidR="00926B5D" w:rsidRPr="0044370F" w:rsidRDefault="00926B5D" w:rsidP="009E2790">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4"/>
                <w:szCs w:val="24"/>
              </w:rPr>
            </w:pPr>
            <w:r w:rsidRPr="0044370F">
              <w:rPr>
                <w:rStyle w:val="a4"/>
                <w:rFonts w:asciiTheme="majorBidi" w:hAnsiTheme="majorBidi"/>
                <w:sz w:val="24"/>
                <w:szCs w:val="24"/>
              </w:rPr>
              <w:t>SAP</w:t>
            </w:r>
          </w:p>
        </w:tc>
      </w:tr>
      <w:tr w:rsidR="00926B5D" w:rsidRPr="0044370F" w:rsidTr="00935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CCCCFF"/>
            <w:hideMark/>
          </w:tcPr>
          <w:p w:rsidR="00926B5D" w:rsidRPr="0044370F" w:rsidRDefault="00926B5D" w:rsidP="009E2790">
            <w:pPr>
              <w:spacing w:line="360" w:lineRule="auto"/>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Distributed Sovereignty</w:t>
            </w:r>
          </w:p>
        </w:tc>
        <w:tc>
          <w:tcPr>
            <w:tcW w:w="2977" w:type="dxa"/>
            <w:shd w:val="clear" w:color="auto" w:fill="CCCCFF"/>
            <w:hideMark/>
          </w:tcPr>
          <w:p w:rsidR="00926B5D" w:rsidRPr="0044370F" w:rsidRDefault="00926B5D" w:rsidP="009E279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Exercises authority alongside states: content rules, algorithms, and Community Standards operate in parallel with national regulation. Public and private governance jointly shape the digital sphere.</w:t>
            </w:r>
          </w:p>
        </w:tc>
        <w:tc>
          <w:tcPr>
            <w:tcW w:w="2693" w:type="dxa"/>
            <w:shd w:val="clear" w:color="auto" w:fill="CCCCFF"/>
            <w:hideMark/>
          </w:tcPr>
          <w:p w:rsidR="00926B5D" w:rsidRPr="0044370F" w:rsidRDefault="00926B5D" w:rsidP="009E279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Authority is distributed among the Chinese state, foreign telecom operators, and international standards bodies. Sovereignty is shared across infrastructure, regulation, and geopolitical strategy.</w:t>
            </w:r>
          </w:p>
        </w:tc>
        <w:tc>
          <w:tcPr>
            <w:tcW w:w="2693" w:type="dxa"/>
            <w:shd w:val="clear" w:color="auto" w:fill="CCCCFF"/>
            <w:hideMark/>
          </w:tcPr>
          <w:p w:rsidR="00926B5D" w:rsidRPr="0044370F" w:rsidRDefault="00926B5D" w:rsidP="009E279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Authority is distributed among SAP, European regulators, and thousands of client organizations. Legal and procedural norms are embedded in the software, diffusing public authority into technical infrastructure.</w:t>
            </w:r>
          </w:p>
        </w:tc>
      </w:tr>
      <w:tr w:rsidR="00926B5D" w:rsidRPr="0044370F" w:rsidTr="0093533E">
        <w:tc>
          <w:tcPr>
            <w:cnfStyle w:val="001000000000" w:firstRow="0" w:lastRow="0" w:firstColumn="1" w:lastColumn="0" w:oddVBand="0" w:evenVBand="0" w:oddHBand="0" w:evenHBand="0" w:firstRowFirstColumn="0" w:firstRowLastColumn="0" w:lastRowFirstColumn="0" w:lastRowLastColumn="0"/>
            <w:tcW w:w="1560" w:type="dxa"/>
            <w:shd w:val="clear" w:color="auto" w:fill="D9D9D9" w:themeFill="background1" w:themeFillShade="D9"/>
            <w:hideMark/>
          </w:tcPr>
          <w:p w:rsidR="00926B5D" w:rsidRPr="0044370F" w:rsidRDefault="00926B5D" w:rsidP="009E2790">
            <w:pPr>
              <w:spacing w:line="360" w:lineRule="auto"/>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Contextual Sovereignty</w:t>
            </w:r>
          </w:p>
        </w:tc>
        <w:tc>
          <w:tcPr>
            <w:tcW w:w="2977" w:type="dxa"/>
            <w:shd w:val="clear" w:color="auto" w:fill="D9D9D9" w:themeFill="background1" w:themeFillShade="D9"/>
            <w:hideMark/>
          </w:tcPr>
          <w:p w:rsidR="00926B5D" w:rsidRPr="0044370F" w:rsidRDefault="00926B5D" w:rsidP="009E279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Acts as a sovereign in </w:t>
            </w:r>
            <w:r w:rsidRPr="0044370F">
              <w:rPr>
                <w:rStyle w:val="a4"/>
                <w:rFonts w:asciiTheme="majorBidi" w:hAnsiTheme="majorBidi"/>
                <w:sz w:val="20"/>
                <w:szCs w:val="20"/>
              </w:rPr>
              <w:t>digital communication</w:t>
            </w:r>
            <w:r w:rsidRPr="0044370F">
              <w:rPr>
                <w:rFonts w:asciiTheme="majorBidi" w:hAnsiTheme="majorBidi" w:cstheme="majorBidi"/>
                <w:sz w:val="20"/>
                <w:szCs w:val="20"/>
              </w:rPr>
              <w:t>: governs speech, visibility, political expression, and information flows. Its sovereignty is strongest in public discourse.</w:t>
            </w:r>
          </w:p>
        </w:tc>
        <w:tc>
          <w:tcPr>
            <w:tcW w:w="2693" w:type="dxa"/>
            <w:shd w:val="clear" w:color="auto" w:fill="D9D9D9" w:themeFill="background1" w:themeFillShade="D9"/>
            <w:hideMark/>
          </w:tcPr>
          <w:p w:rsidR="00926B5D" w:rsidRPr="0044370F" w:rsidRDefault="00926B5D" w:rsidP="009E279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Acts as a sovereign in </w:t>
            </w:r>
            <w:r w:rsidRPr="0044370F">
              <w:rPr>
                <w:rStyle w:val="a4"/>
                <w:rFonts w:asciiTheme="majorBidi" w:hAnsiTheme="majorBidi"/>
                <w:sz w:val="20"/>
                <w:szCs w:val="20"/>
              </w:rPr>
              <w:t>telecom infrastructure</w:t>
            </w:r>
            <w:r w:rsidRPr="0044370F">
              <w:rPr>
                <w:rFonts w:asciiTheme="majorBidi" w:hAnsiTheme="majorBidi" w:cstheme="majorBidi"/>
                <w:sz w:val="20"/>
                <w:szCs w:val="20"/>
              </w:rPr>
              <w:t>: controls critical network equipment and architectures. Sovereign-like authority emerges in the presence of technical dependency.</w:t>
            </w:r>
          </w:p>
        </w:tc>
        <w:tc>
          <w:tcPr>
            <w:tcW w:w="2693" w:type="dxa"/>
            <w:shd w:val="clear" w:color="auto" w:fill="D9D9D9" w:themeFill="background1" w:themeFillShade="D9"/>
            <w:hideMark/>
          </w:tcPr>
          <w:p w:rsidR="00926B5D" w:rsidRPr="0044370F" w:rsidRDefault="00926B5D" w:rsidP="009E279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Acts as a sovereign in </w:t>
            </w:r>
            <w:r w:rsidRPr="0044370F">
              <w:rPr>
                <w:rStyle w:val="a4"/>
                <w:rFonts w:asciiTheme="majorBidi" w:hAnsiTheme="majorBidi"/>
                <w:sz w:val="20"/>
                <w:szCs w:val="20"/>
              </w:rPr>
              <w:t>organizational processes</w:t>
            </w:r>
            <w:r w:rsidRPr="0044370F">
              <w:rPr>
                <w:rFonts w:asciiTheme="majorBidi" w:hAnsiTheme="majorBidi" w:cstheme="majorBidi"/>
                <w:sz w:val="20"/>
                <w:szCs w:val="20"/>
              </w:rPr>
              <w:t>: governs finance, supply chains, compliance, HR, and reporting standards within firms</w:t>
            </w:r>
            <w:r w:rsidRPr="0044370F">
              <w:rPr>
                <w:rFonts w:asciiTheme="majorBidi" w:hAnsiTheme="majorBidi" w:cstheme="majorBidi"/>
                <w:sz w:val="20"/>
                <w:szCs w:val="20"/>
                <w:lang w:val="en-US"/>
              </w:rPr>
              <w:t>,</w:t>
            </w:r>
            <w:r w:rsidRPr="0044370F">
              <w:rPr>
                <w:rFonts w:asciiTheme="majorBidi" w:hAnsiTheme="majorBidi" w:cstheme="majorBidi"/>
                <w:sz w:val="20"/>
                <w:szCs w:val="20"/>
              </w:rPr>
              <w:t xml:space="preserve"> not in the public sphere.</w:t>
            </w:r>
          </w:p>
        </w:tc>
      </w:tr>
      <w:tr w:rsidR="00926B5D" w:rsidRPr="0044370F" w:rsidTr="009353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D5C7EB"/>
            <w:hideMark/>
          </w:tcPr>
          <w:p w:rsidR="00926B5D" w:rsidRPr="0044370F" w:rsidRDefault="00926B5D" w:rsidP="009E2790">
            <w:pPr>
              <w:spacing w:line="360" w:lineRule="auto"/>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Hybrid Sovereignty</w:t>
            </w:r>
          </w:p>
        </w:tc>
        <w:tc>
          <w:tcPr>
            <w:tcW w:w="2977" w:type="dxa"/>
            <w:shd w:val="clear" w:color="auto" w:fill="D5C7EB"/>
            <w:hideMark/>
          </w:tcPr>
          <w:p w:rsidR="00926B5D" w:rsidRPr="0044370F" w:rsidRDefault="00926B5D" w:rsidP="009E279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A hybrid of state law </w:t>
            </w:r>
            <w:r w:rsidRPr="0044370F">
              <w:rPr>
                <w:rFonts w:asciiTheme="majorBidi" w:hAnsiTheme="majorBidi" w:cstheme="majorBidi"/>
                <w:sz w:val="20"/>
                <w:szCs w:val="20"/>
                <w:lang w:val="en-US"/>
              </w:rPr>
              <w:t xml:space="preserve">&amp; </w:t>
            </w:r>
            <w:r w:rsidRPr="0044370F">
              <w:rPr>
                <w:rFonts w:asciiTheme="majorBidi" w:hAnsiTheme="majorBidi" w:cstheme="majorBidi"/>
                <w:sz w:val="20"/>
                <w:szCs w:val="20"/>
              </w:rPr>
              <w:t>private governance: Meta’s Oversight Board mirrors judicial processes, creating dual authority shared with governments.</w:t>
            </w:r>
          </w:p>
        </w:tc>
        <w:tc>
          <w:tcPr>
            <w:tcW w:w="2693" w:type="dxa"/>
            <w:shd w:val="clear" w:color="auto" w:fill="D5C7EB"/>
            <w:hideMark/>
          </w:tcPr>
          <w:p w:rsidR="00926B5D" w:rsidRPr="0044370F" w:rsidRDefault="00926B5D" w:rsidP="009E279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The strongest hybrid case: Huawei operates as an extension of Chinese state power, advancing geopolitical aims while benefiting from state support.</w:t>
            </w:r>
          </w:p>
        </w:tc>
        <w:tc>
          <w:tcPr>
            <w:tcW w:w="2693" w:type="dxa"/>
            <w:shd w:val="clear" w:color="auto" w:fill="D5C7EB"/>
            <w:hideMark/>
          </w:tcPr>
          <w:p w:rsidR="00926B5D" w:rsidRPr="0044370F" w:rsidRDefault="00926B5D" w:rsidP="009E2790">
            <w:p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A mild hybrid structure: SAP co-governs with regulators (GDPR, sovereign cloud), embedding state norms into software without acting as a state agent.</w:t>
            </w:r>
          </w:p>
        </w:tc>
      </w:tr>
      <w:tr w:rsidR="00926B5D" w:rsidRPr="0044370F" w:rsidTr="0093533E">
        <w:tc>
          <w:tcPr>
            <w:cnfStyle w:val="001000000000" w:firstRow="0" w:lastRow="0" w:firstColumn="1" w:lastColumn="0" w:oddVBand="0" w:evenVBand="0" w:oddHBand="0" w:evenHBand="0" w:firstRowFirstColumn="0" w:firstRowLastColumn="0" w:lastRowFirstColumn="0" w:lastRowLastColumn="0"/>
            <w:tcW w:w="1560" w:type="dxa"/>
            <w:shd w:val="clear" w:color="auto" w:fill="BFBFBF" w:themeFill="background1" w:themeFillShade="BF"/>
            <w:hideMark/>
          </w:tcPr>
          <w:p w:rsidR="00926B5D" w:rsidRPr="0044370F" w:rsidRDefault="00926B5D" w:rsidP="009E2790">
            <w:pPr>
              <w:spacing w:line="360" w:lineRule="auto"/>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Networked Sovereignty</w:t>
            </w:r>
          </w:p>
        </w:tc>
        <w:tc>
          <w:tcPr>
            <w:tcW w:w="2977" w:type="dxa"/>
            <w:shd w:val="clear" w:color="auto" w:fill="BFBFBF" w:themeFill="background1" w:themeFillShade="BF"/>
            <w:hideMark/>
          </w:tcPr>
          <w:p w:rsidR="00926B5D" w:rsidRPr="0044370F" w:rsidRDefault="00926B5D" w:rsidP="009E279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Controls global </w:t>
            </w:r>
            <w:r w:rsidRPr="0044370F">
              <w:rPr>
                <w:rStyle w:val="a4"/>
                <w:rFonts w:asciiTheme="majorBidi" w:hAnsiTheme="majorBidi"/>
                <w:sz w:val="20"/>
                <w:szCs w:val="20"/>
              </w:rPr>
              <w:t>information networks</w:t>
            </w:r>
            <w:r w:rsidRPr="0044370F">
              <w:rPr>
                <w:rFonts w:asciiTheme="majorBidi" w:hAnsiTheme="majorBidi" w:cstheme="majorBidi"/>
                <w:sz w:val="20"/>
                <w:szCs w:val="20"/>
              </w:rPr>
              <w:t>: algorithms determine visibility, virality, and narrative shaping. A sovereign node within digital information networks.</w:t>
            </w:r>
          </w:p>
        </w:tc>
        <w:tc>
          <w:tcPr>
            <w:tcW w:w="2693" w:type="dxa"/>
            <w:shd w:val="clear" w:color="auto" w:fill="BFBFBF" w:themeFill="background1" w:themeFillShade="BF"/>
            <w:hideMark/>
          </w:tcPr>
          <w:p w:rsidR="00926B5D" w:rsidRPr="0044370F" w:rsidRDefault="00926B5D" w:rsidP="009E279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Controls </w:t>
            </w:r>
            <w:r w:rsidRPr="0044370F">
              <w:rPr>
                <w:rStyle w:val="a4"/>
                <w:rFonts w:asciiTheme="majorBidi" w:hAnsiTheme="majorBidi"/>
                <w:sz w:val="20"/>
                <w:szCs w:val="20"/>
              </w:rPr>
              <w:t>physical network nodes</w:t>
            </w:r>
            <w:r w:rsidRPr="0044370F">
              <w:rPr>
                <w:rFonts w:asciiTheme="majorBidi" w:hAnsiTheme="majorBidi" w:cstheme="majorBidi"/>
                <w:sz w:val="20"/>
                <w:szCs w:val="20"/>
              </w:rPr>
              <w:t>: 5G infrastructure, data centers, telecom hardware. Network sovereignty derives from material chokepoints.</w:t>
            </w:r>
          </w:p>
        </w:tc>
        <w:tc>
          <w:tcPr>
            <w:tcW w:w="2693" w:type="dxa"/>
            <w:shd w:val="clear" w:color="auto" w:fill="BFBFBF" w:themeFill="background1" w:themeFillShade="BF"/>
            <w:hideMark/>
          </w:tcPr>
          <w:p w:rsidR="00926B5D" w:rsidRPr="0044370F" w:rsidRDefault="00926B5D" w:rsidP="009E2790">
            <w:p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Controls </w:t>
            </w:r>
            <w:r w:rsidRPr="0044370F">
              <w:rPr>
                <w:rStyle w:val="a4"/>
                <w:rFonts w:asciiTheme="majorBidi" w:hAnsiTheme="majorBidi"/>
                <w:sz w:val="20"/>
                <w:szCs w:val="20"/>
              </w:rPr>
              <w:t>organizational network nodes</w:t>
            </w:r>
            <w:r w:rsidRPr="0044370F">
              <w:rPr>
                <w:rFonts w:asciiTheme="majorBidi" w:hAnsiTheme="majorBidi" w:cstheme="majorBidi"/>
                <w:sz w:val="20"/>
                <w:szCs w:val="20"/>
              </w:rPr>
              <w:t>: ERP systems, databases, process workflows. Network sovereignty arises from global standard-setting embedded in enterprise infrastructures.</w:t>
            </w:r>
          </w:p>
        </w:tc>
      </w:tr>
    </w:tbl>
    <w:p w:rsidR="00926B5D" w:rsidRPr="0044370F" w:rsidRDefault="00926B5D" w:rsidP="0093533E">
      <w:pPr>
        <w:pStyle w:val="3"/>
      </w:pPr>
      <w:bookmarkStart w:id="207" w:name="_Toc222652871"/>
      <w:r w:rsidRPr="0044370F">
        <w:t>8.4.3</w:t>
      </w:r>
      <w:r w:rsidRPr="0044370F">
        <w:tab/>
        <w:t>The Anatomy of Non-State Power</w:t>
      </w:r>
      <w:bookmarkEnd w:id="207"/>
    </w:p>
    <w:p w:rsidR="00926B5D" w:rsidRPr="0044370F" w:rsidRDefault="00926B5D" w:rsidP="00926B5D">
      <w:pPr>
        <w:pStyle w:val="NormalWeb"/>
        <w:spacing w:line="360" w:lineRule="auto"/>
        <w:jc w:val="both"/>
        <w:rPr>
          <w:rFonts w:asciiTheme="majorBidi" w:hAnsiTheme="majorBidi" w:cstheme="majorBidi"/>
          <w:rtl/>
        </w:rPr>
      </w:pPr>
      <w:r w:rsidRPr="0044370F">
        <w:rPr>
          <w:rFonts w:asciiTheme="majorBidi" w:hAnsiTheme="majorBidi" w:cstheme="majorBidi"/>
        </w:rPr>
        <w:t xml:space="preserve">Finally, the case studies allow us to dissect </w:t>
      </w:r>
      <w:r w:rsidRPr="0044370F">
        <w:rPr>
          <w:rStyle w:val="a4"/>
          <w:rFonts w:asciiTheme="majorBidi" w:eastAsiaTheme="majorEastAsia" w:hAnsiTheme="majorBidi"/>
        </w:rPr>
        <w:t>the anatomy of non-state power</w:t>
      </w:r>
      <w:r w:rsidRPr="0044370F">
        <w:rPr>
          <w:rFonts w:asciiTheme="majorBidi" w:hAnsiTheme="majorBidi" w:cstheme="majorBidi"/>
        </w:rPr>
        <w:t xml:space="preserve">, that is, the components and mechanisms by which corporations achieve authority comparable to state </w:t>
      </w:r>
      <w:r w:rsidRPr="0044370F">
        <w:rPr>
          <w:rFonts w:asciiTheme="majorBidi" w:hAnsiTheme="majorBidi" w:cstheme="majorBidi"/>
        </w:rPr>
        <w:lastRenderedPageBreak/>
        <w:t>power</w:t>
      </w:r>
      <w:r w:rsidRPr="0044370F">
        <w:rPr>
          <w:rStyle w:val="a8"/>
          <w:rFonts w:asciiTheme="majorBidi" w:hAnsiTheme="majorBidi" w:cstheme="majorBidi"/>
        </w:rPr>
        <w:footnoteReference w:id="338"/>
      </w:r>
      <w:r w:rsidRPr="0044370F">
        <w:rPr>
          <w:rFonts w:asciiTheme="majorBidi" w:hAnsiTheme="majorBidi" w:cstheme="majorBidi"/>
        </w:rPr>
        <w:t xml:space="preserve">. A recurring theme is that non-state power today is often </w:t>
      </w:r>
      <w:r w:rsidRPr="0044370F">
        <w:rPr>
          <w:rStyle w:val="a4"/>
          <w:rFonts w:asciiTheme="majorBidi" w:eastAsiaTheme="majorEastAsia" w:hAnsiTheme="majorBidi"/>
        </w:rPr>
        <w:t>structural and network-based</w:t>
      </w:r>
      <w:r w:rsidRPr="0044370F">
        <w:rPr>
          <w:rFonts w:asciiTheme="majorBidi" w:hAnsiTheme="majorBidi" w:cstheme="majorBidi"/>
        </w:rPr>
        <w:t xml:space="preserve"> rather than coercive. None of these firms commands armies or territory, yet they exert power by controlling the structures within which other actors operate</w:t>
      </w:r>
      <w:r w:rsidRPr="0044370F">
        <w:rPr>
          <w:rStyle w:val="a8"/>
          <w:rFonts w:asciiTheme="majorBidi" w:hAnsiTheme="majorBidi" w:cstheme="majorBidi"/>
        </w:rPr>
        <w:footnoteReference w:id="339"/>
      </w:r>
      <w:r w:rsidRPr="0044370F">
        <w:rPr>
          <w:rFonts w:asciiTheme="majorBidi" w:hAnsiTheme="majorBidi" w:cstheme="majorBidi"/>
        </w:rPr>
        <w:t xml:space="preserve">. </w:t>
      </w:r>
    </w:p>
    <w:p w:rsidR="00926B5D" w:rsidRPr="0044370F" w:rsidRDefault="00926B5D" w:rsidP="00926B5D">
      <w:pPr>
        <w:pStyle w:val="NormalWeb"/>
        <w:spacing w:line="360" w:lineRule="auto"/>
        <w:jc w:val="both"/>
        <w:rPr>
          <w:rFonts w:cstheme="majorBidi"/>
        </w:rPr>
      </w:pPr>
      <w:r w:rsidRPr="0044370F">
        <w:rPr>
          <w:rFonts w:asciiTheme="majorBidi" w:hAnsiTheme="majorBidi" w:cstheme="majorBidi"/>
        </w:rPr>
        <w:t>This concept resonates with Susan Strange</w:t>
      </w:r>
      <w:r w:rsidRPr="0044370F">
        <w:rPr>
          <w:rStyle w:val="a8"/>
          <w:rFonts w:asciiTheme="majorBidi" w:hAnsiTheme="majorBidi" w:cstheme="majorBidi"/>
        </w:rPr>
        <w:footnoteReference w:id="340"/>
      </w:r>
      <w:r w:rsidRPr="0044370F">
        <w:rPr>
          <w:rFonts w:asciiTheme="majorBidi" w:hAnsiTheme="majorBidi" w:cstheme="majorBidi"/>
        </w:rPr>
        <w:t xml:space="preserve">’s notion of </w:t>
      </w:r>
      <w:r w:rsidRPr="0044370F">
        <w:rPr>
          <w:rStyle w:val="a5"/>
          <w:rFonts w:asciiTheme="majorBidi" w:eastAsiaTheme="majorEastAsia" w:hAnsiTheme="majorBidi"/>
        </w:rPr>
        <w:t>structural power</w:t>
      </w:r>
      <w:r w:rsidRPr="0044370F">
        <w:rPr>
          <w:rFonts w:asciiTheme="majorBidi" w:hAnsiTheme="majorBidi" w:cstheme="majorBidi"/>
        </w:rPr>
        <w:t xml:space="preserve">, the power “to shape and determine the structures” of the global economy, such that others (states, firms, individuals) are constrained to operate within frameworks the powerful actor sets. We see this clearly: Meta shapes the </w:t>
      </w:r>
      <w:r w:rsidRPr="0044370F">
        <w:rPr>
          <w:rStyle w:val="a4"/>
          <w:rFonts w:asciiTheme="majorBidi" w:eastAsiaTheme="majorEastAsia" w:hAnsiTheme="majorBidi"/>
        </w:rPr>
        <w:t>informational structure</w:t>
      </w:r>
      <w:r w:rsidRPr="0044370F">
        <w:rPr>
          <w:rFonts w:asciiTheme="majorBidi" w:hAnsiTheme="majorBidi" w:cstheme="majorBidi"/>
        </w:rPr>
        <w:t xml:space="preserve"> (public discourse and social networks) that societies now rely on; Huawei shapes the </w:t>
      </w:r>
      <w:r w:rsidRPr="0044370F">
        <w:rPr>
          <w:rStyle w:val="a4"/>
          <w:rFonts w:asciiTheme="majorBidi" w:eastAsiaTheme="majorEastAsia" w:hAnsiTheme="majorBidi"/>
        </w:rPr>
        <w:t>communications infrastructure</w:t>
      </w:r>
      <w:r w:rsidRPr="0044370F">
        <w:rPr>
          <w:rFonts w:asciiTheme="majorBidi" w:hAnsiTheme="majorBidi" w:cstheme="majorBidi"/>
        </w:rPr>
        <w:t xml:space="preserve"> that connects states; SAP shapes the </w:t>
      </w:r>
      <w:r w:rsidRPr="0044370F">
        <w:rPr>
          <w:rStyle w:val="a4"/>
          <w:rFonts w:asciiTheme="majorBidi" w:eastAsiaTheme="majorEastAsia" w:hAnsiTheme="majorBidi"/>
        </w:rPr>
        <w:t>organizational and technical infrastructure</w:t>
      </w:r>
      <w:r w:rsidRPr="0044370F">
        <w:rPr>
          <w:rFonts w:asciiTheme="majorBidi" w:hAnsiTheme="majorBidi" w:cstheme="majorBidi"/>
        </w:rPr>
        <w:t xml:space="preserve"> of global commerce</w:t>
      </w:r>
      <w:r w:rsidRPr="0044370F">
        <w:rPr>
          <w:rStyle w:val="a8"/>
          <w:rFonts w:asciiTheme="majorBidi" w:hAnsiTheme="majorBidi" w:cstheme="majorBidi"/>
        </w:rPr>
        <w:footnoteReference w:id="341"/>
      </w:r>
      <w:r w:rsidRPr="0044370F">
        <w:rPr>
          <w:rFonts w:asciiTheme="majorBidi" w:hAnsiTheme="majorBidi" w:cstheme="majorBidi"/>
        </w:rPr>
        <w:t>. Each company has inserted itself as the backbone of a critical global system, communication, connectivity, or business operations, thereby gaining the ability to set rules and standards unilaterally</w:t>
      </w:r>
      <w:r w:rsidRPr="0044370F">
        <w:rPr>
          <w:rStyle w:val="a8"/>
          <w:rFonts w:asciiTheme="majorBidi" w:hAnsiTheme="majorBidi" w:cstheme="majorBidi"/>
        </w:rPr>
        <w:footnoteReference w:id="342"/>
      </w:r>
      <w:r w:rsidRPr="0044370F">
        <w:rPr>
          <w:rFonts w:asciiTheme="majorBidi" w:hAnsiTheme="majorBidi" w:cstheme="majorBidi"/>
        </w:rPr>
        <w:t xml:space="preserve">.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This structural influence is reinforced by various forms of capital: </w:t>
      </w:r>
      <w:r w:rsidRPr="0044370F">
        <w:rPr>
          <w:rStyle w:val="a4"/>
          <w:rFonts w:asciiTheme="majorBidi" w:eastAsiaTheme="majorEastAsia" w:hAnsiTheme="majorBidi"/>
        </w:rPr>
        <w:t>material capital</w:t>
      </w:r>
      <w:r w:rsidRPr="0044370F">
        <w:rPr>
          <w:rFonts w:asciiTheme="majorBidi" w:hAnsiTheme="majorBidi" w:cstheme="majorBidi"/>
        </w:rPr>
        <w:t xml:space="preserve"> (e.g., Huawei’s hardware assets and R&amp;D might</w:t>
      </w:r>
      <w:r w:rsidRPr="0044370F">
        <w:rPr>
          <w:rStyle w:val="a8"/>
          <w:rFonts w:asciiTheme="majorBidi" w:hAnsiTheme="majorBidi" w:cstheme="majorBidi"/>
        </w:rPr>
        <w:footnoteReference w:id="343"/>
      </w:r>
      <w:r w:rsidRPr="0044370F">
        <w:rPr>
          <w:rFonts w:asciiTheme="majorBidi" w:hAnsiTheme="majorBidi" w:cstheme="majorBidi"/>
        </w:rPr>
        <w:t xml:space="preserve">), </w:t>
      </w:r>
      <w:r w:rsidRPr="0044370F">
        <w:rPr>
          <w:rStyle w:val="a4"/>
          <w:rFonts w:asciiTheme="majorBidi" w:eastAsiaTheme="majorEastAsia" w:hAnsiTheme="majorBidi"/>
        </w:rPr>
        <w:t>informational capital</w:t>
      </w:r>
      <w:r w:rsidRPr="0044370F">
        <w:rPr>
          <w:rFonts w:asciiTheme="majorBidi" w:hAnsiTheme="majorBidi" w:cstheme="majorBidi"/>
        </w:rPr>
        <w:t xml:space="preserve"> (Meta’s data and algorithms</w:t>
      </w:r>
      <w:r w:rsidRPr="0044370F">
        <w:rPr>
          <w:rStyle w:val="a8"/>
          <w:rFonts w:asciiTheme="majorBidi" w:hAnsiTheme="majorBidi" w:cstheme="majorBidi"/>
        </w:rPr>
        <w:footnoteReference w:id="344"/>
      </w:r>
      <w:r w:rsidRPr="0044370F">
        <w:rPr>
          <w:rFonts w:asciiTheme="majorBidi" w:hAnsiTheme="majorBidi" w:cstheme="majorBidi"/>
        </w:rPr>
        <w:t xml:space="preserve">), and </w:t>
      </w:r>
      <w:r w:rsidRPr="0044370F">
        <w:rPr>
          <w:rStyle w:val="a4"/>
          <w:rFonts w:asciiTheme="majorBidi" w:eastAsiaTheme="majorEastAsia" w:hAnsiTheme="majorBidi"/>
        </w:rPr>
        <w:t>institutional capital</w:t>
      </w:r>
      <w:r w:rsidRPr="0044370F">
        <w:rPr>
          <w:rFonts w:asciiTheme="majorBidi" w:hAnsiTheme="majorBidi" w:cstheme="majorBidi"/>
        </w:rPr>
        <w:t xml:space="preserve"> (SAP’s deep integration in business and government processes)</w:t>
      </w:r>
      <w:r w:rsidRPr="0044370F">
        <w:rPr>
          <w:rStyle w:val="a8"/>
          <w:rFonts w:asciiTheme="majorBidi" w:hAnsiTheme="majorBidi" w:cstheme="majorBidi"/>
        </w:rPr>
        <w:footnoteReference w:id="345"/>
      </w:r>
      <w:r w:rsidRPr="0044370F">
        <w:rPr>
          <w:rFonts w:asciiTheme="majorBidi" w:hAnsiTheme="majorBidi" w:cstheme="majorBidi"/>
        </w:rPr>
        <w:t>. These give corporations leverage that was historically the domain of governments.</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lastRenderedPageBreak/>
        <w:t xml:space="preserve">Another key element in the anatomy of corporate power is </w:t>
      </w:r>
      <w:r w:rsidRPr="0044370F">
        <w:rPr>
          <w:rStyle w:val="a4"/>
          <w:rFonts w:asciiTheme="majorBidi" w:eastAsiaTheme="majorEastAsia" w:hAnsiTheme="majorBidi"/>
        </w:rPr>
        <w:t>legitimacy and norm entrepreneurship</w:t>
      </w:r>
      <w:r w:rsidRPr="0044370F">
        <w:rPr>
          <w:rStyle w:val="a8"/>
          <w:rFonts w:asciiTheme="majorBidi" w:hAnsiTheme="majorBidi" w:cstheme="majorBidi"/>
          <w:b/>
          <w:bCs/>
        </w:rPr>
        <w:footnoteReference w:id="346"/>
      </w:r>
      <w:r w:rsidRPr="0044370F">
        <w:rPr>
          <w:rFonts w:asciiTheme="majorBidi" w:hAnsiTheme="majorBidi" w:cstheme="majorBidi"/>
        </w:rPr>
        <w:t>. Unlike states, whose legitimacy derives from sovereignty or democracy, corporations craft legitimacy through performance and norm-setting</w:t>
      </w:r>
      <w:r w:rsidRPr="0044370F">
        <w:rPr>
          <w:rStyle w:val="a8"/>
          <w:rFonts w:asciiTheme="majorBidi" w:hAnsiTheme="majorBidi" w:cstheme="majorBidi"/>
        </w:rPr>
        <w:footnoteReference w:id="347"/>
      </w:r>
      <w:r w:rsidRPr="0044370F">
        <w:rPr>
          <w:rFonts w:asciiTheme="majorBidi" w:hAnsiTheme="majorBidi" w:cstheme="majorBidi"/>
        </w:rPr>
        <w:t>. Meta, for instance, seeks legitimacy by framing itself as a guardian of free expression (even establishing an oversight body with human rights experts). Huawei gains legitimacy by presenting itself as an engine of development (providing affordable tech to bridge digital divides) and wrapping itself in national pride. SAP’s legitimacy stems from reliability and neutrality; it is seen as a trusted, apolitical partner enabling prosperity. By shaping narratives</w:t>
      </w:r>
      <w:r w:rsidRPr="0044370F">
        <w:rPr>
          <w:rStyle w:val="a8"/>
          <w:rFonts w:asciiTheme="majorBidi" w:hAnsiTheme="majorBidi" w:cstheme="majorBidi"/>
        </w:rPr>
        <w:footnoteReference w:id="348"/>
      </w:r>
      <w:r w:rsidRPr="0044370F">
        <w:rPr>
          <w:rFonts w:asciiTheme="majorBidi" w:hAnsiTheme="majorBidi" w:cstheme="majorBidi"/>
        </w:rPr>
        <w:t xml:space="preserve"> (Meta’s “connecting the world” mantra, Huawei’s emphasis on mutual growth, SAP’s commitment to standards and compliance), these firms cultivate consent among users, clients, and even regulators. This </w:t>
      </w:r>
      <w:r w:rsidRPr="0044370F">
        <w:rPr>
          <w:rStyle w:val="a5"/>
          <w:rFonts w:asciiTheme="majorBidi" w:eastAsiaTheme="majorEastAsia" w:hAnsiTheme="majorBidi"/>
        </w:rPr>
        <w:t>soft power</w:t>
      </w:r>
      <w:r w:rsidRPr="0044370F">
        <w:rPr>
          <w:rFonts w:asciiTheme="majorBidi" w:hAnsiTheme="majorBidi" w:cstheme="majorBidi"/>
        </w:rPr>
        <w:t xml:space="preserve"> complements their structural power. Indeed, the </w:t>
      </w:r>
      <w:r w:rsidRPr="0044370F">
        <w:rPr>
          <w:rStyle w:val="a4"/>
          <w:rFonts w:asciiTheme="majorBidi" w:eastAsiaTheme="majorEastAsia" w:hAnsiTheme="majorBidi"/>
        </w:rPr>
        <w:t>power of norms and ideas</w:t>
      </w:r>
      <w:r w:rsidRPr="0044370F">
        <w:rPr>
          <w:rStyle w:val="a8"/>
          <w:rFonts w:asciiTheme="majorBidi" w:hAnsiTheme="majorBidi" w:cstheme="majorBidi"/>
          <w:b/>
          <w:bCs/>
        </w:rPr>
        <w:footnoteReference w:id="349"/>
      </w:r>
      <w:r w:rsidRPr="0044370F">
        <w:rPr>
          <w:rFonts w:asciiTheme="majorBidi" w:hAnsiTheme="majorBidi" w:cstheme="majorBidi"/>
        </w:rPr>
        <w:t xml:space="preserve"> is central: corporations often behave like sovereigns in defining what is acceptable or desirable within their realm (community guidelines, technical standards, etc.), thus exercising ideational power over societies.</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Furthermore, non-state power thrives on </w:t>
      </w:r>
      <w:r w:rsidRPr="0044370F">
        <w:rPr>
          <w:rStyle w:val="a4"/>
          <w:rFonts w:asciiTheme="majorBidi" w:eastAsiaTheme="majorEastAsia" w:hAnsiTheme="majorBidi"/>
        </w:rPr>
        <w:t>interdependence</w:t>
      </w:r>
      <w:r w:rsidRPr="0044370F">
        <w:rPr>
          <w:rStyle w:val="a8"/>
          <w:rFonts w:asciiTheme="majorBidi" w:hAnsiTheme="majorBidi" w:cstheme="majorBidi"/>
          <w:b/>
          <w:bCs/>
        </w:rPr>
        <w:footnoteReference w:id="350"/>
      </w:r>
      <w:r w:rsidRPr="0044370F">
        <w:rPr>
          <w:rFonts w:asciiTheme="majorBidi" w:hAnsiTheme="majorBidi" w:cstheme="majorBidi"/>
        </w:rPr>
        <w:t>. Each case illustrates that states and societies become dependent on corporate-provided infrastructure or platforms, which in turn cedes leverage to those corporations. This interdependence</w:t>
      </w:r>
      <w:r w:rsidRPr="0044370F">
        <w:rPr>
          <w:rStyle w:val="a8"/>
          <w:rFonts w:asciiTheme="majorBidi" w:hAnsiTheme="majorBidi" w:cstheme="majorBidi"/>
        </w:rPr>
        <w:footnoteReference w:id="351"/>
      </w:r>
      <w:r w:rsidRPr="0044370F">
        <w:rPr>
          <w:rFonts w:asciiTheme="majorBidi" w:hAnsiTheme="majorBidi" w:cstheme="majorBidi"/>
        </w:rPr>
        <w:t xml:space="preserve"> blunts traditional state tools of control; for instance, outright regulation or banning of a tech giant can carry high economic and social costs for the state itself. Corporations exploit this by entrenching themselves: Huawei’s training of local </w:t>
      </w:r>
      <w:r w:rsidRPr="0044370F">
        <w:rPr>
          <w:rFonts w:asciiTheme="majorBidi" w:hAnsiTheme="majorBidi" w:cstheme="majorBidi"/>
        </w:rPr>
        <w:lastRenderedPageBreak/>
        <w:t xml:space="preserve">engineers and integration in national projects, or SAP’s embedding in government financial systems, make their removal or replacement extraordinarily difficult. Thus, the anatomy of non-state power includes creating </w:t>
      </w:r>
      <w:r w:rsidRPr="0044370F">
        <w:rPr>
          <w:rStyle w:val="a4"/>
          <w:rFonts w:asciiTheme="majorBidi" w:eastAsiaTheme="majorEastAsia" w:hAnsiTheme="majorBidi"/>
        </w:rPr>
        <w:t>indispensability</w:t>
      </w:r>
      <w:r w:rsidRPr="0044370F">
        <w:rPr>
          <w:rStyle w:val="a8"/>
          <w:rFonts w:asciiTheme="majorBidi" w:hAnsiTheme="majorBidi" w:cstheme="majorBidi"/>
          <w:b/>
          <w:bCs/>
        </w:rPr>
        <w:footnoteReference w:id="352"/>
      </w:r>
      <w:r w:rsidRPr="0044370F">
        <w:rPr>
          <w:rFonts w:asciiTheme="majorBidi" w:hAnsiTheme="majorBidi" w:cstheme="majorBidi"/>
        </w:rPr>
        <w:t xml:space="preserve"> in the systems of everyday life.</w:t>
      </w:r>
    </w:p>
    <w:p w:rsidR="00926B5D" w:rsidRPr="0044370F" w:rsidRDefault="00926B5D" w:rsidP="00926B5D">
      <w:pPr>
        <w:pStyle w:val="NormalWeb"/>
        <w:spacing w:line="360" w:lineRule="auto"/>
        <w:jc w:val="both"/>
        <w:rPr>
          <w:rFonts w:cstheme="majorBidi"/>
        </w:rPr>
      </w:pPr>
      <w:r w:rsidRPr="0044370F">
        <w:rPr>
          <w:rFonts w:asciiTheme="majorBidi" w:hAnsiTheme="majorBidi" w:cstheme="majorBidi"/>
        </w:rPr>
        <w:t xml:space="preserve">Dissecting corporate quasi-sovereignty reveals a composite of </w:t>
      </w:r>
      <w:r w:rsidRPr="0044370F">
        <w:rPr>
          <w:rStyle w:val="a4"/>
          <w:rFonts w:asciiTheme="majorBidi" w:eastAsiaTheme="majorEastAsia" w:hAnsiTheme="majorBidi"/>
        </w:rPr>
        <w:t>structural power, normative influence, and network interdependence</w:t>
      </w:r>
      <w:r w:rsidRPr="0044370F">
        <w:rPr>
          <w:rStyle w:val="a8"/>
          <w:rFonts w:asciiTheme="majorBidi" w:hAnsiTheme="majorBidi" w:cstheme="majorBidi"/>
          <w:b/>
          <w:bCs/>
        </w:rPr>
        <w:footnoteReference w:id="353"/>
      </w:r>
      <w:r w:rsidRPr="0044370F">
        <w:rPr>
          <w:rFonts w:asciiTheme="majorBidi" w:hAnsiTheme="majorBidi" w:cstheme="majorBidi"/>
        </w:rPr>
        <w:t>. These components enable multinational tech firms to operate as geopolitical actors in their own right. They set agendas (Meta in the digital public sphere), constrain options available to others (Huawei via infrastructure choices), and define the playing field of global interactions (SAP through enterprise standards). Such power, while lacking formal sovereignty, can rival or even surpass state power in certain domains. The challenge for theory and practice is recognizing this shift: authority in the international system is no longer neatly centralized in nation-states, but is distributed across influential non-state networks and context-specific structures. Any future governance regime will need to account for these quasi-sovereign corporate actors, devising ways to harness their innovation and reach, while curbing abuses and ensuring they remain accountable within the broader public interest. The case studies of Meta, Huawei, and SAP, each in its distinct way, thus contribute to a deeper understanding of sovereignty’s evolution and the anatomy of power beyond the state.</w:t>
      </w:r>
    </w:p>
    <w:p w:rsidR="00926B5D" w:rsidRPr="0044370F" w:rsidRDefault="00926B5D" w:rsidP="00870B10">
      <w:pPr>
        <w:pStyle w:val="2"/>
      </w:pPr>
      <w:bookmarkStart w:id="208" w:name="_Toc222652872"/>
      <w:r w:rsidRPr="0044370F">
        <w:t>8.</w:t>
      </w:r>
      <w:r w:rsidRPr="0044370F">
        <w:rPr>
          <w:rFonts w:hint="cs"/>
          <w:b w:val="0"/>
          <w:bCs/>
          <w:szCs w:val="36"/>
          <w:rtl/>
        </w:rPr>
        <w:t>5</w:t>
      </w:r>
      <w:r w:rsidRPr="0044370F">
        <w:t xml:space="preserve"> </w:t>
      </w:r>
      <w:r w:rsidRPr="0044370F">
        <w:rPr>
          <w:szCs w:val="36"/>
          <w:rtl/>
        </w:rPr>
        <w:tab/>
      </w:r>
      <w:r w:rsidRPr="0044370F">
        <w:t>Tech Empires and the New World Order</w:t>
      </w:r>
      <w:bookmarkEnd w:id="208"/>
    </w:p>
    <w:p w:rsidR="00926B5D" w:rsidRPr="0044370F" w:rsidRDefault="00926B5D" w:rsidP="00926B5D">
      <w:pPr>
        <w:pStyle w:val="NormalWeb"/>
        <w:spacing w:line="360" w:lineRule="auto"/>
        <w:jc w:val="both"/>
      </w:pPr>
      <w:r w:rsidRPr="0044370F">
        <w:t>Westphalian sovereignty rests on the premise of territorially bounded state authority. The rise of multinational technology corporations complicates this premise. Yet in the twenty-first century, the ascent of multinational technology corporations has unsettled this foundational arrangement. Firms such as Meta, Huawei, and SAP have accumulated forms of power,</w:t>
      </w:r>
      <w:r w:rsidRPr="0044370F">
        <w:rPr>
          <w:rFonts w:hint="cs"/>
          <w:rtl/>
        </w:rPr>
        <w:t xml:space="preserve"> </w:t>
      </w:r>
      <w:r w:rsidRPr="0044370F">
        <w:t>structural, infrastructural, normative, and network-based</w:t>
      </w:r>
      <w:r w:rsidRPr="0044370F">
        <w:rPr>
          <w:rFonts w:hint="cs"/>
          <w:rtl/>
        </w:rPr>
        <w:t xml:space="preserve">, </w:t>
      </w:r>
      <w:r w:rsidRPr="0044370F">
        <w:t>that in key respects parallel the authority of states</w:t>
      </w:r>
      <w:r w:rsidRPr="0044370F">
        <w:rPr>
          <w:rStyle w:val="a8"/>
        </w:rPr>
        <w:footnoteReference w:id="354"/>
      </w:r>
      <w:r w:rsidRPr="0044370F">
        <w:t xml:space="preserve">. These emerging “tech empires” increasingly perform roles once reserved for public </w:t>
      </w:r>
      <w:r w:rsidRPr="0044370F">
        <w:lastRenderedPageBreak/>
        <w:t>institutions: governing speech and information flows, providing and managing essential digital and physical infrastructures, and embedding procedural norms into the everyday functioning of economies and societies. As their quasi-sovereign capacities become institutionalized, the global order undergoes a subtle but consequential reconfiguration. Tech giants now operate across jurisdictions with few natural boundaries, create and enforce their own rules, and at times shape international conduct without possessing formal public authority. They have become transnational power brokers whose platforms and infrastructures constitute a new geopolitical terrain, one in which sovereignty is exercised through networks rather than territory, and in which corporate actors rival states as architects of the emerging world order.</w:t>
      </w:r>
    </w:p>
    <w:p w:rsidR="00926B5D" w:rsidRPr="0044370F" w:rsidRDefault="00926B5D" w:rsidP="00926B5D">
      <w:pPr>
        <w:pStyle w:val="NormalWeb"/>
        <w:spacing w:line="360" w:lineRule="auto"/>
        <w:jc w:val="both"/>
      </w:pPr>
      <w:r w:rsidRPr="0044370F">
        <w:t>The case studies of Meta, Huawei, and SAP illuminate how this new world order is taking shape</w:t>
      </w:r>
      <w:r w:rsidRPr="0044370F">
        <w:rPr>
          <w:rStyle w:val="a8"/>
        </w:rPr>
        <w:footnoteReference w:id="355"/>
      </w:r>
      <w:r w:rsidRPr="0044370F">
        <w:t xml:space="preserve">. Each firm represents a distinct modality of </w:t>
      </w:r>
      <w:r w:rsidR="00960581" w:rsidRPr="0044370F">
        <w:t>corporate quasi-sovereignty</w:t>
      </w:r>
      <w:r w:rsidRPr="0044370F">
        <w:t>: Meta governs the digital public sphere by shaping discourse and visibility; Huawei commands strategic communications infrastructures, influencing national capabilities and geopolitical alignments; and SAP embeds procedural authority deep within the organizational and administrative systems that underpin global commerce. Their power emerges not from territorial control or coercive force, but from the indispensable systems they create and maintain, systems upon which states, institutions, and citizens have become increasingly dependent. These corporations thus act as nodal sovereigns within their respective domains: Meta in informational governance, Huawei in network architecture, and SAP in institutional standard-setting. Together, they demonstrate that sovereignty in the digital age is not vanishing but mutating, diffusing into networks and infrastructures that transcend borders. Understanding these dynamics is crucial for grasping how global power is being redistributed and how future governance regimes must adapt to accommodate, constrain, and collaborate with these powerful non-state actors.</w:t>
      </w:r>
    </w:p>
    <w:p w:rsidR="00926B5D" w:rsidRPr="0044370F" w:rsidRDefault="00926B5D" w:rsidP="00926B5D">
      <w:pPr>
        <w:pStyle w:val="NormalWeb"/>
        <w:spacing w:line="360" w:lineRule="auto"/>
        <w:jc w:val="both"/>
        <w:rPr>
          <w:rFonts w:asciiTheme="majorBidi" w:hAnsiTheme="majorBidi" w:cstheme="majorBidi"/>
          <w:rtl/>
        </w:rPr>
      </w:pPr>
      <w:r w:rsidRPr="0044370F">
        <w:rPr>
          <w:rFonts w:asciiTheme="majorBidi" w:hAnsiTheme="majorBidi" w:cstheme="majorBidi"/>
        </w:rPr>
        <w:t>Such corporate power is not wielded in a vacuum; it is increasingly recognized and structured. Meta established an Oversight Board akin to a supranational “court” for content decisions, illustrating how corporate governance mimics sovereign institutions</w:t>
      </w:r>
      <w:r w:rsidRPr="0044370F">
        <w:rPr>
          <w:rStyle w:val="a8"/>
          <w:rFonts w:asciiTheme="majorBidi" w:hAnsiTheme="majorBidi" w:cstheme="majorBidi"/>
        </w:rPr>
        <w:footnoteReference w:id="356"/>
      </w:r>
      <w:r w:rsidRPr="0044370F">
        <w:rPr>
          <w:rFonts w:asciiTheme="majorBidi" w:hAnsiTheme="majorBidi" w:cstheme="majorBidi"/>
        </w:rPr>
        <w:t xml:space="preserve">. Huawei, embedding its </w:t>
      </w:r>
      <w:r w:rsidRPr="0044370F">
        <w:rPr>
          <w:rFonts w:asciiTheme="majorBidi" w:hAnsiTheme="majorBidi" w:cstheme="majorBidi"/>
        </w:rPr>
        <w:lastRenderedPageBreak/>
        <w:t xml:space="preserve">equipment in telecom networks worldwide, effectively controls parts of the digital infrastructure of many states. SAP, as an enterprise software leader, has partnered with governments to create “sovereign cloud” services, embedding corporate technology within national administrative systems. These examples show that corporate quasi-sovereignty is becoming </w:t>
      </w:r>
      <w:r w:rsidRPr="0044370F">
        <w:rPr>
          <w:rStyle w:val="a5"/>
          <w:rFonts w:asciiTheme="majorBidi" w:eastAsiaTheme="majorEastAsia" w:hAnsiTheme="majorBidi"/>
        </w:rPr>
        <w:t>institutionalized</w:t>
      </w:r>
      <w:r w:rsidRPr="0044370F">
        <w:rPr>
          <w:rFonts w:asciiTheme="majorBidi" w:hAnsiTheme="majorBidi" w:cstheme="majorBidi"/>
        </w:rPr>
        <w:t>: private companies are building governance frameworks and partnerships that entrench their roles in global governance</w:t>
      </w:r>
      <w:r w:rsidRPr="0044370F">
        <w:rPr>
          <w:rStyle w:val="a8"/>
          <w:rFonts w:asciiTheme="majorBidi" w:hAnsiTheme="majorBidi" w:cstheme="majorBidi"/>
        </w:rPr>
        <w:footnoteReference w:id="357"/>
      </w:r>
      <w:r w:rsidRPr="0044370F">
        <w:rPr>
          <w:rFonts w:asciiTheme="majorBidi" w:hAnsiTheme="majorBidi" w:cstheme="majorBidi"/>
        </w:rPr>
        <w:t xml:space="preserve">. Indeed, tech corporations today are sometimes described as </w:t>
      </w:r>
      <w:r w:rsidRPr="0044370F">
        <w:t xml:space="preserve">global digital infrastructure firms, </w:t>
      </w:r>
      <w:r w:rsidRPr="0044370F">
        <w:rPr>
          <w:rFonts w:asciiTheme="majorBidi" w:hAnsiTheme="majorBidi" w:cstheme="majorBidi"/>
        </w:rPr>
        <w:t>global firms with platforms essential to modern life, accountable to no electorate and bound by no borders. They often wield more influence than many governments themselves. Their private terms of service, algorithms, and policies function as a kind of law that can impact users and communities worldwide, effectively creating a parallel order alongside the state-based system. This shift prompts urgent questions about how such power is checked and integrated into the international order.</w:t>
      </w:r>
    </w:p>
    <w:p w:rsidR="00926B5D" w:rsidRPr="0044370F" w:rsidRDefault="00926B5D" w:rsidP="00926B5D">
      <w:pPr>
        <w:pStyle w:val="NormalWeb"/>
        <w:spacing w:line="360" w:lineRule="auto"/>
        <w:jc w:val="both"/>
        <w:rPr>
          <w:rFonts w:asciiTheme="majorBidi" w:hAnsiTheme="majorBidi" w:cstheme="majorBidi"/>
        </w:rPr>
      </w:pPr>
      <w:r w:rsidRPr="0044370F">
        <w:rPr>
          <w:rFonts w:hint="cs"/>
        </w:rPr>
        <w:t>T</w:t>
      </w:r>
      <w:r w:rsidRPr="0044370F">
        <w:t>he rise of corporate quasi-sovereignty signals not merely an erosion of traditional state primacy but the emergence of a hybrid geopolitical order in which authority is co-produced by states and powerful private infrastructures. Understanding tech empires as consequential actors in the world order is thus essential: they are no longer peripheral market entities, but structural participants in global governance, and any future system of international authority must reckon with their profound and growing influence.</w:t>
      </w:r>
    </w:p>
    <w:p w:rsidR="00926B5D" w:rsidRPr="0044370F" w:rsidRDefault="00926B5D" w:rsidP="00870B10">
      <w:pPr>
        <w:pStyle w:val="3"/>
      </w:pPr>
      <w:bookmarkStart w:id="209" w:name="_Toc222652873"/>
      <w:r w:rsidRPr="0044370F">
        <w:t>8.5.1</w:t>
      </w:r>
      <w:r w:rsidRPr="0044370F">
        <w:tab/>
        <w:t>Tensions Between Competing Sovereignty Models</w:t>
      </w:r>
      <w:bookmarkEnd w:id="209"/>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The ascendancy of tech corporations has generated tensions between different models of sovereignty: </w:t>
      </w:r>
      <w:r w:rsidRPr="0044370F">
        <w:rPr>
          <w:rStyle w:val="a4"/>
          <w:rFonts w:asciiTheme="majorBidi" w:eastAsiaTheme="majorEastAsia" w:hAnsiTheme="majorBidi"/>
        </w:rPr>
        <w:t>liberal-democratic, state-centric, and techno-authoritarian</w:t>
      </w:r>
      <w:r w:rsidRPr="0044370F">
        <w:rPr>
          <w:rFonts w:asciiTheme="majorBidi" w:hAnsiTheme="majorBidi" w:cstheme="majorBidi"/>
        </w:rPr>
        <w:t>. In liberal-democratic contexts, typified by the United States</w:t>
      </w:r>
      <w:r w:rsidRPr="0044370F">
        <w:rPr>
          <w:rStyle w:val="a8"/>
          <w:rFonts w:asciiTheme="majorBidi" w:hAnsiTheme="majorBidi" w:cstheme="majorBidi"/>
        </w:rPr>
        <w:footnoteReference w:id="358"/>
      </w:r>
      <w:r w:rsidRPr="0044370F">
        <w:rPr>
          <w:rFonts w:asciiTheme="majorBidi" w:hAnsiTheme="majorBidi" w:cstheme="majorBidi"/>
        </w:rPr>
        <w:t xml:space="preserve"> and its tech industry, corporate power grew under laissez-faire regulation and global market access. Meta’s growth exemplifies this liberal approach, a private company providing a global public sphere, largely self-regulated under the banner of free expression</w:t>
      </w:r>
      <w:r w:rsidRPr="0044370F">
        <w:rPr>
          <w:rStyle w:val="a8"/>
          <w:rFonts w:asciiTheme="majorBidi" w:hAnsiTheme="majorBidi" w:cstheme="majorBidi"/>
        </w:rPr>
        <w:footnoteReference w:id="359"/>
      </w:r>
      <w:r w:rsidRPr="0044370F">
        <w:rPr>
          <w:rFonts w:asciiTheme="majorBidi" w:hAnsiTheme="majorBidi" w:cstheme="majorBidi"/>
        </w:rPr>
        <w:t xml:space="preserve">. This has led to clashes as democracies belatedly attempt to rein in platforms in the </w:t>
      </w:r>
      <w:r w:rsidRPr="0044370F">
        <w:rPr>
          <w:rFonts w:asciiTheme="majorBidi" w:hAnsiTheme="majorBidi" w:cstheme="majorBidi"/>
        </w:rPr>
        <w:lastRenderedPageBreak/>
        <w:t>name of privacy, election integrity, and public safety. Policymakers increasingly worry that too much control over information and data lies in the hands of a few tech oligarchs, posing risks to democratic discourse</w:t>
      </w:r>
      <w:r w:rsidRPr="0044370F">
        <w:rPr>
          <w:rStyle w:val="a8"/>
          <w:rFonts w:asciiTheme="majorBidi" w:hAnsiTheme="majorBidi" w:cstheme="majorBidi"/>
        </w:rPr>
        <w:footnoteReference w:id="360"/>
      </w:r>
      <w:r w:rsidRPr="0044370F">
        <w:rPr>
          <w:rFonts w:asciiTheme="majorBidi" w:hAnsiTheme="majorBidi" w:cstheme="majorBidi"/>
        </w:rPr>
        <w:t>. Liberal democracies thus face a dilemma: how to uphold open, free internet values while asserting sovereignty over powerful private networks.</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By contrast, a </w:t>
      </w:r>
      <w:r w:rsidRPr="0044370F">
        <w:rPr>
          <w:rStyle w:val="a4"/>
          <w:rFonts w:asciiTheme="majorBidi" w:eastAsiaTheme="majorEastAsia" w:hAnsiTheme="majorBidi"/>
        </w:rPr>
        <w:t>techno-authoritarian model</w:t>
      </w:r>
      <w:r w:rsidRPr="0044370F">
        <w:rPr>
          <w:rFonts w:asciiTheme="majorBidi" w:hAnsiTheme="majorBidi" w:cstheme="majorBidi"/>
        </w:rPr>
        <w:t xml:space="preserve"> has emerged most prominently in China. The Chinese state espouses a vision of “cyber sovereignty” that tightly intertwines state power with tech companies</w:t>
      </w:r>
      <w:r w:rsidRPr="0044370F">
        <w:rPr>
          <w:rStyle w:val="a8"/>
          <w:rFonts w:asciiTheme="majorBidi" w:hAnsiTheme="majorBidi" w:cstheme="majorBidi"/>
        </w:rPr>
        <w:footnoteReference w:id="361"/>
      </w:r>
      <w:r w:rsidRPr="0044370F">
        <w:rPr>
          <w:rFonts w:asciiTheme="majorBidi" w:hAnsiTheme="majorBidi" w:cstheme="majorBidi"/>
        </w:rPr>
        <w:t xml:space="preserve">. Huawei’s role is illustrative: the company spearheads China’s 5G and surveillance technology and has been accused of enabling state espionage. Domestically, China has </w:t>
      </w:r>
      <w:r w:rsidRPr="0044370F">
        <w:rPr>
          <w:rStyle w:val="a5"/>
          <w:rFonts w:asciiTheme="majorBidi" w:eastAsiaTheme="majorEastAsia" w:hAnsiTheme="majorBidi"/>
        </w:rPr>
        <w:t>delegated</w:t>
      </w:r>
      <w:r w:rsidRPr="0044370F">
        <w:rPr>
          <w:rFonts w:asciiTheme="majorBidi" w:hAnsiTheme="majorBidi" w:cstheme="majorBidi"/>
        </w:rPr>
        <w:t xml:space="preserve"> certain governance functions to its tech giants; for instance, elements of the social credit system are run by firms like Alibaba and </w:t>
      </w:r>
      <w:proofErr w:type="spellStart"/>
      <w:r w:rsidRPr="0044370F">
        <w:rPr>
          <w:rFonts w:asciiTheme="majorBidi" w:hAnsiTheme="majorBidi" w:cstheme="majorBidi"/>
        </w:rPr>
        <w:t>Tencent</w:t>
      </w:r>
      <w:proofErr w:type="spellEnd"/>
      <w:r w:rsidRPr="0044370F">
        <w:rPr>
          <w:rFonts w:asciiTheme="majorBidi" w:hAnsiTheme="majorBidi" w:cstheme="majorBidi"/>
        </w:rPr>
        <w:t xml:space="preserve"> under state supervision. This arrangement leverages private innovation for authoritarian governance</w:t>
      </w:r>
      <w:r w:rsidRPr="0044370F">
        <w:rPr>
          <w:rStyle w:val="a8"/>
          <w:rFonts w:asciiTheme="majorBidi" w:hAnsiTheme="majorBidi" w:cstheme="majorBidi"/>
        </w:rPr>
        <w:footnoteReference w:id="362"/>
      </w:r>
      <w:r w:rsidRPr="0044370F">
        <w:rPr>
          <w:rFonts w:asciiTheme="majorBidi" w:hAnsiTheme="majorBidi" w:cstheme="majorBidi"/>
        </w:rPr>
        <w:t xml:space="preserve">. The state-driven model seeks to maximize national technological dominance and social control, often using companies as instruments of government policy. However, even as China harnesses companies like Huawei for geopolitical gain, it also reins them in when their power challenges the primacy of the Communist Party. Internationally, the Chinese model has raised alarms: nations fearing surveillance or dependence have banned Huawei from their 5G networks (as the U.S., Australia, Japan, and others have), yet Huawei remains a popular provider in many low-income countries seeking affordable infrastructure. This split underscores a </w:t>
      </w:r>
      <w:r w:rsidRPr="0044370F">
        <w:rPr>
          <w:rStyle w:val="a4"/>
          <w:rFonts w:asciiTheme="majorBidi" w:eastAsiaTheme="majorEastAsia" w:hAnsiTheme="majorBidi"/>
        </w:rPr>
        <w:t>geopolitical bifurcation</w:t>
      </w:r>
      <w:r w:rsidRPr="0044370F">
        <w:rPr>
          <w:rFonts w:asciiTheme="majorBidi" w:hAnsiTheme="majorBidi" w:cstheme="majorBidi"/>
        </w:rPr>
        <w:t>: a techno-authoritarian sphere of influence versus a liberal-democratic one.</w:t>
      </w:r>
    </w:p>
    <w:p w:rsidR="00926B5D" w:rsidRPr="0044370F" w:rsidRDefault="00926B5D" w:rsidP="00926B5D">
      <w:pPr>
        <w:pStyle w:val="NormalWeb"/>
        <w:spacing w:line="360" w:lineRule="auto"/>
        <w:jc w:val="both"/>
        <w:rPr>
          <w:rStyle w:val="a4"/>
          <w:rFonts w:asciiTheme="majorBidi" w:eastAsiaTheme="majorEastAsia" w:hAnsiTheme="majorBidi"/>
          <w:b w:val="0"/>
          <w:bCs w:val="0"/>
        </w:rPr>
      </w:pPr>
      <w:r w:rsidRPr="0044370F">
        <w:rPr>
          <w:rFonts w:asciiTheme="majorBidi" w:hAnsiTheme="majorBidi" w:cstheme="majorBidi"/>
        </w:rPr>
        <w:t xml:space="preserve">The </w:t>
      </w:r>
      <w:r w:rsidRPr="0044370F">
        <w:rPr>
          <w:rStyle w:val="a4"/>
          <w:rFonts w:asciiTheme="majorBidi" w:eastAsiaTheme="majorEastAsia" w:hAnsiTheme="majorBidi"/>
        </w:rPr>
        <w:t>state-centric model</w:t>
      </w:r>
      <w:r w:rsidRPr="0044370F">
        <w:rPr>
          <w:rFonts w:asciiTheme="majorBidi" w:hAnsiTheme="majorBidi" w:cstheme="majorBidi"/>
        </w:rPr>
        <w:t xml:space="preserve"> can be seen in the European Union and other democracies that emphasize regulatory sovereignty. Rather than leaving governance entirely to markets or companies, these states assert control through law and standards, a revival of Westphalian principles in the digital realm. The EU, for example, has pursued “digital sovereignty” by enacting sweeping regulations </w:t>
      </w:r>
      <w:r w:rsidRPr="0044370F">
        <w:rPr>
          <w:rFonts w:asciiTheme="majorBidi" w:hAnsiTheme="majorBidi" w:cstheme="majorBidi"/>
        </w:rPr>
        <w:lastRenderedPageBreak/>
        <w:t>(GDPR, Digital Services Act, etc.</w:t>
      </w:r>
      <w:r w:rsidRPr="0044370F">
        <w:rPr>
          <w:rStyle w:val="a8"/>
          <w:rFonts w:asciiTheme="majorBidi" w:hAnsiTheme="majorBidi" w:cstheme="majorBidi"/>
        </w:rPr>
        <w:footnoteReference w:id="363"/>
      </w:r>
      <w:r w:rsidRPr="0044370F">
        <w:rPr>
          <w:rFonts w:asciiTheme="majorBidi" w:hAnsiTheme="majorBidi" w:cstheme="majorBidi"/>
        </w:rPr>
        <w:t xml:space="preserve">) and promoting homegrown tech capabilities. Europe’s tech companies like SAP align with this approach: SAP’s work on sovereign cloud solutions reflects a partnership with states to ensure data control, security, and compliance with national laws. Here, sovereignty is exercised by setting rules for corporations (e.g., on data privacy or competition) and by reducing dependency on foreign tech. This model stems from liberal-democratic values but is </w:t>
      </w:r>
      <w:r w:rsidRPr="0044370F">
        <w:rPr>
          <w:rStyle w:val="a4"/>
          <w:rFonts w:asciiTheme="majorBidi" w:eastAsiaTheme="majorEastAsia" w:hAnsiTheme="majorBidi"/>
        </w:rPr>
        <w:t>state-centric</w:t>
      </w:r>
      <w:r w:rsidRPr="0044370F">
        <w:rPr>
          <w:rFonts w:asciiTheme="majorBidi" w:hAnsiTheme="majorBidi" w:cstheme="majorBidi"/>
        </w:rPr>
        <w:t xml:space="preserve"> in reasserting governmental oversight. It often clashes with the U.S. free-market approach and explicitly positions itself against China’s authoritarian model. In fact, analysts describe a triadic competition: </w:t>
      </w:r>
      <w:proofErr w:type="gramStart"/>
      <w:r w:rsidRPr="0044370F">
        <w:rPr>
          <w:rFonts w:asciiTheme="majorBidi" w:hAnsiTheme="majorBidi" w:cstheme="majorBidi"/>
        </w:rPr>
        <w:t>an</w:t>
      </w:r>
      <w:proofErr w:type="gramEnd"/>
      <w:r w:rsidRPr="0044370F">
        <w:rPr>
          <w:rFonts w:asciiTheme="majorBidi" w:hAnsiTheme="majorBidi" w:cstheme="majorBidi"/>
        </w:rPr>
        <w:t xml:space="preserve"> American </w:t>
      </w:r>
      <w:r w:rsidRPr="0044370F">
        <w:rPr>
          <w:rStyle w:val="a5"/>
          <w:rFonts w:asciiTheme="majorBidi" w:eastAsiaTheme="majorEastAsia" w:hAnsiTheme="majorBidi"/>
        </w:rPr>
        <w:t>market-driven</w:t>
      </w:r>
      <w:r w:rsidRPr="0044370F">
        <w:rPr>
          <w:rFonts w:asciiTheme="majorBidi" w:hAnsiTheme="majorBidi" w:cstheme="majorBidi"/>
        </w:rPr>
        <w:t xml:space="preserve"> digital regime, a Chinese </w:t>
      </w:r>
      <w:r w:rsidRPr="0044370F">
        <w:rPr>
          <w:rStyle w:val="a5"/>
          <w:rFonts w:asciiTheme="majorBidi" w:eastAsiaTheme="majorEastAsia" w:hAnsiTheme="majorBidi"/>
        </w:rPr>
        <w:t>state-driven</w:t>
      </w:r>
      <w:r w:rsidRPr="0044370F">
        <w:rPr>
          <w:rFonts w:asciiTheme="majorBidi" w:hAnsiTheme="majorBidi" w:cstheme="majorBidi"/>
        </w:rPr>
        <w:t xml:space="preserve"> regime, and a European </w:t>
      </w:r>
      <w:r w:rsidRPr="0044370F">
        <w:rPr>
          <w:rStyle w:val="a5"/>
          <w:rFonts w:asciiTheme="majorBidi" w:eastAsiaTheme="majorEastAsia" w:hAnsiTheme="majorBidi"/>
        </w:rPr>
        <w:t>rights-driven</w:t>
      </w:r>
      <w:r w:rsidRPr="0044370F">
        <w:rPr>
          <w:rFonts w:asciiTheme="majorBidi" w:hAnsiTheme="majorBidi" w:cstheme="majorBidi"/>
        </w:rPr>
        <w:t xml:space="preserve"> regime. Each camp promotes its vision abroad, effectively exporting its standards and creating competing zones of digital influence. Meta, Huawei, and SAP each illustrate these dynamics: Meta operating in (and exported from) the U.S. liberal sphere, Huawei anchored in China’s authoritarian ecosystem, and SAP embedded in Europe’s regulated market. The tensions between these models are shaping a new world order, as countries and corporations alike align with or between these contending frameworks for digital governance</w:t>
      </w:r>
      <w:r w:rsidRPr="0044370F">
        <w:rPr>
          <w:rStyle w:val="a8"/>
          <w:rFonts w:asciiTheme="majorBidi" w:hAnsiTheme="majorBidi" w:cstheme="majorBidi"/>
        </w:rPr>
        <w:footnoteReference w:id="364"/>
      </w:r>
      <w:r w:rsidRPr="0044370F">
        <w:rPr>
          <w:rFonts w:asciiTheme="majorBidi" w:hAnsiTheme="majorBidi" w:cstheme="majorBidi"/>
        </w:rPr>
        <w:t>.</w:t>
      </w:r>
      <w:r w:rsidRPr="0044370F">
        <w:rPr>
          <w:rStyle w:val="a4"/>
          <w:rFonts w:asciiTheme="majorBidi" w:eastAsiaTheme="majorEastAsia" w:hAnsiTheme="majorBidi"/>
        </w:rPr>
        <w:br w:type="page"/>
      </w:r>
    </w:p>
    <w:p w:rsidR="00926B5D" w:rsidRPr="0044370F" w:rsidRDefault="00926B5D" w:rsidP="00870B10">
      <w:pPr>
        <w:pStyle w:val="3"/>
        <w:rPr>
          <w:rStyle w:val="a4"/>
          <w:b/>
          <w:bCs/>
          <w:szCs w:val="28"/>
          <w:rtl/>
        </w:rPr>
      </w:pPr>
      <w:bookmarkStart w:id="210" w:name="_Toc222652874"/>
      <w:r w:rsidRPr="0044370F">
        <w:rPr>
          <w:rStyle w:val="a4"/>
          <w:b/>
          <w:bCs/>
        </w:rPr>
        <w:lastRenderedPageBreak/>
        <w:t>Table 1</w:t>
      </w:r>
      <w:r w:rsidR="009E2790" w:rsidRPr="0044370F">
        <w:rPr>
          <w:rStyle w:val="a4"/>
          <w:rFonts w:hint="cs"/>
          <w:b/>
          <w:bCs/>
          <w:szCs w:val="28"/>
          <w:rtl/>
        </w:rPr>
        <w:t>3</w:t>
      </w:r>
      <w:r w:rsidRPr="0044370F">
        <w:rPr>
          <w:rStyle w:val="a4"/>
          <w:b/>
          <w:bCs/>
        </w:rPr>
        <w:t>: Competing Sovereignty Models in the Digital Age</w:t>
      </w:r>
      <w:bookmarkEnd w:id="210"/>
    </w:p>
    <w:tbl>
      <w:tblPr>
        <w:tblStyle w:val="5"/>
        <w:tblW w:w="0" w:type="auto"/>
        <w:tblInd w:w="-147" w:type="dxa"/>
        <w:tblLook w:val="04A0" w:firstRow="1" w:lastRow="0" w:firstColumn="1" w:lastColumn="0" w:noHBand="0" w:noVBand="1"/>
      </w:tblPr>
      <w:tblGrid>
        <w:gridCol w:w="1272"/>
        <w:gridCol w:w="2410"/>
        <w:gridCol w:w="2680"/>
        <w:gridCol w:w="3135"/>
      </w:tblGrid>
      <w:tr w:rsidR="00926B5D" w:rsidRPr="0044370F" w:rsidTr="009E2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hideMark/>
          </w:tcPr>
          <w:p w:rsidR="00926B5D" w:rsidRPr="0044370F" w:rsidRDefault="00926B5D" w:rsidP="009E2790">
            <w:pPr>
              <w:spacing w:line="360" w:lineRule="auto"/>
              <w:rPr>
                <w:rFonts w:asciiTheme="majorBidi" w:hAnsiTheme="majorBidi" w:cstheme="majorBidi"/>
                <w:b w:val="0"/>
                <w:bCs w:val="0"/>
                <w:color w:val="auto"/>
                <w:sz w:val="24"/>
                <w:szCs w:val="24"/>
              </w:rPr>
            </w:pPr>
            <w:r w:rsidRPr="0044370F">
              <w:rPr>
                <w:rStyle w:val="a4"/>
                <w:rFonts w:asciiTheme="majorBidi" w:hAnsiTheme="majorBidi"/>
                <w:color w:val="auto"/>
                <w:sz w:val="24"/>
                <w:szCs w:val="24"/>
              </w:rPr>
              <w:t>Dimension</w:t>
            </w:r>
          </w:p>
        </w:tc>
        <w:tc>
          <w:tcPr>
            <w:tcW w:w="2410" w:type="dxa"/>
            <w:hideMark/>
          </w:tcPr>
          <w:p w:rsidR="00926B5D" w:rsidRPr="0044370F" w:rsidRDefault="00926B5D" w:rsidP="009E2790">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44370F">
              <w:rPr>
                <w:rStyle w:val="a4"/>
                <w:rFonts w:asciiTheme="majorBidi" w:hAnsiTheme="majorBidi"/>
                <w:color w:val="auto"/>
                <w:sz w:val="24"/>
                <w:szCs w:val="24"/>
              </w:rPr>
              <w:t>Liberal-Democratic Model (U.S.)</w:t>
            </w:r>
          </w:p>
        </w:tc>
        <w:tc>
          <w:tcPr>
            <w:tcW w:w="2680" w:type="dxa"/>
            <w:hideMark/>
          </w:tcPr>
          <w:p w:rsidR="00926B5D" w:rsidRPr="0044370F" w:rsidRDefault="00926B5D" w:rsidP="009E2790">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44370F">
              <w:rPr>
                <w:rStyle w:val="a4"/>
                <w:rFonts w:asciiTheme="majorBidi" w:hAnsiTheme="majorBidi"/>
                <w:color w:val="auto"/>
                <w:sz w:val="24"/>
                <w:szCs w:val="24"/>
              </w:rPr>
              <w:t>Techno-Authoritarian Model (China)</w:t>
            </w:r>
          </w:p>
        </w:tc>
        <w:tc>
          <w:tcPr>
            <w:tcW w:w="0" w:type="auto"/>
            <w:hideMark/>
          </w:tcPr>
          <w:p w:rsidR="00926B5D" w:rsidRPr="0044370F" w:rsidRDefault="00926B5D" w:rsidP="009E2790">
            <w:pPr>
              <w:spacing w:line="360" w:lineRule="auto"/>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4"/>
                <w:szCs w:val="24"/>
              </w:rPr>
            </w:pPr>
            <w:r w:rsidRPr="0044370F">
              <w:rPr>
                <w:rStyle w:val="a4"/>
                <w:rFonts w:asciiTheme="majorBidi" w:hAnsiTheme="majorBidi"/>
                <w:color w:val="auto"/>
                <w:sz w:val="24"/>
                <w:szCs w:val="24"/>
              </w:rPr>
              <w:t>State-Centric Regulatory Model (EU)</w:t>
            </w:r>
          </w:p>
        </w:tc>
      </w:tr>
      <w:tr w:rsidR="00926B5D"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CCCCFF"/>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Foundational Principle</w:t>
            </w:r>
          </w:p>
        </w:tc>
        <w:tc>
          <w:tcPr>
            <w:tcW w:w="2410" w:type="dxa"/>
            <w:shd w:val="clear" w:color="auto" w:fill="CCCCFF"/>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44370F">
              <w:rPr>
                <w:rFonts w:asciiTheme="majorBidi" w:hAnsiTheme="majorBidi" w:cstheme="majorBidi"/>
                <w:b/>
                <w:bCs/>
                <w:sz w:val="20"/>
                <w:szCs w:val="20"/>
              </w:rPr>
              <w:t>Free-market autonomy, minimal state intervention, protection of speech and innovation.</w:t>
            </w:r>
          </w:p>
        </w:tc>
        <w:tc>
          <w:tcPr>
            <w:tcW w:w="2680" w:type="dxa"/>
            <w:shd w:val="clear" w:color="auto" w:fill="CCCCFF"/>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44370F">
              <w:rPr>
                <w:rFonts w:asciiTheme="majorBidi" w:hAnsiTheme="majorBidi" w:cstheme="majorBidi"/>
                <w:b/>
                <w:bCs/>
                <w:sz w:val="20"/>
                <w:szCs w:val="20"/>
              </w:rPr>
              <w:t>State-directed digital governance, cyber sovereignty, and centralization of control.</w:t>
            </w:r>
          </w:p>
        </w:tc>
        <w:tc>
          <w:tcPr>
            <w:tcW w:w="0" w:type="auto"/>
            <w:shd w:val="clear" w:color="auto" w:fill="CCCCFF"/>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44370F">
              <w:rPr>
                <w:rFonts w:asciiTheme="majorBidi" w:hAnsiTheme="majorBidi" w:cstheme="majorBidi"/>
                <w:b/>
                <w:bCs/>
                <w:sz w:val="20"/>
                <w:szCs w:val="20"/>
              </w:rPr>
              <w:t>Regulatory sovereignty, rule of law, protection of rights, and competition.</w:t>
            </w:r>
          </w:p>
        </w:tc>
      </w:tr>
      <w:tr w:rsidR="00926B5D" w:rsidRPr="0044370F" w:rsidTr="009E2790">
        <w:tc>
          <w:tcPr>
            <w:cnfStyle w:val="001000000000" w:firstRow="0" w:lastRow="0" w:firstColumn="1" w:lastColumn="0" w:oddVBand="0" w:evenVBand="0" w:oddHBand="0" w:evenHBand="0" w:firstRowFirstColumn="0" w:firstRowLastColumn="0" w:lastRowFirstColumn="0" w:lastRowLastColumn="0"/>
            <w:tcW w:w="993" w:type="dxa"/>
            <w:shd w:val="clear" w:color="auto" w:fill="FFCCFF"/>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Role of Tech Corporations</w:t>
            </w:r>
          </w:p>
        </w:tc>
        <w:tc>
          <w:tcPr>
            <w:tcW w:w="2410" w:type="dxa"/>
            <w:shd w:val="clear" w:color="auto" w:fill="FFCCFF"/>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Private platforms operate with broad autonomy; self-regulation is dominant.</w:t>
            </w:r>
          </w:p>
        </w:tc>
        <w:tc>
          <w:tcPr>
            <w:tcW w:w="2680" w:type="dxa"/>
            <w:shd w:val="clear" w:color="auto" w:fill="FFCCFF"/>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Firms serve as arms of the state, advancing national strategy and surveillance capacity.</w:t>
            </w:r>
          </w:p>
        </w:tc>
        <w:tc>
          <w:tcPr>
            <w:tcW w:w="0" w:type="auto"/>
            <w:shd w:val="clear" w:color="auto" w:fill="FFCCFF"/>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Firms constrained by law operate in partnership with regulators to ensure compliance.</w:t>
            </w:r>
          </w:p>
        </w:tc>
      </w:tr>
      <w:tr w:rsidR="00926B5D"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FF99CC"/>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Source of Corporate Power</w:t>
            </w:r>
          </w:p>
        </w:tc>
        <w:tc>
          <w:tcPr>
            <w:tcW w:w="2410" w:type="dxa"/>
            <w:shd w:val="clear" w:color="auto" w:fill="FF99CC"/>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Market dominance, user data, network effects (e.g., Meta).</w:t>
            </w:r>
          </w:p>
        </w:tc>
        <w:tc>
          <w:tcPr>
            <w:tcW w:w="2680" w:type="dxa"/>
            <w:shd w:val="clear" w:color="auto" w:fill="FF99CC"/>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State backing, infrastructure control, geopolitical alignment (e.g., Huawei).</w:t>
            </w:r>
          </w:p>
        </w:tc>
        <w:tc>
          <w:tcPr>
            <w:tcW w:w="0" w:type="auto"/>
            <w:shd w:val="clear" w:color="auto" w:fill="FF99CC"/>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Embedded institutional infrastructure and compliance standards (e.g., SAP).</w:t>
            </w:r>
          </w:p>
        </w:tc>
      </w:tr>
      <w:tr w:rsidR="00926B5D" w:rsidRPr="0044370F" w:rsidTr="009E2790">
        <w:tc>
          <w:tcPr>
            <w:cnfStyle w:val="001000000000" w:firstRow="0" w:lastRow="0" w:firstColumn="1" w:lastColumn="0" w:oddVBand="0" w:evenVBand="0" w:oddHBand="0" w:evenHBand="0" w:firstRowFirstColumn="0" w:firstRowLastColumn="0" w:lastRowFirstColumn="0" w:lastRowLastColumn="0"/>
            <w:tcW w:w="993" w:type="dxa"/>
            <w:shd w:val="clear" w:color="auto" w:fill="9999FF"/>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Relationship Between State &amp; Tech Firms</w:t>
            </w:r>
          </w:p>
        </w:tc>
        <w:tc>
          <w:tcPr>
            <w:tcW w:w="2410" w:type="dxa"/>
            <w:shd w:val="clear" w:color="auto" w:fill="9999FF"/>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Adversarial</w:t>
            </w:r>
            <w:r w:rsidRPr="0044370F">
              <w:rPr>
                <w:rFonts w:asciiTheme="majorBidi" w:hAnsiTheme="majorBidi" w:cstheme="majorBidi"/>
                <w:sz w:val="20"/>
                <w:szCs w:val="20"/>
                <w:lang w:val="en-US"/>
              </w:rPr>
              <w:t>-</w:t>
            </w:r>
            <w:r w:rsidRPr="0044370F">
              <w:rPr>
                <w:rFonts w:asciiTheme="majorBidi" w:hAnsiTheme="majorBidi" w:cstheme="majorBidi"/>
                <w:sz w:val="20"/>
                <w:szCs w:val="20"/>
              </w:rPr>
              <w:t>negotiated: democracies try to regulate platforms after years of laissez-faire growth.</w:t>
            </w:r>
          </w:p>
        </w:tc>
        <w:tc>
          <w:tcPr>
            <w:tcW w:w="2680" w:type="dxa"/>
            <w:shd w:val="clear" w:color="auto" w:fill="9999FF"/>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Symbiotic: firms reinforce state authority but remain subordinate to political leadership.</w:t>
            </w:r>
          </w:p>
        </w:tc>
        <w:tc>
          <w:tcPr>
            <w:tcW w:w="0" w:type="auto"/>
            <w:shd w:val="clear" w:color="auto" w:fill="9999FF"/>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Cooperative</w:t>
            </w:r>
            <w:r w:rsidRPr="0044370F">
              <w:rPr>
                <w:rFonts w:asciiTheme="majorBidi" w:hAnsiTheme="majorBidi" w:cstheme="majorBidi"/>
                <w:sz w:val="20"/>
                <w:szCs w:val="20"/>
                <w:lang w:val="en-US"/>
              </w:rPr>
              <w:t>-</w:t>
            </w:r>
            <w:r w:rsidRPr="0044370F">
              <w:rPr>
                <w:rFonts w:asciiTheme="majorBidi" w:hAnsiTheme="majorBidi" w:cstheme="majorBidi"/>
                <w:sz w:val="20"/>
                <w:szCs w:val="20"/>
              </w:rPr>
              <w:t>regulated: firms operate under strict norms (GDPR, DSA) and support digital sovereignty goals.</w:t>
            </w:r>
          </w:p>
        </w:tc>
      </w:tr>
      <w:tr w:rsidR="00926B5D"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5C7EB"/>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Form of Sovereignty Exercised</w:t>
            </w:r>
          </w:p>
        </w:tc>
        <w:tc>
          <w:tcPr>
            <w:tcW w:w="2410" w:type="dxa"/>
            <w:shd w:val="clear" w:color="auto" w:fill="D5C7EB"/>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Informational sovereignty: platforms govern speech, visibility, and discourse.</w:t>
            </w:r>
          </w:p>
        </w:tc>
        <w:tc>
          <w:tcPr>
            <w:tcW w:w="2680" w:type="dxa"/>
            <w:shd w:val="clear" w:color="auto" w:fill="D5C7EB"/>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Infrastructural sovereignty: control of telecom networks, data flows, and surveillance systems.</w:t>
            </w:r>
          </w:p>
        </w:tc>
        <w:tc>
          <w:tcPr>
            <w:tcW w:w="0" w:type="auto"/>
            <w:shd w:val="clear" w:color="auto" w:fill="D5C7EB"/>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Normative &amp; procedural sovereignty: embedding rules into software, standards, and administrative processes.</w:t>
            </w:r>
          </w:p>
        </w:tc>
      </w:tr>
      <w:tr w:rsidR="00926B5D" w:rsidRPr="0044370F" w:rsidTr="009E2790">
        <w:tc>
          <w:tcPr>
            <w:cnfStyle w:val="001000000000" w:firstRow="0" w:lastRow="0" w:firstColumn="1" w:lastColumn="0" w:oddVBand="0" w:evenVBand="0" w:oddHBand="0" w:evenHBand="0" w:firstRowFirstColumn="0" w:firstRowLastColumn="0" w:lastRowFirstColumn="0" w:lastRowLastColumn="0"/>
            <w:tcW w:w="993" w:type="dxa"/>
            <w:shd w:val="clear" w:color="auto" w:fill="ECC0F2"/>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Example Company</w:t>
            </w:r>
          </w:p>
        </w:tc>
        <w:tc>
          <w:tcPr>
            <w:tcW w:w="2410" w:type="dxa"/>
            <w:shd w:val="clear" w:color="auto" w:fill="ECC0F2"/>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Style w:val="a4"/>
                <w:rFonts w:asciiTheme="majorBidi" w:hAnsiTheme="majorBidi"/>
                <w:sz w:val="20"/>
                <w:szCs w:val="20"/>
              </w:rPr>
              <w:t>Meta</w:t>
            </w:r>
            <w:r w:rsidRPr="0044370F">
              <w:rPr>
                <w:lang w:val="en-US"/>
              </w:rPr>
              <w:t xml:space="preserve"> - </w:t>
            </w:r>
            <w:r w:rsidRPr="0044370F">
              <w:rPr>
                <w:rFonts w:asciiTheme="majorBidi" w:hAnsiTheme="majorBidi" w:cstheme="majorBidi"/>
                <w:sz w:val="20"/>
                <w:szCs w:val="20"/>
              </w:rPr>
              <w:t>a private global public sphere shaping democratic discourse.</w:t>
            </w:r>
          </w:p>
        </w:tc>
        <w:tc>
          <w:tcPr>
            <w:tcW w:w="2680" w:type="dxa"/>
            <w:shd w:val="clear" w:color="auto" w:fill="ECC0F2"/>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Style w:val="a4"/>
                <w:rFonts w:asciiTheme="majorBidi" w:hAnsiTheme="majorBidi"/>
                <w:sz w:val="20"/>
                <w:szCs w:val="20"/>
              </w:rPr>
              <w:t>Huawei</w:t>
            </w:r>
            <w:r w:rsidRPr="0044370F">
              <w:rPr>
                <w:rFonts w:asciiTheme="majorBidi" w:hAnsiTheme="majorBidi" w:cstheme="majorBidi"/>
                <w:sz w:val="20"/>
                <w:szCs w:val="20"/>
              </w:rPr>
              <w:t xml:space="preserve"> </w:t>
            </w:r>
            <w:r w:rsidRPr="0044370F">
              <w:rPr>
                <w:rFonts w:asciiTheme="majorBidi" w:hAnsiTheme="majorBidi" w:cstheme="majorBidi"/>
                <w:sz w:val="20"/>
                <w:szCs w:val="20"/>
                <w:lang w:val="en-US"/>
              </w:rPr>
              <w:t xml:space="preserve">- </w:t>
            </w:r>
            <w:r w:rsidRPr="0044370F">
              <w:rPr>
                <w:rFonts w:asciiTheme="majorBidi" w:hAnsiTheme="majorBidi" w:cstheme="majorBidi"/>
                <w:sz w:val="20"/>
                <w:szCs w:val="20"/>
              </w:rPr>
              <w:t>a geopolitical tool of China shaping global telecom and 5G infrastructure.</w:t>
            </w:r>
          </w:p>
        </w:tc>
        <w:tc>
          <w:tcPr>
            <w:tcW w:w="0" w:type="auto"/>
            <w:shd w:val="clear" w:color="auto" w:fill="ECC0F2"/>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Style w:val="a4"/>
                <w:rFonts w:asciiTheme="majorBidi" w:hAnsiTheme="majorBidi"/>
                <w:sz w:val="20"/>
                <w:szCs w:val="20"/>
              </w:rPr>
              <w:t>SAP</w:t>
            </w:r>
            <w:r w:rsidRPr="0044370F">
              <w:rPr>
                <w:rFonts w:asciiTheme="majorBidi" w:hAnsiTheme="majorBidi" w:cstheme="majorBidi"/>
                <w:sz w:val="20"/>
                <w:szCs w:val="20"/>
              </w:rPr>
              <w:t xml:space="preserve"> </w:t>
            </w:r>
            <w:r w:rsidRPr="0044370F">
              <w:rPr>
                <w:rFonts w:asciiTheme="majorBidi" w:hAnsiTheme="majorBidi" w:cstheme="majorBidi"/>
                <w:sz w:val="20"/>
                <w:szCs w:val="20"/>
                <w:lang w:val="en-US"/>
              </w:rPr>
              <w:t>-</w:t>
            </w:r>
            <w:r w:rsidRPr="0044370F">
              <w:rPr>
                <w:rFonts w:asciiTheme="majorBidi" w:hAnsiTheme="majorBidi" w:cstheme="majorBidi"/>
                <w:sz w:val="20"/>
                <w:szCs w:val="20"/>
              </w:rPr>
              <w:t xml:space="preserve"> a neutral enterprise backbone enforcing standards and compliance.</w:t>
            </w:r>
          </w:p>
        </w:tc>
      </w:tr>
      <w:tr w:rsidR="00926B5D"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D8BBF7"/>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Core Tension / Global Risk</w:t>
            </w:r>
          </w:p>
        </w:tc>
        <w:tc>
          <w:tcPr>
            <w:tcW w:w="2410" w:type="dxa"/>
            <w:shd w:val="clear" w:color="auto" w:fill="D8BBF7"/>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Threat to democratic deliberation due to concentrated platform power.</w:t>
            </w:r>
          </w:p>
        </w:tc>
        <w:tc>
          <w:tcPr>
            <w:tcW w:w="2680" w:type="dxa"/>
            <w:shd w:val="clear" w:color="auto" w:fill="D8BBF7"/>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Export of authoritarian digital governance and geopolitical dependency.</w:t>
            </w:r>
          </w:p>
        </w:tc>
        <w:tc>
          <w:tcPr>
            <w:tcW w:w="0" w:type="auto"/>
            <w:shd w:val="clear" w:color="auto" w:fill="D8BBF7"/>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Regulatory fragmentation and digital protectionism clash with the U.S. and China.</w:t>
            </w:r>
          </w:p>
        </w:tc>
      </w:tr>
      <w:tr w:rsidR="00926B5D" w:rsidRPr="0044370F" w:rsidTr="009E2790">
        <w:tc>
          <w:tcPr>
            <w:cnfStyle w:val="001000000000" w:firstRow="0" w:lastRow="0" w:firstColumn="1" w:lastColumn="0" w:oddVBand="0" w:evenVBand="0" w:oddHBand="0" w:evenHBand="0" w:firstRowFirstColumn="0" w:firstRowLastColumn="0" w:lastRowFirstColumn="0" w:lastRowLastColumn="0"/>
            <w:tcW w:w="993" w:type="dxa"/>
            <w:shd w:val="clear" w:color="auto" w:fill="F3BFE2"/>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Sphere of Influence</w:t>
            </w:r>
          </w:p>
        </w:tc>
        <w:tc>
          <w:tcPr>
            <w:tcW w:w="2410" w:type="dxa"/>
            <w:shd w:val="clear" w:color="auto" w:fill="F3BFE2"/>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Global digital public sphere &amp; online speech ecosystems.</w:t>
            </w:r>
          </w:p>
        </w:tc>
        <w:tc>
          <w:tcPr>
            <w:tcW w:w="2680" w:type="dxa"/>
            <w:shd w:val="clear" w:color="auto" w:fill="F3BFE2"/>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Global South and emerging markets are reliant on affordable infrastructure.</w:t>
            </w:r>
          </w:p>
        </w:tc>
        <w:tc>
          <w:tcPr>
            <w:tcW w:w="0" w:type="auto"/>
            <w:shd w:val="clear" w:color="auto" w:fill="F3BFE2"/>
            <w:hideMark/>
          </w:tcPr>
          <w:p w:rsidR="00926B5D" w:rsidRPr="0044370F" w:rsidRDefault="00926B5D" w:rsidP="009E279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 xml:space="preserve">Europe </w:t>
            </w:r>
            <w:r w:rsidRPr="0044370F">
              <w:rPr>
                <w:rFonts w:asciiTheme="majorBidi" w:hAnsiTheme="majorBidi" w:cstheme="majorBidi"/>
                <w:sz w:val="20"/>
                <w:szCs w:val="20"/>
                <w:lang w:val="en-US"/>
              </w:rPr>
              <w:t>&amp;</w:t>
            </w:r>
            <w:r w:rsidRPr="0044370F">
              <w:rPr>
                <w:rFonts w:asciiTheme="majorBidi" w:hAnsiTheme="majorBidi" w:cstheme="majorBidi"/>
                <w:sz w:val="20"/>
                <w:szCs w:val="20"/>
              </w:rPr>
              <w:t xml:space="preserve"> partners prioritizing data protection, rights, and compliance.</w:t>
            </w:r>
          </w:p>
        </w:tc>
      </w:tr>
      <w:tr w:rsidR="00926B5D"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ECC6E9"/>
            <w:hideMark/>
          </w:tcPr>
          <w:p w:rsidR="00926B5D" w:rsidRPr="0044370F" w:rsidRDefault="00926B5D" w:rsidP="009E2790">
            <w:pPr>
              <w:rPr>
                <w:rFonts w:asciiTheme="majorBidi" w:hAnsiTheme="majorBidi" w:cstheme="majorBidi"/>
                <w:b w:val="0"/>
                <w:bCs w:val="0"/>
                <w:color w:val="auto"/>
                <w:sz w:val="20"/>
                <w:szCs w:val="20"/>
              </w:rPr>
            </w:pPr>
            <w:r w:rsidRPr="0044370F">
              <w:rPr>
                <w:rStyle w:val="a4"/>
                <w:rFonts w:asciiTheme="majorBidi" w:hAnsiTheme="majorBidi"/>
                <w:color w:val="auto"/>
                <w:sz w:val="20"/>
                <w:szCs w:val="20"/>
              </w:rPr>
              <w:t>Strategic Goal</w:t>
            </w:r>
          </w:p>
        </w:tc>
        <w:tc>
          <w:tcPr>
            <w:tcW w:w="2410" w:type="dxa"/>
            <w:shd w:val="clear" w:color="auto" w:fill="ECC6E9"/>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Maintain an open internet, protect innovation, and belatedly regain control over Big Tech.</w:t>
            </w:r>
          </w:p>
        </w:tc>
        <w:tc>
          <w:tcPr>
            <w:tcW w:w="2680" w:type="dxa"/>
            <w:shd w:val="clear" w:color="auto" w:fill="ECC6E9"/>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Achieve technological self-sufficiency, expand digital sphere of influence.</w:t>
            </w:r>
          </w:p>
        </w:tc>
        <w:tc>
          <w:tcPr>
            <w:tcW w:w="0" w:type="auto"/>
            <w:shd w:val="clear" w:color="auto" w:fill="ECC6E9"/>
            <w:hideMark/>
          </w:tcPr>
          <w:p w:rsidR="00926B5D" w:rsidRPr="0044370F" w:rsidRDefault="00926B5D" w:rsidP="009E2790">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4370F">
              <w:rPr>
                <w:rFonts w:asciiTheme="majorBidi" w:hAnsiTheme="majorBidi" w:cstheme="majorBidi"/>
                <w:sz w:val="20"/>
                <w:szCs w:val="20"/>
              </w:rPr>
              <w:t>Safeguard citizen rights, ensure digital autonomy, reduce dependency on foreign tech.</w:t>
            </w:r>
          </w:p>
        </w:tc>
      </w:tr>
    </w:tbl>
    <w:p w:rsidR="00926B5D" w:rsidRPr="0044370F" w:rsidRDefault="00926B5D" w:rsidP="00870B10">
      <w:pPr>
        <w:pStyle w:val="3"/>
      </w:pPr>
      <w:bookmarkStart w:id="211" w:name="_Toc222652875"/>
      <w:r w:rsidRPr="0044370F">
        <w:t>8.5.2</w:t>
      </w:r>
      <w:r w:rsidRPr="0044370F">
        <w:tab/>
        <w:t>State Sovereignty Transformed Through Entanglement with Corporate Networks</w:t>
      </w:r>
      <w:bookmarkEnd w:id="211"/>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Importantly, the transformation at hand is not the disappearance of state sovereignty, but its </w:t>
      </w:r>
      <w:r w:rsidRPr="0044370F">
        <w:rPr>
          <w:rStyle w:val="a5"/>
          <w:rFonts w:asciiTheme="majorBidi" w:eastAsiaTheme="majorEastAsia" w:hAnsiTheme="majorBidi"/>
        </w:rPr>
        <w:t>restructuring</w:t>
      </w:r>
      <w:r w:rsidRPr="0044370F">
        <w:rPr>
          <w:rFonts w:asciiTheme="majorBidi" w:hAnsiTheme="majorBidi" w:cstheme="majorBidi"/>
        </w:rPr>
        <w:t xml:space="preserve">. States are not so much obsolete as they are </w:t>
      </w:r>
      <w:r w:rsidRPr="0044370F">
        <w:rPr>
          <w:rStyle w:val="a4"/>
          <w:rFonts w:asciiTheme="majorBidi" w:eastAsiaTheme="majorEastAsia" w:hAnsiTheme="majorBidi"/>
        </w:rPr>
        <w:t>entangled</w:t>
      </w:r>
      <w:r w:rsidRPr="0044370F">
        <w:rPr>
          <w:rFonts w:asciiTheme="majorBidi" w:hAnsiTheme="majorBidi" w:cstheme="majorBidi"/>
        </w:rPr>
        <w:t xml:space="preserve"> with corporate power in new ways</w:t>
      </w:r>
      <w:r w:rsidRPr="0044370F">
        <w:rPr>
          <w:rStyle w:val="a8"/>
          <w:rFonts w:asciiTheme="majorBidi" w:hAnsiTheme="majorBidi" w:cstheme="majorBidi"/>
        </w:rPr>
        <w:footnoteReference w:id="365"/>
      </w:r>
      <w:r w:rsidRPr="0044370F">
        <w:rPr>
          <w:rFonts w:asciiTheme="majorBidi" w:hAnsiTheme="majorBidi" w:cstheme="majorBidi"/>
        </w:rPr>
        <w:t xml:space="preserve">. Governments still assert authority, but they must do so in tandem with, or sometimes in opposition to, global companies that control vital digital realms. National sovereignty now often </w:t>
      </w:r>
      <w:r w:rsidRPr="0044370F">
        <w:rPr>
          <w:rFonts w:asciiTheme="majorBidi" w:hAnsiTheme="majorBidi" w:cstheme="majorBidi"/>
        </w:rPr>
        <w:lastRenderedPageBreak/>
        <w:t xml:space="preserve">requires control over digital infrastructure and data flows, leading to the concept of </w:t>
      </w:r>
      <w:r w:rsidRPr="0044370F">
        <w:rPr>
          <w:rStyle w:val="a4"/>
          <w:rFonts w:asciiTheme="majorBidi" w:eastAsiaTheme="majorEastAsia" w:hAnsiTheme="majorBidi"/>
        </w:rPr>
        <w:t>“digital sovereignty”</w:t>
      </w:r>
      <w:r w:rsidRPr="0044370F">
        <w:rPr>
          <w:rStyle w:val="a8"/>
          <w:rFonts w:asciiTheme="majorBidi" w:hAnsiTheme="majorBidi" w:cstheme="majorBidi"/>
          <w:b/>
          <w:bCs/>
        </w:rPr>
        <w:footnoteReference w:id="366"/>
      </w:r>
      <w:r w:rsidRPr="0044370F">
        <w:rPr>
          <w:rFonts w:asciiTheme="majorBidi" w:hAnsiTheme="majorBidi" w:cstheme="majorBidi"/>
        </w:rPr>
        <w:t>: the ability to control a nation's digital destiny. Achieving this can mean developing domestic tech capacity, compelling companies to store data locally, or even building alternative systems (as Europe has attempted with its push for homegrown cloud services and China has done with its autonomous internet ecosystem).</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Rather than yielding to anarchy, many states have adapted by intertwining public policy with private sector capabilities. </w:t>
      </w:r>
      <w:r w:rsidRPr="0044370F">
        <w:rPr>
          <w:rStyle w:val="a5"/>
          <w:rFonts w:asciiTheme="majorBidi" w:eastAsiaTheme="majorEastAsia" w:hAnsiTheme="majorBidi"/>
        </w:rPr>
        <w:t>Entanglement</w:t>
      </w:r>
      <w:r w:rsidRPr="0044370F">
        <w:rPr>
          <w:rFonts w:asciiTheme="majorBidi" w:hAnsiTheme="majorBidi" w:cstheme="majorBidi"/>
        </w:rPr>
        <w:t xml:space="preserve"> is evident in security and defense: states increasingly rely on private tech (from satellite imagery to cybersecurity firms) to augment national defense, while companies may depend on state support or contracts. For example, SAP’s </w:t>
      </w:r>
      <w:r w:rsidRPr="0044370F">
        <w:rPr>
          <w:rStyle w:val="a4"/>
          <w:rFonts w:asciiTheme="majorBidi" w:eastAsiaTheme="majorEastAsia" w:hAnsiTheme="majorBidi"/>
        </w:rPr>
        <w:t>Sovereign Cloud</w:t>
      </w:r>
      <w:r w:rsidRPr="0044370F">
        <w:rPr>
          <w:rStyle w:val="a8"/>
          <w:rFonts w:asciiTheme="majorBidi" w:hAnsiTheme="majorBidi" w:cstheme="majorBidi"/>
          <w:b/>
          <w:bCs/>
        </w:rPr>
        <w:footnoteReference w:id="367"/>
      </w:r>
      <w:r w:rsidRPr="0044370F">
        <w:rPr>
          <w:rFonts w:asciiTheme="majorBidi" w:hAnsiTheme="majorBidi" w:cstheme="majorBidi"/>
        </w:rPr>
        <w:t xml:space="preserve"> initiative sees a private company co-developing cloud infrastructure that meets national sovereignty requirements, effectively fusing corporate innovation with state security imperatives. In such cases, the lines of authority blur, the state sets objectives and regulations, but the corporate partner designs and operates critical systems</w:t>
      </w:r>
      <w:r w:rsidRPr="0044370F">
        <w:rPr>
          <w:rStyle w:val="a8"/>
          <w:rFonts w:asciiTheme="majorBidi" w:hAnsiTheme="majorBidi" w:cstheme="majorBidi"/>
        </w:rPr>
        <w:footnoteReference w:id="368"/>
      </w:r>
      <w:r w:rsidRPr="0044370F">
        <w:rPr>
          <w:rFonts w:asciiTheme="majorBidi" w:hAnsiTheme="majorBidi" w:cstheme="majorBidi"/>
        </w:rPr>
        <w:t>. This is a restructuring of sovereignty: the state’s role becomes one of orchestrating and overseeing networks of both public and private actors to achieve sovereign outcomes</w:t>
      </w:r>
      <w:r w:rsidRPr="0044370F">
        <w:rPr>
          <w:rStyle w:val="a8"/>
          <w:rFonts w:asciiTheme="majorBidi" w:hAnsiTheme="majorBidi" w:cstheme="majorBidi"/>
        </w:rPr>
        <w:footnoteReference w:id="369"/>
      </w:r>
      <w:r w:rsidRPr="0044370F">
        <w:rPr>
          <w:rFonts w:asciiTheme="majorBidi" w:hAnsiTheme="majorBidi" w:cstheme="majorBidi"/>
        </w:rPr>
        <w:t xml:space="preserve">. Even in China’s authoritarian context, the state’s tight grip is exercised, in part, through corporate proxies such as Huawei and </w:t>
      </w:r>
      <w:proofErr w:type="spellStart"/>
      <w:r w:rsidRPr="0044370F">
        <w:rPr>
          <w:rFonts w:asciiTheme="majorBidi" w:hAnsiTheme="majorBidi" w:cstheme="majorBidi"/>
        </w:rPr>
        <w:t>Tencent</w:t>
      </w:r>
      <w:proofErr w:type="spellEnd"/>
      <w:r w:rsidRPr="0044370F">
        <w:rPr>
          <w:rFonts w:asciiTheme="majorBidi" w:hAnsiTheme="majorBidi" w:cstheme="majorBidi"/>
        </w:rPr>
        <w:t xml:space="preserve">, demonstrating a form of </w:t>
      </w:r>
      <w:r w:rsidRPr="0044370F">
        <w:rPr>
          <w:rStyle w:val="a4"/>
          <w:rFonts w:asciiTheme="majorBidi" w:eastAsiaTheme="majorEastAsia" w:hAnsiTheme="majorBidi"/>
        </w:rPr>
        <w:t>state-corporate co-governance</w:t>
      </w:r>
      <w:r w:rsidRPr="0044370F">
        <w:rPr>
          <w:rFonts w:asciiTheme="majorBidi" w:hAnsiTheme="majorBidi" w:cstheme="majorBidi"/>
        </w:rPr>
        <w:t>.</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Global interdependence means that absolute autonomy is often illusory; instead, states trade partial sovereignty for the benefits of connectivity and innovation. As one commentary notes, economic globalization and technological advancement have made states deeply interdependent and </w:t>
      </w:r>
      <w:r w:rsidRPr="0044370F">
        <w:rPr>
          <w:rFonts w:asciiTheme="majorBidi" w:hAnsiTheme="majorBidi" w:cstheme="majorBidi"/>
        </w:rPr>
        <w:lastRenderedPageBreak/>
        <w:t>constrained their unilateral freedom</w:t>
      </w:r>
      <w:r w:rsidRPr="0044370F">
        <w:rPr>
          <w:rStyle w:val="a8"/>
          <w:rFonts w:asciiTheme="majorBidi" w:hAnsiTheme="majorBidi" w:cstheme="majorBidi"/>
        </w:rPr>
        <w:footnoteReference w:id="370"/>
      </w:r>
      <w:r w:rsidRPr="0044370F">
        <w:rPr>
          <w:rFonts w:asciiTheme="majorBidi" w:hAnsiTheme="majorBidi" w:cstheme="majorBidi"/>
        </w:rPr>
        <w:t xml:space="preserve">. States now </w:t>
      </w:r>
      <w:r w:rsidRPr="0044370F">
        <w:rPr>
          <w:rStyle w:val="a4"/>
          <w:rFonts w:asciiTheme="majorBidi" w:eastAsiaTheme="majorEastAsia" w:hAnsiTheme="majorBidi"/>
        </w:rPr>
        <w:t>share authority</w:t>
      </w:r>
      <w:r w:rsidRPr="0044370F">
        <w:rPr>
          <w:rFonts w:asciiTheme="majorBidi" w:hAnsiTheme="majorBidi" w:cstheme="majorBidi"/>
        </w:rPr>
        <w:t xml:space="preserve"> with markets and firms in various domains, from financial policy (influenced by multinational banks and cryptocurrencies) to information control (influenced by social media platforms)</w:t>
      </w:r>
      <w:r w:rsidRPr="0044370F">
        <w:rPr>
          <w:rStyle w:val="a8"/>
          <w:rFonts w:asciiTheme="majorBidi" w:hAnsiTheme="majorBidi" w:cstheme="majorBidi"/>
        </w:rPr>
        <w:footnoteReference w:id="371"/>
      </w:r>
      <w:r w:rsidRPr="0044370F">
        <w:rPr>
          <w:rFonts w:asciiTheme="majorBidi" w:hAnsiTheme="majorBidi" w:cstheme="majorBidi"/>
        </w:rPr>
        <w:t>. Multinational tech companies sometimes act as quasi-governments, but they are also subject to states’ efforts to reclaim control through antitrust cases, data protection laws, or demands for local content moderation</w:t>
      </w:r>
      <w:r w:rsidRPr="0044370F">
        <w:rPr>
          <w:rStyle w:val="a8"/>
          <w:rFonts w:asciiTheme="majorBidi" w:hAnsiTheme="majorBidi" w:cstheme="majorBidi"/>
        </w:rPr>
        <w:footnoteReference w:id="372"/>
      </w:r>
      <w:r w:rsidRPr="0044370F">
        <w:rPr>
          <w:rFonts w:asciiTheme="majorBidi" w:hAnsiTheme="majorBidi" w:cstheme="majorBidi"/>
        </w:rPr>
        <w:t xml:space="preserve">. The outcome is a </w:t>
      </w:r>
      <w:r w:rsidRPr="0044370F">
        <w:rPr>
          <w:rStyle w:val="a5"/>
          <w:rFonts w:asciiTheme="majorBidi" w:eastAsiaTheme="majorEastAsia" w:hAnsiTheme="majorBidi"/>
        </w:rPr>
        <w:t>hybrid</w:t>
      </w:r>
      <w:r w:rsidRPr="0044370F">
        <w:rPr>
          <w:rFonts w:asciiTheme="majorBidi" w:hAnsiTheme="majorBidi" w:cstheme="majorBidi"/>
        </w:rPr>
        <w:t xml:space="preserve"> sovereignty: nations are reinventing their governance by incorporating corporate networks as both collaborators and subjects.</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Notably, this transformation does not render the state impotent. On the contrary, some powerful states have leveraged corporate networks as extensions of state power (for instance, the United States has used its jurisdiction over Silicon Valley to project influence abroad, and China has guided its tech firms to advance national goals). Smaller states, meanwhile, form alliances or seek legal frameworks to regain some control; for example, the EU’s assertive regulatory stance (often dubbed the “Brussels Effect”</w:t>
      </w:r>
      <w:r w:rsidRPr="0044370F">
        <w:rPr>
          <w:rStyle w:val="a8"/>
          <w:rFonts w:asciiTheme="majorBidi" w:hAnsiTheme="majorBidi" w:cstheme="majorBidi"/>
        </w:rPr>
        <w:footnoteReference w:id="373"/>
      </w:r>
      <w:r w:rsidRPr="0044370F">
        <w:rPr>
          <w:rFonts w:asciiTheme="majorBidi" w:hAnsiTheme="majorBidi" w:cstheme="majorBidi"/>
        </w:rPr>
        <w:t xml:space="preserve">) forces even foreign tech companies to comply with its standards globally. In sum, state sovereignty is evolving rather than evaporating. Sovereignty now encompasses the capacity to </w:t>
      </w:r>
      <w:r w:rsidRPr="0044370F">
        <w:rPr>
          <w:rStyle w:val="a4"/>
          <w:rFonts w:asciiTheme="majorBidi" w:eastAsiaTheme="majorEastAsia" w:hAnsiTheme="majorBidi"/>
        </w:rPr>
        <w:t>navigate and shape the corporate networks</w:t>
      </w:r>
      <w:r w:rsidRPr="0044370F">
        <w:rPr>
          <w:rFonts w:asciiTheme="majorBidi" w:hAnsiTheme="majorBidi" w:cstheme="majorBidi"/>
        </w:rPr>
        <w:t xml:space="preserve"> that pervade the globe. The nation-state endures, but only by adapting to a world in which power is more distributed. States must act as </w:t>
      </w:r>
      <w:r w:rsidRPr="0044370F">
        <w:rPr>
          <w:rStyle w:val="a4"/>
          <w:rFonts w:asciiTheme="majorBidi" w:eastAsiaTheme="majorEastAsia" w:hAnsiTheme="majorBidi"/>
        </w:rPr>
        <w:t>stewards of their digital realms</w:t>
      </w:r>
      <w:r w:rsidRPr="0044370F">
        <w:rPr>
          <w:rFonts w:asciiTheme="majorBidi" w:hAnsiTheme="majorBidi" w:cstheme="majorBidi"/>
        </w:rPr>
        <w:t xml:space="preserve">, partnering with, policing, or even emulating tech giants to secure their interests. As </w:t>
      </w:r>
      <w:proofErr w:type="spellStart"/>
      <w:r w:rsidRPr="0044370F">
        <w:rPr>
          <w:rFonts w:asciiTheme="majorBidi" w:hAnsiTheme="majorBidi" w:cstheme="majorBidi"/>
        </w:rPr>
        <w:t>Neelie</w:t>
      </w:r>
      <w:proofErr w:type="spellEnd"/>
      <w:r w:rsidRPr="0044370F">
        <w:rPr>
          <w:rFonts w:asciiTheme="majorBidi" w:hAnsiTheme="majorBidi" w:cstheme="majorBidi"/>
        </w:rPr>
        <w:t xml:space="preserve"> </w:t>
      </w:r>
      <w:proofErr w:type="spellStart"/>
      <w:r w:rsidRPr="0044370F">
        <w:rPr>
          <w:rFonts w:asciiTheme="majorBidi" w:hAnsiTheme="majorBidi" w:cstheme="majorBidi"/>
        </w:rPr>
        <w:t>Kroes</w:t>
      </w:r>
      <w:proofErr w:type="spellEnd"/>
      <w:r w:rsidRPr="0044370F">
        <w:rPr>
          <w:rFonts w:asciiTheme="majorBidi" w:hAnsiTheme="majorBidi" w:cstheme="majorBidi"/>
        </w:rPr>
        <w:t xml:space="preserve">, former EU Commissioner for the Digital Agenda, emphasized, digital infrastructure has become a core pillar of national sovereignty, no less vital than territorial borders or national currency. For modern states, control over data flows, cloud services, and network architectures is now fundamental to maintaining sovereign </w:t>
      </w:r>
      <w:r w:rsidRPr="0044370F">
        <w:rPr>
          <w:rFonts w:asciiTheme="majorBidi" w:hAnsiTheme="majorBidi" w:cstheme="majorBidi"/>
        </w:rPr>
        <w:lastRenderedPageBreak/>
        <w:t>authority</w:t>
      </w:r>
      <w:r w:rsidRPr="0044370F">
        <w:rPr>
          <w:rStyle w:val="a8"/>
          <w:rFonts w:asciiTheme="majorBidi" w:hAnsiTheme="majorBidi" w:cstheme="majorBidi"/>
        </w:rPr>
        <w:footnoteReference w:id="374"/>
      </w:r>
      <w:r w:rsidRPr="0044370F">
        <w:rPr>
          <w:rFonts w:asciiTheme="majorBidi" w:hAnsiTheme="majorBidi" w:cstheme="majorBidi"/>
        </w:rPr>
        <w:t xml:space="preserve">. The entanglement of states and corporations is the defining feature of this post-Westphalian governance landscape, </w:t>
      </w:r>
      <w:r w:rsidRPr="0044370F">
        <w:t>signaling a reconfiguration of sovereign authority within digitally mediated systems</w:t>
      </w:r>
      <w:r w:rsidRPr="0044370F">
        <w:rPr>
          <w:rFonts w:asciiTheme="majorBidi" w:hAnsiTheme="majorBidi" w:cstheme="majorBidi"/>
        </w:rPr>
        <w:t>.</w:t>
      </w:r>
    </w:p>
    <w:p w:rsidR="00926B5D" w:rsidRPr="0044370F" w:rsidRDefault="00870B10" w:rsidP="00870B10">
      <w:pPr>
        <w:pStyle w:val="2"/>
        <w:rPr>
          <w:szCs w:val="36"/>
          <w:rtl/>
        </w:rPr>
      </w:pPr>
      <w:bookmarkStart w:id="212" w:name="_Toc222652876"/>
      <w:r w:rsidRPr="0044370F">
        <w:rPr>
          <w:rStyle w:val="a4"/>
          <w:b/>
          <w:bCs w:val="0"/>
        </w:rPr>
        <w:t>8.6</w:t>
      </w:r>
      <w:r w:rsidRPr="0044370F">
        <w:rPr>
          <w:rStyle w:val="a4"/>
          <w:b/>
          <w:bCs w:val="0"/>
        </w:rPr>
        <w:tab/>
      </w:r>
      <w:r w:rsidR="00926B5D" w:rsidRPr="0044370F">
        <w:rPr>
          <w:rStyle w:val="a4"/>
          <w:b/>
          <w:bCs w:val="0"/>
        </w:rPr>
        <w:t>Redistribution of Geopolitical Power by Tech Giants</w:t>
      </w:r>
      <w:bookmarkEnd w:id="212"/>
    </w:p>
    <w:p w:rsidR="00926B5D" w:rsidRPr="0044370F" w:rsidRDefault="00926B5D" w:rsidP="00926B5D">
      <w:pPr>
        <w:pStyle w:val="NormalWeb"/>
        <w:spacing w:line="360" w:lineRule="auto"/>
        <w:jc w:val="both"/>
        <w:rPr>
          <w:rFonts w:asciiTheme="majorBidi" w:hAnsiTheme="majorBidi" w:cstheme="majorBidi"/>
          <w:rtl/>
        </w:rPr>
      </w:pPr>
      <w:r w:rsidRPr="0044370F">
        <w:rPr>
          <w:rFonts w:asciiTheme="majorBidi" w:hAnsiTheme="majorBidi" w:cstheme="majorBidi"/>
        </w:rPr>
        <w:t>The rise of corporate tech empires has redistributed geopolitical power, allowing corporations not only to challenge but also to bypass and co-opt traditional governance structures</w:t>
      </w:r>
      <w:r w:rsidRPr="0044370F">
        <w:rPr>
          <w:rStyle w:val="a8"/>
          <w:rFonts w:asciiTheme="majorBidi" w:hAnsiTheme="majorBidi" w:cstheme="majorBidi"/>
        </w:rPr>
        <w:footnoteReference w:id="375"/>
      </w:r>
      <w:r w:rsidRPr="0044370F">
        <w:rPr>
          <w:rFonts w:asciiTheme="majorBidi" w:hAnsiTheme="majorBidi" w:cstheme="majorBidi"/>
        </w:rPr>
        <w:t xml:space="preserve">. Challenges to state authority are evident when platforms set policies that affect millions of citizens without government input. Meta, for instance, can unilaterally alter its content moderation practices or data policies, effectively shaping public discourse and privacy norms in dozens of countries. </w:t>
      </w:r>
    </w:p>
    <w:p w:rsidR="00926B5D" w:rsidRPr="0044370F" w:rsidRDefault="00926B5D" w:rsidP="00926B5D">
      <w:pPr>
        <w:pStyle w:val="NormalWeb"/>
        <w:spacing w:line="360" w:lineRule="auto"/>
        <w:jc w:val="both"/>
        <w:rPr>
          <w:rFonts w:cstheme="majorBidi"/>
        </w:rPr>
      </w:pPr>
      <w:r w:rsidRPr="0044370F">
        <w:rPr>
          <w:rFonts w:asciiTheme="majorBidi" w:hAnsiTheme="majorBidi" w:cstheme="majorBidi"/>
        </w:rPr>
        <w:t>Decisions such as banning a political figure or elevating particular speech have geopolitical ripple effects, yet they are made in corporate boardrooms rather than legislatures</w:t>
      </w:r>
      <w:r w:rsidRPr="0044370F">
        <w:rPr>
          <w:rStyle w:val="a8"/>
          <w:rFonts w:asciiTheme="majorBidi" w:hAnsiTheme="majorBidi" w:cstheme="majorBidi"/>
        </w:rPr>
        <w:footnoteReference w:id="376"/>
      </w:r>
      <w:r w:rsidRPr="0044370F">
        <w:rPr>
          <w:rFonts w:asciiTheme="majorBidi" w:hAnsiTheme="majorBidi" w:cstheme="majorBidi"/>
        </w:rPr>
        <w:t xml:space="preserve">. In some cases, tech CEOs have acted as de facto diplomats, negotiating with governments on taxation, censorship, or market access. Elon Musk’s deployment of </w:t>
      </w:r>
      <w:proofErr w:type="spellStart"/>
      <w:r w:rsidRPr="0044370F">
        <w:rPr>
          <w:rFonts w:asciiTheme="majorBidi" w:hAnsiTheme="majorBidi" w:cstheme="majorBidi"/>
        </w:rPr>
        <w:t>Starlink</w:t>
      </w:r>
      <w:proofErr w:type="spellEnd"/>
      <w:r w:rsidRPr="0044370F">
        <w:rPr>
          <w:rStyle w:val="a8"/>
          <w:rFonts w:asciiTheme="majorBidi" w:hAnsiTheme="majorBidi" w:cstheme="majorBidi"/>
        </w:rPr>
        <w:footnoteReference w:id="377"/>
      </w:r>
      <w:r w:rsidRPr="0044370F">
        <w:rPr>
          <w:rFonts w:asciiTheme="majorBidi" w:hAnsiTheme="majorBidi" w:cstheme="majorBidi"/>
        </w:rPr>
        <w:t xml:space="preserve"> in conflict zones </w:t>
      </w:r>
      <w:r w:rsidRPr="0044370F">
        <w:t>illustrates how private corporations can perform functions traditionally associated with state power</w:t>
      </w:r>
      <w:r w:rsidRPr="0044370F">
        <w:rPr>
          <w:rStyle w:val="a8"/>
          <w:rFonts w:asciiTheme="majorBidi" w:hAnsiTheme="majorBidi" w:cstheme="majorBidi"/>
        </w:rPr>
        <w:footnoteReference w:id="378"/>
      </w:r>
      <w:r w:rsidRPr="0044370F">
        <w:rPr>
          <w:rFonts w:asciiTheme="majorBidi" w:hAnsiTheme="majorBidi" w:cstheme="majorBidi"/>
        </w:rPr>
        <w:t xml:space="preserve">. </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Recent regulatory developments, such as the EU Digital Services Act and intensified U.S. antitrust actions against major technology firms, further illustrate how states are attempting to reassert authority within this redistributed landscape of power.</w:t>
      </w:r>
    </w:p>
    <w:p w:rsidR="00926B5D" w:rsidRPr="0044370F" w:rsidRDefault="00926B5D" w:rsidP="00926B5D">
      <w:pPr>
        <w:pStyle w:val="NormalWeb"/>
        <w:spacing w:line="360" w:lineRule="auto"/>
        <w:jc w:val="both"/>
        <w:rPr>
          <w:rFonts w:cstheme="majorBidi"/>
        </w:rPr>
      </w:pPr>
      <w:r w:rsidRPr="0044370F">
        <w:rPr>
          <w:rFonts w:asciiTheme="majorBidi" w:hAnsiTheme="majorBidi" w:cstheme="majorBidi"/>
        </w:rPr>
        <w:lastRenderedPageBreak/>
        <w:t>More broadly, tech corporations bypass traditional institutions</w:t>
      </w:r>
      <w:r w:rsidRPr="0044370F">
        <w:rPr>
          <w:rStyle w:val="a8"/>
          <w:rFonts w:asciiTheme="majorBidi" w:hAnsiTheme="majorBidi" w:cstheme="majorBidi"/>
        </w:rPr>
        <w:footnoteReference w:id="379"/>
      </w:r>
      <w:r w:rsidRPr="0044370F">
        <w:rPr>
          <w:rFonts w:asciiTheme="majorBidi" w:hAnsiTheme="majorBidi" w:cstheme="majorBidi"/>
        </w:rPr>
        <w:t xml:space="preserve"> through their global networks. Operating transnationally in cyberspace, which lacks a regulatory equivalent to territorial borders, platforms and cloud services can penetrate any jurisdiction, often outpacing the ability of national laws or international agreements to regulate them. In doing so, corporations sometimes supplant international institutions: Facebook effectively created a global “Supreme Court”</w:t>
      </w:r>
      <w:r w:rsidRPr="0044370F">
        <w:rPr>
          <w:rStyle w:val="a8"/>
          <w:rFonts w:asciiTheme="majorBidi" w:hAnsiTheme="majorBidi" w:cstheme="majorBidi"/>
        </w:rPr>
        <w:footnoteReference w:id="380"/>
      </w:r>
      <w:r w:rsidRPr="0044370F">
        <w:rPr>
          <w:rFonts w:asciiTheme="majorBidi" w:hAnsiTheme="majorBidi" w:cstheme="majorBidi"/>
        </w:rPr>
        <w:t xml:space="preserve"> in the form of the Oversight Board, assuming a role once expected of an international human rights court. Likewise, corporate-led standards consortia (for internet protocols, AI ethics, and cloud architecture) set global technical norms that bodies like the ITU</w:t>
      </w:r>
      <w:r w:rsidRPr="0044370F">
        <w:rPr>
          <w:rStyle w:val="a8"/>
          <w:rFonts w:asciiTheme="majorBidi" w:hAnsiTheme="majorBidi" w:cstheme="majorBidi"/>
        </w:rPr>
        <w:footnoteReference w:id="381"/>
      </w:r>
      <w:r w:rsidRPr="0044370F">
        <w:rPr>
          <w:rFonts w:asciiTheme="majorBidi" w:hAnsiTheme="majorBidi" w:cstheme="majorBidi"/>
        </w:rPr>
        <w:t xml:space="preserve"> or United Nations only later attempt to address. Corporations also provide public goods during crises: Google and Apple’s joint development of a global COVID-19 exposure notification protocol helped fill a governance vacuum that states and multilateral institutions struggled to address</w:t>
      </w:r>
      <w:r w:rsidRPr="0044370F">
        <w:rPr>
          <w:rStyle w:val="a8"/>
          <w:rFonts w:asciiTheme="majorBidi" w:hAnsiTheme="majorBidi" w:cstheme="majorBidi"/>
        </w:rPr>
        <w:footnoteReference w:id="382"/>
      </w:r>
      <w:r w:rsidRPr="0044370F">
        <w:rPr>
          <w:rFonts w:asciiTheme="majorBidi" w:hAnsiTheme="majorBidi" w:cstheme="majorBidi"/>
        </w:rPr>
        <w:t xml:space="preserve">. These examples illustrate that tech firms can </w:t>
      </w:r>
      <w:r w:rsidRPr="0044370F">
        <w:rPr>
          <w:rStyle w:val="a5"/>
          <w:rFonts w:asciiTheme="majorBidi" w:eastAsiaTheme="majorEastAsia" w:hAnsiTheme="majorBidi"/>
        </w:rPr>
        <w:t>overtake inter-state mechanisms</w:t>
      </w:r>
      <w:r w:rsidRPr="0044370F">
        <w:rPr>
          <w:rFonts w:asciiTheme="majorBidi" w:hAnsiTheme="majorBidi" w:cstheme="majorBidi"/>
        </w:rPr>
        <w:t>, exercising rule-making authority at a planetary scale.</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dynamics echo the empirical patterns observed in the case studies: Meta’s unilateral content decisions, Huawei’s infrastructural leverage, and SAP’s procedural embedding each demonstrate distinct pathways through which corporate actors bypass or reshape inter-state governance mechanisms.</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Crucially, corporate power can be leveraged for geopolitical coercion beyond the reach of traditional global governance. One vivid illustration is the extraterritorial impact of U.S. export controls and sanctions, which compel private firms such as Microsoft, Google, or Amazon to terminate services to foreign states or institutions, instantly, and without multilateral deliberation. </w:t>
      </w:r>
      <w:r w:rsidRPr="0044370F">
        <w:rPr>
          <w:rFonts w:asciiTheme="majorBidi" w:hAnsiTheme="majorBidi" w:cstheme="majorBidi"/>
        </w:rPr>
        <w:lastRenderedPageBreak/>
        <w:t>These actions reveal how state-corporate interdependence creates new vectors of coercive power</w:t>
      </w:r>
      <w:r w:rsidRPr="0044370F">
        <w:rPr>
          <w:rStyle w:val="a8"/>
          <w:rFonts w:asciiTheme="majorBidi" w:hAnsiTheme="majorBidi" w:cstheme="majorBidi"/>
        </w:rPr>
        <w:footnoteReference w:id="383"/>
      </w:r>
      <w:r w:rsidRPr="0044370F">
        <w:rPr>
          <w:rFonts w:asciiTheme="majorBidi" w:hAnsiTheme="majorBidi" w:cstheme="majorBidi"/>
        </w:rPr>
        <w:t>: a single domestic legal order can project force globally via corporate networks. The consequences are far-reaching: universities lose access to cloud platforms, communication infrastructures fail, and economic sectors are disrupted overnight. This demonstrates a new geopolitical terrain in which influence is exercised not only through territory or military might, but also through control of digital infrastructure and the corporate networks that sustain it</w:t>
      </w:r>
      <w:r w:rsidRPr="0044370F">
        <w:rPr>
          <w:rStyle w:val="a8"/>
          <w:rFonts w:asciiTheme="majorBidi" w:hAnsiTheme="majorBidi" w:cstheme="majorBidi"/>
        </w:rPr>
        <w:footnoteReference w:id="384"/>
      </w:r>
      <w:r w:rsidRPr="0044370F">
        <w:rPr>
          <w:rFonts w:asciiTheme="majorBidi" w:hAnsiTheme="majorBidi" w:cstheme="majorBidi"/>
        </w:rPr>
        <w:t>. States that rely heavily on foreign tech infrastructures may find themselves vulnerable to another state’s political whims, enforced indirectly through corporate compliance</w:t>
      </w:r>
      <w:r w:rsidRPr="0044370F">
        <w:rPr>
          <w:rStyle w:val="a8"/>
          <w:rFonts w:asciiTheme="majorBidi" w:hAnsiTheme="majorBidi" w:cstheme="majorBidi"/>
        </w:rPr>
        <w:footnoteReference w:id="385"/>
      </w:r>
      <w:r w:rsidRPr="0044370F">
        <w:rPr>
          <w:rFonts w:asciiTheme="majorBidi" w:hAnsiTheme="majorBidi" w:cstheme="majorBidi"/>
        </w:rPr>
        <w:t>.</w:t>
      </w:r>
    </w:p>
    <w:p w:rsidR="00926B5D" w:rsidRPr="0044370F" w:rsidRDefault="00926B5D" w:rsidP="00926B5D">
      <w:pPr>
        <w:pStyle w:val="NormalWeb"/>
        <w:spacing w:line="360" w:lineRule="auto"/>
        <w:jc w:val="both"/>
      </w:pPr>
      <w:r w:rsidRPr="0044370F">
        <w:rPr>
          <w:rFonts w:asciiTheme="majorBidi" w:hAnsiTheme="majorBidi" w:cstheme="majorBidi"/>
        </w:rPr>
        <w:t>At the same time, corporations increasingly co-opt elements of global governance, reinforcing their status as actors in international affairs. Tech giants participate in public-private partnerships and shape policy agendas within institutions such as the World Economic Forum and global standards organizations</w:t>
      </w:r>
      <w:r w:rsidRPr="0044370F">
        <w:rPr>
          <w:rStyle w:val="a8"/>
          <w:rFonts w:asciiTheme="majorBidi" w:hAnsiTheme="majorBidi" w:cstheme="majorBidi"/>
        </w:rPr>
        <w:footnoteReference w:id="386"/>
      </w:r>
      <w:r w:rsidRPr="0044370F">
        <w:rPr>
          <w:rFonts w:asciiTheme="majorBidi" w:hAnsiTheme="majorBidi" w:cstheme="majorBidi"/>
        </w:rPr>
        <w:t>. They invest heavily in lobbying and fund research that influences debates on AI ethics, digital trade, and cybersecurity</w:t>
      </w:r>
      <w:r w:rsidRPr="0044370F">
        <w:rPr>
          <w:rStyle w:val="a8"/>
          <w:rFonts w:asciiTheme="majorBidi" w:hAnsiTheme="majorBidi" w:cstheme="majorBidi"/>
        </w:rPr>
        <w:footnoteReference w:id="387"/>
      </w:r>
      <w:r w:rsidRPr="0044370F">
        <w:rPr>
          <w:rFonts w:asciiTheme="majorBidi" w:hAnsiTheme="majorBidi" w:cstheme="majorBidi"/>
        </w:rPr>
        <w:t>. Their involvement in “multi-stakeholder” governance arenas secures them a seat at the table alongside nation-states, allowing them to shape norms and regulatory frameworks. This can lead to regulatory capture at the international level. Still, it reflects a structural shift: governance solutions are increasingly forged through hybrid corporate-state collaboration rather than solely by states</w:t>
      </w:r>
      <w:r w:rsidRPr="0044370F">
        <w:rPr>
          <w:rStyle w:val="a8"/>
          <w:rFonts w:asciiTheme="majorBidi" w:hAnsiTheme="majorBidi" w:cstheme="majorBidi"/>
        </w:rPr>
        <w:footnoteReference w:id="388"/>
      </w:r>
      <w:r w:rsidRPr="0044370F">
        <w:rPr>
          <w:rFonts w:asciiTheme="majorBidi" w:hAnsiTheme="majorBidi" w:cstheme="majorBidi"/>
        </w:rPr>
        <w:t xml:space="preserve">. The traditional Westphalian model assumes states as the sole architects of world order, yet the contemporary landscape is far more </w:t>
      </w:r>
      <w:r w:rsidRPr="0044370F">
        <w:rPr>
          <w:rFonts w:asciiTheme="majorBidi" w:hAnsiTheme="majorBidi" w:cstheme="majorBidi"/>
        </w:rPr>
        <w:lastRenderedPageBreak/>
        <w:t xml:space="preserve">complex. Geopolitical power is now diffused across corporations, states, standards bodies, and digital infrastructures, </w:t>
      </w:r>
      <w:r w:rsidRPr="0044370F">
        <w:t>forming an ecosystem of quasi-sovereign authorities rather than a state-centric hierarchy.</w:t>
      </w:r>
    </w:p>
    <w:p w:rsidR="00926B5D" w:rsidRPr="0044370F" w:rsidRDefault="00870B10" w:rsidP="00870B10">
      <w:pPr>
        <w:pStyle w:val="2"/>
        <w:rPr>
          <w:rFonts w:eastAsia="Times New Roman"/>
          <w:lang w:eastAsia="en-IL"/>
        </w:rPr>
      </w:pPr>
      <w:bookmarkStart w:id="213" w:name="_Toc222652877"/>
      <w:r w:rsidRPr="0044370F">
        <w:rPr>
          <w:rFonts w:eastAsia="Times New Roman"/>
          <w:lang w:eastAsia="en-IL"/>
        </w:rPr>
        <w:t>8.7</w:t>
      </w:r>
      <w:r w:rsidRPr="0044370F">
        <w:rPr>
          <w:rFonts w:eastAsia="Times New Roman"/>
          <w:lang w:eastAsia="en-IL"/>
        </w:rPr>
        <w:tab/>
      </w:r>
      <w:r w:rsidR="00926B5D" w:rsidRPr="0044370F">
        <w:rPr>
          <w:rFonts w:eastAsia="Times New Roman"/>
          <w:lang w:eastAsia="en-IL"/>
        </w:rPr>
        <w:t>Implications for Global Governance</w:t>
      </w:r>
      <w:r w:rsidR="00926B5D" w:rsidRPr="0044370F">
        <w:rPr>
          <w:rFonts w:eastAsia="Times New Roman"/>
          <w:rtl/>
          <w:lang w:eastAsia="en-IL"/>
        </w:rPr>
        <w:t xml:space="preserve"> </w:t>
      </w:r>
      <w:r w:rsidR="00926B5D" w:rsidRPr="0044370F">
        <w:rPr>
          <w:rFonts w:eastAsia="Times New Roman"/>
          <w:lang w:eastAsia="en-IL"/>
        </w:rPr>
        <w:t>and Conclusion</w:t>
      </w:r>
      <w:bookmarkEnd w:id="213"/>
      <w:r w:rsidR="00926B5D" w:rsidRPr="0044370F">
        <w:rPr>
          <w:rFonts w:eastAsia="Times New Roman"/>
          <w:lang w:eastAsia="en-IL"/>
        </w:rPr>
        <w:t xml:space="preserve"> </w:t>
      </w:r>
    </w:p>
    <w:p w:rsidR="00926B5D" w:rsidRPr="0044370F" w:rsidRDefault="00926B5D" w:rsidP="00870B10">
      <w:pPr>
        <w:pStyle w:val="3"/>
        <w:rPr>
          <w:rStyle w:val="a4"/>
          <w:rFonts w:eastAsiaTheme="majorEastAsia"/>
          <w:b/>
          <w:bCs/>
        </w:rPr>
      </w:pPr>
      <w:bookmarkStart w:id="214" w:name="_Toc222652878"/>
      <w:r w:rsidRPr="0044370F">
        <w:rPr>
          <w:rStyle w:val="a4"/>
          <w:rFonts w:eastAsiaTheme="majorEastAsia"/>
          <w:b/>
          <w:bCs/>
        </w:rPr>
        <w:t>8.7.1</w:t>
      </w:r>
      <w:r w:rsidRPr="0044370F">
        <w:rPr>
          <w:rStyle w:val="a4"/>
          <w:rFonts w:eastAsiaTheme="majorEastAsia"/>
          <w:b/>
          <w:bCs/>
        </w:rPr>
        <w:tab/>
        <w:t>Critical Reflection on Limitations</w:t>
      </w:r>
      <w:bookmarkEnd w:id="214"/>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Every research project has its constraints, and this study is no exception. Methodologically, relying on qualitative document analysis imposed certain limits</w:t>
      </w:r>
      <w:r w:rsidRPr="0044370F">
        <w:rPr>
          <w:rStyle w:val="a8"/>
          <w:rFonts w:asciiTheme="majorBidi" w:hAnsiTheme="majorBidi" w:cstheme="majorBidi"/>
        </w:rPr>
        <w:footnoteReference w:id="389"/>
      </w:r>
      <w:r w:rsidRPr="0044370F">
        <w:rPr>
          <w:rFonts w:asciiTheme="majorBidi" w:hAnsiTheme="majorBidi" w:cstheme="majorBidi"/>
        </w:rPr>
        <w:t>. The data consisted chiefly of publicly available documents, corporate reports, media articles, and policy papers, which were not created for research purposes. In the absence of insider interviews or internal data, the analysis had to infer corporate intent and practice from secondhand sources</w:t>
      </w:r>
      <w:r w:rsidRPr="0044370F">
        <w:rPr>
          <w:rStyle w:val="a8"/>
          <w:rFonts w:asciiTheme="majorBidi" w:hAnsiTheme="majorBidi" w:cstheme="majorBidi"/>
        </w:rPr>
        <w:footnoteReference w:id="390"/>
      </w:r>
      <w:r w:rsidRPr="0044370F">
        <w:rPr>
          <w:rFonts w:asciiTheme="majorBidi" w:hAnsiTheme="majorBidi" w:cstheme="majorBidi"/>
        </w:rPr>
        <w:t>. Access to internal decision-making records or proprietary data was unattainable, a common hurdle when examining private firms, which means that some insights remain necessarily speculative or based on external observation</w:t>
      </w:r>
      <w:r w:rsidRPr="0044370F">
        <w:rPr>
          <w:rStyle w:val="a8"/>
          <w:rFonts w:asciiTheme="majorBidi" w:hAnsiTheme="majorBidi" w:cstheme="majorBidi"/>
        </w:rPr>
        <w:footnoteReference w:id="391"/>
      </w:r>
      <w:r w:rsidRPr="0044370F">
        <w:rPr>
          <w:rFonts w:asciiTheme="majorBidi" w:hAnsiTheme="majorBidi" w:cstheme="majorBidi"/>
        </w:rPr>
        <w:t>. These limitations were mitigated by cross-referencing multiple sources and scholarly interpretations. Still, they underscore that the findings are shaped by the information available, not by everything the companies know internally.</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Another important limitation concerns case selection. This dissertation focused on three firms, Meta, Huawei, and SAP, chosen in part for their origins in distinct geopolitical contexts (the United States, China, and Europe, respectively). While this comparative design aimed to maximize variation, it also introduces </w:t>
      </w:r>
      <w:r w:rsidRPr="0044370F">
        <w:rPr>
          <w:rStyle w:val="a4"/>
          <w:rFonts w:asciiTheme="majorBidi" w:eastAsiaTheme="majorEastAsia" w:hAnsiTheme="majorBidi"/>
        </w:rPr>
        <w:t>selection bias</w:t>
      </w:r>
      <w:r w:rsidRPr="0044370F">
        <w:rPr>
          <w:rStyle w:val="a8"/>
          <w:rFonts w:asciiTheme="majorBidi" w:hAnsiTheme="majorBidi" w:cstheme="majorBidi"/>
          <w:b/>
          <w:bCs/>
        </w:rPr>
        <w:footnoteReference w:id="392"/>
      </w:r>
      <w:r w:rsidRPr="0044370F">
        <w:rPr>
          <w:rFonts w:asciiTheme="majorBidi" w:hAnsiTheme="majorBidi" w:cstheme="majorBidi"/>
        </w:rPr>
        <w:t xml:space="preserve">. The cases were not statistically representative of all tech corporations, and each is something of an outlier in its own way. As with any small-N case study, the findings are context-specific and not readily generalizable to all multinational tech </w:t>
      </w:r>
      <w:r w:rsidRPr="0044370F">
        <w:rPr>
          <w:rFonts w:asciiTheme="majorBidi" w:hAnsiTheme="majorBidi" w:cstheme="majorBidi"/>
        </w:rPr>
        <w:lastRenderedPageBreak/>
        <w:t>firms</w:t>
      </w:r>
      <w:r w:rsidRPr="0044370F">
        <w:rPr>
          <w:rStyle w:val="a8"/>
          <w:rFonts w:asciiTheme="majorBidi" w:hAnsiTheme="majorBidi" w:cstheme="majorBidi"/>
        </w:rPr>
        <w:footnoteReference w:id="393"/>
      </w:r>
      <w:r w:rsidRPr="0044370F">
        <w:rPr>
          <w:rFonts w:asciiTheme="majorBidi" w:hAnsiTheme="majorBidi" w:cstheme="majorBidi"/>
        </w:rPr>
        <w:t xml:space="preserve">. Focusing on these industry leaders meant the analysis captured extraordinary instances of quasi-sovereign behavior but may have overlooked </w:t>
      </w:r>
      <w:proofErr w:type="gramStart"/>
      <w:r w:rsidRPr="0044370F">
        <w:rPr>
          <w:rFonts w:asciiTheme="majorBidi" w:hAnsiTheme="majorBidi" w:cstheme="majorBidi"/>
        </w:rPr>
        <w:t>more subtle</w:t>
      </w:r>
      <w:proofErr w:type="gramEnd"/>
      <w:r w:rsidRPr="0044370F">
        <w:rPr>
          <w:rFonts w:asciiTheme="majorBidi" w:hAnsiTheme="majorBidi" w:cstheme="majorBidi"/>
        </w:rPr>
        <w:t xml:space="preserve"> forms in smaller or less prominent companies. The particular histories and environments of Meta, Huawei, and SAP, from Meta’s social media dominance to Huawei’s ties with the Chinese state and SAP’s enterprise software ubiquity, may limit the application of conclusions to other contexts</w:t>
      </w:r>
      <w:r w:rsidRPr="0044370F">
        <w:rPr>
          <w:rStyle w:val="a8"/>
          <w:rFonts w:asciiTheme="majorBidi" w:hAnsiTheme="majorBidi" w:cstheme="majorBidi"/>
        </w:rPr>
        <w:footnoteReference w:id="394"/>
      </w:r>
      <w:r w:rsidRPr="0044370F">
        <w:rPr>
          <w:rFonts w:asciiTheme="majorBidi" w:hAnsiTheme="majorBidi" w:cstheme="majorBidi"/>
        </w:rPr>
        <w:t xml:space="preserve">. Different firms (for example, a Japanese electronics giant or an Indian IT services firm) might exhibit </w:t>
      </w:r>
      <w:r w:rsidRPr="0044370F">
        <w:rPr>
          <w:rStyle w:val="a4"/>
          <w:rFonts w:asciiTheme="majorBidi" w:eastAsiaTheme="majorEastAsia" w:hAnsiTheme="majorBidi"/>
        </w:rPr>
        <w:t>quasi-sovereign</w:t>
      </w:r>
      <w:r w:rsidRPr="0044370F">
        <w:rPr>
          <w:rFonts w:asciiTheme="majorBidi" w:hAnsiTheme="majorBidi" w:cstheme="majorBidi"/>
        </w:rPr>
        <w:t xml:space="preserve"> dynamics that fall outside the patterns observed here. Thus, readers should be cautious in extending these insights universally: the study illuminates possibilities and tendencies, but it does not provide a comprehensive theory applicable to all tech corporations</w:t>
      </w:r>
      <w:r w:rsidRPr="0044370F">
        <w:rPr>
          <w:rStyle w:val="a8"/>
          <w:rFonts w:asciiTheme="majorBidi" w:hAnsiTheme="majorBidi" w:cstheme="majorBidi"/>
        </w:rPr>
        <w:footnoteReference w:id="395"/>
      </w:r>
      <w:r w:rsidRPr="0044370F">
        <w:rPr>
          <w:rFonts w:asciiTheme="majorBidi" w:hAnsiTheme="majorBidi" w:cstheme="majorBidi"/>
        </w:rPr>
        <w:t>.</w:t>
      </w:r>
    </w:p>
    <w:p w:rsidR="00926B5D" w:rsidRPr="0044370F" w:rsidRDefault="00926B5D" w:rsidP="00926B5D">
      <w:pPr>
        <w:pStyle w:val="NormalWeb"/>
        <w:spacing w:line="360" w:lineRule="auto"/>
        <w:jc w:val="both"/>
        <w:rPr>
          <w:rFonts w:asciiTheme="majorBidi" w:hAnsiTheme="majorBidi" w:cstheme="majorBidi"/>
          <w:rtl/>
        </w:rPr>
      </w:pPr>
      <w:r w:rsidRPr="0044370F">
        <w:rPr>
          <w:rFonts w:asciiTheme="majorBidi" w:hAnsiTheme="majorBidi" w:cstheme="majorBidi"/>
        </w:rPr>
        <w:t>A further conceptual challenge has been the complexity of the very idea of “sovereignty” when applied to corporate actors</w:t>
      </w:r>
      <w:r w:rsidRPr="0044370F">
        <w:rPr>
          <w:rStyle w:val="a8"/>
          <w:rFonts w:asciiTheme="majorBidi" w:hAnsiTheme="majorBidi" w:cstheme="majorBidi"/>
        </w:rPr>
        <w:footnoteReference w:id="396"/>
      </w:r>
      <w:r w:rsidRPr="0044370F">
        <w:rPr>
          <w:rFonts w:asciiTheme="majorBidi" w:hAnsiTheme="majorBidi" w:cstheme="majorBidi"/>
        </w:rPr>
        <w:t>. Sovereignty is an expansive, multivalent concept traditionally reserved for states, and dissecting it into analytically manageable dimensions for firms involved some theoretical stretching</w:t>
      </w:r>
      <w:r w:rsidRPr="0044370F">
        <w:rPr>
          <w:rStyle w:val="a8"/>
          <w:rFonts w:asciiTheme="majorBidi" w:hAnsiTheme="majorBidi" w:cstheme="majorBidi"/>
        </w:rPr>
        <w:footnoteReference w:id="397"/>
      </w:r>
      <w:r w:rsidRPr="0044370F">
        <w:rPr>
          <w:rFonts w:asciiTheme="majorBidi" w:hAnsiTheme="majorBidi" w:cstheme="majorBidi"/>
        </w:rPr>
        <w:t>. The four core dimensions identified, strategic resource control, structural embeddedness, normative legitimacy, and infrastructural power, inevitably overlap and interact in practice. Distinguishing these aspects analytically was helpful in discussion, but in reality, they often reinforce one another, blurring neat boundaries</w:t>
      </w:r>
      <w:r w:rsidRPr="0044370F">
        <w:rPr>
          <w:rStyle w:val="a8"/>
          <w:rFonts w:asciiTheme="majorBidi" w:hAnsiTheme="majorBidi" w:cstheme="majorBidi"/>
        </w:rPr>
        <w:footnoteReference w:id="398"/>
      </w:r>
      <w:r w:rsidRPr="0044370F">
        <w:rPr>
          <w:rFonts w:asciiTheme="majorBidi" w:hAnsiTheme="majorBidi" w:cstheme="majorBidi"/>
        </w:rPr>
        <w:t xml:space="preserve">. </w:t>
      </w:r>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For instance, a corporation’s control of strategic resources (like user data or proprietary technology) can enhance its infrastructural power and bolster its claims to normative legitimacy, creating a hybrid form of authority that defies simple categorization, moreover, describing a private company as “sovereign” or </w:t>
      </w:r>
      <w:r w:rsidRPr="0044370F">
        <w:rPr>
          <w:rStyle w:val="a4"/>
          <w:rFonts w:asciiTheme="majorBidi" w:eastAsiaTheme="majorEastAsia" w:hAnsiTheme="majorBidi"/>
        </w:rPr>
        <w:t>quasi-sovereign</w:t>
      </w:r>
      <w:r w:rsidRPr="0044370F">
        <w:rPr>
          <w:rFonts w:asciiTheme="majorBidi" w:hAnsiTheme="majorBidi" w:cstheme="majorBidi"/>
        </w:rPr>
        <w:t xml:space="preserve"> risks conflating metaphor with reality. The study had to constantly navigate this conceptual tightrope, using the language of sovereignty as a </w:t>
      </w:r>
      <w:r w:rsidRPr="0044370F">
        <w:rPr>
          <w:rFonts w:asciiTheme="majorBidi" w:hAnsiTheme="majorBidi" w:cstheme="majorBidi"/>
        </w:rPr>
        <w:lastRenderedPageBreak/>
        <w:t>heuristic, while acknowledging that corporate authority mirrors state sovereignty only partially and analogously</w:t>
      </w:r>
      <w:r w:rsidRPr="0044370F">
        <w:rPr>
          <w:rStyle w:val="a8"/>
          <w:rFonts w:asciiTheme="majorBidi" w:hAnsiTheme="majorBidi" w:cstheme="majorBidi"/>
        </w:rPr>
        <w:footnoteReference w:id="399"/>
      </w:r>
      <w:r w:rsidRPr="0044370F">
        <w:rPr>
          <w:rFonts w:asciiTheme="majorBidi" w:hAnsiTheme="majorBidi" w:cstheme="majorBidi"/>
        </w:rPr>
        <w:t>. This inherent ambiguity and complexity in the central concept are a limitation: it means our theoretical framework, while innovative, may require refinement or expansion to capture the full nuance of how corporate power operates alongside, and sometimes entangles with, traditional state power.</w:t>
      </w:r>
    </w:p>
    <w:p w:rsidR="00926B5D" w:rsidRPr="0044370F" w:rsidRDefault="00926B5D" w:rsidP="00870B10">
      <w:pPr>
        <w:pStyle w:val="3"/>
      </w:pPr>
      <w:bookmarkStart w:id="215" w:name="_Toc222652879"/>
      <w:r w:rsidRPr="0044370F">
        <w:rPr>
          <w:rStyle w:val="a4"/>
          <w:rFonts w:eastAsiaTheme="majorEastAsia"/>
          <w:b/>
          <w:bCs/>
        </w:rPr>
        <w:t>8.7.2</w:t>
      </w:r>
      <w:r w:rsidRPr="0044370F">
        <w:rPr>
          <w:rStyle w:val="a4"/>
          <w:rFonts w:eastAsiaTheme="majorEastAsia"/>
          <w:b/>
          <w:bCs/>
        </w:rPr>
        <w:tab/>
        <w:t>Suggestions for Future Research</w:t>
      </w:r>
      <w:bookmarkEnd w:id="215"/>
    </w:p>
    <w:p w:rsidR="00926B5D" w:rsidRPr="0044370F" w:rsidRDefault="00926B5D" w:rsidP="00926B5D">
      <w:pPr>
        <w:pStyle w:val="NormalWeb"/>
        <w:spacing w:line="360" w:lineRule="auto"/>
        <w:jc w:val="both"/>
        <w:rPr>
          <w:rFonts w:asciiTheme="majorBidi" w:hAnsiTheme="majorBidi" w:cstheme="majorBidi"/>
        </w:rPr>
      </w:pPr>
      <w:r w:rsidRPr="0044370F">
        <w:rPr>
          <w:rFonts w:asciiTheme="majorBidi" w:hAnsiTheme="majorBidi" w:cstheme="majorBidi"/>
        </w:rPr>
        <w:t xml:space="preserve">Building on these reflections, several avenues for future inquiry emerge. </w:t>
      </w:r>
      <w:r w:rsidRPr="0044370F">
        <w:rPr>
          <w:rFonts w:asciiTheme="majorBidi" w:hAnsiTheme="majorBidi" w:cstheme="majorBidi"/>
          <w:b/>
          <w:bCs/>
          <w:u w:val="single"/>
        </w:rPr>
        <w:t>First</w:t>
      </w:r>
      <w:r w:rsidRPr="0044370F">
        <w:rPr>
          <w:rFonts w:asciiTheme="majorBidi" w:hAnsiTheme="majorBidi" w:cstheme="majorBidi"/>
        </w:rPr>
        <w:t xml:space="preserve">, scholars could broaden the empirical base by conducting additional case studies of other tech firms beyond the scope of this project. For example, examining </w:t>
      </w:r>
      <w:r w:rsidRPr="0044370F">
        <w:rPr>
          <w:rStyle w:val="a4"/>
          <w:rFonts w:asciiTheme="majorBidi" w:eastAsiaTheme="majorEastAsia" w:hAnsiTheme="majorBidi"/>
        </w:rPr>
        <w:t>Amazon</w:t>
      </w:r>
      <w:r w:rsidRPr="0044370F">
        <w:rPr>
          <w:rFonts w:asciiTheme="majorBidi" w:hAnsiTheme="majorBidi" w:cstheme="majorBidi"/>
        </w:rPr>
        <w:t xml:space="preserve">, with its vast e-commerce empire and cloud infrastructure, or </w:t>
      </w:r>
      <w:proofErr w:type="spellStart"/>
      <w:r w:rsidRPr="0044370F">
        <w:rPr>
          <w:rStyle w:val="a4"/>
          <w:rFonts w:asciiTheme="majorBidi" w:eastAsiaTheme="majorEastAsia" w:hAnsiTheme="majorBidi"/>
        </w:rPr>
        <w:t>Tencent</w:t>
      </w:r>
      <w:proofErr w:type="spellEnd"/>
      <w:r w:rsidRPr="0044370F">
        <w:rPr>
          <w:rStyle w:val="a8"/>
          <w:rFonts w:asciiTheme="majorBidi" w:hAnsiTheme="majorBidi" w:cstheme="majorBidi"/>
          <w:b/>
          <w:bCs/>
        </w:rPr>
        <w:footnoteReference w:id="400"/>
      </w:r>
      <w:r w:rsidRPr="0044370F">
        <w:rPr>
          <w:rFonts w:asciiTheme="majorBidi" w:hAnsiTheme="majorBidi" w:cstheme="majorBidi"/>
        </w:rPr>
        <w:t>, a Chinese digital conglomerate with global reach, could reveal new facets of corporate power</w:t>
      </w:r>
      <w:r w:rsidRPr="0044370F">
        <w:rPr>
          <w:rStyle w:val="a8"/>
          <w:rFonts w:asciiTheme="majorBidi" w:hAnsiTheme="majorBidi" w:cstheme="majorBidi"/>
        </w:rPr>
        <w:footnoteReference w:id="401"/>
      </w:r>
      <w:r w:rsidRPr="0044370F">
        <w:rPr>
          <w:rFonts w:asciiTheme="majorBidi" w:hAnsiTheme="majorBidi" w:cstheme="majorBidi"/>
        </w:rPr>
        <w:t xml:space="preserve">. Likewise, specialized firms such as </w:t>
      </w:r>
      <w:proofErr w:type="spellStart"/>
      <w:r w:rsidRPr="0044370F">
        <w:rPr>
          <w:rStyle w:val="a4"/>
          <w:rFonts w:asciiTheme="majorBidi" w:eastAsiaTheme="majorEastAsia" w:hAnsiTheme="majorBidi"/>
        </w:rPr>
        <w:t>Palantir</w:t>
      </w:r>
      <w:proofErr w:type="spellEnd"/>
      <w:r w:rsidRPr="0044370F">
        <w:rPr>
          <w:rStyle w:val="a8"/>
          <w:rFonts w:asciiTheme="majorBidi" w:hAnsiTheme="majorBidi" w:cstheme="majorBidi"/>
          <w:b/>
          <w:bCs/>
        </w:rPr>
        <w:footnoteReference w:id="402"/>
      </w:r>
      <w:r w:rsidRPr="0044370F">
        <w:rPr>
          <w:rFonts w:asciiTheme="majorBidi" w:hAnsiTheme="majorBidi" w:cstheme="majorBidi"/>
        </w:rPr>
        <w:t xml:space="preserve">, which work closely with government security agencies, might exemplify a different configuration of private-public authority worth comparing to the cases here. Including such cases, potentially from other regions (e.g., India’s Tata or Latin America’s </w:t>
      </w:r>
      <w:proofErr w:type="spellStart"/>
      <w:r w:rsidRPr="0044370F">
        <w:rPr>
          <w:rFonts w:asciiTheme="majorBidi" w:hAnsiTheme="majorBidi" w:cstheme="majorBidi"/>
        </w:rPr>
        <w:t>MercadoLibre</w:t>
      </w:r>
      <w:proofErr w:type="spellEnd"/>
      <w:r w:rsidRPr="0044370F">
        <w:rPr>
          <w:rFonts w:asciiTheme="majorBidi" w:hAnsiTheme="majorBidi" w:cstheme="majorBidi"/>
        </w:rPr>
        <w:t xml:space="preserve">), would help determine whether the quasi-sovereign characteristics identified are widespread or concentrated in a few giants. </w:t>
      </w:r>
      <w:r w:rsidRPr="0044370F">
        <w:rPr>
          <w:rFonts w:asciiTheme="majorBidi" w:hAnsiTheme="majorBidi" w:cstheme="majorBidi"/>
          <w:b/>
          <w:bCs/>
          <w:u w:val="single"/>
        </w:rPr>
        <w:t>Second</w:t>
      </w:r>
      <w:r w:rsidRPr="0044370F">
        <w:rPr>
          <w:rFonts w:asciiTheme="majorBidi" w:hAnsiTheme="majorBidi" w:cstheme="majorBidi"/>
        </w:rPr>
        <w:t xml:space="preserve">, future research could venture beyond the tech sector to compare </w:t>
      </w:r>
      <w:r w:rsidRPr="0044370F">
        <w:rPr>
          <w:rStyle w:val="a4"/>
          <w:rFonts w:asciiTheme="majorBidi" w:eastAsiaTheme="majorEastAsia" w:hAnsiTheme="majorBidi"/>
        </w:rPr>
        <w:t>transnational actors</w:t>
      </w:r>
      <w:r w:rsidRPr="0044370F">
        <w:rPr>
          <w:rFonts w:asciiTheme="majorBidi" w:hAnsiTheme="majorBidi" w:cstheme="majorBidi"/>
        </w:rPr>
        <w:t xml:space="preserve"> in different domains. Do non-tech corporations or organizations exhibit similar quasi-sovereign traits? A comparative study might look at a financial powerhouse like </w:t>
      </w:r>
      <w:r w:rsidRPr="0044370F">
        <w:rPr>
          <w:rStyle w:val="a4"/>
          <w:rFonts w:asciiTheme="majorBidi" w:eastAsiaTheme="majorEastAsia" w:hAnsiTheme="majorBidi"/>
        </w:rPr>
        <w:t>BlackRock</w:t>
      </w:r>
      <w:r w:rsidRPr="0044370F">
        <w:rPr>
          <w:rStyle w:val="a8"/>
          <w:rFonts w:asciiTheme="majorBidi" w:hAnsiTheme="majorBidi" w:cstheme="majorBidi"/>
          <w:b/>
          <w:bCs/>
        </w:rPr>
        <w:footnoteReference w:id="403"/>
      </w:r>
      <w:r w:rsidRPr="0044370F">
        <w:rPr>
          <w:rFonts w:asciiTheme="majorBidi" w:hAnsiTheme="majorBidi" w:cstheme="majorBidi"/>
        </w:rPr>
        <w:t>, whose asset stewardship influences economies worldwide, or large international NGO</w:t>
      </w:r>
      <w:r w:rsidRPr="0044370F">
        <w:rPr>
          <w:rStyle w:val="a8"/>
          <w:rFonts w:asciiTheme="majorBidi" w:hAnsiTheme="majorBidi" w:cstheme="majorBidi"/>
        </w:rPr>
        <w:footnoteReference w:id="404"/>
      </w:r>
      <w:r w:rsidRPr="0044370F">
        <w:rPr>
          <w:rFonts w:asciiTheme="majorBidi" w:hAnsiTheme="majorBidi" w:cstheme="majorBidi"/>
        </w:rPr>
        <w:t xml:space="preserve">s that sometimes perform governance functions in place of states. Exploring whether an investment firm or a </w:t>
      </w:r>
      <w:r w:rsidRPr="0044370F">
        <w:rPr>
          <w:rFonts w:asciiTheme="majorBidi" w:hAnsiTheme="majorBidi" w:cstheme="majorBidi"/>
        </w:rPr>
        <w:lastRenderedPageBreak/>
        <w:t xml:space="preserve">humanitarian organization wields authority in analogous ways (controlling resources, setting norms, etc.) could test the generalizability of the </w:t>
      </w:r>
      <w:r w:rsidR="00960581" w:rsidRPr="0044370F">
        <w:rPr>
          <w:rFonts w:asciiTheme="majorBidi" w:hAnsiTheme="majorBidi" w:cstheme="majorBidi"/>
        </w:rPr>
        <w:t>corporate quasi-sovereignty</w:t>
      </w:r>
      <w:r w:rsidRPr="0044370F">
        <w:rPr>
          <w:rFonts w:asciiTheme="majorBidi" w:hAnsiTheme="majorBidi" w:cstheme="majorBidi"/>
        </w:rPr>
        <w:t xml:space="preserve"> framework. </w:t>
      </w:r>
      <w:r w:rsidRPr="0044370F">
        <w:rPr>
          <w:rFonts w:asciiTheme="majorBidi" w:hAnsiTheme="majorBidi" w:cstheme="majorBidi"/>
          <w:b/>
          <w:bCs/>
          <w:u w:val="single"/>
        </w:rPr>
        <w:t>Third</w:t>
      </w:r>
      <w:r w:rsidRPr="0044370F">
        <w:rPr>
          <w:rFonts w:asciiTheme="majorBidi" w:hAnsiTheme="majorBidi" w:cstheme="majorBidi"/>
        </w:rPr>
        <w:t>, adopting diverse methodologies would enrich this field of study. Quantitative analyses, for instance, network analysis of corporate influence on global policy networks, or indices to measure firms’ penetration into state functions, could complement the qualitative insights. Ethnographic or interview-based research inside corporations would be especially valuable, offering a “bottom-up” view of how these companies perceive their own roles and responsibilities. Gaining perspectives from corporate executives, employees, or policy-makers in their orbit could uncover attitudes and decision-making rationales that are not evident in public documents</w:t>
      </w:r>
      <w:r w:rsidRPr="0044370F">
        <w:rPr>
          <w:rStyle w:val="a8"/>
          <w:rFonts w:asciiTheme="majorBidi" w:hAnsiTheme="majorBidi" w:cstheme="majorBidi"/>
        </w:rPr>
        <w:footnoteReference w:id="405"/>
      </w:r>
      <w:r w:rsidRPr="0044370F">
        <w:rPr>
          <w:rFonts w:asciiTheme="majorBidi" w:hAnsiTheme="majorBidi" w:cstheme="majorBidi"/>
        </w:rPr>
        <w:t xml:space="preserve">. </w:t>
      </w:r>
      <w:r w:rsidRPr="0044370F">
        <w:rPr>
          <w:rStyle w:val="a4"/>
          <w:rFonts w:asciiTheme="majorBidi" w:eastAsiaTheme="majorEastAsia" w:hAnsiTheme="majorBidi"/>
        </w:rPr>
        <w:t xml:space="preserve">Together, these avenues show that future research must treat </w:t>
      </w:r>
      <w:r w:rsidR="00973E2B" w:rsidRPr="0044370F">
        <w:rPr>
          <w:rStyle w:val="a4"/>
          <w:rFonts w:asciiTheme="majorBidi" w:eastAsiaTheme="majorEastAsia" w:hAnsiTheme="majorBidi"/>
        </w:rPr>
        <w:t>corporate quasi-sovereignty</w:t>
      </w:r>
      <w:r w:rsidRPr="0044370F">
        <w:rPr>
          <w:rStyle w:val="a4"/>
          <w:rFonts w:asciiTheme="majorBidi" w:eastAsiaTheme="majorEastAsia" w:hAnsiTheme="majorBidi"/>
        </w:rPr>
        <w:t xml:space="preserve"> not as a fixed category but as an evolving, multi-layered phenomenon requiring broader empirical mapping and diverse methodological tools</w:t>
      </w:r>
      <w:r w:rsidRPr="0044370F">
        <w:rPr>
          <w:rStyle w:val="a8"/>
          <w:rFonts w:asciiTheme="majorBidi" w:hAnsiTheme="majorBidi" w:cstheme="majorBidi"/>
        </w:rPr>
        <w:footnoteReference w:id="406"/>
      </w:r>
      <w:r w:rsidRPr="0044370F">
        <w:rPr>
          <w:rStyle w:val="a4"/>
          <w:rFonts w:asciiTheme="majorBidi" w:eastAsiaTheme="majorEastAsia" w:hAnsiTheme="majorBidi"/>
        </w:rPr>
        <w:t>.</w:t>
      </w:r>
    </w:p>
    <w:p w:rsidR="00926B5D" w:rsidRPr="0044370F" w:rsidRDefault="00926B5D" w:rsidP="00926B5D">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Overall, this chapter demonstrates that corporate quasi-sovereignty constitutes a structural feature of contemporary global governance rather than a transitional anomaly. By systematically comparing Meta, Huawei, and SAP, the analysis reveals how authority is redistributed across platforms, infrastructures, and institutions, challenging state-centric models of sovereignty. These findings provide the empirical and conceptual foundation for the dissertation’s broader contributions, developed in the following chapters.</w:t>
      </w:r>
    </w:p>
    <w:p w:rsidR="006A1CDC" w:rsidRPr="0044370F" w:rsidRDefault="006A1CDC">
      <w:pPr>
        <w:rPr>
          <w:rFonts w:asciiTheme="majorBidi" w:eastAsia="Times New Roman" w:hAnsiTheme="majorBidi" w:cstheme="majorBidi"/>
          <w:b/>
          <w:bCs/>
          <w:kern w:val="36"/>
          <w:sz w:val="36"/>
          <w:szCs w:val="36"/>
        </w:rPr>
      </w:pPr>
      <w:r w:rsidRPr="0044370F">
        <w:rPr>
          <w:rFonts w:asciiTheme="majorBidi" w:eastAsia="Times New Roman" w:hAnsiTheme="majorBidi" w:cstheme="majorBidi"/>
          <w:b/>
          <w:bCs/>
          <w:kern w:val="36"/>
          <w:sz w:val="36"/>
          <w:szCs w:val="36"/>
        </w:rPr>
        <w:br w:type="page"/>
      </w:r>
    </w:p>
    <w:p w:rsidR="002C3B1E" w:rsidRPr="0044370F" w:rsidRDefault="002C3B1E" w:rsidP="00870B10">
      <w:pPr>
        <w:pStyle w:val="1"/>
        <w:rPr>
          <w:rFonts w:eastAsia="Times New Roman"/>
        </w:rPr>
      </w:pPr>
      <w:bookmarkStart w:id="216" w:name="_Toc222652880"/>
      <w:r w:rsidRPr="0044370F">
        <w:rPr>
          <w:rFonts w:eastAsia="Times New Roman"/>
        </w:rPr>
        <w:lastRenderedPageBreak/>
        <w:t>Chapter 9</w:t>
      </w:r>
      <w:bookmarkEnd w:id="216"/>
    </w:p>
    <w:p w:rsidR="002C3B1E" w:rsidRPr="0044370F" w:rsidRDefault="002C3B1E" w:rsidP="00870B10">
      <w:pPr>
        <w:pStyle w:val="1"/>
        <w:rPr>
          <w:rFonts w:eastAsia="Times New Roman"/>
        </w:rPr>
      </w:pPr>
      <w:bookmarkStart w:id="217" w:name="_Toc222652881"/>
      <w:r w:rsidRPr="0044370F">
        <w:rPr>
          <w:rFonts w:eastAsia="Times New Roman"/>
        </w:rPr>
        <w:t>Theoretical and Practical Contributions</w:t>
      </w:r>
      <w:bookmarkEnd w:id="217"/>
    </w:p>
    <w:p w:rsidR="002C3B1E" w:rsidRPr="0044370F" w:rsidRDefault="002C3B1E" w:rsidP="002C3B1E">
      <w:pPr>
        <w:pStyle w:val="NormalWeb"/>
        <w:spacing w:line="360" w:lineRule="auto"/>
        <w:jc w:val="both"/>
      </w:pPr>
      <w:r w:rsidRPr="0044370F">
        <w:t>This chapter consolidates the dissertation’s theoretical and practical contributions by articulating what the four-dimensional framework adds to existing debates on sovereignty, corporate authority, and digital governance. These contributions are articulated along two axes: theoretical refinement and practical clarification.</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Methodologically, the dissertation contributes a four-dimensional analytical framework that integrates insights from international relations, political economy, business studies, and science and technology studies. </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Existing scholarship has tended to examine corporate power through isolated lenses, such as market dominance, private authority, infrastructural power, or norm-setting, without offering a unified model capable of capturing how these dimensions interact. </w:t>
      </w:r>
    </w:p>
    <w:p w:rsidR="002C3B1E" w:rsidRPr="0044370F" w:rsidRDefault="002C3B1E" w:rsidP="000B695A">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framework developed here addresses this fragmentation by specifying how strategic resource control, structural embeddedness, normative legitimacy, and infrastructural power combine to </w:t>
      </w:r>
      <w:r w:rsidR="000B695A" w:rsidRPr="0044370F">
        <w:rPr>
          <w:rFonts w:asciiTheme="majorBidi" w:hAnsiTheme="majorBidi" w:cstheme="majorBidi"/>
          <w:sz w:val="24"/>
          <w:szCs w:val="24"/>
        </w:rPr>
        <w:t>generate</w:t>
      </w:r>
      <w:r w:rsidR="000B695A" w:rsidRPr="0044370F">
        <w:rPr>
          <w:rFonts w:asciiTheme="majorBidi" w:hAnsiTheme="majorBidi" w:cstheme="majorBidi"/>
        </w:rPr>
        <w:t xml:space="preserve"> </w:t>
      </w:r>
      <w:r w:rsidR="00960581" w:rsidRPr="0044370F">
        <w:rPr>
          <w:rFonts w:asciiTheme="majorBidi" w:eastAsia="Times New Roman" w:hAnsiTheme="majorBidi" w:cstheme="majorBidi"/>
          <w:sz w:val="24"/>
          <w:szCs w:val="24"/>
        </w:rPr>
        <w:t>sovereignty-like authority</w:t>
      </w:r>
      <w:r w:rsidRPr="0044370F">
        <w:rPr>
          <w:rFonts w:asciiTheme="majorBidi" w:eastAsia="Times New Roman" w:hAnsiTheme="majorBidi" w:cstheme="majorBidi"/>
          <w:sz w:val="24"/>
          <w:szCs w:val="24"/>
        </w:rPr>
        <w:t>. This integration enables systematic comparison across cases</w:t>
      </w:r>
      <w:r w:rsidRPr="0044370F">
        <w:rPr>
          <w:rFonts w:ascii="Times New Roman" w:eastAsia="Times New Roman" w:hAnsi="Times New Roman" w:cs="Times New Roman"/>
          <w:sz w:val="24"/>
          <w:szCs w:val="24"/>
        </w:rPr>
        <w:t xml:space="preserve"> while maintaining analytical precision.</w:t>
      </w:r>
      <w:r w:rsidR="003F6042" w:rsidRPr="0044370F">
        <w:t xml:space="preserve"> </w:t>
      </w:r>
      <w:r w:rsidR="003F6042" w:rsidRPr="0044370F">
        <w:rPr>
          <w:rFonts w:ascii="Times New Roman" w:eastAsia="Times New Roman" w:hAnsi="Times New Roman" w:cs="Times New Roman"/>
          <w:sz w:val="24"/>
          <w:szCs w:val="24"/>
        </w:rPr>
        <w:t>Beyond its methodological integration, the framework also advances a substantive theoretical intervention.</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Theoretically, the dissertation further demonstrates that corporate quasi-sovereignty is not a uniform condition but a configurational phenomenon that varies across organizational form, sector, and geopolitical context. </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Through comparative analysis of Meta, Huawei, and SAP, the study shows how </w:t>
      </w:r>
      <w:r w:rsidRPr="0044370F">
        <w:rPr>
          <w:rFonts w:ascii="Times New Roman" w:eastAsia="Times New Roman" w:hAnsi="Times New Roman" w:cs="Times New Roman"/>
          <w:b/>
          <w:bCs/>
          <w:sz w:val="24"/>
          <w:szCs w:val="24"/>
        </w:rPr>
        <w:t>different</w:t>
      </w:r>
      <w:r w:rsidRPr="0044370F">
        <w:rPr>
          <w:rFonts w:ascii="Times New Roman" w:eastAsia="Times New Roman" w:hAnsi="Times New Roman" w:cs="Times New Roman"/>
          <w:sz w:val="24"/>
          <w:szCs w:val="24"/>
        </w:rPr>
        <w:t xml:space="preserve"> </w:t>
      </w:r>
      <w:r w:rsidRPr="0044370F">
        <w:rPr>
          <w:rFonts w:ascii="Times New Roman" w:eastAsia="Times New Roman" w:hAnsi="Times New Roman" w:cs="Times New Roman"/>
          <w:b/>
          <w:bCs/>
          <w:sz w:val="24"/>
          <w:szCs w:val="24"/>
        </w:rPr>
        <w:t>combinations</w:t>
      </w:r>
      <w:r w:rsidRPr="0044370F">
        <w:rPr>
          <w:rFonts w:ascii="Times New Roman" w:eastAsia="Times New Roman" w:hAnsi="Times New Roman" w:cs="Times New Roman"/>
          <w:sz w:val="24"/>
          <w:szCs w:val="24"/>
        </w:rPr>
        <w:t xml:space="preserve"> of the four dimensions generate distinct modes of authority, ranging from normatively contested platform governance to state-aligned infrastructural power and compliance-based institutional embedding. </w:t>
      </w:r>
    </w:p>
    <w:p w:rsidR="002C3B1E" w:rsidRPr="0044370F" w:rsidRDefault="000B695A" w:rsidP="002C3B1E">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lastRenderedPageBreak/>
        <w:t>This configurational approach refines existing theories of private and hybrid authority by specifying threshold conditions, clarifying boundary distinctions, and enabling systematic cross-case comparison without collapsing corporate power into a monolithic category</w:t>
      </w:r>
      <w:r w:rsidR="002C3B1E" w:rsidRPr="0044370F">
        <w:rPr>
          <w:rFonts w:ascii="Times New Roman" w:eastAsia="Times New Roman" w:hAnsi="Times New Roman" w:cs="Times New Roman"/>
          <w:sz w:val="24"/>
          <w:szCs w:val="24"/>
        </w:rPr>
        <w:t>.</w:t>
      </w:r>
    </w:p>
    <w:p w:rsidR="00790C26" w:rsidRPr="0044370F" w:rsidRDefault="00790C26"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Building directly on the comparative synthesis in Chapter 8, the contributions and implications articulated in this chapter are derived from the three observed trajectories of quasi-sovereign authority (discursive platform governance, geopolitically entangled infrastructural power, and institutionalized standards-based governance). </w:t>
      </w:r>
    </w:p>
    <w:p w:rsidR="000B695A" w:rsidRPr="0044370F" w:rsidRDefault="000B695A" w:rsidP="000B695A">
      <w:pPr>
        <w:spacing w:before="100" w:beforeAutospacing="1" w:after="100" w:afterAutospacing="1" w:line="360" w:lineRule="auto"/>
        <w:jc w:val="both"/>
        <w:outlineLvl w:val="1"/>
        <w:rPr>
          <w:rFonts w:ascii="Times New Roman" w:eastAsia="Times New Roman" w:hAnsi="Times New Roman" w:cs="Times New Roman"/>
          <w:sz w:val="24"/>
          <w:szCs w:val="24"/>
        </w:rPr>
      </w:pPr>
      <w:bookmarkStart w:id="218" w:name="_Toc222314180"/>
      <w:bookmarkStart w:id="219" w:name="_Toc222314399"/>
      <w:bookmarkStart w:id="220" w:name="_Toc222315959"/>
      <w:bookmarkStart w:id="221" w:name="_Toc222652882"/>
      <w:r w:rsidRPr="0044370F">
        <w:rPr>
          <w:rFonts w:ascii="Times New Roman" w:eastAsia="Times New Roman" w:hAnsi="Times New Roman" w:cs="Times New Roman"/>
          <w:sz w:val="24"/>
          <w:szCs w:val="24"/>
        </w:rPr>
        <w:t>This linkage ensures that the dissertation’s theoretical claims and practical implications remain empirically grounded in observed configurations rather than abstract extrapolation.</w:t>
      </w:r>
      <w:bookmarkEnd w:id="218"/>
      <w:bookmarkEnd w:id="219"/>
      <w:bookmarkEnd w:id="220"/>
      <w:bookmarkEnd w:id="221"/>
    </w:p>
    <w:p w:rsidR="002C3B1E" w:rsidRPr="0044370F" w:rsidRDefault="00870B10" w:rsidP="00870B10">
      <w:pPr>
        <w:pStyle w:val="2"/>
        <w:rPr>
          <w:rFonts w:eastAsia="Times New Roman"/>
        </w:rPr>
      </w:pPr>
      <w:bookmarkStart w:id="222" w:name="_Toc222652883"/>
      <w:r w:rsidRPr="0044370F">
        <w:rPr>
          <w:rFonts w:eastAsia="Times New Roman"/>
        </w:rPr>
        <w:t>9.1</w:t>
      </w:r>
      <w:r w:rsidRPr="0044370F">
        <w:rPr>
          <w:rFonts w:eastAsia="Times New Roman"/>
        </w:rPr>
        <w:tab/>
      </w:r>
      <w:r w:rsidR="002C3B1E" w:rsidRPr="0044370F">
        <w:rPr>
          <w:rFonts w:eastAsia="Times New Roman"/>
        </w:rPr>
        <w:t>Theoretical Contributions</w:t>
      </w:r>
      <w:bookmarkEnd w:id="222"/>
    </w:p>
    <w:p w:rsidR="002C3B1E" w:rsidRPr="0044370F" w:rsidRDefault="002C3B1E" w:rsidP="00870B10">
      <w:pPr>
        <w:pStyle w:val="3"/>
      </w:pPr>
      <w:bookmarkStart w:id="223" w:name="_Toc222652884"/>
      <w:r w:rsidRPr="0044370F">
        <w:rPr>
          <w:rFonts w:hint="cs"/>
          <w:rtl/>
        </w:rPr>
        <w:t>9.1.1</w:t>
      </w:r>
      <w:r w:rsidRPr="0044370F">
        <w:rPr>
          <w:rtl/>
        </w:rPr>
        <w:tab/>
      </w:r>
      <w:r w:rsidRPr="0044370F">
        <w:t>Expanding Sovereignty Beyond the State</w:t>
      </w:r>
      <w:bookmarkEnd w:id="223"/>
    </w:p>
    <w:p w:rsidR="002C3B1E" w:rsidRPr="0044370F" w:rsidRDefault="002C3B1E" w:rsidP="002C3B1E">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A central theoretical contribution of this dissertation lies in expanding the concept of sovereignty beyond conventional state-centric frameworks</w:t>
      </w:r>
      <w:r w:rsidRPr="0044370F">
        <w:rPr>
          <w:rFonts w:asciiTheme="majorBidi" w:hAnsiTheme="majorBidi" w:cstheme="majorBidi"/>
          <w:sz w:val="24"/>
          <w:szCs w:val="24"/>
        </w:rPr>
        <w:t>.</w:t>
      </w:r>
      <w:r w:rsidRPr="0044370F">
        <w:rPr>
          <w:rFonts w:asciiTheme="majorBidi" w:hAnsiTheme="majorBidi" w:cstheme="majorBidi"/>
          <w:sz w:val="24"/>
          <w:szCs w:val="24"/>
          <w:rtl/>
        </w:rPr>
        <w:t xml:space="preserve"> </w:t>
      </w:r>
      <w:r w:rsidRPr="0044370F">
        <w:rPr>
          <w:rFonts w:asciiTheme="majorBidi" w:hAnsiTheme="majorBidi" w:cstheme="majorBidi"/>
          <w:sz w:val="24"/>
          <w:szCs w:val="24"/>
        </w:rPr>
        <w:t xml:space="preserve">By showing how multinational technology companies increasingly exhibit </w:t>
      </w:r>
      <w:r w:rsidR="003209C7" w:rsidRPr="0044370F">
        <w:rPr>
          <w:rFonts w:asciiTheme="majorBidi" w:hAnsiTheme="majorBidi" w:cstheme="majorBidi"/>
          <w:sz w:val="24"/>
          <w:szCs w:val="24"/>
        </w:rPr>
        <w:t>sovereignty-like authority</w:t>
      </w:r>
      <w:r w:rsidRPr="0044370F">
        <w:rPr>
          <w:rFonts w:asciiTheme="majorBidi" w:hAnsiTheme="majorBidi" w:cstheme="majorBidi"/>
          <w:sz w:val="24"/>
          <w:szCs w:val="24"/>
        </w:rPr>
        <w:t xml:space="preserve"> in digital domains, this dissertation complicates state-centric premises of sovereignty.</w:t>
      </w:r>
    </w:p>
    <w:p w:rsidR="002C3B1E" w:rsidRPr="0044370F" w:rsidRDefault="002C3B1E" w:rsidP="002C3B1E">
      <w:pPr>
        <w:spacing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The comparative findings substantiate this conceptual shift across distinct corporate configurations.</w:t>
      </w:r>
      <w:r w:rsidRPr="0044370F">
        <w:rPr>
          <w:rFonts w:asciiTheme="majorBidi" w:eastAsia="Times New Roman" w:hAnsiTheme="majorBidi" w:cstheme="majorBidi" w:hint="cs"/>
          <w:sz w:val="24"/>
          <w:szCs w:val="24"/>
          <w:rtl/>
        </w:rPr>
        <w:t xml:space="preserve"> </w:t>
      </w:r>
      <w:r w:rsidRPr="0044370F">
        <w:rPr>
          <w:rFonts w:ascii="Times New Roman" w:eastAsia="Times New Roman" w:hAnsi="Times New Roman" w:cs="Times New Roman"/>
          <w:sz w:val="24"/>
          <w:szCs w:val="24"/>
        </w:rPr>
        <w:t>Together, these cases show that sovereignty beyond the state is not a singular phenomenon, but a differentiated and context-dependent form of authority.</w:t>
      </w:r>
    </w:p>
    <w:p w:rsidR="002C3B1E" w:rsidRPr="0044370F" w:rsidRDefault="002C3B1E" w:rsidP="002C3B1E">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When combined, these observations expand the theoretical language of sovereignty to include corporate and digital aspects, providing a post-Westphalian interpretation</w:t>
      </w:r>
      <w:r w:rsidRPr="0044370F">
        <w:rPr>
          <w:rStyle w:val="a8"/>
          <w:rFonts w:ascii="Times New Roman" w:eastAsia="Times New Roman" w:hAnsi="Times New Roman" w:cs="Times New Roman"/>
          <w:sz w:val="24"/>
          <w:szCs w:val="24"/>
        </w:rPr>
        <w:footnoteReference w:id="407"/>
      </w:r>
      <w:r w:rsidRPr="0044370F">
        <w:rPr>
          <w:rFonts w:ascii="Times New Roman" w:eastAsia="Times New Roman" w:hAnsi="Times New Roman" w:cs="Times New Roman"/>
          <w:sz w:val="24"/>
          <w:szCs w:val="24"/>
        </w:rPr>
        <w:t xml:space="preserve"> of authority that better captures the realities of the modern global order.</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A common counterargument holds that expanding the concept of sovereignty beyond the state risks analytical dilution. This dissertation addresses this concern by treating sovereignty not as a legal status, but as a configuration of authority expressed through control, legitimacy, and infrastructural governance. In doing so, it avoids conceptual inflation while remaining attentive to empirical transformations that state-centric theories alone struggle to capture.</w:t>
      </w:r>
    </w:p>
    <w:p w:rsidR="002C3B1E" w:rsidRPr="0044370F" w:rsidRDefault="00870B10" w:rsidP="002C3B1E">
      <w:pPr>
        <w:pStyle w:val="NormalWeb"/>
        <w:spacing w:line="360" w:lineRule="auto"/>
        <w:jc w:val="both"/>
      </w:pPr>
      <w:bookmarkStart w:id="224" w:name="_Toc222652885"/>
      <w:r w:rsidRPr="0044370F">
        <w:rPr>
          <w:rStyle w:val="30"/>
        </w:rPr>
        <w:t>9.1.2</w:t>
      </w:r>
      <w:r w:rsidRPr="0044370F">
        <w:rPr>
          <w:rStyle w:val="30"/>
        </w:rPr>
        <w:tab/>
      </w:r>
      <w:r w:rsidR="002C3B1E" w:rsidRPr="0044370F">
        <w:rPr>
          <w:rStyle w:val="30"/>
        </w:rPr>
        <w:t>International Relations: Corporate and Hybrid Authority</w:t>
      </w:r>
      <w:bookmarkEnd w:id="224"/>
      <w:r w:rsidR="002C3B1E" w:rsidRPr="0044370F">
        <w:rPr>
          <w:rStyle w:val="30"/>
        </w:rPr>
        <w:t xml:space="preserve"> </w:t>
      </w:r>
      <w:r w:rsidR="002C3B1E" w:rsidRPr="0044370F">
        <w:rPr>
          <w:rStyle w:val="30"/>
        </w:rPr>
        <w:br/>
      </w:r>
      <w:r w:rsidR="002C3B1E" w:rsidRPr="0044370F">
        <w:t>In a similar vein, this dissertation advances the study of hybrid or private authority by examining how technology companies serve as governance actors alongside, and at times instead of, states. In much of traditional IR scholarship, multinational corporations were treated primarily as instruments of state power or as subordinate to state authority. This study, on the other hand, views tech companies as independent entities with unique strategic goals and significant governance abilities. The results are consistent with a growing corpus of research on “private authority” and “hybrid governance</w:t>
      </w:r>
      <w:r w:rsidR="002C3B1E" w:rsidRPr="0044370F">
        <w:rPr>
          <w:rStyle w:val="a8"/>
        </w:rPr>
        <w:footnoteReference w:id="408"/>
      </w:r>
      <w:r w:rsidR="002C3B1E" w:rsidRPr="0044370F">
        <w:t>” in international relations.</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Contemporary technology firms increasingly occupy governance roles that blur conventional distinctions between public and private authority.</w:t>
      </w:r>
      <w:r w:rsidRPr="0044370F">
        <w:rPr>
          <w:rStyle w:val="a8"/>
          <w:rFonts w:ascii="Times New Roman" w:eastAsia="Times New Roman" w:hAnsi="Times New Roman" w:cs="Times New Roman"/>
          <w:sz w:val="24"/>
          <w:szCs w:val="24"/>
        </w:rPr>
        <w:footnoteReference w:id="409"/>
      </w:r>
      <w:r w:rsidRPr="0044370F">
        <w:rPr>
          <w:rFonts w:ascii="Times New Roman" w:eastAsia="Times New Roman" w:hAnsi="Times New Roman" w:cs="Times New Roman" w:hint="cs"/>
          <w:sz w:val="24"/>
          <w:szCs w:val="24"/>
          <w:rtl/>
        </w:rPr>
        <w:t xml:space="preserve"> </w:t>
      </w:r>
      <w:r w:rsidRPr="0044370F">
        <w:rPr>
          <w:rFonts w:ascii="Times New Roman" w:eastAsia="Times New Roman" w:hAnsi="Times New Roman" w:cs="Times New Roman"/>
          <w:sz w:val="24"/>
          <w:szCs w:val="24"/>
        </w:rPr>
        <w:t>Their active involvement in establishing standards, creating rules, and influencing regulatory procedures that impact millions of people and organizations globally demonstrates their power</w:t>
      </w:r>
      <w:r w:rsidRPr="0044370F">
        <w:rPr>
          <w:rStyle w:val="a8"/>
          <w:rFonts w:ascii="Times New Roman" w:eastAsia="Times New Roman" w:hAnsi="Times New Roman" w:cs="Times New Roman"/>
          <w:sz w:val="24"/>
          <w:szCs w:val="24"/>
        </w:rPr>
        <w:footnoteReference w:id="410"/>
      </w:r>
      <w:r w:rsidRPr="0044370F">
        <w:rPr>
          <w:rFonts w:ascii="Times New Roman" w:eastAsia="Times New Roman" w:hAnsi="Times New Roman" w:cs="Times New Roman"/>
          <w:sz w:val="24"/>
          <w:szCs w:val="24"/>
        </w:rPr>
        <w:t>. These businesses have privileged access to public authorities and international fora, and they can impose standards (best practices, definitions, procedures) that both users and governments frequently adopt</w:t>
      </w:r>
      <w:r w:rsidRPr="0044370F">
        <w:rPr>
          <w:rStyle w:val="a8"/>
          <w:rFonts w:ascii="Times New Roman" w:eastAsia="Times New Roman" w:hAnsi="Times New Roman" w:cs="Times New Roman"/>
          <w:sz w:val="24"/>
          <w:szCs w:val="24"/>
        </w:rPr>
        <w:footnoteReference w:id="411"/>
      </w:r>
      <w:r w:rsidRPr="0044370F">
        <w:rPr>
          <w:rFonts w:ascii="Times New Roman" w:eastAsia="Times New Roman" w:hAnsi="Times New Roman" w:cs="Times New Roman"/>
          <w:sz w:val="24"/>
          <w:szCs w:val="24"/>
        </w:rPr>
        <w:t xml:space="preserve">. Therefore, in areas such as </w:t>
      </w:r>
      <w:r w:rsidRPr="0044370F">
        <w:rPr>
          <w:rFonts w:ascii="Times New Roman" w:eastAsia="Times New Roman" w:hAnsi="Times New Roman" w:cs="Times New Roman"/>
          <w:sz w:val="24"/>
          <w:szCs w:val="24"/>
        </w:rPr>
        <w:lastRenderedPageBreak/>
        <w:t>cybersecurity, content moderation, data governance, and digital trade, tech companies co-produce governance outcomes, collaborating with states to create regulations and standards.</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The empirical findings of this dissertation substantiate and refine these debates by demonstrating how different configurations of corporate authority operate within international politics.</w:t>
      </w:r>
    </w:p>
    <w:p w:rsidR="002C3B1E" w:rsidRPr="0044370F" w:rsidRDefault="002C3B1E" w:rsidP="002C3B1E">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providing a methodical examination of corporate agency in international politics, this dissertation enhances this field of study. It illustrates how technology companies use their size, economic power, and centrality of their infrastructure to assume what academics refer to as an “entrepreneurial private authority” in the global system</w:t>
      </w:r>
      <w:r w:rsidRPr="0044370F">
        <w:rPr>
          <w:rStyle w:val="a8"/>
          <w:rFonts w:ascii="Times New Roman" w:eastAsia="Times New Roman" w:hAnsi="Times New Roman" w:cs="Times New Roman"/>
          <w:sz w:val="24"/>
          <w:szCs w:val="24"/>
        </w:rPr>
        <w:footnoteReference w:id="412"/>
      </w:r>
      <w:r w:rsidRPr="0044370F">
        <w:rPr>
          <w:rFonts w:ascii="Times New Roman" w:eastAsia="Times New Roman" w:hAnsi="Times New Roman" w:cs="Times New Roman"/>
          <w:sz w:val="24"/>
          <w:szCs w:val="24"/>
        </w:rPr>
        <w:t>. This authority carries significant power and raises “multiple concerns in terms of legitimacy, accountability, and sovereignty”</w:t>
      </w:r>
      <w:r w:rsidRPr="0044370F">
        <w:rPr>
          <w:rStyle w:val="a8"/>
          <w:rFonts w:ascii="Times New Roman" w:eastAsia="Times New Roman" w:hAnsi="Times New Roman" w:cs="Times New Roman"/>
          <w:sz w:val="24"/>
          <w:szCs w:val="24"/>
        </w:rPr>
        <w:footnoteReference w:id="413"/>
      </w:r>
      <w:r w:rsidRPr="0044370F">
        <w:rPr>
          <w:rFonts w:ascii="Times New Roman" w:eastAsia="Times New Roman" w:hAnsi="Times New Roman" w:cs="Times New Roman"/>
          <w:sz w:val="24"/>
          <w:szCs w:val="24"/>
        </w:rPr>
        <w:t>. By demonstrating how market supremacy and infrastructure position can translate into political authority, this work conceptually connects IR theory and international political economy.</w:t>
      </w:r>
    </w:p>
    <w:p w:rsidR="002C3B1E" w:rsidRPr="0044370F" w:rsidRDefault="002C3B1E" w:rsidP="002C3B1E">
      <w:pPr>
        <w:spacing w:after="0"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This hybrid status is captured by the quasi-sovereignty concept presented here: although digital companies are not states, they increasingly </w:t>
      </w:r>
      <w:r w:rsidRPr="0044370F">
        <w:rPr>
          <w:rFonts w:asciiTheme="majorBidi" w:hAnsiTheme="majorBidi" w:cstheme="majorBidi"/>
          <w:sz w:val="24"/>
          <w:szCs w:val="24"/>
        </w:rPr>
        <w:t xml:space="preserve">exercise </w:t>
      </w:r>
      <w:r w:rsidR="003209C7" w:rsidRPr="0044370F">
        <w:rPr>
          <w:rFonts w:asciiTheme="majorBidi" w:hAnsiTheme="majorBidi" w:cstheme="majorBidi"/>
          <w:sz w:val="24"/>
          <w:szCs w:val="24"/>
        </w:rPr>
        <w:t>sovereignty-like authority</w:t>
      </w:r>
      <w:r w:rsidRPr="0044370F">
        <w:rPr>
          <w:rFonts w:asciiTheme="majorBidi" w:hAnsiTheme="majorBidi" w:cstheme="majorBidi"/>
          <w:sz w:val="24"/>
          <w:szCs w:val="24"/>
        </w:rPr>
        <w:t xml:space="preserve"> within international governance arenas</w:t>
      </w:r>
      <w:r w:rsidRPr="0044370F">
        <w:rPr>
          <w:rFonts w:asciiTheme="majorBidi" w:eastAsia="Times New Roman" w:hAnsiTheme="majorBidi" w:cstheme="majorBidi"/>
          <w:sz w:val="24"/>
          <w:szCs w:val="24"/>
        </w:rPr>
        <w:t>.</w:t>
      </w:r>
      <w:r w:rsidRPr="0044370F">
        <w:rPr>
          <w:rFonts w:ascii="Times New Roman" w:eastAsia="Times New Roman" w:hAnsi="Times New Roman" w:cs="Times New Roman"/>
          <w:sz w:val="24"/>
          <w:szCs w:val="24"/>
        </w:rPr>
        <w:t xml:space="preserve"> By outlining the circumstances and processes by which corporate authority transforms into governance authority, the dissertation advances IR discussions</w:t>
      </w:r>
      <w:r w:rsidRPr="0044370F">
        <w:rPr>
          <w:rStyle w:val="a8"/>
          <w:rFonts w:ascii="Times New Roman" w:eastAsia="Times New Roman" w:hAnsi="Times New Roman" w:cs="Times New Roman"/>
          <w:sz w:val="24"/>
          <w:szCs w:val="24"/>
        </w:rPr>
        <w:footnoteReference w:id="414"/>
      </w:r>
      <w:r w:rsidRPr="0044370F">
        <w:rPr>
          <w:rFonts w:ascii="Times New Roman" w:eastAsia="Times New Roman" w:hAnsi="Times New Roman" w:cs="Times New Roman"/>
          <w:sz w:val="24"/>
          <w:szCs w:val="24"/>
        </w:rPr>
        <w:t>.</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In this dissertation, corporate quasi-sovereignty is conceptualized not as a</w:t>
      </w:r>
      <w:r w:rsidRPr="0044370F">
        <w:rPr>
          <w:rFonts w:ascii="Times New Roman" w:eastAsia="Times New Roman" w:hAnsi="Times New Roman" w:cs="Times New Roman" w:hint="cs"/>
          <w:sz w:val="24"/>
          <w:szCs w:val="24"/>
          <w:rtl/>
        </w:rPr>
        <w:t xml:space="preserve"> </w:t>
      </w:r>
      <w:r w:rsidRPr="0044370F">
        <w:rPr>
          <w:rFonts w:ascii="Times New Roman" w:eastAsia="Times New Roman" w:hAnsi="Times New Roman" w:cs="Times New Roman"/>
          <w:sz w:val="24"/>
          <w:szCs w:val="24"/>
        </w:rPr>
        <w:t xml:space="preserve">replacement for hybrid governance, but as a specific configuration of hybrid authority in which corporate actors exercise </w:t>
      </w:r>
      <w:r w:rsidR="003209C7" w:rsidRPr="0044370F">
        <w:rPr>
          <w:rFonts w:ascii="Times New Roman" w:eastAsia="Times New Roman" w:hAnsi="Times New Roman" w:cs="Times New Roman"/>
          <w:sz w:val="24"/>
          <w:szCs w:val="24"/>
        </w:rPr>
        <w:t>sovereignty-like authority</w:t>
      </w:r>
      <w:r w:rsidRPr="0044370F">
        <w:rPr>
          <w:rFonts w:ascii="Times New Roman" w:eastAsia="Times New Roman" w:hAnsi="Times New Roman" w:cs="Times New Roman"/>
          <w:sz w:val="24"/>
          <w:szCs w:val="24"/>
        </w:rPr>
        <w:t xml:space="preserve"> without formal sovereign status.</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Some scholars argue that corporate power remains ultimately subordinate to state authority, pointing to regulatory crackdowns, antitrust enforcement, and national security interventions as evidence of state primacy. While these dynamics are real, the findings of this dissertation suggest that such interventions often operate through, rather than outside of, corporate infrastructures. State </w:t>
      </w:r>
      <w:r w:rsidRPr="0044370F">
        <w:rPr>
          <w:rFonts w:ascii="Times New Roman" w:eastAsia="Times New Roman" w:hAnsi="Times New Roman" w:cs="Times New Roman"/>
          <w:sz w:val="24"/>
          <w:szCs w:val="24"/>
        </w:rPr>
        <w:lastRenderedPageBreak/>
        <w:t>authority is thus exercised indirectly and unevenly, reinforcing the need to conceptualize power as relational and entangled rather than hierarchically ordered.</w:t>
      </w:r>
    </w:p>
    <w:p w:rsidR="002C3B1E" w:rsidRPr="0044370F" w:rsidRDefault="002C3B1E" w:rsidP="00870B10">
      <w:pPr>
        <w:pStyle w:val="3"/>
      </w:pPr>
      <w:bookmarkStart w:id="225" w:name="_Toc222652886"/>
      <w:r w:rsidRPr="0044370F">
        <w:rPr>
          <w:rFonts w:hint="cs"/>
          <w:szCs w:val="28"/>
          <w:rtl/>
        </w:rPr>
        <w:t>9.1.3</w:t>
      </w:r>
      <w:r w:rsidRPr="0044370F">
        <w:rPr>
          <w:szCs w:val="28"/>
          <w:rtl/>
        </w:rPr>
        <w:tab/>
      </w:r>
      <w:r w:rsidRPr="0044370F">
        <w:t>Four-Dimensional Model of Corporate Quasi-Sovereignty</w:t>
      </w:r>
      <w:bookmarkEnd w:id="225"/>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Unlike existing approaches that examine corporate power through isolated dimensions, such as market dominance, private authority, or infrastructural control, the four-dimensional model developed here captures the interaction between multiple forms of authority. </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Strategic resource control alone does not produce quasi-sovereignty unless it is embedded within institutional systems; infrastructural power becomes politically consequential only when accompanied by legitimacy or dependency; and normative authority remains unstable without material and organizational foundations. </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integrating these dimensions into a single analytical framework, the model explains not only whether corporate power exists, but how it becomes durable, scalable, and geopolitically relevant.</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The framework also establishes implicit threshold conditions for identifying corporate quasi-sovereignty. Quasi-sovereign authority is most</w:t>
      </w:r>
      <w:r w:rsidRPr="0044370F">
        <w:rPr>
          <w:rFonts w:asciiTheme="majorBidi" w:eastAsia="Times New Roman" w:hAnsiTheme="majorBidi" w:cstheme="majorBidi"/>
          <w:sz w:val="24"/>
          <w:szCs w:val="24"/>
        </w:rPr>
        <w:t xml:space="preserve"> </w:t>
      </w:r>
      <w:r w:rsidRPr="0044370F">
        <w:rPr>
          <w:rFonts w:asciiTheme="majorBidi" w:hAnsiTheme="majorBidi" w:cstheme="majorBidi"/>
          <w:sz w:val="24"/>
          <w:szCs w:val="24"/>
        </w:rPr>
        <w:t>clearly identifiable when all four dimensions converge</w:t>
      </w:r>
      <w:r w:rsidRPr="0044370F">
        <w:rPr>
          <w:rFonts w:asciiTheme="majorBidi" w:eastAsia="Times New Roman" w:hAnsiTheme="majorBidi" w:cstheme="majorBidi"/>
          <w:sz w:val="24"/>
          <w:szCs w:val="24"/>
        </w:rPr>
        <w:t xml:space="preserve">. </w:t>
      </w:r>
      <w:r w:rsidRPr="0044370F">
        <w:rPr>
          <w:rFonts w:ascii="Times New Roman" w:eastAsia="Times New Roman" w:hAnsi="Times New Roman" w:cs="Times New Roman"/>
          <w:sz w:val="24"/>
          <w:szCs w:val="24"/>
        </w:rPr>
        <w:t xml:space="preserve">However, the model allows for partial configurations in which three dimensions may be strongly present while one remains weak or contested. </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In such cases, corporate authority may still exhibit sovereignty-like characteristics, though it is likely to be more fragile, contested, or context-dependent. </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Firms that possess market dominance or strategic resources without infrastructural centrality or structural embeddedness, by contrast, are classified as powerful market actors rather than quasi-sovereign authorities. This threshold logic enables analytical precision while avoiding conceptual inflation.</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Rather than restating each dimension, this section highlights what the integration of these four dimensions achieves analytically: it specifies threshold conditions, clarifies configurational variation, and enables cross-case comparison without collapsing corporate power into a monolithic category.</w:t>
      </w:r>
    </w:p>
    <w:p w:rsidR="002C3B1E" w:rsidRPr="0044370F" w:rsidRDefault="002C3B1E" w:rsidP="00870B10">
      <w:pPr>
        <w:pStyle w:val="3"/>
      </w:pPr>
      <w:bookmarkStart w:id="226" w:name="_Toc222652887"/>
      <w:r w:rsidRPr="0044370F">
        <w:lastRenderedPageBreak/>
        <w:t>Figure 5: The Four-Dimensional Model of Corporate Quasi-Sovereignty</w:t>
      </w:r>
      <w:bookmarkEnd w:id="226"/>
    </w:p>
    <w:p w:rsidR="002C3B1E" w:rsidRPr="0044370F" w:rsidRDefault="002C3B1E" w:rsidP="002C3B1E">
      <w:pPr>
        <w:spacing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noProof/>
          <w:sz w:val="24"/>
          <w:szCs w:val="24"/>
        </w:rPr>
        <w:drawing>
          <wp:inline distT="0" distB="0" distL="0" distR="0" wp14:anchorId="471E7437" wp14:editId="765D36DF">
            <wp:extent cx="4897389" cy="3520035"/>
            <wp:effectExtent l="0" t="0" r="0" b="4445"/>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X Venn Diagram of Corporate Quasi-Sovereignty (6).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08421" cy="3527965"/>
                    </a:xfrm>
                    <a:prstGeom prst="rect">
                      <a:avLst/>
                    </a:prstGeom>
                  </pic:spPr>
                </pic:pic>
              </a:graphicData>
            </a:graphic>
          </wp:inline>
        </w:drawing>
      </w:r>
    </w:p>
    <w:p w:rsidR="002C3B1E" w:rsidRPr="0044370F" w:rsidRDefault="002C3B1E" w:rsidP="002C3B1E">
      <w:pPr>
        <w:spacing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figure illustrates corporate quasi-sovereignty as a configurational form of authority emerging from the interaction of four analytically distinct but mutually</w:t>
      </w:r>
      <w:r w:rsidRPr="0044370F">
        <w:rPr>
          <w:rFonts w:ascii="Times New Roman" w:eastAsia="Times New Roman" w:hAnsi="Times New Roman" w:cs="Times New Roman"/>
          <w:i/>
          <w:iCs/>
          <w:sz w:val="24"/>
          <w:szCs w:val="24"/>
        </w:rPr>
        <w:t xml:space="preserve"> </w:t>
      </w:r>
      <w:r w:rsidRPr="0044370F">
        <w:rPr>
          <w:rFonts w:ascii="Times New Roman" w:eastAsia="Times New Roman" w:hAnsi="Times New Roman" w:cs="Times New Roman"/>
          <w:sz w:val="24"/>
          <w:szCs w:val="24"/>
        </w:rPr>
        <w:t>reinforcing dimensions. No single dimension is sufficient on its own; quasi-sovereign authority arises through its combined operation.</w:t>
      </w:r>
    </w:p>
    <w:p w:rsidR="002C3B1E" w:rsidRPr="0044370F" w:rsidRDefault="002C3B1E" w:rsidP="00870B10">
      <w:pPr>
        <w:pStyle w:val="3"/>
      </w:pPr>
      <w:bookmarkStart w:id="227" w:name="_Toc222652888"/>
      <w:r w:rsidRPr="0044370F">
        <w:t>Table 1</w:t>
      </w:r>
      <w:r w:rsidR="009E2790" w:rsidRPr="0044370F">
        <w:rPr>
          <w:rFonts w:hint="cs"/>
          <w:rtl/>
        </w:rPr>
        <w:t>4</w:t>
      </w:r>
      <w:r w:rsidRPr="0044370F">
        <w:t>: Illustrative Comparison Across the Four Dimensions</w:t>
      </w:r>
      <w:bookmarkEnd w:id="227"/>
    </w:p>
    <w:tbl>
      <w:tblPr>
        <w:tblStyle w:val="5-3"/>
        <w:tblW w:w="0" w:type="auto"/>
        <w:tblLook w:val="04A0" w:firstRow="1" w:lastRow="0" w:firstColumn="1" w:lastColumn="0" w:noHBand="0" w:noVBand="1"/>
      </w:tblPr>
      <w:tblGrid>
        <w:gridCol w:w="2122"/>
        <w:gridCol w:w="2407"/>
        <w:gridCol w:w="2355"/>
        <w:gridCol w:w="2466"/>
      </w:tblGrid>
      <w:tr w:rsidR="002C3B1E" w:rsidRPr="0044370F" w:rsidTr="009E27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2F5496" w:themeFill="accent5" w:themeFillShade="BF"/>
            <w:hideMark/>
          </w:tcPr>
          <w:p w:rsidR="002C3B1E" w:rsidRPr="0044370F" w:rsidRDefault="002C3B1E" w:rsidP="009E2790">
            <w:pPr>
              <w:jc w:val="center"/>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Dimension</w:t>
            </w:r>
          </w:p>
        </w:tc>
        <w:tc>
          <w:tcPr>
            <w:tcW w:w="0" w:type="auto"/>
            <w:shd w:val="clear" w:color="auto" w:fill="2F5496" w:themeFill="accent5" w:themeFillShade="BF"/>
            <w:hideMark/>
          </w:tcPr>
          <w:p w:rsidR="002C3B1E" w:rsidRPr="0044370F" w:rsidRDefault="002C3B1E"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Meta</w:t>
            </w:r>
          </w:p>
        </w:tc>
        <w:tc>
          <w:tcPr>
            <w:tcW w:w="0" w:type="auto"/>
            <w:shd w:val="clear" w:color="auto" w:fill="2F5496" w:themeFill="accent5" w:themeFillShade="BF"/>
            <w:hideMark/>
          </w:tcPr>
          <w:p w:rsidR="002C3B1E" w:rsidRPr="0044370F" w:rsidRDefault="002C3B1E"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Huawei</w:t>
            </w:r>
          </w:p>
        </w:tc>
        <w:tc>
          <w:tcPr>
            <w:tcW w:w="0" w:type="auto"/>
            <w:shd w:val="clear" w:color="auto" w:fill="2F5496" w:themeFill="accent5" w:themeFillShade="BF"/>
            <w:hideMark/>
          </w:tcPr>
          <w:p w:rsidR="002C3B1E" w:rsidRPr="0044370F" w:rsidRDefault="002C3B1E" w:rsidP="009E279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SAP</w:t>
            </w:r>
          </w:p>
        </w:tc>
      </w:tr>
      <w:tr w:rsidR="002C3B1E"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4B083" w:themeFill="accent2" w:themeFillTint="99"/>
            <w:hideMark/>
          </w:tcPr>
          <w:p w:rsidR="002C3B1E" w:rsidRPr="0044370F" w:rsidRDefault="002C3B1E" w:rsidP="009E2790">
            <w:pPr>
              <w:rPr>
                <w:rFonts w:ascii="Times New Roman" w:eastAsia="Times New Roman" w:hAnsi="Times New Roman" w:cs="Times New Roman"/>
                <w:color w:val="auto"/>
                <w:sz w:val="20"/>
                <w:szCs w:val="20"/>
              </w:rPr>
            </w:pPr>
            <w:r w:rsidRPr="0044370F">
              <w:rPr>
                <w:rFonts w:ascii="Times New Roman" w:eastAsia="Times New Roman" w:hAnsi="Times New Roman" w:cs="Times New Roman"/>
                <w:color w:val="auto"/>
                <w:sz w:val="20"/>
                <w:szCs w:val="20"/>
              </w:rPr>
              <w:t>Strategic Resource Control</w:t>
            </w:r>
          </w:p>
        </w:tc>
        <w:tc>
          <w:tcPr>
            <w:tcW w:w="0" w:type="auto"/>
            <w:shd w:val="clear" w:color="auto" w:fill="F7CAAC" w:themeFill="accent2" w:themeFillTint="66"/>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User data, attention, algorithms</w:t>
            </w:r>
          </w:p>
        </w:tc>
        <w:tc>
          <w:tcPr>
            <w:tcW w:w="0" w:type="auto"/>
            <w:shd w:val="clear" w:color="auto" w:fill="F7CAAC" w:themeFill="accent2" w:themeFillTint="66"/>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5G patents, telecom hardware, R&amp;D</w:t>
            </w:r>
          </w:p>
        </w:tc>
        <w:tc>
          <w:tcPr>
            <w:tcW w:w="0" w:type="auto"/>
            <w:shd w:val="clear" w:color="auto" w:fill="F7CAAC" w:themeFill="accent2" w:themeFillTint="66"/>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ERP systems, enterprise data, software standards</w:t>
            </w:r>
          </w:p>
        </w:tc>
      </w:tr>
      <w:tr w:rsidR="002C3B1E" w:rsidRPr="0044370F" w:rsidTr="009E2790">
        <w:tc>
          <w:tcPr>
            <w:cnfStyle w:val="001000000000" w:firstRow="0" w:lastRow="0" w:firstColumn="1" w:lastColumn="0" w:oddVBand="0" w:evenVBand="0" w:oddHBand="0" w:evenHBand="0" w:firstRowFirstColumn="0" w:firstRowLastColumn="0" w:lastRowFirstColumn="0" w:lastRowLastColumn="0"/>
            <w:tcW w:w="0" w:type="auto"/>
            <w:shd w:val="clear" w:color="auto" w:fill="9CC2E5" w:themeFill="accent1" w:themeFillTint="99"/>
            <w:hideMark/>
          </w:tcPr>
          <w:p w:rsidR="002C3B1E" w:rsidRPr="0044370F" w:rsidRDefault="002C3B1E" w:rsidP="009E2790">
            <w:pPr>
              <w:rPr>
                <w:rFonts w:ascii="Times New Roman" w:eastAsia="Times New Roman" w:hAnsi="Times New Roman" w:cs="Times New Roman"/>
                <w:color w:val="auto"/>
                <w:sz w:val="20"/>
                <w:szCs w:val="20"/>
              </w:rPr>
            </w:pPr>
            <w:r w:rsidRPr="0044370F">
              <w:rPr>
                <w:rFonts w:ascii="Times New Roman" w:eastAsia="Times New Roman" w:hAnsi="Times New Roman" w:cs="Times New Roman"/>
                <w:color w:val="auto"/>
                <w:sz w:val="20"/>
                <w:szCs w:val="20"/>
              </w:rPr>
              <w:t>Structural Embeddedness</w:t>
            </w:r>
          </w:p>
        </w:tc>
        <w:tc>
          <w:tcPr>
            <w:tcW w:w="0" w:type="auto"/>
            <w:shd w:val="clear" w:color="auto" w:fill="BDD6EE" w:themeFill="accent1" w:themeFillTint="66"/>
            <w:hideMark/>
          </w:tcPr>
          <w:p w:rsidR="002C3B1E" w:rsidRPr="0044370F" w:rsidRDefault="002C3B1E"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Digital public sphere, advertising markets</w:t>
            </w:r>
          </w:p>
        </w:tc>
        <w:tc>
          <w:tcPr>
            <w:tcW w:w="0" w:type="auto"/>
            <w:shd w:val="clear" w:color="auto" w:fill="BDD6EE" w:themeFill="accent1" w:themeFillTint="66"/>
            <w:hideMark/>
          </w:tcPr>
          <w:p w:rsidR="002C3B1E" w:rsidRPr="0044370F" w:rsidRDefault="002C3B1E"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National telecom infrastructures, state projects</w:t>
            </w:r>
          </w:p>
        </w:tc>
        <w:tc>
          <w:tcPr>
            <w:tcW w:w="0" w:type="auto"/>
            <w:shd w:val="clear" w:color="auto" w:fill="BDD6EE" w:themeFill="accent1" w:themeFillTint="66"/>
            <w:hideMark/>
          </w:tcPr>
          <w:p w:rsidR="002C3B1E" w:rsidRPr="0044370F" w:rsidRDefault="002C3B1E"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Public administration, corporate governance systems</w:t>
            </w:r>
          </w:p>
        </w:tc>
      </w:tr>
      <w:tr w:rsidR="002C3B1E"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D966" w:themeFill="accent4" w:themeFillTint="99"/>
            <w:hideMark/>
          </w:tcPr>
          <w:p w:rsidR="002C3B1E" w:rsidRPr="0044370F" w:rsidRDefault="002C3B1E" w:rsidP="009E2790">
            <w:pPr>
              <w:rPr>
                <w:rFonts w:ascii="Times New Roman" w:eastAsia="Times New Roman" w:hAnsi="Times New Roman" w:cs="Times New Roman"/>
                <w:color w:val="auto"/>
                <w:sz w:val="20"/>
                <w:szCs w:val="20"/>
              </w:rPr>
            </w:pPr>
            <w:r w:rsidRPr="0044370F">
              <w:rPr>
                <w:rFonts w:ascii="Times New Roman" w:eastAsia="Times New Roman" w:hAnsi="Times New Roman" w:cs="Times New Roman"/>
                <w:color w:val="auto"/>
                <w:sz w:val="20"/>
                <w:szCs w:val="20"/>
              </w:rPr>
              <w:t>Normative Legitimacy</w:t>
            </w:r>
          </w:p>
        </w:tc>
        <w:tc>
          <w:tcPr>
            <w:tcW w:w="0" w:type="auto"/>
            <w:shd w:val="clear" w:color="auto" w:fill="FFE599" w:themeFill="accent4" w:themeFillTint="66"/>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Highly contested in liberal democracies</w:t>
            </w:r>
          </w:p>
        </w:tc>
        <w:tc>
          <w:tcPr>
            <w:tcW w:w="0" w:type="auto"/>
            <w:shd w:val="clear" w:color="auto" w:fill="FFE599" w:themeFill="accent4" w:themeFillTint="66"/>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Polarized across geopolitical blocs</w:t>
            </w:r>
          </w:p>
        </w:tc>
        <w:tc>
          <w:tcPr>
            <w:tcW w:w="0" w:type="auto"/>
            <w:shd w:val="clear" w:color="auto" w:fill="FFE599" w:themeFill="accent4" w:themeFillTint="66"/>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Institutional and compliance-based legitimacy</w:t>
            </w:r>
          </w:p>
        </w:tc>
      </w:tr>
      <w:tr w:rsidR="002C3B1E" w:rsidRPr="0044370F" w:rsidTr="009E2790">
        <w:tc>
          <w:tcPr>
            <w:cnfStyle w:val="001000000000" w:firstRow="0" w:lastRow="0" w:firstColumn="1" w:lastColumn="0" w:oddVBand="0" w:evenVBand="0" w:oddHBand="0" w:evenHBand="0" w:firstRowFirstColumn="0" w:firstRowLastColumn="0" w:lastRowFirstColumn="0" w:lastRowLastColumn="0"/>
            <w:tcW w:w="0" w:type="auto"/>
            <w:shd w:val="clear" w:color="auto" w:fill="A8D08D" w:themeFill="accent6" w:themeFillTint="99"/>
            <w:hideMark/>
          </w:tcPr>
          <w:p w:rsidR="002C3B1E" w:rsidRPr="0044370F" w:rsidRDefault="002C3B1E" w:rsidP="009E2790">
            <w:pPr>
              <w:rPr>
                <w:rFonts w:ascii="Times New Roman" w:eastAsia="Times New Roman" w:hAnsi="Times New Roman" w:cs="Times New Roman"/>
                <w:color w:val="auto"/>
                <w:sz w:val="20"/>
                <w:szCs w:val="20"/>
              </w:rPr>
            </w:pPr>
            <w:r w:rsidRPr="0044370F">
              <w:rPr>
                <w:rFonts w:ascii="Times New Roman" w:eastAsia="Times New Roman" w:hAnsi="Times New Roman" w:cs="Times New Roman"/>
                <w:color w:val="auto"/>
                <w:sz w:val="20"/>
                <w:szCs w:val="20"/>
              </w:rPr>
              <w:t>Infrastructural Power</w:t>
            </w:r>
          </w:p>
        </w:tc>
        <w:tc>
          <w:tcPr>
            <w:tcW w:w="0" w:type="auto"/>
            <w:shd w:val="clear" w:color="auto" w:fill="C5E0B3" w:themeFill="accent6" w:themeFillTint="66"/>
            <w:hideMark/>
          </w:tcPr>
          <w:p w:rsidR="002C3B1E" w:rsidRPr="0044370F" w:rsidRDefault="002C3B1E"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Social media platforms and communication flows</w:t>
            </w:r>
          </w:p>
        </w:tc>
        <w:tc>
          <w:tcPr>
            <w:tcW w:w="0" w:type="auto"/>
            <w:shd w:val="clear" w:color="auto" w:fill="C5E0B3" w:themeFill="accent6" w:themeFillTint="66"/>
            <w:hideMark/>
          </w:tcPr>
          <w:p w:rsidR="002C3B1E" w:rsidRPr="0044370F" w:rsidRDefault="002C3B1E"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Physical network infrastructure</w:t>
            </w:r>
          </w:p>
        </w:tc>
        <w:tc>
          <w:tcPr>
            <w:tcW w:w="0" w:type="auto"/>
            <w:shd w:val="clear" w:color="auto" w:fill="C5E0B3" w:themeFill="accent6" w:themeFillTint="66"/>
            <w:hideMark/>
          </w:tcPr>
          <w:p w:rsidR="002C3B1E" w:rsidRPr="0044370F" w:rsidRDefault="002C3B1E" w:rsidP="009E279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Enterprise and administrative software backbones</w:t>
            </w:r>
          </w:p>
        </w:tc>
      </w:tr>
      <w:tr w:rsidR="002C3B1E" w:rsidRPr="0044370F" w:rsidTr="009E27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7F7F7F" w:themeFill="text1" w:themeFillTint="80"/>
            <w:hideMark/>
          </w:tcPr>
          <w:p w:rsidR="002C3B1E" w:rsidRPr="0044370F" w:rsidRDefault="002C3B1E" w:rsidP="009E2790">
            <w:pPr>
              <w:rPr>
                <w:rFonts w:ascii="Times New Roman" w:eastAsia="Times New Roman" w:hAnsi="Times New Roman" w:cs="Times New Roman"/>
                <w:sz w:val="20"/>
                <w:szCs w:val="20"/>
              </w:rPr>
            </w:pPr>
            <w:r w:rsidRPr="0044370F">
              <w:rPr>
                <w:rFonts w:ascii="Times New Roman" w:eastAsia="Times New Roman" w:hAnsi="Times New Roman" w:cs="Times New Roman"/>
                <w:sz w:val="20"/>
                <w:szCs w:val="20"/>
              </w:rPr>
              <w:t>Configuration of Quasi-Sovereignty</w:t>
            </w:r>
          </w:p>
        </w:tc>
        <w:tc>
          <w:tcPr>
            <w:tcW w:w="0" w:type="auto"/>
            <w:shd w:val="clear" w:color="auto" w:fill="7F7F7F" w:themeFill="text1" w:themeFillTint="80"/>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rPr>
            </w:pPr>
            <w:r w:rsidRPr="0044370F">
              <w:rPr>
                <w:rFonts w:ascii="Times New Roman" w:eastAsia="Times New Roman" w:hAnsi="Times New Roman" w:cs="Times New Roman"/>
                <w:b/>
                <w:bCs/>
                <w:color w:val="FFFFFF" w:themeColor="background1"/>
                <w:sz w:val="20"/>
                <w:szCs w:val="20"/>
              </w:rPr>
              <w:t>Discursive and platform-centric</w:t>
            </w:r>
          </w:p>
        </w:tc>
        <w:tc>
          <w:tcPr>
            <w:tcW w:w="0" w:type="auto"/>
            <w:shd w:val="clear" w:color="auto" w:fill="7F7F7F" w:themeFill="text1" w:themeFillTint="80"/>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rPr>
            </w:pPr>
            <w:r w:rsidRPr="0044370F">
              <w:rPr>
                <w:rFonts w:ascii="Times New Roman" w:eastAsia="Times New Roman" w:hAnsi="Times New Roman" w:cs="Times New Roman"/>
                <w:b/>
                <w:bCs/>
                <w:color w:val="FFFFFF" w:themeColor="background1"/>
                <w:sz w:val="20"/>
                <w:szCs w:val="20"/>
              </w:rPr>
              <w:t>Infrastructure-centric and state-aligned</w:t>
            </w:r>
          </w:p>
        </w:tc>
        <w:tc>
          <w:tcPr>
            <w:tcW w:w="0" w:type="auto"/>
            <w:shd w:val="clear" w:color="auto" w:fill="7F7F7F" w:themeFill="text1" w:themeFillTint="80"/>
            <w:hideMark/>
          </w:tcPr>
          <w:p w:rsidR="002C3B1E" w:rsidRPr="0044370F" w:rsidRDefault="002C3B1E" w:rsidP="009E279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FFFFFF" w:themeColor="background1"/>
                <w:sz w:val="20"/>
                <w:szCs w:val="20"/>
              </w:rPr>
            </w:pPr>
            <w:r w:rsidRPr="0044370F">
              <w:rPr>
                <w:rFonts w:ascii="Times New Roman" w:eastAsia="Times New Roman" w:hAnsi="Times New Roman" w:cs="Times New Roman"/>
                <w:b/>
                <w:bCs/>
                <w:color w:val="FFFFFF" w:themeColor="background1"/>
                <w:sz w:val="20"/>
                <w:szCs w:val="20"/>
              </w:rPr>
              <w:t>Quiet, standards-based, and institutional</w:t>
            </w:r>
          </w:p>
        </w:tc>
      </w:tr>
    </w:tbl>
    <w:p w:rsidR="002C3B1E" w:rsidRPr="0044370F" w:rsidRDefault="002C3B1E" w:rsidP="002C3B1E">
      <w:pPr>
        <w:spacing w:after="0" w:line="240" w:lineRule="auto"/>
        <w:rPr>
          <w:rFonts w:ascii="Times New Roman" w:eastAsia="Times New Roman" w:hAnsi="Times New Roman" w:cs="Times New Roman"/>
          <w:sz w:val="24"/>
          <w:szCs w:val="24"/>
          <w:rtl/>
        </w:rPr>
      </w:pPr>
    </w:p>
    <w:p w:rsidR="002C3B1E" w:rsidRPr="0044370F" w:rsidRDefault="002C3B1E" w:rsidP="002C3B1E">
      <w:pPr>
        <w:spacing w:beforeAutospacing="1" w:after="100" w:afterAutospacing="1" w:line="24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table demonstrates how corporate quasi-sovereignty manifests through different configurations rather than varying degrees of a single form of power.</w:t>
      </w:r>
    </w:p>
    <w:p w:rsidR="002C3B1E" w:rsidRPr="0044370F" w:rsidRDefault="002C3B1E" w:rsidP="00870B10">
      <w:pPr>
        <w:pStyle w:val="3"/>
      </w:pPr>
      <w:bookmarkStart w:id="228" w:name="_Toc222652889"/>
      <w:r w:rsidRPr="0044370F">
        <w:rPr>
          <w:rFonts w:hint="cs"/>
          <w:rtl/>
        </w:rPr>
        <w:lastRenderedPageBreak/>
        <w:t>9.1.4</w:t>
      </w:r>
      <w:r w:rsidRPr="0044370F">
        <w:rPr>
          <w:rtl/>
        </w:rPr>
        <w:tab/>
      </w:r>
      <w:r w:rsidRPr="0044370F">
        <w:t>Infrastructural Power, Democracy, and Authoritarian Synchronization</w:t>
      </w:r>
      <w:bookmarkEnd w:id="228"/>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Infrastructural power constitutes a central and analytically distinctive dimension of corporate quasi-sovereignty. Unlike forms of power exercised through overt political intervention or ideological alignment, infrastructural power operates through the design, maintenance, and governance of underlying socio-technical systems. Because it is embedded in technical architectures rather than explicit political positions, infrastructural power is inherently adaptable across different political regimes.</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dual potential highlights a key insight of the four-dimensional model: infrastructural power is politically consequential not only because of corporate intent, but also because of the institutional and regulatory environments in which infrastructures are deployed. The political effects of corporate infrastructure ownership are therefore shaped less by normative commitments than by the governance arrangements that constrain or enable their use. In the absence of countervailing mechanisms, such as legal safeguards, transparency standards, and accountability frameworks, infrastructural power tends to reinforce existing power asymmetries, whether democratic or authoritarian.</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extending the concept of infrastructural power beyond the state to encompass transnational corporate actors, this dissertation advances existing theories of sovereignty and governance. It demonstrates how platforms become “</w:t>
      </w:r>
      <w:proofErr w:type="spellStart"/>
      <w:r w:rsidRPr="0044370F">
        <w:rPr>
          <w:rFonts w:ascii="Times New Roman" w:eastAsia="Times New Roman" w:hAnsi="Times New Roman" w:cs="Times New Roman"/>
          <w:sz w:val="24"/>
          <w:szCs w:val="24"/>
        </w:rPr>
        <w:t>infrastructuralized</w:t>
      </w:r>
      <w:proofErr w:type="spellEnd"/>
      <w:r w:rsidRPr="0044370F">
        <w:rPr>
          <w:rFonts w:ascii="Times New Roman" w:eastAsia="Times New Roman" w:hAnsi="Times New Roman" w:cs="Times New Roman"/>
          <w:sz w:val="24"/>
          <w:szCs w:val="24"/>
        </w:rPr>
        <w:t>,” acquiring a degree of indispensability that deepens structural embeddedness and amplifies authority across borders. Infrastructural power thus serves as a crucial link between material control and political consequence, illustrating how corporate quasi-sovereignty is enacted through systems that shape choice, dependency, and vulnerability at scale.</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Importantly, the framework does not suggest that all forms of corporate power amount to quasi-sovereignty. Rather, infrastructural power becomes sovereignty-like only when combined with strategic resource control, structural embeddedness, and sufficient claims to legitimacy. Where one or more of these elements is absent, such as in highly competitive markets or in contexts with strong alternative public infrastructures, corporate authority remains limited. This emphasis on threshold effects allows the model to support comparative analysis and avoids conceptual overextension.</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Infrastructural power thus provides </w:t>
      </w:r>
      <w:r w:rsidRPr="0044370F">
        <w:rPr>
          <w:rFonts w:asciiTheme="majorBidi" w:eastAsia="Times New Roman" w:hAnsiTheme="majorBidi" w:cstheme="majorBidi"/>
          <w:sz w:val="24"/>
          <w:szCs w:val="24"/>
        </w:rPr>
        <w:t xml:space="preserve">a </w:t>
      </w:r>
      <w:r w:rsidRPr="0044370F">
        <w:rPr>
          <w:rFonts w:asciiTheme="majorBidi" w:hAnsiTheme="majorBidi" w:cstheme="majorBidi"/>
          <w:sz w:val="24"/>
          <w:szCs w:val="24"/>
        </w:rPr>
        <w:t>conceptual bridge between material control and political consequence in digitally mediated systems</w:t>
      </w:r>
      <w:r w:rsidRPr="0044370F">
        <w:rPr>
          <w:rFonts w:asciiTheme="majorBidi" w:eastAsia="Times New Roman" w:hAnsiTheme="majorBidi" w:cstheme="majorBidi"/>
          <w:sz w:val="24"/>
          <w:szCs w:val="24"/>
        </w:rPr>
        <w:t>.</w:t>
      </w:r>
      <w:r w:rsidRPr="0044370F">
        <w:rPr>
          <w:rFonts w:ascii="Times New Roman" w:eastAsia="Times New Roman" w:hAnsi="Times New Roman" w:cs="Times New Roman"/>
          <w:sz w:val="24"/>
          <w:szCs w:val="24"/>
        </w:rPr>
        <w:t xml:space="preserve"> It reveals how governance increasingly operates through socio-technical architectures that structure dependency and choice across borders.</w:t>
      </w:r>
    </w:p>
    <w:p w:rsidR="002C3B1E" w:rsidRPr="0044370F" w:rsidRDefault="002C3B1E" w:rsidP="00870B10">
      <w:pPr>
        <w:pStyle w:val="3"/>
        <w:rPr>
          <w:rtl/>
        </w:rPr>
      </w:pPr>
      <w:bookmarkStart w:id="229" w:name="_Toc222652890"/>
      <w:r w:rsidRPr="0044370F">
        <w:rPr>
          <w:rFonts w:hint="cs"/>
          <w:rtl/>
        </w:rPr>
        <w:t>9.1.5</w:t>
      </w:r>
      <w:r w:rsidRPr="0044370F">
        <w:rPr>
          <w:rtl/>
        </w:rPr>
        <w:tab/>
      </w:r>
      <w:r w:rsidRPr="0044370F">
        <w:t>Contribution vis-à-vis Existing Literature</w:t>
      </w:r>
      <w:bookmarkEnd w:id="229"/>
    </w:p>
    <w:p w:rsidR="002C3B1E" w:rsidRPr="0044370F" w:rsidRDefault="002C3B1E" w:rsidP="002C3B1E">
      <w:pPr>
        <w:pStyle w:val="NormalWeb"/>
        <w:spacing w:line="360" w:lineRule="auto"/>
        <w:jc w:val="both"/>
      </w:pPr>
      <w:r w:rsidRPr="0044370F">
        <w:t xml:space="preserve">Importantly, this framework allows for comparative and empirical application, offering scholars a means to analyze variation across firms, sectors, and geopolitical contexts, rather than treating “Big Tech” as a monolithic category. The dissertation thus contributes not only a new conceptual vocabulary but also an </w:t>
      </w:r>
      <w:proofErr w:type="spellStart"/>
      <w:r w:rsidRPr="0044370F">
        <w:t>operationalizable</w:t>
      </w:r>
      <w:proofErr w:type="spellEnd"/>
      <w:r w:rsidRPr="0044370F">
        <w:t xml:space="preserve"> structure for future research on non-state authority. By situating corporate power within a multidimensional theory of sovereignty, this study reframes ongoing debates about digital governance, private authority, and the erosion of state monopolies over political power</w:t>
      </w:r>
      <w:r w:rsidRPr="0044370F">
        <w:rPr>
          <w:rStyle w:val="a8"/>
        </w:rPr>
        <w:footnoteReference w:id="415"/>
      </w:r>
      <w:r w:rsidRPr="0044370F">
        <w:t>, and invites a reconsideration of sovereignty as a distributed, relational, and infrastructural phenomenon in the digital age.</w:t>
      </w:r>
    </w:p>
    <w:p w:rsidR="002C3B1E" w:rsidRPr="0044370F" w:rsidRDefault="002C3B1E" w:rsidP="00870B10">
      <w:pPr>
        <w:pStyle w:val="3"/>
      </w:pPr>
      <w:bookmarkStart w:id="230" w:name="_Toc222652891"/>
      <w:r w:rsidRPr="0044370F">
        <w:rPr>
          <w:rFonts w:hint="cs"/>
          <w:szCs w:val="28"/>
          <w:rtl/>
        </w:rPr>
        <w:t>9.1.6</w:t>
      </w:r>
      <w:r w:rsidRPr="0044370F">
        <w:rPr>
          <w:szCs w:val="28"/>
          <w:rtl/>
        </w:rPr>
        <w:tab/>
      </w:r>
      <w:r w:rsidRPr="0044370F">
        <w:t>What This Dissertation Does Not Claim</w:t>
      </w:r>
      <w:bookmarkEnd w:id="230"/>
    </w:p>
    <w:p w:rsidR="002C3B1E" w:rsidRPr="0044370F" w:rsidRDefault="002C3B1E" w:rsidP="002C3B1E">
      <w:pPr>
        <w:spacing w:before="100"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While this dissertation advances a novel framework for understanding multinational technology corporations as </w:t>
      </w:r>
      <w:r w:rsidR="00960581" w:rsidRPr="0044370F">
        <w:rPr>
          <w:rFonts w:asciiTheme="majorBidi" w:eastAsia="Times New Roman" w:hAnsiTheme="majorBidi" w:cstheme="majorBidi"/>
          <w:sz w:val="24"/>
          <w:szCs w:val="24"/>
        </w:rPr>
        <w:t>quasi-sovereign authority</w:t>
      </w:r>
      <w:r w:rsidRPr="0044370F">
        <w:rPr>
          <w:rFonts w:asciiTheme="majorBidi" w:eastAsia="Times New Roman" w:hAnsiTheme="majorBidi" w:cstheme="majorBidi"/>
          <w:sz w:val="24"/>
          <w:szCs w:val="24"/>
        </w:rPr>
        <w:t>, it does not claim that corporate power replaces state sovereignty, nor that states have become irrelevant in the digital age. The analysis explicitly rejects deterministic or zero-sum interpretations of power in which authority shifts from states to corporations. Instead, the dissertation conceptualizes sovereignty as increasingly fragmented, relational, and distributed across a range of actors operating within interconnected socio-technical systems. Corporate quasi-sovereignty is thus understood as operating alongside, within, and sometimes in tension with state authority, rather than supplanting it.</w:t>
      </w:r>
    </w:p>
    <w:p w:rsidR="002C3B1E" w:rsidRPr="0044370F" w:rsidRDefault="002C3B1E" w:rsidP="002C3B1E">
      <w:pPr>
        <w:spacing w:before="100" w:beforeAutospacing="1" w:after="100" w:afterAutospacing="1" w:line="360" w:lineRule="auto"/>
        <w:jc w:val="both"/>
        <w:rPr>
          <w:rFonts w:asciiTheme="majorBidi" w:eastAsia="Times New Roman" w:hAnsiTheme="majorBidi" w:cstheme="majorBidi"/>
          <w:sz w:val="24"/>
          <w:szCs w:val="24"/>
        </w:rPr>
      </w:pPr>
      <w:r w:rsidRPr="0044370F">
        <w:rPr>
          <w:rFonts w:asciiTheme="majorBidi" w:eastAsia="Times New Roman" w:hAnsiTheme="majorBidi" w:cstheme="majorBidi"/>
          <w:sz w:val="24"/>
          <w:szCs w:val="24"/>
        </w:rPr>
        <w:t xml:space="preserve">Moreover, the dissertation does not suggest that all technology firms exercise quasi-sovereign power, or that market dominance alone is sufficient to confer governance authority. As articulated in the scope conditions of the four-dimensional model, quasi-sovereignty emerges only under specific configurations of infrastructural control, structural embeddedness, and normative legitimacy. Smaller firms, sector-specific platforms, or companies operating in competitive and </w:t>
      </w:r>
      <w:r w:rsidRPr="0044370F">
        <w:rPr>
          <w:rFonts w:asciiTheme="majorBidi" w:eastAsia="Times New Roman" w:hAnsiTheme="majorBidi" w:cstheme="majorBidi"/>
          <w:sz w:val="24"/>
          <w:szCs w:val="24"/>
        </w:rPr>
        <w:lastRenderedPageBreak/>
        <w:t>easily substitutable markets may exert influence without crossing the threshold into sovereignty-like authority. The framework, therefore, avoids conceptual inflation by distinguishing between corporate power in general and quasi-sovereign authority in particular.</w:t>
      </w:r>
    </w:p>
    <w:p w:rsidR="002C3B1E" w:rsidRPr="0044370F" w:rsidRDefault="002C3B1E" w:rsidP="002C3B1E">
      <w:pPr>
        <w:pStyle w:val="NormalWeb"/>
        <w:spacing w:line="360" w:lineRule="auto"/>
        <w:jc w:val="both"/>
      </w:pPr>
      <w:r w:rsidRPr="0044370F">
        <w:t xml:space="preserve">Lastly, this study does not support the normative assertion that corporate quasi-sovereignty is intrinsically desirable, unavoidable, or deeply ingrained. The dissertation focuses on the contingent and contestable nature of corporate power rather than its moral desirability, even as it examines how corporate authority is created and legitimized in practice. The dissertation emphasizes that the future configuration of digital sovereignty remains subject to political choice, regulatory intervention, and democratic contestation, while underscoring accountability, governance design, and institutional limits. This way, the dissertation seeks to render </w:t>
      </w:r>
      <w:r w:rsidR="00960581" w:rsidRPr="0044370F">
        <w:t>corporate quasi-sovereignty</w:t>
      </w:r>
      <w:r w:rsidRPr="0044370F">
        <w:t xml:space="preserve"> analytically visible and politically intelligible without normalizing it.</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Having clarified the theoretical contributions of the framework, the following section turns to its practical implications across different governance arenas.</w:t>
      </w:r>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It is useful at this stage to briefly distinguish the four-dimensional framework developed in this dissertation from conventional strategic analysis tools commonly used in business administration, such as SWOT analysis and Porter’s Five Forces. These frameworks are designed to evaluate firm performance, competitive positioning, and strategic advantage within given market environments. They assume a relatively stable institutional context and conceptualize power primarily in terms of competition, efficiency, and market structure.</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By contrast, the framework proposed here operates at a different analytical level. Rather than assessing how firms compete within existing environments, it examines how certain corporations acquire authority that reshapes the environment itself. Strategic resource control, structural embeddedness, normative legitimacy, and infrastructural power capture dynamics that extend beyond firm-level performance to encompass governance functions, system-wide dependencies, and </w:t>
      </w:r>
      <w:r w:rsidR="00960581" w:rsidRPr="0044370F">
        <w:rPr>
          <w:rFonts w:ascii="Times New Roman" w:eastAsia="Times New Roman" w:hAnsi="Times New Roman" w:cs="Times New Roman"/>
          <w:sz w:val="24"/>
          <w:szCs w:val="24"/>
        </w:rPr>
        <w:t>sovereignty-like authority</w:t>
      </w:r>
      <w:r w:rsidRPr="0044370F">
        <w:rPr>
          <w:rFonts w:ascii="Times New Roman" w:eastAsia="Times New Roman" w:hAnsi="Times New Roman" w:cs="Times New Roman"/>
          <w:sz w:val="24"/>
          <w:szCs w:val="24"/>
        </w:rPr>
        <w:t>. While SWOT and Porter’s models remain valuable for analyzing corporate strategy, they are not equipped to explain how corporate actors become sites of geopolitical contestation or how their activities intersect with questions of sovereignty and global order.</w:t>
      </w:r>
    </w:p>
    <w:p w:rsidR="002C3B1E" w:rsidRPr="0044370F" w:rsidRDefault="00870B10" w:rsidP="00870B10">
      <w:pPr>
        <w:pStyle w:val="2"/>
      </w:pPr>
      <w:bookmarkStart w:id="231" w:name="_Toc222652892"/>
      <w:r w:rsidRPr="0044370F">
        <w:rPr>
          <w:szCs w:val="36"/>
        </w:rPr>
        <w:lastRenderedPageBreak/>
        <w:t>9.2</w:t>
      </w:r>
      <w:r w:rsidRPr="0044370F">
        <w:rPr>
          <w:szCs w:val="36"/>
        </w:rPr>
        <w:tab/>
      </w:r>
      <w:r w:rsidR="002C3B1E" w:rsidRPr="0044370F">
        <w:t>Practical Contributions</w:t>
      </w:r>
      <w:bookmarkEnd w:id="231"/>
    </w:p>
    <w:p w:rsidR="002C3B1E" w:rsidRPr="0044370F" w:rsidRDefault="002C3B1E" w:rsidP="002C3B1E">
      <w:pPr>
        <w:spacing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Beyond its theoretical contributions, this dissertation carries important practical implications for global governance, policy-making, civil society, and multinational technology corporations. Rather than offering prescriptive solutions, the analysis clarifies how different actors encounter and respond to corporate quasi-sovereignty in the digital age, under conditions of distributed authority.</w:t>
      </w:r>
    </w:p>
    <w:p w:rsidR="002C3B1E" w:rsidRPr="0044370F" w:rsidRDefault="002C3B1E" w:rsidP="00870B10">
      <w:pPr>
        <w:pStyle w:val="3"/>
      </w:pPr>
      <w:bookmarkStart w:id="232" w:name="_Toc222652893"/>
      <w:r w:rsidRPr="0044370F">
        <w:t>9.2.1 Implications for Global Governance and International Institutions</w:t>
      </w:r>
      <w:bookmarkEnd w:id="232"/>
    </w:p>
    <w:p w:rsidR="002C3B1E" w:rsidRPr="0044370F" w:rsidRDefault="002C3B1E" w:rsidP="002C3B1E">
      <w:pPr>
        <w:spacing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findings of this dissertation underscore a structural challenge facing global governance institutions: authority in the digital domain is no longer exercised primarily through intergovernmental coordination, but through corporate infrastructures that operate transnationally. International organizations such as the United Nations, the Internet Governance Forum, and the G20 were designed around the assumption that states are the primary holders of authority and responsibility. </w:t>
      </w:r>
    </w:p>
    <w:p w:rsidR="002C3B1E" w:rsidRPr="0044370F" w:rsidRDefault="002C3B1E" w:rsidP="002C3B1E">
      <w:pPr>
        <w:spacing w:before="100"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practical implication is not that global institutions should cede authority to corporations, but that meaningful governance increasingly depends on engaging with corporate power as a structural feature of the system rather than as an external problem to be regulated away.</w:t>
      </w:r>
    </w:p>
    <w:p w:rsidR="002C3B1E" w:rsidRPr="0044370F" w:rsidRDefault="002C3B1E" w:rsidP="00870B10">
      <w:pPr>
        <w:pStyle w:val="3"/>
      </w:pPr>
      <w:bookmarkStart w:id="233" w:name="_Toc222652894"/>
      <w:r w:rsidRPr="0044370F">
        <w:t>9.2.2 Implications for States and National Regulators</w:t>
      </w:r>
      <w:bookmarkEnd w:id="233"/>
    </w:p>
    <w:p w:rsidR="002C3B1E" w:rsidRPr="0044370F" w:rsidRDefault="002C3B1E" w:rsidP="002C3B1E">
      <w:pPr>
        <w:spacing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At the state level, the findings highlight a shift in the conditions under which sovereignty is exercised rather</w:t>
      </w:r>
      <w:r w:rsidR="000B3CFC" w:rsidRPr="0044370F">
        <w:rPr>
          <w:rFonts w:ascii="Times New Roman" w:eastAsia="Times New Roman" w:hAnsi="Times New Roman" w:cs="Times New Roman"/>
          <w:sz w:val="24"/>
          <w:szCs w:val="24"/>
        </w:rPr>
        <w:t xml:space="preserve"> than a loss of authority</w:t>
      </w:r>
      <w:r w:rsidRPr="0044370F">
        <w:rPr>
          <w:rFonts w:ascii="Times New Roman" w:eastAsia="Times New Roman" w:hAnsi="Times New Roman" w:cs="Times New Roman"/>
          <w:sz w:val="24"/>
          <w:szCs w:val="24"/>
        </w:rPr>
        <w:t>. States remain central actors in digital governance, but their capacity to govern is increasingly mediated by reliance on corporate infrastructures, platforms, and data ecosystems. The four-dimensional framework clarifies why traditional regulatory tools, focused on market behavior or legal compliance, often fail to address the deeper sources of corporate authority.</w:t>
      </w:r>
    </w:p>
    <w:p w:rsidR="002C3B1E" w:rsidRPr="0044370F" w:rsidRDefault="002C3B1E" w:rsidP="002C3B1E">
      <w:pPr>
        <w:spacing w:before="100"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By emphasizing infrastructural dependence, structural embeddedness, and normative legitimacy, the model provides a diagnostic lens for understanding why state responses frequently appear reactive or fragmented. The practical implication is not the adoption of a single regulatory strategy, but the recognition that effective state action in the digital domain requires engagement </w:t>
      </w:r>
      <w:r w:rsidRPr="0044370F">
        <w:rPr>
          <w:rFonts w:ascii="Times New Roman" w:eastAsia="Times New Roman" w:hAnsi="Times New Roman" w:cs="Times New Roman"/>
          <w:sz w:val="24"/>
          <w:szCs w:val="24"/>
        </w:rPr>
        <w:lastRenderedPageBreak/>
        <w:t>with the socio-technical foundations of corporate power rather than with its surface manifestations alone.</w:t>
      </w:r>
    </w:p>
    <w:p w:rsidR="00790C26" w:rsidRPr="0044370F" w:rsidRDefault="000B3CFC" w:rsidP="00790C26">
      <w:pPr>
        <w:spacing w:before="100"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Effective state responses must be multi-dimensional, because the sources of quasi-sovereign authority operate across multiple structural layers.</w:t>
      </w:r>
    </w:p>
    <w:p w:rsidR="00790C26" w:rsidRPr="0044370F" w:rsidRDefault="00790C26" w:rsidP="00790C26">
      <w:pPr>
        <w:spacing w:before="100" w:beforeAutospacing="1" w:after="100" w:afterAutospacing="1" w:line="360" w:lineRule="auto"/>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framework therefore suggests a governance agenda structured by the four dimensions:</w:t>
      </w:r>
    </w:p>
    <w:p w:rsidR="00790C26" w:rsidRPr="0044370F" w:rsidRDefault="00790C26" w:rsidP="000B3CFC">
      <w:pPr>
        <w:spacing w:before="100" w:beforeAutospacing="1" w:after="100" w:afterAutospacing="1" w:line="360" w:lineRule="auto"/>
        <w:ind w:left="720"/>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 Strategic resource control: </w:t>
      </w:r>
      <w:r w:rsidR="000B3CFC" w:rsidRPr="0044370F">
        <w:rPr>
          <w:rFonts w:ascii="Times New Roman" w:eastAsia="Times New Roman" w:hAnsi="Times New Roman" w:cs="Times New Roman"/>
          <w:sz w:val="24"/>
          <w:szCs w:val="24"/>
        </w:rPr>
        <w:t xml:space="preserve">address </w:t>
      </w:r>
      <w:r w:rsidRPr="0044370F">
        <w:rPr>
          <w:rFonts w:ascii="Times New Roman" w:eastAsia="Times New Roman" w:hAnsi="Times New Roman" w:cs="Times New Roman"/>
          <w:sz w:val="24"/>
          <w:szCs w:val="24"/>
        </w:rPr>
        <w:t>concentration of critical digital assets through competition policy, data portability, and targeted oversight of identity, advertising, and large-scale compute resources.</w:t>
      </w:r>
    </w:p>
    <w:p w:rsidR="00790C26" w:rsidRPr="0044370F" w:rsidRDefault="00790C26" w:rsidP="00790C26">
      <w:pPr>
        <w:spacing w:before="100" w:beforeAutospacing="1" w:after="100" w:afterAutospacing="1" w:line="360" w:lineRule="auto"/>
        <w:ind w:left="720"/>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Structural embeddedness: diversify procurement and standards dependence, strengthen public capacity in standards-setting arenas, and avoid single-vendor lock-in in critical public infrastructures.</w:t>
      </w:r>
    </w:p>
    <w:p w:rsidR="00790C26" w:rsidRPr="0044370F" w:rsidRDefault="00790C26" w:rsidP="00790C26">
      <w:pPr>
        <w:spacing w:before="100" w:beforeAutospacing="1" w:after="100" w:afterAutospacing="1" w:line="360" w:lineRule="auto"/>
        <w:ind w:left="720"/>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Normative legitimacy: impose enforceable procedural requirements for platform governance (transparency, due process, appeal mechanisms, and independent auditing) rather than relying on voluntary self-regulation.</w:t>
      </w:r>
    </w:p>
    <w:p w:rsidR="00790C26" w:rsidRPr="0044370F" w:rsidRDefault="00790C26" w:rsidP="000B3CFC">
      <w:pPr>
        <w:spacing w:before="100" w:beforeAutospacing="1" w:after="100" w:afterAutospacing="1" w:line="360" w:lineRule="auto"/>
        <w:ind w:left="720"/>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 Infrastructural power: prioritize interoperability and access governance (open standards, audited APIs, and resilience requirements) </w:t>
      </w:r>
      <w:r w:rsidR="000B3CFC" w:rsidRPr="0044370F">
        <w:rPr>
          <w:rFonts w:ascii="Times New Roman" w:eastAsia="Times New Roman" w:hAnsi="Times New Roman" w:cs="Times New Roman"/>
          <w:sz w:val="24"/>
          <w:szCs w:val="24"/>
        </w:rPr>
        <w:t>so that core infrastructures are not governed exclusively through private technical architectures without public oversight.</w:t>
      </w:r>
    </w:p>
    <w:p w:rsidR="000B3CFC" w:rsidRPr="0044370F" w:rsidRDefault="000B3CFC" w:rsidP="000B3CFC">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Rather than adopting a single regulatory model, states require an adaptive toolkit calibrated to the specific corporate configuration and domain of infrastructural dependence.</w:t>
      </w:r>
    </w:p>
    <w:p w:rsidR="002C3B1E" w:rsidRPr="0044370F" w:rsidRDefault="002C3B1E" w:rsidP="00870B10">
      <w:pPr>
        <w:pStyle w:val="3"/>
      </w:pPr>
      <w:bookmarkStart w:id="234" w:name="_Toc222652895"/>
      <w:r w:rsidRPr="0044370F">
        <w:t>9.2.3 Implications for Civil Society and the Public Sphere</w:t>
      </w:r>
      <w:bookmarkEnd w:id="234"/>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For civil society and the public sphere, the dissertation’s findings provide a framework for understanding how corporate power is exercised beyond formal political institutions. By mapping the infrastructural, normative, and structural dimensions of corporate quasi-sovereignty, the analysis helps explain why traditional forms of public accountability often struggle to gain traction in digital environments.</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The four-dimensional model clarifies that effective civic engagement depends not only on contesting harmful outcomes but on addressing the deeper conditions that enable corporate authority, including infrastructural dependence and legitimacy narratives. In this sense, the study's contribution lies in equipping civil society actors with an analytical vocabulary for interpreting corporate governance practices, rather than prescribing specific advocacy strategies.</w:t>
      </w:r>
    </w:p>
    <w:p w:rsidR="002C3B1E" w:rsidRPr="0044370F" w:rsidRDefault="002C3B1E" w:rsidP="00870B10">
      <w:pPr>
        <w:pStyle w:val="3"/>
      </w:pPr>
      <w:bookmarkStart w:id="235" w:name="_Toc222652896"/>
      <w:r w:rsidRPr="0044370F">
        <w:t>9.2.4 Implications for Multinational Technology Firms</w:t>
      </w:r>
      <w:bookmarkEnd w:id="235"/>
    </w:p>
    <w:p w:rsidR="002C3B1E" w:rsidRPr="0044370F" w:rsidRDefault="002C3B1E" w:rsidP="002C3B1E">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For multinational technology corporations, the findings highlight the growing tension between claims of political neutrality and the exercise of sovereignty-like authority. The four-dimensional framework demonstrates that firms with significant infrastructural power, strategic resource control, and structural embeddedness cannot plausibly position themselves as ordinary market actors.</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The practical implication is not a moral injunction, but an analytical recognition: corporate legitimacy increasingly depends on how firms manage the social, political, and infrastructural consequences of their operations. The study clarifies why legitimacy deficits, whether arising from geopolitical mistrust, public backlash, or regulatory scrutiny, can translate into concrete operational constraints. Corporate quasi-sovereignty, in this sense, is not a stable asset but a condition that must be continuously negotiated.</w:t>
      </w:r>
    </w:p>
    <w:p w:rsidR="002C3B1E" w:rsidRPr="0044370F" w:rsidRDefault="00B139DD" w:rsidP="00870B10">
      <w:pPr>
        <w:pStyle w:val="2"/>
        <w:rPr>
          <w:rFonts w:eastAsia="Times New Roman"/>
        </w:rPr>
      </w:pPr>
      <w:bookmarkStart w:id="236" w:name="_Toc222652897"/>
      <w:r w:rsidRPr="0044370F">
        <w:rPr>
          <w:rFonts w:eastAsia="Times New Roman"/>
        </w:rPr>
        <w:t>9.3</w:t>
      </w:r>
      <w:r w:rsidRPr="0044370F">
        <w:rPr>
          <w:rFonts w:eastAsia="Times New Roman"/>
        </w:rPr>
        <w:tab/>
      </w:r>
      <w:r w:rsidR="002C3B1E" w:rsidRPr="0044370F">
        <w:rPr>
          <w:rFonts w:eastAsia="Times New Roman"/>
        </w:rPr>
        <w:t>Integrating Theory and Practice</w:t>
      </w:r>
      <w:bookmarkEnd w:id="236"/>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Taken together, the practical implications outlined in this chapter demonstrate that the four-dimensional model of corporate quasi-sovereignty is not merely an analytical framework for interpreting contemporary power dynamics but a tool for clarifying how authority is exercised, contested, and constrained in practice. </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Rather than treating theory and practice as separate domains, this chapter has shown that they are analytically interdependent. The empirical patterns identified across the case studies reveal that authority in the digital age is exercised through hybrid arrangements involving states, corporations, and socio-technical infrastructures, rather than through clear-cut hierarchies. Sovereignty, in this </w:t>
      </w:r>
      <w:r w:rsidRPr="0044370F">
        <w:rPr>
          <w:rFonts w:ascii="Times New Roman" w:eastAsia="Times New Roman" w:hAnsi="Times New Roman" w:cs="Times New Roman"/>
          <w:sz w:val="24"/>
          <w:szCs w:val="24"/>
        </w:rPr>
        <w:lastRenderedPageBreak/>
        <w:t>context, does not disappear; it is reorganized and negotiated across institutional networks in which formal legal authority intersects with infrastructural control and legitimacy claims.</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By applying the four-dimensional model across different levels of analysis, national governments, corporate actors, civil society, and international institutions, this chapter demonstrates how conceptual insights translate into practical understanding without collapsing into prescriptive solutions. The value of the framework lies not in offering definitive policy answers, but in enabling more precise diagnosis of governance challenges arising from corporate quasi-sovereignty.</w:t>
      </w:r>
    </w:p>
    <w:p w:rsidR="002C3B1E" w:rsidRPr="0044370F" w:rsidRDefault="002C3B1E" w:rsidP="002C3B1E">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In this sense, the dissertation's contribution extends beyond any single case or regulatory context. By integrating conceptual innovation with policy-relevant analysis, this chapter positions corporate quasi-sovereignty as a central analytical challenge for understanding authority in the digital age. </w:t>
      </w:r>
    </w:p>
    <w:p w:rsidR="002C3B1E" w:rsidRPr="0044370F" w:rsidRDefault="002C3B1E">
      <w:pPr>
        <w:rPr>
          <w:rFonts w:asciiTheme="majorBidi" w:hAnsiTheme="majorBidi" w:cstheme="majorBidi"/>
        </w:rPr>
      </w:pPr>
      <w:r w:rsidRPr="0044370F">
        <w:rPr>
          <w:rFonts w:asciiTheme="majorBidi" w:hAnsiTheme="majorBidi" w:cstheme="majorBidi"/>
        </w:rPr>
        <w:br w:type="page"/>
      </w:r>
    </w:p>
    <w:p w:rsidR="00A776C3" w:rsidRPr="0044370F" w:rsidRDefault="00A776C3" w:rsidP="00870B10">
      <w:pPr>
        <w:pStyle w:val="1"/>
        <w:rPr>
          <w:rStyle w:val="a4"/>
          <w:b/>
          <w:bCs w:val="0"/>
          <w:szCs w:val="44"/>
          <w:rtl/>
        </w:rPr>
      </w:pPr>
      <w:bookmarkStart w:id="237" w:name="_Toc222652898"/>
      <w:r w:rsidRPr="0044370F">
        <w:rPr>
          <w:rStyle w:val="a4"/>
          <w:b/>
          <w:bCs w:val="0"/>
        </w:rPr>
        <w:lastRenderedPageBreak/>
        <w:t>Chapter 10</w:t>
      </w:r>
      <w:bookmarkEnd w:id="237"/>
      <w:r w:rsidRPr="0044370F">
        <w:rPr>
          <w:rStyle w:val="a4"/>
          <w:b/>
          <w:bCs w:val="0"/>
        </w:rPr>
        <w:t xml:space="preserve"> </w:t>
      </w:r>
    </w:p>
    <w:p w:rsidR="00A776C3" w:rsidRPr="0044370F" w:rsidRDefault="00A776C3" w:rsidP="00870B10">
      <w:pPr>
        <w:pStyle w:val="1"/>
        <w:rPr>
          <w:rStyle w:val="a4"/>
          <w:b/>
          <w:bCs w:val="0"/>
        </w:rPr>
      </w:pPr>
      <w:bookmarkStart w:id="238" w:name="_Toc222652899"/>
      <w:r w:rsidRPr="0044370F">
        <w:rPr>
          <w:rStyle w:val="a4"/>
          <w:b/>
          <w:bCs w:val="0"/>
        </w:rPr>
        <w:t>Conclusion and Future Research</w:t>
      </w:r>
      <w:bookmarkEnd w:id="238"/>
    </w:p>
    <w:p w:rsidR="00870B10" w:rsidRPr="0044370F" w:rsidRDefault="00870B10" w:rsidP="00870B10"/>
    <w:p w:rsidR="00A776C3" w:rsidRPr="0044370F" w:rsidRDefault="00B139DD" w:rsidP="00A72897">
      <w:pPr>
        <w:pStyle w:val="2"/>
      </w:pPr>
      <w:bookmarkStart w:id="239" w:name="_Toc222652900"/>
      <w:r w:rsidRPr="0044370F">
        <w:rPr>
          <w:rStyle w:val="a4"/>
          <w:b/>
          <w:bCs w:val="0"/>
        </w:rPr>
        <w:t>10.1</w:t>
      </w:r>
      <w:r w:rsidRPr="0044370F">
        <w:rPr>
          <w:rStyle w:val="a4"/>
          <w:b/>
          <w:bCs w:val="0"/>
        </w:rPr>
        <w:tab/>
      </w:r>
      <w:r w:rsidR="00A776C3" w:rsidRPr="0044370F">
        <w:rPr>
          <w:rStyle w:val="a4"/>
          <w:b/>
          <w:bCs w:val="0"/>
        </w:rPr>
        <w:t>Introduction</w:t>
      </w:r>
      <w:bookmarkEnd w:id="239"/>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dissertation examines one of the most significant transformations in contemporary international politics: the emergence of multinational technology corporations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w:t>
      </w:r>
      <w:r w:rsidRPr="0044370F">
        <w:rPr>
          <w:rFonts w:ascii="Times New Roman" w:eastAsia="Times New Roman" w:hAnsi="Times New Roman" w:cs="Times New Roman" w:hint="cs"/>
          <w:sz w:val="24"/>
          <w:szCs w:val="24"/>
          <w:rtl/>
        </w:rPr>
        <w:t xml:space="preserve"> </w:t>
      </w:r>
      <w:r w:rsidRPr="0044370F">
        <w:rPr>
          <w:rFonts w:ascii="Times New Roman" w:eastAsia="Times New Roman" w:hAnsi="Times New Roman" w:cs="Times New Roman"/>
          <w:sz w:val="24"/>
          <w:szCs w:val="24"/>
        </w:rPr>
        <w:t>Rather than treating corporate power as an extension of market influence, the study develops a systematic analysis of how corporate structures reshape governance, redistribute authority, and reconfigure sovereignty in the digital age.</w:t>
      </w:r>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final chapter consolidates the dissertation’s core contributions. It revisits the research questions in light of the comparative findings, clarifies the conceptual implications of the four-dimensional framework, and reflects on the broader significance of corporate quasi-sovereignty for theories of international order and governance. The chapter also addresses the study’s limitations, outlines key directions for future research, and concludes with a synthesis of the dissertation’s central insight.</w:t>
      </w:r>
    </w:p>
    <w:p w:rsidR="00A776C3" w:rsidRPr="0044370F" w:rsidRDefault="00A72897" w:rsidP="00A72897">
      <w:pPr>
        <w:pStyle w:val="2"/>
        <w:rPr>
          <w:rFonts w:eastAsia="Times New Roman"/>
        </w:rPr>
      </w:pPr>
      <w:bookmarkStart w:id="240" w:name="_Toc222652901"/>
      <w:r w:rsidRPr="0044370F">
        <w:rPr>
          <w:rFonts w:eastAsia="Times New Roman"/>
        </w:rPr>
        <w:t>10.2</w:t>
      </w:r>
      <w:r w:rsidR="00B139DD" w:rsidRPr="0044370F">
        <w:rPr>
          <w:rFonts w:eastAsia="Times New Roman"/>
        </w:rPr>
        <w:tab/>
      </w:r>
      <w:r w:rsidR="00A776C3" w:rsidRPr="0044370F">
        <w:rPr>
          <w:rFonts w:eastAsia="Times New Roman"/>
        </w:rPr>
        <w:t>Conceptual Closure: Rethinking Sovereignty in the Digital Age</w:t>
      </w:r>
      <w:bookmarkEnd w:id="240"/>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The findings of this dissertation resonate with broader debates about the transformation of the global order, particularly those concerning fragmentation, infrastructural governance, and the diffusion of authority beyond territorial states.</w:t>
      </w:r>
    </w:p>
    <w:p w:rsidR="00A776C3" w:rsidRPr="0044370F" w:rsidRDefault="00A776C3" w:rsidP="00A776C3">
      <w:pPr>
        <w:spacing w:after="0"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This dissertation's main contribution is to reframe the concept of sovereignty in the context of digitalization, globalization, and infrastructure consolidation rather than to identify dominant technological businesses. This study shows that authority is increasingly exerted through fragmented, domain-specific, and relational arrangements rather than regarding sovereignty as a binary property held only by governments. Corporate quasi-sovereignty appears as one of the modern structuring logics of the international order rather than as a departure from it. This </w:t>
      </w:r>
      <w:r w:rsidRPr="0044370F">
        <w:rPr>
          <w:rFonts w:ascii="Times New Roman" w:eastAsia="Times New Roman" w:hAnsi="Times New Roman" w:cs="Times New Roman"/>
          <w:sz w:val="24"/>
          <w:szCs w:val="24"/>
        </w:rPr>
        <w:lastRenderedPageBreak/>
        <w:t>reframing directs analytical focus away from the question of whether corporations "are" sovereign and toward the more fruitful investigation of the distribution, negotiation, and stabilization of sovereign tasks among state and non-state actors.</w:t>
      </w:r>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Clarifying the conceptual vocabulary is essential at this stage. In this dissertation, sovereignty refers to the overarching logic of ultimate authority within a political order; authority denotes the capacity of an actor to shape outcomes and impose constraints within specific domains; and governance captures the concrete mechanisms, practices, and infrastructures through which such capacities are exercised. This distinction allows the analysis to move beyond binary state–non-state classifications and to examine how sovereignty-like authority can emerge without formal sovereign status. It also helps explain why multinational technology corporations can exercise consequential authority while remaining outside the legal and institutional framework of state sovereignty.</w:t>
      </w:r>
    </w:p>
    <w:p w:rsidR="00A776C3" w:rsidRPr="0044370F" w:rsidRDefault="00A72897" w:rsidP="00A72897">
      <w:pPr>
        <w:pStyle w:val="2"/>
        <w:rPr>
          <w:rStyle w:val="a4"/>
          <w:b/>
          <w:bCs w:val="0"/>
        </w:rPr>
      </w:pPr>
      <w:bookmarkStart w:id="241" w:name="_Toc222652902"/>
      <w:r w:rsidRPr="0044370F">
        <w:rPr>
          <w:rStyle w:val="a4"/>
          <w:b/>
          <w:bCs w:val="0"/>
        </w:rPr>
        <w:t>10.3</w:t>
      </w:r>
      <w:r w:rsidR="00B139DD" w:rsidRPr="0044370F">
        <w:rPr>
          <w:rStyle w:val="a4"/>
          <w:b/>
          <w:bCs w:val="0"/>
        </w:rPr>
        <w:tab/>
      </w:r>
      <w:r w:rsidR="00A776C3" w:rsidRPr="0044370F">
        <w:rPr>
          <w:rStyle w:val="a4"/>
          <w:b/>
          <w:bCs w:val="0"/>
        </w:rPr>
        <w:t>Revisiting the Research Questions</w:t>
      </w:r>
      <w:bookmarkEnd w:id="241"/>
    </w:p>
    <w:p w:rsidR="00816B26" w:rsidRPr="0044370F" w:rsidRDefault="00816B26" w:rsidP="00816B26"/>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main goal of this dissertation was to investigate how multinational technology companies operate as </w:t>
      </w:r>
      <w:r w:rsidR="00960581" w:rsidRPr="0044370F">
        <w:rPr>
          <w:rFonts w:ascii="Times New Roman" w:eastAsia="Times New Roman" w:hAnsi="Times New Roman" w:cs="Times New Roman"/>
          <w:sz w:val="24"/>
          <w:szCs w:val="24"/>
        </w:rPr>
        <w:t>quasi-sovereign authority</w:t>
      </w:r>
      <w:r w:rsidRPr="0044370F">
        <w:rPr>
          <w:rFonts w:ascii="Times New Roman" w:eastAsia="Times New Roman" w:hAnsi="Times New Roman" w:cs="Times New Roman"/>
          <w:sz w:val="24"/>
          <w:szCs w:val="24"/>
        </w:rPr>
        <w:t xml:space="preserve"> in the modern global order. Instead of assuming a straightforward transfer of power from states to markets, the study examined whether corporate power now serves sovereignty-like purposes, the circumstances in which such power arises, and how it is used, justified, and restrained in various institutional and political contexts.</w:t>
      </w:r>
    </w:p>
    <w:p w:rsidR="00A776C3" w:rsidRPr="0044370F" w:rsidRDefault="00A776C3" w:rsidP="00A776C3">
      <w:pPr>
        <w:pStyle w:val="NormalWeb"/>
        <w:spacing w:line="360" w:lineRule="auto"/>
        <w:jc w:val="both"/>
      </w:pPr>
      <w:r w:rsidRPr="0044370F">
        <w:t xml:space="preserve">The results offer a qualified affirmative response to the first research question. The empirical research shows that, although in a limited, relational, and domain-specific sense, technology businesses can be </w:t>
      </w:r>
      <w:r w:rsidRPr="0044370F">
        <w:rPr>
          <w:rFonts w:asciiTheme="majorBidi" w:hAnsiTheme="majorBidi" w:cstheme="majorBidi"/>
        </w:rPr>
        <w:t>analytically described as exercising quasi-sovereign authority in specific domains.</w:t>
      </w:r>
      <w:r w:rsidRPr="0044370F">
        <w:t xml:space="preserve"> Normative legitimacy, strategic resource control, structural embeddedness, and infrastructural power together constitute the conditions under which corporate quasi-sovereignty emerges.</w:t>
      </w: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These dimensions are insufficient on their own. In some governance regions, corporations can carry out tasks approximating sovereign authority through mutual reinforcement.</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The second research question concerned variation: why do different technology firms exhibit distinct configurations of quasi-sovereign power? The comparative analysis shows that corporate quasi-sovereignty is neither uniform nor scalar. Instead, it manifests through differentiated configurations shaped by sectoral role, geopolitical alignment, and institutional context. </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Meta, Huawei, and SAP exemplify three analytically distinct patterns. </w:t>
      </w:r>
    </w:p>
    <w:p w:rsidR="00A776C3" w:rsidRPr="0044370F" w:rsidRDefault="00A776C3" w:rsidP="00A776C3">
      <w:pPr>
        <w:pStyle w:val="NormalWeb"/>
        <w:spacing w:line="360" w:lineRule="auto"/>
        <w:jc w:val="both"/>
      </w:pPr>
      <w:r w:rsidRPr="0044370F">
        <w:t xml:space="preserve">In the case of Meta, this quasi-sovereign authority is most visible in the governance of digital public discourse. Decisions regarding content moderation, algorithmic visibility, and platform design shape political communication for billions of users. </w:t>
      </w:r>
    </w:p>
    <w:p w:rsidR="00A776C3" w:rsidRPr="0044370F" w:rsidRDefault="00A776C3" w:rsidP="00A776C3">
      <w:pPr>
        <w:pStyle w:val="NormalWeb"/>
        <w:spacing w:line="360" w:lineRule="auto"/>
        <w:jc w:val="both"/>
      </w:pPr>
      <w:r w:rsidRPr="0044370F">
        <w:t>Huawei illustrates a different configuration of quasi-sovereignty, centered on infrastructural power and geopolitical entanglement. Through its role in global telecommunications networks, the firm becomes embedded in national security calculations and interstate competition, revealing how corporate infrastructure can acquire strategic significance comparable to that of state-controlled assets.</w:t>
      </w:r>
    </w:p>
    <w:p w:rsidR="00A776C3" w:rsidRPr="0044370F" w:rsidRDefault="00A776C3" w:rsidP="00A776C3">
      <w:pPr>
        <w:pStyle w:val="NormalWeb"/>
        <w:spacing w:line="360" w:lineRule="auto"/>
        <w:jc w:val="both"/>
      </w:pPr>
      <w:r w:rsidRPr="0044370F">
        <w:t>In contrast, SAP exercises a quieter but highly durable form of authority through standards-based integration into enterprise and governmental systems. By shaping the procedural and technical foundations of organizational governance, SAP demonstrates how quasi-sovereign influence can emerge through infrastructural embeddedness rather than public visibility or overt political contestation.</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third research question addressed the broader implications of corporate quasi-sovereignty for state authority and global governance. The findings indicate that states are neither displaced nor rendered obsolete by the rise of corporate power. Instead, sovereignty is increasingly exercised through entanglement between public authority and private infrastructures. States remain central actors, but their capacity to govern is often mediated by corporate systems upon which they depend. Regulatory interventions, legal challenges, and geopolitical contestation demonstrate that corporate authority is continuously negotiated, constrained, and, at times, curtailed. At the same time, state reliance on corporate infrastructures limits the effectiveness of purely territorial or nationally bounded governance responses.</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Taken together, the answers to the research questions confirm that corporate quasi-sovereignty is best understood as a condition of contemporary governance rather than an exceptional anomaly. It reflects a structural transformation in how authority is produced, exercised, and stabilized in a globalized and digitalized world. By revisiting the research questions through systematic comparison and theoretical synthesis, this dissertation clarifies both the possibilities and the limits of corporate power. It prepares the ground for articulating its broader theoretical and practical implications in the sections that follow.</w:t>
      </w:r>
    </w:p>
    <w:p w:rsidR="00A776C3" w:rsidRPr="0044370F" w:rsidRDefault="00816B26" w:rsidP="00816B26">
      <w:pPr>
        <w:pStyle w:val="2"/>
        <w:rPr>
          <w:rFonts w:eastAsia="Times New Roman"/>
        </w:rPr>
      </w:pPr>
      <w:bookmarkStart w:id="242" w:name="_Toc222652903"/>
      <w:r w:rsidRPr="0044370F">
        <w:rPr>
          <w:szCs w:val="28"/>
        </w:rPr>
        <w:t>10.4</w:t>
      </w:r>
      <w:r w:rsidR="00B139DD" w:rsidRPr="0044370F">
        <w:rPr>
          <w:szCs w:val="28"/>
        </w:rPr>
        <w:tab/>
      </w:r>
      <w:r w:rsidR="00A776C3" w:rsidRPr="0044370F">
        <w:rPr>
          <w:rFonts w:eastAsia="Times New Roman"/>
        </w:rPr>
        <w:t>A Singular Theoretical Insight</w:t>
      </w:r>
      <w:bookmarkEnd w:id="242"/>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dissertation argues that, in the twenty-first century, sovereignty is increasingly exercised through the governance of infrastructures, standards, and socio-technical systems rather than exclusively through formal legal authority or territorial control.</w:t>
      </w:r>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Technology companies are significant not because they rival states in formal sovereignty, but because they increasingly shape the infrastructural conditions under which states govern. This change has significant effects on how international relations conceptualize legitimacy, power, and accountability.</w:t>
      </w:r>
    </w:p>
    <w:p w:rsidR="00A776C3" w:rsidRPr="0044370F" w:rsidRDefault="00A72897" w:rsidP="00816B26">
      <w:pPr>
        <w:pStyle w:val="2"/>
      </w:pPr>
      <w:bookmarkStart w:id="243" w:name="_Toc222652904"/>
      <w:r w:rsidRPr="0044370F">
        <w:rPr>
          <w:rStyle w:val="a4"/>
          <w:b/>
          <w:bCs w:val="0"/>
        </w:rPr>
        <w:t>10.</w:t>
      </w:r>
      <w:r w:rsidR="00816B26" w:rsidRPr="0044370F">
        <w:rPr>
          <w:rStyle w:val="a4"/>
          <w:b/>
          <w:bCs w:val="0"/>
        </w:rPr>
        <w:t>5</w:t>
      </w:r>
      <w:r w:rsidR="00B139DD" w:rsidRPr="0044370F">
        <w:rPr>
          <w:rStyle w:val="a4"/>
          <w:b/>
          <w:bCs w:val="0"/>
        </w:rPr>
        <w:tab/>
      </w:r>
      <w:r w:rsidR="00A776C3" w:rsidRPr="0044370F">
        <w:rPr>
          <w:rStyle w:val="a4"/>
          <w:b/>
          <w:bCs w:val="0"/>
        </w:rPr>
        <w:t>Theoretical Implications</w:t>
      </w:r>
      <w:bookmarkEnd w:id="243"/>
    </w:p>
    <w:p w:rsidR="00A776C3" w:rsidRPr="0044370F" w:rsidRDefault="00A776C3" w:rsidP="00A776C3">
      <w:pPr>
        <w:pStyle w:val="NormalWeb"/>
        <w:spacing w:line="360" w:lineRule="auto"/>
        <w:jc w:val="both"/>
      </w:pPr>
      <w:r w:rsidRPr="0044370F">
        <w:t xml:space="preserve">This dissertation contributes to </w:t>
      </w:r>
      <w:r w:rsidRPr="0044370F">
        <w:rPr>
          <w:b/>
          <w:bCs/>
        </w:rPr>
        <w:t>IR</w:t>
      </w:r>
      <w:r w:rsidRPr="0044370F">
        <w:t xml:space="preserve"> (international relations) theory by challenging state-centric models of sovereignty and authority. It shows that the boundaries of the political have expanded to include corporate actors, whose infrastructures and platforms increasingly function as governance institutions. This research, therefore, pushes IR to account for </w:t>
      </w:r>
      <w:r w:rsidRPr="0044370F">
        <w:rPr>
          <w:rStyle w:val="a4"/>
          <w:rFonts w:eastAsiaTheme="majorEastAsia"/>
        </w:rPr>
        <w:t>material infrastructures</w:t>
      </w:r>
      <w:r w:rsidRPr="0044370F">
        <w:t xml:space="preserve">, </w:t>
      </w:r>
      <w:r w:rsidRPr="0044370F">
        <w:rPr>
          <w:rStyle w:val="a4"/>
          <w:rFonts w:eastAsiaTheme="majorEastAsia"/>
        </w:rPr>
        <w:t>digital architectures</w:t>
      </w:r>
      <w:r w:rsidRPr="0044370F">
        <w:t xml:space="preserve">, and </w:t>
      </w:r>
      <w:r w:rsidRPr="0044370F">
        <w:rPr>
          <w:rStyle w:val="a4"/>
          <w:rFonts w:eastAsiaTheme="majorEastAsia"/>
        </w:rPr>
        <w:t>algorithmic systems</w:t>
      </w:r>
      <w:r w:rsidRPr="0044370F">
        <w:t xml:space="preserve"> as sites of political power.</w:t>
      </w:r>
    </w:p>
    <w:p w:rsidR="00A776C3" w:rsidRPr="0044370F" w:rsidRDefault="00A776C3" w:rsidP="00A776C3">
      <w:pPr>
        <w:pStyle w:val="NormalWeb"/>
        <w:spacing w:line="360" w:lineRule="auto"/>
        <w:jc w:val="both"/>
      </w:pPr>
      <w:r w:rsidRPr="0044370F">
        <w:t xml:space="preserve">The four-dimensional model provides a structured approach to integrating concepts from </w:t>
      </w:r>
      <w:r w:rsidRPr="0044370F">
        <w:rPr>
          <w:b/>
          <w:bCs/>
        </w:rPr>
        <w:t xml:space="preserve">political theory </w:t>
      </w:r>
      <w:r w:rsidRPr="0044370F">
        <w:t xml:space="preserve">(sovereignty, legitimacy), </w:t>
      </w:r>
      <w:r w:rsidRPr="0044370F">
        <w:rPr>
          <w:b/>
          <w:bCs/>
        </w:rPr>
        <w:t>IPE</w:t>
      </w:r>
      <w:r w:rsidRPr="0044370F">
        <w:t xml:space="preserve"> (structural power, rule-making authority), and </w:t>
      </w:r>
      <w:r w:rsidRPr="0044370F">
        <w:rPr>
          <w:b/>
          <w:bCs/>
        </w:rPr>
        <w:t>STS</w:t>
      </w:r>
      <w:r w:rsidRPr="0044370F">
        <w:t xml:space="preserve"> (socio-technical systems, Actor-Network Theory). It demonstrates how sovereignty, a socio-material phenomenon, is enacted by groups of people, technology, institutions, and infrastructures. </w:t>
      </w:r>
      <w:r w:rsidRPr="0044370F">
        <w:br/>
        <w:t xml:space="preserve">As a result, the dissertation's concept of corporate quasi-sovereignty contributes to conversations concerning non-state authority, hybrid governance, and the future of international order. It invites </w:t>
      </w:r>
      <w:r w:rsidRPr="0044370F">
        <w:lastRenderedPageBreak/>
        <w:t>scholars to reconsider long-held assumptions about legitimacy, power, and governance in the absence of territorial authority.</w:t>
      </w:r>
    </w:p>
    <w:p w:rsidR="00A776C3" w:rsidRPr="0044370F" w:rsidRDefault="00A776C3" w:rsidP="00A776C3">
      <w:pPr>
        <w:pStyle w:val="NormalWeb"/>
        <w:spacing w:line="360" w:lineRule="auto"/>
        <w:jc w:val="both"/>
        <w:rPr>
          <w:rtl/>
        </w:rPr>
      </w:pPr>
      <w:r w:rsidRPr="0044370F">
        <w:t>While this critique is valid at the level of formal classification, it overlooks the analytical purpose of the concept of quasi-sovereignty. The framework does not claim that corporations are sovereign in a legal sense, but rather that they exercise authority that historically performs functions associated with sovereignty, including rule-setting, infrastructural coordination, and population-scale regulation. Retaining a qualified language of sovereignty clarifies the structural significance of these developments while preserving analytical distinctions between legal status and functional authority.</w:t>
      </w:r>
    </w:p>
    <w:p w:rsidR="00A776C3" w:rsidRPr="0044370F" w:rsidRDefault="00A776C3" w:rsidP="00316223">
      <w:pPr>
        <w:pStyle w:val="2"/>
      </w:pPr>
      <w:bookmarkStart w:id="244" w:name="_Toc222652905"/>
      <w:r w:rsidRPr="0044370F">
        <w:rPr>
          <w:rStyle w:val="a4"/>
          <w:b/>
          <w:bCs w:val="0"/>
        </w:rPr>
        <w:t>10.</w:t>
      </w:r>
      <w:r w:rsidR="00816B26" w:rsidRPr="0044370F">
        <w:rPr>
          <w:rStyle w:val="a4"/>
          <w:b/>
          <w:bCs w:val="0"/>
        </w:rPr>
        <w:t>6</w:t>
      </w:r>
      <w:r w:rsidR="00B139DD" w:rsidRPr="0044370F">
        <w:rPr>
          <w:rStyle w:val="a4"/>
          <w:b/>
          <w:bCs w:val="0"/>
        </w:rPr>
        <w:tab/>
      </w:r>
      <w:r w:rsidRPr="0044370F">
        <w:rPr>
          <w:rStyle w:val="a4"/>
          <w:b/>
          <w:bCs w:val="0"/>
        </w:rPr>
        <w:t>Practical Implications</w:t>
      </w:r>
      <w:bookmarkEnd w:id="244"/>
    </w:p>
    <w:p w:rsidR="00A776C3" w:rsidRPr="0044370F" w:rsidRDefault="00A776C3" w:rsidP="00A776C3">
      <w:pPr>
        <w:pStyle w:val="NormalWeb"/>
        <w:spacing w:line="360" w:lineRule="auto"/>
        <w:jc w:val="both"/>
      </w:pPr>
      <w:r w:rsidRPr="0044370F">
        <w:t xml:space="preserve">For policymakers, regulators, international institutions, and corporate actors operating within digitally mediated governance </w:t>
      </w:r>
      <w:proofErr w:type="spellStart"/>
      <w:proofErr w:type="gramStart"/>
      <w:r w:rsidRPr="0044370F">
        <w:t>environments.These</w:t>
      </w:r>
      <w:proofErr w:type="spellEnd"/>
      <w:proofErr w:type="gramEnd"/>
      <w:r w:rsidRPr="0044370F">
        <w:t xml:space="preserve"> consequences do not suggest a single governance paradigm or regulatory remedy. Instead, they highlight several structural conflicts arising from the exercise of power through corporate infrastructures, standards, and socio-technical systems that cross national boundaries.</w:t>
      </w:r>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rise of corporate quasi-sovereignty highlights the limitations of territorially bounded regulatory frameworks. While the infrastructures used to exercise power, cloud platforms, communication networks, corporate systems, and data architectures operate internationally, regulatory authority is still primarily national. </w:t>
      </w: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discrepancy limits the efficacy of unilateral regulatory actions and helps explain why state responses to digital companies are frequently inconsistent, fragmented, and reactive. The results point to a more profound shift in the creation and exercise of authority as the root cause of governance issues, rather than regulatory deficiencies alone. Because of this, states are increasingly exercising indirect governance through negotiations with corporate players, including regulatory requirements for technological standards, or by using legal jurisdiction and market access to influence business behavior outside their boundaries.</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The analysis reveals an increasing conflict between formal institutional authority and actual governance competence for international and multinational organizations. Organizations such as the United Nations, the International Telecommunication Union, and other coordination or standard-setting bodies remain crucial for defining standards and promoting collaboration. However, the examples presented in this dissertation demonstrate how technology companies frequently use partnerships, private standards, and platforms to more quickly and successfully influence global patterns. </w:t>
      </w: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change is reflected in corporate involvement in multi-stakeholder governance frameworks, but it also raises questions about legitimacy, responsibility, and representation. The practical implication is not that multilateral institutions are out of date, but rather that their power is increasingly dependent on their capacity to engage with, restrict, or appropriate corporate infrastructures rather than functioning autonomously.</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results warn regulators and legislators against considering tech companies only as market participants governed by consumer protection or competition laws. Even though these tools are still essential, they are not enough to handle </w:t>
      </w:r>
      <w:r w:rsidR="003209C7" w:rsidRPr="0044370F">
        <w:rPr>
          <w:rFonts w:ascii="Times New Roman" w:eastAsia="Times New Roman" w:hAnsi="Times New Roman" w:cs="Times New Roman"/>
          <w:sz w:val="24"/>
          <w:szCs w:val="24"/>
        </w:rPr>
        <w:t>sovereignty-like authority</w:t>
      </w:r>
      <w:r w:rsidRPr="0044370F">
        <w:rPr>
          <w:rFonts w:ascii="Times New Roman" w:eastAsia="Times New Roman" w:hAnsi="Times New Roman" w:cs="Times New Roman"/>
          <w:sz w:val="24"/>
          <w:szCs w:val="24"/>
        </w:rPr>
        <w:t xml:space="preserve"> carried out through standards and infrastructure. Core state operations, such as democratic deliberation, national security, and administrative capability, are impacted by issues like content filtering, data governance, digital identification, and enterprise software deployment.</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practical difficulty is identifying the point at which corporate behavior transitions from economic coordination to governance and creating regulatory strategies that take this distinction into account without supposing that complete public control is either desirable or realistic.</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idea of quasi-sovereignty has implications for organizational risk and corporate players' responsibility. Corporations are held to higher standards than those associated with regular market activity as they become more integrated into governance functions. Even in the absence of official legislative mandates, these expectations may manifest as requests for accountability, transparency, due process, or alignment with public ideals. Corporate authority is constantly negotiated and challenged, as demonstrated by the experiences of Meta, Huawei, and SAP. Legitimacy deficits, whether stemming from geopolitical mistrust, public reaction, or regulatory scrutiny, can result in </w:t>
      </w:r>
      <w:r w:rsidRPr="0044370F">
        <w:rPr>
          <w:rFonts w:ascii="Times New Roman" w:eastAsia="Times New Roman" w:hAnsi="Times New Roman" w:cs="Times New Roman"/>
          <w:sz w:val="24"/>
          <w:szCs w:val="24"/>
        </w:rPr>
        <w:lastRenderedPageBreak/>
        <w:t>severe operational and strategic limits. Therefore, corporate actors operating at this scale must manage not only regulatory compliance but also the broader political and normative contexts in which their infrastructures are implemented.</w:t>
      </w:r>
    </w:p>
    <w:p w:rsidR="00A776C3" w:rsidRPr="0044370F" w:rsidRDefault="00A776C3" w:rsidP="00A776C3">
      <w:pPr>
        <w:pStyle w:val="NormalWeb"/>
        <w:spacing w:line="360" w:lineRule="auto"/>
        <w:jc w:val="both"/>
      </w:pPr>
      <w:r w:rsidRPr="0044370F">
        <w:t>The practical ramifications of corporate quasi-sovereignty across all these areas indicate a governance environment marked by entanglement rather than hierarchy. Hybrid arrangements, which combine governmental monitoring with business execution, legal mandates with technological standards, and public objectives with private capabilities, are increasingly used to exert authority. Such arrangements can enhance efficiency but complicate established mechanisms of democratic accountability.</w:t>
      </w: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Moving past discussions of "regulation versus innovation" and toward a more sophisticated understanding of how governance is implemented through networks and infrastructures is necessary to comprehend this environment.</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In conclusion, this dissertation's practical value lies in elucidating the nature of the governance challenge posed by global technology businesses rather than in recommending particular legislative remedies. The theory explains why current governance mechanisms frequently fail to keep up and why future solutions are likely to remain hybrid, negotiated, and context-dependent by envisioning these corporations as quasi-sovereign entities. These observations lay the groundwork for more informed discussions of institutional reform, digital governance, and the changing dynamics between public and private power in the twenty-first century.</w:t>
      </w:r>
    </w:p>
    <w:p w:rsidR="00A72897" w:rsidRPr="0044370F" w:rsidRDefault="00A72897" w:rsidP="00A776C3">
      <w:pPr>
        <w:spacing w:after="0" w:line="360" w:lineRule="auto"/>
        <w:jc w:val="both"/>
        <w:rPr>
          <w:rFonts w:ascii="Times New Roman" w:eastAsia="Times New Roman" w:hAnsi="Times New Roman" w:cs="Times New Roman"/>
          <w:sz w:val="24"/>
          <w:szCs w:val="24"/>
        </w:rPr>
      </w:pPr>
    </w:p>
    <w:p w:rsidR="00A776C3" w:rsidRPr="0044370F" w:rsidRDefault="00A72897" w:rsidP="00816B26">
      <w:pPr>
        <w:pStyle w:val="2"/>
      </w:pPr>
      <w:bookmarkStart w:id="245" w:name="_Toc222652906"/>
      <w:r w:rsidRPr="0044370F">
        <w:rPr>
          <w:rStyle w:val="a4"/>
          <w:b/>
          <w:bCs w:val="0"/>
        </w:rPr>
        <w:t>10.</w:t>
      </w:r>
      <w:r w:rsidR="00816B26" w:rsidRPr="0044370F">
        <w:rPr>
          <w:rStyle w:val="a4"/>
          <w:b/>
          <w:bCs w:val="0"/>
        </w:rPr>
        <w:t>7</w:t>
      </w:r>
      <w:r w:rsidR="00B139DD" w:rsidRPr="0044370F">
        <w:rPr>
          <w:rStyle w:val="a4"/>
          <w:b/>
          <w:bCs w:val="0"/>
        </w:rPr>
        <w:tab/>
      </w:r>
      <w:r w:rsidR="00A776C3" w:rsidRPr="0044370F">
        <w:rPr>
          <w:rStyle w:val="a4"/>
          <w:b/>
          <w:bCs w:val="0"/>
        </w:rPr>
        <w:t>Critical Reflection</w:t>
      </w:r>
      <w:bookmarkEnd w:id="245"/>
    </w:p>
    <w:p w:rsidR="00790C26" w:rsidRPr="0044370F" w:rsidRDefault="00790C26"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framework has three principal limits that should be stated explicitly. Conceptually, quasi-sovereignty remains domain-specific and does not imply formal state equivalence. </w:t>
      </w:r>
    </w:p>
    <w:p w:rsidR="00790C26" w:rsidRPr="0044370F" w:rsidRDefault="00790C26" w:rsidP="008769C1">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Empirically, the analysis is constrained by reliance on publicly available documents and by limited visibility into proprietary or national-security-relevant domains. </w:t>
      </w:r>
      <w:r w:rsidR="008769C1" w:rsidRPr="0044370F">
        <w:rPr>
          <w:rFonts w:ascii="Times New Roman" w:eastAsia="Times New Roman" w:hAnsi="Times New Roman" w:cs="Times New Roman"/>
          <w:sz w:val="24"/>
          <w:szCs w:val="24"/>
        </w:rPr>
        <w:t>The three-case design maximizes analytical variation but cannot exhaust the full range of corporate configurations, suggesting a need for future research across additional sectors and regions.</w:t>
      </w:r>
    </w:p>
    <w:p w:rsidR="00A776C3" w:rsidRPr="0044370F" w:rsidRDefault="00A776C3" w:rsidP="008769C1">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Applying the concept of sovereignty, historically associated with territorial authority, legal supremacy, and the monopoly over legitimate violence, to corporate actors inevitably raises concerns of conceptual stretching. Sovereignty is among the most contested and normatively charged concepts in political theory and international relations, and its extension beyond the state risks diluting analytical precision. </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The empirical findings demonstrate that multinational technology corporations increasingly perform functions that resemble sovereign practices within specific domains, including rule-setting, infrastructural control, and the governance of populations and processes. </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Ignoring these developments to preserve conceptual purity would risk rendering sovereignty theory descriptively inadequate. The use of quasi-sovereignty in this study is therefore intended as a carefully delimited analytical device rather than a claim of equivalence between states and corporations. It highlights functional resemblances while preserving important distinctions regarding formal authority, coercive capacity, and legal recognition.</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Methodologically, the dissertation is subject to limitations inherent in qualitative, document-based research. Reliance on publicly available sources restricts direct access to internal corporate deliberations, strategic trade-offs, and informal decision-making processes. As a result, some aspects of corporate intent or internal contestation may remain opaque. </w:t>
      </w:r>
    </w:p>
    <w:p w:rsidR="00A776C3" w:rsidRPr="0044370F" w:rsidRDefault="00A776C3" w:rsidP="008769C1">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limitation is particularly salient in cases involving national security considerations or proprietary technologies, where transparency is structurally constrained. </w:t>
      </w:r>
      <w:r w:rsidR="008769C1" w:rsidRPr="0044370F">
        <w:rPr>
          <w:rFonts w:ascii="Times New Roman" w:eastAsia="Times New Roman" w:hAnsi="Times New Roman" w:cs="Times New Roman"/>
          <w:sz w:val="24"/>
          <w:szCs w:val="24"/>
        </w:rPr>
        <w:t>These constraints are mitigated through systematic triangulation across corporate disclosures, regulatory documents, policy statements, and secondary analyses</w:t>
      </w:r>
      <w:r w:rsidRPr="0044370F">
        <w:rPr>
          <w:rFonts w:ascii="Times New Roman" w:eastAsia="Times New Roman" w:hAnsi="Times New Roman" w:cs="Times New Roman"/>
          <w:sz w:val="24"/>
          <w:szCs w:val="24"/>
        </w:rPr>
        <w:t>.</w:t>
      </w:r>
    </w:p>
    <w:p w:rsidR="00A776C3" w:rsidRPr="0044370F" w:rsidRDefault="00A776C3" w:rsidP="008769C1">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A further limitation concerns the selection and scope of cases. While Meta, Huawei, and SAP were chosen to maximize analytical variation across sectors, regions, and modes of state interaction, they do not represent the whole universe of corporate actors exercising sovereignty-like authority. The configurations identified in this dissertation should therefore be understood as illustrative rather than exhaustive. </w:t>
      </w:r>
      <w:r w:rsidR="008769C1" w:rsidRPr="0044370F">
        <w:rPr>
          <w:rFonts w:ascii="Times New Roman" w:eastAsia="Times New Roman" w:hAnsi="Times New Roman" w:cs="Times New Roman"/>
          <w:sz w:val="24"/>
          <w:szCs w:val="24"/>
        </w:rPr>
        <w:t>Additional cases, particularly in sectors such as finance, defense technology, or energy, may reveal alternative configurations beyond those identified here</w:t>
      </w:r>
      <w:r w:rsidRPr="0044370F">
        <w:rPr>
          <w:rFonts w:ascii="Times New Roman" w:eastAsia="Times New Roman" w:hAnsi="Times New Roman" w:cs="Times New Roman"/>
          <w:sz w:val="24"/>
          <w:szCs w:val="24"/>
        </w:rPr>
        <w:t>.</w:t>
      </w:r>
    </w:p>
    <w:p w:rsidR="00A776C3" w:rsidRPr="0044370F" w:rsidRDefault="00A776C3" w:rsidP="008769C1">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There are also limits to the temporal scope of the analysis. Corporate authority, especially in technologically dynamic sectors, is subject to rapid change driven by regulatory shifts, geopolitical development</w:t>
      </w:r>
      <w:r w:rsidR="008769C1" w:rsidRPr="0044370F">
        <w:rPr>
          <w:rFonts w:ascii="Times New Roman" w:eastAsia="Times New Roman" w:hAnsi="Times New Roman" w:cs="Times New Roman"/>
          <w:sz w:val="24"/>
          <w:szCs w:val="24"/>
        </w:rPr>
        <w:t>s, and technological innovation</w:t>
      </w:r>
      <w:r w:rsidRPr="0044370F">
        <w:rPr>
          <w:rFonts w:ascii="Times New Roman" w:eastAsia="Times New Roman" w:hAnsi="Times New Roman" w:cs="Times New Roman"/>
          <w:sz w:val="24"/>
          <w:szCs w:val="24"/>
        </w:rPr>
        <w:t>. Future developments may alter the balance between corporate and state authority in ways that cannot be fully anticipated. This temporal contingency reinforces the importance of treating corporate quasi-sovereignty as a dynamic and relational condition rather than a fixed structural outcome.</w:t>
      </w:r>
    </w:p>
    <w:p w:rsidR="00A776C3" w:rsidRPr="0044370F" w:rsidRDefault="00A776C3" w:rsidP="008769C1">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Taken together, these limitations do not undermine the dissertation's central findings. Instead, they clarify the analytical boundaries within which the concept of corporate quasi-sovereignty is meaningful and productive. </w:t>
      </w:r>
      <w:r w:rsidR="008769C1" w:rsidRPr="0044370F">
        <w:rPr>
          <w:rFonts w:ascii="Times New Roman" w:eastAsia="Times New Roman" w:hAnsi="Times New Roman" w:cs="Times New Roman"/>
          <w:sz w:val="24"/>
          <w:szCs w:val="24"/>
        </w:rPr>
        <w:t>By foregrounding these constraints, the study delineates the scope within which the concept of corporate quasi-sovereignty remains analytically meaningful and open to refinement</w:t>
      </w:r>
      <w:r w:rsidRPr="0044370F">
        <w:rPr>
          <w:rFonts w:ascii="Times New Roman" w:eastAsia="Times New Roman" w:hAnsi="Times New Roman" w:cs="Times New Roman"/>
          <w:sz w:val="24"/>
          <w:szCs w:val="24"/>
        </w:rPr>
        <w:t>.</w:t>
      </w:r>
    </w:p>
    <w:p w:rsidR="00A776C3" w:rsidRPr="0044370F" w:rsidRDefault="00A776C3" w:rsidP="008769C1">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Future research could address this study's limitations by extending its methods to provide deeper insight into the internal dynamics of corporate authority. Interview-based research with corporate executives, regulators, and policy actors could illuminate decision-making processes that remain opaque in publicly available sources. Network analysis may further clarify patterns of infrastructural dependency and authority diffusion. </w:t>
      </w:r>
    </w:p>
    <w:p w:rsidR="00A776C3" w:rsidRPr="0044370F" w:rsidRDefault="00A72897" w:rsidP="00816B26">
      <w:pPr>
        <w:pStyle w:val="2"/>
      </w:pPr>
      <w:bookmarkStart w:id="246" w:name="_Toc222652907"/>
      <w:r w:rsidRPr="0044370F">
        <w:rPr>
          <w:rStyle w:val="a4"/>
          <w:b/>
          <w:bCs w:val="0"/>
        </w:rPr>
        <w:t>10.</w:t>
      </w:r>
      <w:r w:rsidR="00816B26" w:rsidRPr="0044370F">
        <w:rPr>
          <w:rStyle w:val="a4"/>
          <w:b/>
          <w:bCs w:val="0"/>
        </w:rPr>
        <w:t>8</w:t>
      </w:r>
      <w:r w:rsidR="00B139DD" w:rsidRPr="0044370F">
        <w:rPr>
          <w:rStyle w:val="a4"/>
          <w:b/>
          <w:bCs w:val="0"/>
        </w:rPr>
        <w:tab/>
      </w:r>
      <w:r w:rsidR="00A776C3" w:rsidRPr="0044370F">
        <w:rPr>
          <w:rStyle w:val="a4"/>
          <w:b/>
          <w:bCs w:val="0"/>
        </w:rPr>
        <w:t>Directions for Future Research</w:t>
      </w:r>
      <w:bookmarkEnd w:id="246"/>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Among the various avenues for future research, the most urgent concerns are the governance of infrastructural power, the political implications of generative and physical artificial intelligence, and the evolving role of multinational corporations in global coordination mechanisms.</w:t>
      </w: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dissertation's analysis creates several opportunities for further study beyond its methodological and empirical purview. The cases of Meta, Huawei, and SAP offer a varied and analytically rich basis for studying corporate quasi-sovereignty. Still, they do not cover all the actors or sectors that can exert sovereignty-like authority in the modern global system. Therefore, future research might broaden the empirical base by examining other digital companies with distinct business models, regional origins, or approaches to state involvement, such as those operating at the nexus of data analytics, security, and finance.</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Beyond the technology industry, other studies might examine whether transnational entities with structural power but no official political authority are beginning to exhibit quasi-sovereign tendencies. The degree to which the trends identified in this study are unique to digital capitalism or reflect broader changes in global governance may be clarified through comparative studies that include financial institutions, large asset managers, or hybrid public-private enterprises. The conceptual distinctions between market power, governmental authority, and infrastructural control would be improved by such an effort.</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By using complementary techniques, future study could expand on the qualitative, document-based approach used here. For instance, network analysis can shed light on the relationship structures that corporate authority uses in the institutional, technological, and regulatory spheres. Research based on interviews with business players, policymakers, or technical specialists may shed further light on the practical understanding and negotiation of quasi-sovereign positions. To track how corporate quasi-sovereignty </w:t>
      </w:r>
      <w:proofErr w:type="gramStart"/>
      <w:r w:rsidRPr="0044370F">
        <w:rPr>
          <w:rFonts w:ascii="Times New Roman" w:eastAsia="Times New Roman" w:hAnsi="Times New Roman" w:cs="Times New Roman"/>
          <w:sz w:val="24"/>
          <w:szCs w:val="24"/>
        </w:rPr>
        <w:t>configurations</w:t>
      </w:r>
      <w:proofErr w:type="gramEnd"/>
      <w:r w:rsidRPr="0044370F">
        <w:rPr>
          <w:rFonts w:ascii="Times New Roman" w:eastAsia="Times New Roman" w:hAnsi="Times New Roman" w:cs="Times New Roman"/>
          <w:sz w:val="24"/>
          <w:szCs w:val="24"/>
        </w:rPr>
        <w:t xml:space="preserve"> change over time in response to technological advancements, geopolitical developments, or legislative changes, longitudinal studies may also be helpful.</w:t>
      </w:r>
    </w:p>
    <w:p w:rsidR="00A776C3" w:rsidRPr="0044370F" w:rsidRDefault="00A776C3" w:rsidP="00A776C3">
      <w:pPr>
        <w:spacing w:after="0" w:line="360" w:lineRule="auto"/>
        <w:jc w:val="both"/>
        <w:rPr>
          <w:rFonts w:ascii="Times New Roman" w:eastAsia="Times New Roman" w:hAnsi="Times New Roman" w:cs="Times New Roman"/>
          <w:sz w:val="24"/>
          <w:szCs w:val="24"/>
        </w:rPr>
      </w:pP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Mapping the redistribution of authority among governments, companies, and infrastructures, and understanding how these changing configurations alter the framework of global governance in the digital era, will require ongoing research.</w:t>
      </w:r>
    </w:p>
    <w:p w:rsidR="006A1CDC" w:rsidRPr="0044370F" w:rsidRDefault="006A1CDC" w:rsidP="00A776C3">
      <w:pPr>
        <w:spacing w:after="0" w:line="360" w:lineRule="auto"/>
        <w:jc w:val="both"/>
        <w:rPr>
          <w:rFonts w:ascii="Times New Roman" w:eastAsia="Times New Roman" w:hAnsi="Times New Roman" w:cs="Times New Roman"/>
          <w:sz w:val="24"/>
          <w:szCs w:val="24"/>
        </w:rPr>
      </w:pPr>
    </w:p>
    <w:p w:rsidR="00A776C3" w:rsidRPr="0044370F" w:rsidRDefault="00A72897" w:rsidP="00816B26">
      <w:pPr>
        <w:pStyle w:val="2"/>
      </w:pPr>
      <w:bookmarkStart w:id="247" w:name="_Toc222652908"/>
      <w:r w:rsidRPr="0044370F">
        <w:rPr>
          <w:rStyle w:val="a4"/>
          <w:b/>
          <w:bCs w:val="0"/>
        </w:rPr>
        <w:t>10.</w:t>
      </w:r>
      <w:r w:rsidR="00816B26" w:rsidRPr="0044370F">
        <w:rPr>
          <w:rStyle w:val="a4"/>
          <w:b/>
          <w:bCs w:val="0"/>
        </w:rPr>
        <w:t>9</w:t>
      </w:r>
      <w:r w:rsidR="00B139DD" w:rsidRPr="0044370F">
        <w:rPr>
          <w:rStyle w:val="a4"/>
          <w:b/>
          <w:bCs w:val="0"/>
        </w:rPr>
        <w:tab/>
      </w:r>
      <w:r w:rsidR="00A776C3" w:rsidRPr="0044370F">
        <w:t>Reframing Sovereignty in the Digital Age</w:t>
      </w:r>
      <w:bookmarkEnd w:id="247"/>
    </w:p>
    <w:p w:rsidR="00A72897" w:rsidRPr="0044370F" w:rsidRDefault="00A72897" w:rsidP="00A72897"/>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This dissertation concludes that rather than being merely economic actors, global technology businesses are evolving into political actors with sovereign-like power. Their strength comes not from territory or armies but from infrastructures, platforms, standards, and data. In a world where digital architectures affect social, economic, and political life, companies like Meta, Huawei, and SAP now have structural positions that allow them to formally or informally oversee vast populations and critical systems. </w:t>
      </w:r>
    </w:p>
    <w:p w:rsidR="00A776C3" w:rsidRPr="0044370F" w:rsidRDefault="00A776C3" w:rsidP="00A776C3">
      <w:pPr>
        <w:spacing w:after="0"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br/>
        <w:t xml:space="preserve">In addition to elucidating this shift, this research offers an analytically based paradigm for </w:t>
      </w:r>
      <w:r w:rsidRPr="0044370F">
        <w:rPr>
          <w:rFonts w:ascii="Times New Roman" w:eastAsia="Times New Roman" w:hAnsi="Times New Roman" w:cs="Times New Roman"/>
          <w:sz w:val="24"/>
          <w:szCs w:val="24"/>
        </w:rPr>
        <w:lastRenderedPageBreak/>
        <w:t>comprehending the exercise and contestation of digital power. The study reframes current discussions about authority, governance, and accountability by conceiving of corporate quasi-sovereignty without making normative claims or policy recommendations.</w:t>
      </w:r>
    </w:p>
    <w:p w:rsidR="00A776C3" w:rsidRPr="0044370F" w:rsidRDefault="00A72897" w:rsidP="00816B26">
      <w:pPr>
        <w:pStyle w:val="2"/>
      </w:pPr>
      <w:bookmarkStart w:id="248" w:name="_Toc222652909"/>
      <w:r w:rsidRPr="0044370F">
        <w:rPr>
          <w:rStyle w:val="a4"/>
          <w:b/>
          <w:bCs w:val="0"/>
        </w:rPr>
        <w:t>10.</w:t>
      </w:r>
      <w:r w:rsidR="00816B26" w:rsidRPr="0044370F">
        <w:rPr>
          <w:rStyle w:val="a4"/>
          <w:b/>
          <w:bCs w:val="0"/>
        </w:rPr>
        <w:t>1</w:t>
      </w:r>
      <w:r w:rsidR="00B139DD" w:rsidRPr="0044370F">
        <w:rPr>
          <w:rStyle w:val="a4"/>
          <w:b/>
          <w:bCs w:val="0"/>
        </w:rPr>
        <w:t>0</w:t>
      </w:r>
      <w:r w:rsidR="00B139DD" w:rsidRPr="0044370F">
        <w:rPr>
          <w:rStyle w:val="a4"/>
          <w:b/>
          <w:bCs w:val="0"/>
        </w:rPr>
        <w:tab/>
      </w:r>
      <w:r w:rsidR="00A776C3" w:rsidRPr="0044370F">
        <w:rPr>
          <w:rStyle w:val="a4"/>
          <w:b/>
          <w:bCs w:val="0"/>
        </w:rPr>
        <w:t xml:space="preserve">Emerging Frontiers: Physical AI and the Next Wave of </w:t>
      </w:r>
      <w:r w:rsidR="00960581" w:rsidRPr="0044370F">
        <w:rPr>
          <w:rStyle w:val="a4"/>
          <w:b/>
          <w:bCs w:val="0"/>
        </w:rPr>
        <w:t>Corporate quasi-sovereignty</w:t>
      </w:r>
      <w:bookmarkEnd w:id="248"/>
    </w:p>
    <w:p w:rsidR="00790C26" w:rsidRPr="0044370F" w:rsidRDefault="00790C26"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Beyond Physical AI, two broader trends are likely to shape the next phase of corporate quasi-sovereignty: </w:t>
      </w:r>
    </w:p>
    <w:p w:rsidR="00790C26" w:rsidRPr="0044370F" w:rsidRDefault="00790C26" w:rsidP="00790C26">
      <w:pPr>
        <w:spacing w:beforeAutospacing="1" w:after="100" w:afterAutospacing="1" w:line="360" w:lineRule="auto"/>
        <w:ind w:left="720"/>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(1) the consolidation of AI model infrastructures (training data, compute, proprietary model APIs) as a new strategic resource base, and </w:t>
      </w:r>
    </w:p>
    <w:p w:rsidR="00790C26" w:rsidRPr="0044370F" w:rsidRDefault="00790C26" w:rsidP="00790C26">
      <w:pPr>
        <w:spacing w:beforeAutospacing="1" w:after="100" w:afterAutospacing="1" w:line="360" w:lineRule="auto"/>
        <w:ind w:left="720"/>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(2) geopolitical fragmentation, often discussed in terms of </w:t>
      </w:r>
      <w:proofErr w:type="spellStart"/>
      <w:r w:rsidRPr="0044370F">
        <w:rPr>
          <w:rFonts w:ascii="Times New Roman" w:eastAsia="Times New Roman" w:hAnsi="Times New Roman" w:cs="Times New Roman"/>
          <w:sz w:val="24"/>
          <w:szCs w:val="24"/>
        </w:rPr>
        <w:t>multipolarity</w:t>
      </w:r>
      <w:proofErr w:type="spellEnd"/>
      <w:r w:rsidRPr="0044370F">
        <w:rPr>
          <w:rFonts w:ascii="Times New Roman" w:eastAsia="Times New Roman" w:hAnsi="Times New Roman" w:cs="Times New Roman"/>
          <w:sz w:val="24"/>
          <w:szCs w:val="24"/>
        </w:rPr>
        <w:t xml:space="preserve"> and competing techno-blocs, combined with intensifying claims of data sovereignty. </w:t>
      </w:r>
    </w:p>
    <w:p w:rsidR="00790C26" w:rsidRPr="0044370F" w:rsidRDefault="00790C26" w:rsidP="00790C26">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Each trend interacts with the four dimensions by redistributing strategic resources (compute/data), reshaping structural embeddedness (standards and supply chains), intensifying legitimacy contests, and deepening infrastructural dependence across jurisdictions.</w:t>
      </w:r>
    </w:p>
    <w:p w:rsidR="00790C26" w:rsidRPr="0044370F" w:rsidRDefault="00790C26" w:rsidP="00790C26">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First, foundation-model ecosystems amplify strategic resource control by concentrating compute, training data, and model access in a small number of corporate actors. As model APIs become infrastructural intermediaries for public and private services, governance effects follow from access rules, pricing, safety policies, and interoperability constraints, raising new questions of legitimacy and accountability.</w:t>
      </w:r>
    </w:p>
    <w:p w:rsidR="00790C26" w:rsidRPr="0044370F" w:rsidRDefault="00790C26" w:rsidP="00790C26">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 xml:space="preserve">Second, </w:t>
      </w:r>
      <w:proofErr w:type="spellStart"/>
      <w:r w:rsidRPr="0044370F">
        <w:rPr>
          <w:rFonts w:ascii="Times New Roman" w:eastAsia="Times New Roman" w:hAnsi="Times New Roman" w:cs="Times New Roman"/>
          <w:sz w:val="24"/>
          <w:szCs w:val="24"/>
        </w:rPr>
        <w:t>multipolarity</w:t>
      </w:r>
      <w:proofErr w:type="spellEnd"/>
      <w:r w:rsidRPr="0044370F">
        <w:rPr>
          <w:rFonts w:ascii="Times New Roman" w:eastAsia="Times New Roman" w:hAnsi="Times New Roman" w:cs="Times New Roman"/>
          <w:sz w:val="24"/>
          <w:szCs w:val="24"/>
        </w:rPr>
        <w:t xml:space="preserve"> and data sovereignty intensify the jurisdictional complexity of digital governance. As states pursue localization, strategic autonomy, and divergent regulatory regimes, corporations increasingly operate as implementers of quasi-jurisdictional rules through technical compliance architectures, cross-border routing decisions, and standards strategies. </w:t>
      </w:r>
    </w:p>
    <w:p w:rsidR="00790C26" w:rsidRPr="0044370F" w:rsidRDefault="00790C26" w:rsidP="00790C26">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This fragmentation may produce differentiated forms of quasi-sovereignty rather than a single global pattern.</w:t>
      </w:r>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lastRenderedPageBreak/>
        <w:t xml:space="preserve">Physical AI represents the continuation of corporate quasi-sovereignty into the material organization of production and space. </w:t>
      </w:r>
    </w:p>
    <w:p w:rsidR="00A776C3" w:rsidRPr="0044370F" w:rsidRDefault="00A776C3" w:rsidP="007D5946">
      <w:pPr>
        <w:pStyle w:val="NormalWeb"/>
        <w:spacing w:line="360" w:lineRule="auto"/>
        <w:jc w:val="both"/>
      </w:pPr>
      <w:r w:rsidRPr="0044370F">
        <w:t xml:space="preserve">Recent advances in what is increasingly termed </w:t>
      </w:r>
      <w:r w:rsidRPr="0044370F">
        <w:rPr>
          <w:rStyle w:val="a5"/>
          <w:rFonts w:eastAsiaTheme="majorEastAsia"/>
        </w:rPr>
        <w:t>Physical AI</w:t>
      </w:r>
      <w:r w:rsidRPr="0044370F">
        <w:t xml:space="preserve"> signal a significant extension of the dynamics analyzed throughout this dissertation. Unlike earlier forms of automation, Physical AI systems combine perception, learning, and real-time action, enabling autonomous operation within complex physical environments. </w:t>
      </w:r>
      <w:r w:rsidR="008769C1" w:rsidRPr="0044370F">
        <w:t xml:space="preserve">These systems are deployed across logistics, manufacturing, and industrial supply chains, with the potential to reorganize </w:t>
      </w:r>
      <w:r w:rsidR="007D5946">
        <w:t xml:space="preserve">the coordination of material production, distribution, and labor </w:t>
      </w:r>
      <w:bookmarkStart w:id="249" w:name="_GoBack"/>
      <w:bookmarkEnd w:id="249"/>
      <w:r w:rsidR="008769C1" w:rsidRPr="0044370F">
        <w:t>globally.</w:t>
      </w:r>
    </w:p>
    <w:p w:rsidR="00A776C3" w:rsidRPr="0044370F" w:rsidRDefault="00A776C3" w:rsidP="00A776C3">
      <w:pPr>
        <w:pStyle w:val="NormalWeb"/>
        <w:spacing w:line="360" w:lineRule="auto"/>
        <w:jc w:val="both"/>
      </w:pPr>
      <w:r w:rsidRPr="0044370F">
        <w:t>As with digital platforms, the emergence of Physical AI concentrates control over critical infrastructures in the hands of a limited number of corporate actors. Access to large-scale datasets, proprietary simulations, and capital-intensive robotic systems creates high barriers to entry, positioning corporations, not states or local producers, as the primary architects of automated production environments.</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Strategic resource control expands as firms accumulate exclusive datasets, models, and robotic capabilities that underpin autonomous learning. Structural embeddedness deepens as automated systems become integral to national supply chains and industrial ecosystems, rendering corporate platforms increasingly indispensable to economic functioning. Normative legitimacy is constructed through narratives of efficiency, resilience, and sustainability, even as democratic oversight over production processes diminishes. Infrastructural power extends from digital coordination into the physical organization of space, movement, and production, embedding corporate authority directly into the material foundations of society.</w:t>
      </w:r>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Control over autonomous factories, logistics fleets, and robotic supply chains embeds corporate power not only in communication or exchange, but in the material reproduction of economic life.</w:t>
      </w:r>
    </w:p>
    <w:p w:rsidR="00A776C3" w:rsidRPr="0044370F" w:rsidRDefault="00A776C3" w:rsidP="00A776C3">
      <w:pPr>
        <w:pStyle w:val="NormalWeb"/>
        <w:spacing w:line="360" w:lineRule="auto"/>
        <w:jc w:val="both"/>
        <w:rPr>
          <w:rStyle w:val="a5"/>
          <w:rFonts w:eastAsiaTheme="majorEastAsia"/>
          <w:i w:val="0"/>
          <w:iCs w:val="0"/>
          <w:rtl/>
        </w:rPr>
      </w:pPr>
      <w:r w:rsidRPr="0044370F">
        <w:rPr>
          <w:rStyle w:val="a5"/>
          <w:rFonts w:eastAsiaTheme="majorEastAsia"/>
          <w:i w:val="0"/>
          <w:iCs w:val="0"/>
        </w:rPr>
        <w:t xml:space="preserve">When corporate actors govern autonomous production systems, regulatory intervention becomes structurally more complex: oversight must operate across software, hardware, data, and physical space simultaneously. </w:t>
      </w:r>
    </w:p>
    <w:p w:rsidR="00A776C3" w:rsidRPr="0044370F" w:rsidRDefault="00A776C3" w:rsidP="008769C1">
      <w:pPr>
        <w:pStyle w:val="NormalWeb"/>
        <w:spacing w:line="360" w:lineRule="auto"/>
        <w:jc w:val="both"/>
        <w:rPr>
          <w:rStyle w:val="a5"/>
          <w:rFonts w:asciiTheme="majorBidi" w:eastAsiaTheme="majorEastAsia" w:hAnsiTheme="majorBidi" w:cstheme="majorBidi"/>
        </w:rPr>
      </w:pPr>
      <w:r w:rsidRPr="0044370F">
        <w:rPr>
          <w:rStyle w:val="a5"/>
          <w:rFonts w:asciiTheme="majorBidi" w:eastAsiaTheme="majorEastAsia" w:hAnsiTheme="majorBidi" w:cstheme="majorBidi"/>
          <w:i w:val="0"/>
          <w:iCs w:val="0"/>
        </w:rPr>
        <w:lastRenderedPageBreak/>
        <w:t xml:space="preserve">Traditional regulatory tools, </w:t>
      </w:r>
      <w:r w:rsidR="008769C1" w:rsidRPr="0044370F">
        <w:rPr>
          <w:rStyle w:val="a5"/>
          <w:rFonts w:asciiTheme="majorBidi" w:eastAsiaTheme="majorEastAsia" w:hAnsiTheme="majorBidi" w:cstheme="majorBidi"/>
          <w:i w:val="0"/>
          <w:iCs w:val="0"/>
        </w:rPr>
        <w:t xml:space="preserve">such as, </w:t>
      </w:r>
      <w:r w:rsidRPr="0044370F">
        <w:rPr>
          <w:rStyle w:val="a5"/>
          <w:rFonts w:asciiTheme="majorBidi" w:eastAsiaTheme="majorEastAsia" w:hAnsiTheme="majorBidi" w:cstheme="majorBidi"/>
          <w:i w:val="0"/>
          <w:iCs w:val="0"/>
        </w:rPr>
        <w:t>competition law, transparency requirements, or content moderation frameworks,</w:t>
      </w:r>
      <w:r w:rsidRPr="0044370F">
        <w:rPr>
          <w:rStyle w:val="a5"/>
          <w:rFonts w:asciiTheme="majorBidi" w:eastAsiaTheme="majorEastAsia" w:hAnsiTheme="majorBidi" w:cstheme="majorBidi"/>
        </w:rPr>
        <w:t xml:space="preserve"> </w:t>
      </w:r>
      <w:r w:rsidRPr="0044370F">
        <w:rPr>
          <w:rFonts w:asciiTheme="majorBidi" w:hAnsiTheme="majorBidi" w:cstheme="majorBidi"/>
        </w:rPr>
        <w:t xml:space="preserve">are </w:t>
      </w:r>
      <w:r w:rsidR="008769C1" w:rsidRPr="0044370F">
        <w:t>not always well suited to address authority embedded in robotic systems</w:t>
      </w:r>
      <w:r w:rsidRPr="0044370F">
        <w:rPr>
          <w:rStyle w:val="a5"/>
          <w:rFonts w:asciiTheme="majorBidi" w:eastAsiaTheme="majorEastAsia" w:hAnsiTheme="majorBidi" w:cstheme="majorBidi"/>
        </w:rPr>
        <w:t xml:space="preserve">. </w:t>
      </w:r>
    </w:p>
    <w:p w:rsidR="00A776C3" w:rsidRPr="0044370F" w:rsidRDefault="00A776C3" w:rsidP="008769C1">
      <w:pPr>
        <w:pStyle w:val="NormalWeb"/>
        <w:spacing w:line="360" w:lineRule="auto"/>
        <w:jc w:val="both"/>
      </w:pPr>
      <w:r w:rsidRPr="0044370F">
        <w:t xml:space="preserve">Importantly, this analysis does not suggest that Physical AI heralds a fully autonomous or deterministic future. Yet the expansion of corporate control over autonomous production infrastructures further complicates governance in a context where authority is already fragmented and entangled. </w:t>
      </w:r>
    </w:p>
    <w:p w:rsidR="003209C7" w:rsidRPr="0044370F" w:rsidRDefault="003209C7" w:rsidP="00A776C3">
      <w:pPr>
        <w:spacing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The expansion of Physical AI thus reinforces the dissertation’s central claim: sovereignty in the digital-industrial age increasingly operates through infrastructural power rather than formal political command. Understanding how automated production systems reshape dependencies, redistribute power, and redefine the boundaries between public authority and private control will be essential for analyzing authority in the evolving digital-industrial order.</w:t>
      </w:r>
    </w:p>
    <w:p w:rsidR="00A776C3" w:rsidRPr="0044370F" w:rsidRDefault="00A72897" w:rsidP="00816B26">
      <w:pPr>
        <w:pStyle w:val="2"/>
        <w:rPr>
          <w:szCs w:val="36"/>
          <w:rtl/>
        </w:rPr>
      </w:pPr>
      <w:bookmarkStart w:id="250" w:name="_Toc222652910"/>
      <w:r w:rsidRPr="0044370F">
        <w:t>10.1</w:t>
      </w:r>
      <w:r w:rsidR="00816B26" w:rsidRPr="0044370F">
        <w:t>1</w:t>
      </w:r>
      <w:r w:rsidRPr="0044370F">
        <w:t xml:space="preserve"> </w:t>
      </w:r>
      <w:r w:rsidR="00A776C3" w:rsidRPr="0044370F">
        <w:t>Closing Reflection</w:t>
      </w:r>
      <w:bookmarkEnd w:id="250"/>
    </w:p>
    <w:p w:rsidR="00A776C3" w:rsidRPr="0044370F" w:rsidRDefault="00A776C3" w:rsidP="00A776C3">
      <w:pPr>
        <w:spacing w:before="100" w:beforeAutospacing="1" w:after="100" w:afterAutospacing="1" w:line="360" w:lineRule="auto"/>
        <w:jc w:val="both"/>
        <w:rPr>
          <w:rFonts w:ascii="Times New Roman" w:eastAsia="Times New Roman" w:hAnsi="Times New Roman" w:cs="Times New Roman"/>
          <w:sz w:val="24"/>
          <w:szCs w:val="24"/>
          <w:rtl/>
        </w:rPr>
      </w:pPr>
      <w:r w:rsidRPr="0044370F">
        <w:rPr>
          <w:rFonts w:ascii="Times New Roman" w:eastAsia="Times New Roman" w:hAnsi="Times New Roman" w:cs="Times New Roman"/>
          <w:sz w:val="24"/>
          <w:szCs w:val="24"/>
        </w:rPr>
        <w:t xml:space="preserve">The emergence of corporate quasi-sovereignty does not signal the end of the state, nor does it herald a fully privatized world order. Instead, it reflects a reconfiguration of authority in which states, corporations, and infrastructures are increasingly entangled. Grasping this entanglement requires moving beyond inherited categories toward analytical frameworks capable of capturing power as relational, distributed, and contingent. </w:t>
      </w:r>
    </w:p>
    <w:p w:rsidR="00A776C3" w:rsidRPr="0044370F" w:rsidRDefault="00A776C3" w:rsidP="00A776C3">
      <w:pPr>
        <w:spacing w:beforeAutospacing="1" w:after="100" w:afterAutospacing="1" w:line="360" w:lineRule="auto"/>
        <w:jc w:val="both"/>
        <w:rPr>
          <w:rFonts w:ascii="Times New Roman" w:eastAsia="Times New Roman" w:hAnsi="Times New Roman" w:cs="Times New Roman"/>
          <w:sz w:val="24"/>
          <w:szCs w:val="24"/>
        </w:rPr>
      </w:pPr>
      <w:r w:rsidRPr="0044370F">
        <w:rPr>
          <w:rFonts w:ascii="Times New Roman" w:eastAsia="Times New Roman" w:hAnsi="Times New Roman" w:cs="Times New Roman"/>
          <w:sz w:val="24"/>
          <w:szCs w:val="24"/>
        </w:rPr>
        <w:t>The analysis also points toward an open-ended future in which the configuration of authority remains unresolved. Corporate quasi-sovereignty should not be interpreted as a final stage in the evolution of political order, but as a contingent and potentially transitional arrangement. As technological infrastructures, regulatory responses, and geopolitical alignments continue to evolve, new constellations of authority may emerge that recombine state, corporate, and transnational elements in unpredictable ways. Recognizing this indeterminacy is essential to avoiding teleological assumptions about the trajectory of sovereignty in the digital age.</w:t>
      </w:r>
    </w:p>
    <w:p w:rsidR="00A776C3" w:rsidRPr="0044370F" w:rsidRDefault="00A776C3" w:rsidP="00A776C3">
      <w:pPr>
        <w:pStyle w:val="NormalWeb"/>
        <w:spacing w:line="360" w:lineRule="auto"/>
        <w:jc w:val="both"/>
        <w:rPr>
          <w:i/>
          <w:iCs/>
        </w:rPr>
      </w:pPr>
      <w:r w:rsidRPr="0044370F">
        <w:rPr>
          <w:rStyle w:val="a5"/>
          <w:rFonts w:eastAsiaTheme="majorEastAsia"/>
          <w:i w:val="0"/>
          <w:iCs w:val="0"/>
        </w:rPr>
        <w:t xml:space="preserve">Beyond its empirical and conceptual findings, this dissertation calls for an intellectual shift in how authority is studied in the digital age. Rather than beginning with institutional actors and asking </w:t>
      </w:r>
      <w:r w:rsidRPr="0044370F">
        <w:rPr>
          <w:rStyle w:val="a5"/>
          <w:rFonts w:eastAsiaTheme="majorEastAsia"/>
          <w:i w:val="0"/>
          <w:iCs w:val="0"/>
        </w:rPr>
        <w:lastRenderedPageBreak/>
        <w:t>how power is exercised, it proposes starting from infrastructures, standards, and organizational systems, and tracing how authority emerges through them. This shift has implications for future research agendas in international relations, political economy, and technology studies, directing attention toward the governance effects of socio-technical systems and the actors who design, control, and stabilize them.</w:t>
      </w:r>
    </w:p>
    <w:p w:rsidR="002274A5" w:rsidRPr="0044370F" w:rsidRDefault="00A776C3" w:rsidP="00A776C3">
      <w:pPr>
        <w:pStyle w:val="NormalWeb"/>
        <w:spacing w:line="360" w:lineRule="auto"/>
        <w:jc w:val="both"/>
      </w:pPr>
      <w:r w:rsidRPr="0044370F">
        <w:t xml:space="preserve">By examining technology corporations as </w:t>
      </w:r>
      <w:r w:rsidR="00960581" w:rsidRPr="0044370F">
        <w:t>quasi-sovereign authority</w:t>
      </w:r>
      <w:r w:rsidRPr="0044370F">
        <w:t>, this dissertation contributes to such a reorientation and invites further inquiry into the evolving architecture of global governance in the digital age. Understanding this reconfiguration is not merely a theoretical exercise, but a prerequisite for engaging responsibly with the evolving structures of authority in the digital age.</w:t>
      </w:r>
    </w:p>
    <w:p w:rsidR="002274A5" w:rsidRPr="0044370F" w:rsidRDefault="002274A5">
      <w:pPr>
        <w:rPr>
          <w:rFonts w:ascii="Times New Roman" w:eastAsia="Times New Roman" w:hAnsi="Times New Roman" w:cs="Times New Roman"/>
          <w:sz w:val="24"/>
          <w:szCs w:val="24"/>
        </w:rPr>
      </w:pPr>
      <w:r w:rsidRPr="0044370F">
        <w:br w:type="page"/>
      </w:r>
    </w:p>
    <w:p w:rsidR="002274A5" w:rsidRPr="0044370F" w:rsidRDefault="002274A5" w:rsidP="00A72897">
      <w:pPr>
        <w:pStyle w:val="2"/>
      </w:pPr>
      <w:bookmarkStart w:id="251" w:name="_Toc222652911"/>
      <w:r w:rsidRPr="0044370F">
        <w:lastRenderedPageBreak/>
        <w:t>Reference List (A-Z)</w:t>
      </w:r>
      <w:bookmarkEnd w:id="251"/>
    </w:p>
    <w:p w:rsidR="002274A5" w:rsidRPr="0044370F" w:rsidRDefault="002274A5" w:rsidP="002274A5"/>
    <w:p w:rsidR="002274A5" w:rsidRPr="0044370F" w:rsidRDefault="002274A5" w:rsidP="002274A5">
      <w:pPr>
        <w:pStyle w:val="a"/>
      </w:pPr>
      <w:r w:rsidRPr="0044370F">
        <w:t xml:space="preserve">Abbott, K. W., </w:t>
      </w:r>
      <w:proofErr w:type="spellStart"/>
      <w:r w:rsidRPr="0044370F">
        <w:t>Genschel</w:t>
      </w:r>
      <w:proofErr w:type="spellEnd"/>
      <w:r w:rsidRPr="0044370F">
        <w:t xml:space="preserve">, P., Snidal, D. and </w:t>
      </w:r>
      <w:proofErr w:type="spellStart"/>
      <w:r w:rsidRPr="0044370F">
        <w:t>Zangl</w:t>
      </w:r>
      <w:proofErr w:type="spellEnd"/>
      <w:r w:rsidRPr="0044370F">
        <w:t>, B. (2016) ‘Two Logics of Indirect Governance: Delegation and Orchestration’, British Journal of Political Science, 46(4), pp. 719-729.</w:t>
      </w:r>
    </w:p>
    <w:p w:rsidR="002274A5" w:rsidRPr="0044370F" w:rsidRDefault="002274A5" w:rsidP="002274A5">
      <w:pPr>
        <w:pStyle w:val="a"/>
      </w:pPr>
      <w:r w:rsidRPr="0044370F">
        <w:t xml:space="preserve">Abbott, K.W. and Snidal, D. (2009) ‘The Governance Triangle: Regulatory Standards Institutions and the Shadow of the State’, in </w:t>
      </w:r>
      <w:proofErr w:type="spellStart"/>
      <w:r w:rsidRPr="0044370F">
        <w:t>Mattli</w:t>
      </w:r>
      <w:proofErr w:type="spellEnd"/>
      <w:r w:rsidRPr="0044370F">
        <w:t>, W. and Woods, N. (</w:t>
      </w:r>
      <w:proofErr w:type="spellStart"/>
      <w:r w:rsidRPr="0044370F">
        <w:t>eds</w:t>
      </w:r>
      <w:proofErr w:type="spellEnd"/>
      <w:r w:rsidRPr="0044370F">
        <w:t>) The Politics of Global Regulation. Princeton, NJ: Princeton University Press, pp. 44-88.</w:t>
      </w:r>
    </w:p>
    <w:p w:rsidR="002274A5" w:rsidRPr="0044370F" w:rsidRDefault="002274A5" w:rsidP="002274A5">
      <w:pPr>
        <w:pStyle w:val="a"/>
      </w:pPr>
      <w:r w:rsidRPr="0044370F">
        <w:t xml:space="preserve">Abbott, K.W., </w:t>
      </w:r>
      <w:proofErr w:type="spellStart"/>
      <w:r w:rsidRPr="0044370F">
        <w:t>Genschel</w:t>
      </w:r>
      <w:proofErr w:type="spellEnd"/>
      <w:r w:rsidRPr="0044370F">
        <w:t xml:space="preserve">, P., Snidal, D. and </w:t>
      </w:r>
      <w:proofErr w:type="spellStart"/>
      <w:r w:rsidRPr="0044370F">
        <w:t>Zangl</w:t>
      </w:r>
      <w:proofErr w:type="spellEnd"/>
      <w:r w:rsidRPr="0044370F">
        <w:t>, B. (2015). ‘International organizations as orchestrators’, International Organization, 69(4), pp. 899-940</w:t>
      </w:r>
    </w:p>
    <w:p w:rsidR="002274A5" w:rsidRPr="0044370F" w:rsidRDefault="002274A5" w:rsidP="002274A5">
      <w:pPr>
        <w:pStyle w:val="a"/>
      </w:pPr>
      <w:proofErr w:type="spellStart"/>
      <w:r w:rsidRPr="0044370F">
        <w:t>Afsaruddin</w:t>
      </w:r>
      <w:proofErr w:type="spellEnd"/>
      <w:r w:rsidRPr="0044370F">
        <w:t xml:space="preserve">, A. (2025) Caliphate. </w:t>
      </w:r>
      <w:proofErr w:type="spellStart"/>
      <w:r w:rsidRPr="0044370F">
        <w:t>Encyclopædia</w:t>
      </w:r>
      <w:proofErr w:type="spellEnd"/>
      <w:r w:rsidRPr="0044370F">
        <w:t xml:space="preserve"> Britannica, Last updated 6 June 2025. Available at: britannica.com/place/Caliphate.</w:t>
      </w:r>
    </w:p>
    <w:p w:rsidR="002274A5" w:rsidRPr="0044370F" w:rsidRDefault="002274A5" w:rsidP="002274A5">
      <w:pPr>
        <w:pStyle w:val="a"/>
      </w:pPr>
      <w:proofErr w:type="spellStart"/>
      <w:r w:rsidRPr="0044370F">
        <w:t>Ahmedshareef</w:t>
      </w:r>
      <w:proofErr w:type="spellEnd"/>
      <w:r w:rsidRPr="0044370F">
        <w:t>, Z., Hughes, R., &amp; Petridis, M. (2014). Applying Actor-Network Theory to Software Project Management Research. European Conference on Research Methodology for Business and Management Studies, 1-10.</w:t>
      </w:r>
    </w:p>
    <w:p w:rsidR="002274A5" w:rsidRPr="0044370F" w:rsidRDefault="002274A5" w:rsidP="002274A5">
      <w:pPr>
        <w:pStyle w:val="a"/>
      </w:pPr>
      <w:r w:rsidRPr="0044370F">
        <w:t>Allison, K. and Brown, R. (2020) The Geopolitics of 5G: Huawei and the Future of Global Networks. Washington, DC: Eurasia Group.</w:t>
      </w:r>
    </w:p>
    <w:p w:rsidR="002274A5" w:rsidRPr="0044370F" w:rsidRDefault="002274A5" w:rsidP="002274A5">
      <w:pPr>
        <w:pStyle w:val="a"/>
      </w:pPr>
      <w:r w:rsidRPr="0044370F">
        <w:t>also Mobile Europe (2019) ‘Opening ceremony included representatives from the EU, GSMA and the World Economic Forum’, 6 March. Available at: https://www.mobileeurope.co.uk/huawei-opens-cyber-security-transparency-centre-in-brussels/ (Accessed 31 August 2025).</w:t>
      </w:r>
    </w:p>
    <w:p w:rsidR="002274A5" w:rsidRPr="0044370F" w:rsidRDefault="002274A5" w:rsidP="002274A5">
      <w:pPr>
        <w:pStyle w:val="a"/>
      </w:pPr>
      <w:r w:rsidRPr="0044370F">
        <w:t xml:space="preserve">also </w:t>
      </w:r>
      <w:proofErr w:type="spellStart"/>
      <w:r w:rsidRPr="0044370F">
        <w:t>Science|Business</w:t>
      </w:r>
      <w:proofErr w:type="spellEnd"/>
      <w:r w:rsidRPr="0044370F">
        <w:t xml:space="preserve"> (2018) ‘Huawei’s Security Innovation Lab opens in Bonn’, 26 June. Available at: https://sciencebusiness.net/network-updates/huaweis-security-innovation-lab-opens-bonn (Accessed 31 August 2025). (</w:t>
      </w:r>
      <w:proofErr w:type="spellStart"/>
      <w:r w:rsidRPr="0044370F">
        <w:t>Science|Business</w:t>
      </w:r>
      <w:proofErr w:type="spellEnd"/>
      <w:r w:rsidRPr="0044370F">
        <w:t>)</w:t>
      </w:r>
    </w:p>
    <w:p w:rsidR="002274A5" w:rsidRPr="0044370F" w:rsidRDefault="002274A5" w:rsidP="002274A5">
      <w:pPr>
        <w:pStyle w:val="a"/>
      </w:pPr>
      <w:r w:rsidRPr="0044370F">
        <w:t xml:space="preserve">also Xinhua / Beijing Review (2023). Huawei reveals ownership of 120,000 patents worldwide. 20 September. Available at: https://www.bjreview.com/Latest_Headlines/202309/t20230920_800342618.html (Accessed 31 August 2025). (Beijing </w:t>
      </w:r>
      <w:proofErr w:type="gramStart"/>
      <w:r w:rsidRPr="0044370F">
        <w:t>Review(</w:t>
      </w:r>
      <w:proofErr w:type="gramEnd"/>
    </w:p>
    <w:p w:rsidR="002274A5" w:rsidRPr="0044370F" w:rsidRDefault="002274A5" w:rsidP="002274A5">
      <w:pPr>
        <w:pStyle w:val="a"/>
      </w:pPr>
      <w:r w:rsidRPr="0044370F">
        <w:t>American Progress (2020). There Is a Solution to the Huawei Challenge. Washington, DC: Center for American Progress, 14 October. Available at: https://www.americanprogress.org/article/solution-huawei-challenge/ (Accessed 31 August 2025). (Center for American Progress)</w:t>
      </w:r>
    </w:p>
    <w:p w:rsidR="002274A5" w:rsidRPr="0044370F" w:rsidRDefault="002274A5" w:rsidP="002274A5">
      <w:pPr>
        <w:pStyle w:val="a"/>
      </w:pPr>
      <w:proofErr w:type="spellStart"/>
      <w:r w:rsidRPr="0044370F">
        <w:t>Ang</w:t>
      </w:r>
      <w:proofErr w:type="spellEnd"/>
      <w:r w:rsidRPr="0044370F">
        <w:t>, P. H. (2024) ‘The Governance, Legitimacy and Efficacy of Facebook’s Meta Platforms’, Social Media + Society, 10(1). O’Kane, R. (2022) ‘Meta’s Private Speech Governance and the Role of the Oversight Board: Lessons from the Board’s First Decisions’, Stanford Technology Law Review, 25 STLR 167</w:t>
      </w:r>
    </w:p>
    <w:p w:rsidR="002274A5" w:rsidRPr="0044370F" w:rsidRDefault="002274A5" w:rsidP="002274A5">
      <w:pPr>
        <w:pStyle w:val="a"/>
      </w:pPr>
      <w:proofErr w:type="spellStart"/>
      <w:r w:rsidRPr="0044370F">
        <w:t>AppsRunTheWorld</w:t>
      </w:r>
      <w:proofErr w:type="spellEnd"/>
      <w:r w:rsidRPr="0044370F">
        <w:t xml:space="preserve"> (2023) ‘Top 10 ERP Software Vendors, Market Size and Market Forecast’, </w:t>
      </w:r>
      <w:proofErr w:type="spellStart"/>
      <w:r w:rsidRPr="0044370F">
        <w:t>AppsRunTheWorld</w:t>
      </w:r>
      <w:proofErr w:type="spellEnd"/>
      <w:r w:rsidRPr="0044370F">
        <w:t>.</w:t>
      </w:r>
    </w:p>
    <w:p w:rsidR="002274A5" w:rsidRPr="0044370F" w:rsidRDefault="002274A5" w:rsidP="002274A5">
      <w:pPr>
        <w:pStyle w:val="a"/>
      </w:pPr>
      <w:r w:rsidRPr="0044370F">
        <w:t>Arnold &amp; Porter (2021) ‘</w:t>
      </w:r>
      <w:proofErr w:type="spellStart"/>
      <w:r w:rsidRPr="0044370F">
        <w:t>SanctionsasaService</w:t>
      </w:r>
      <w:proofErr w:type="spellEnd"/>
      <w:r w:rsidRPr="0044370F">
        <w:t>: U.S. Regulators Escalate Sanctions Enforcement’, Client Advisory, 7 May. Available at: arnoldporter.com</w:t>
      </w:r>
    </w:p>
    <w:p w:rsidR="002274A5" w:rsidRPr="0044370F" w:rsidRDefault="002274A5" w:rsidP="002274A5">
      <w:pPr>
        <w:pStyle w:val="a"/>
      </w:pPr>
      <w:r w:rsidRPr="0044370F">
        <w:lastRenderedPageBreak/>
        <w:t>Association for Asian Studies (</w:t>
      </w:r>
      <w:proofErr w:type="spellStart"/>
      <w:r w:rsidRPr="0044370F">
        <w:t>n.d.</w:t>
      </w:r>
      <w:proofErr w:type="spellEnd"/>
      <w:r w:rsidRPr="0044370F">
        <w:t xml:space="preserve">) ‘China’s “National Champions”: Alibaba, </w:t>
      </w:r>
      <w:proofErr w:type="spellStart"/>
      <w:r w:rsidRPr="0044370F">
        <w:t>Tencent</w:t>
      </w:r>
      <w:proofErr w:type="spellEnd"/>
      <w:r w:rsidRPr="0044370F">
        <w:t>, and Huawei’, Education About Asia. Available at: https://www.asianstudies.org/publications/eaa/archives/chinas-national-champions-alibaba-tencent-and-huawei/ (Accessed: 31 August 2025). (Association for Asian Studies)</w:t>
      </w:r>
    </w:p>
    <w:p w:rsidR="002274A5" w:rsidRPr="0044370F" w:rsidRDefault="002274A5" w:rsidP="002274A5">
      <w:pPr>
        <w:pStyle w:val="a"/>
      </w:pPr>
      <w:r w:rsidRPr="0044370F">
        <w:t xml:space="preserve">Avant, D. D., </w:t>
      </w:r>
      <w:proofErr w:type="spellStart"/>
      <w:r w:rsidRPr="0044370F">
        <w:t>Finnemore</w:t>
      </w:r>
      <w:proofErr w:type="spellEnd"/>
      <w:r w:rsidRPr="0044370F">
        <w:t>, M. and Sell, S. K. (2010) Who Governs the Globe? Cambridge: Cambridge University Press.</w:t>
      </w:r>
    </w:p>
    <w:p w:rsidR="002274A5" w:rsidRPr="0044370F" w:rsidRDefault="002274A5" w:rsidP="002274A5">
      <w:pPr>
        <w:pStyle w:val="a"/>
      </w:pPr>
      <w:proofErr w:type="spellStart"/>
      <w:r w:rsidRPr="0044370F">
        <w:t>Axios</w:t>
      </w:r>
      <w:proofErr w:type="spellEnd"/>
      <w:r w:rsidRPr="0044370F">
        <w:t xml:space="preserve"> (2020) ‘Huawei CEO at Davos: We’re better prepared for U.S. attacks’, 21 January. Available at: https://www.axios.com/2020/01/21/huawei-ceo-at-davos-were-better-prepared-for-us-attacks (Accessed 31 August 2025)</w:t>
      </w:r>
    </w:p>
    <w:p w:rsidR="002274A5" w:rsidRPr="0044370F" w:rsidRDefault="002274A5" w:rsidP="002274A5">
      <w:pPr>
        <w:pStyle w:val="a"/>
      </w:pPr>
      <w:proofErr w:type="spellStart"/>
      <w:r w:rsidRPr="0044370F">
        <w:t>Babic</w:t>
      </w:r>
      <w:proofErr w:type="spellEnd"/>
      <w:r w:rsidRPr="0044370F">
        <w:t xml:space="preserve">, M., </w:t>
      </w:r>
      <w:proofErr w:type="spellStart"/>
      <w:r w:rsidRPr="0044370F">
        <w:t>Fichtner</w:t>
      </w:r>
      <w:proofErr w:type="spellEnd"/>
      <w:r w:rsidRPr="0044370F">
        <w:t>, J. and Heemskerk, E.M. (2017) ‘States versus Corporations’, International Studies Quarterly, 61(1), pp. 20-43.</w:t>
      </w:r>
    </w:p>
    <w:p w:rsidR="002274A5" w:rsidRPr="0044370F" w:rsidRDefault="002274A5" w:rsidP="002274A5">
      <w:pPr>
        <w:pStyle w:val="a"/>
      </w:pPr>
      <w:r w:rsidRPr="0044370F">
        <w:t>Balding, C. (2019). Huawei’s Links to Chinese State Security. Report, Henry Jackson Society</w:t>
      </w:r>
    </w:p>
    <w:p w:rsidR="002274A5" w:rsidRPr="0044370F" w:rsidRDefault="002274A5" w:rsidP="002274A5">
      <w:pPr>
        <w:pStyle w:val="a"/>
      </w:pPr>
      <w:r w:rsidRPr="0044370F">
        <w:t>Balding, C. (2020) ‘Huawei and the Techno-Nationalist Model of State Capitalism’, China Economic Review, 63, article 101527.</w:t>
      </w:r>
    </w:p>
    <w:p w:rsidR="002274A5" w:rsidRPr="0044370F" w:rsidRDefault="002274A5" w:rsidP="002274A5">
      <w:pPr>
        <w:pStyle w:val="a"/>
      </w:pPr>
      <w:proofErr w:type="spellStart"/>
      <w:r w:rsidRPr="0044370F">
        <w:t>Balkin</w:t>
      </w:r>
      <w:proofErr w:type="spellEnd"/>
      <w:r w:rsidRPr="0044370F">
        <w:t>, J. M. (2018) ‘Free Speech in the Algorithmic Society’, UC Davis Law Review, 51, pp. 1149-1210.</w:t>
      </w:r>
    </w:p>
    <w:p w:rsidR="002274A5" w:rsidRPr="0044370F" w:rsidRDefault="002274A5" w:rsidP="002274A5">
      <w:pPr>
        <w:pStyle w:val="a"/>
      </w:pPr>
      <w:r w:rsidRPr="0044370F">
        <w:t>Barnett, M. (2011) Empire of Humanity: A History of Humanitarianism. Ithaca, NY: Cornell University Press.</w:t>
      </w:r>
    </w:p>
    <w:p w:rsidR="002274A5" w:rsidRPr="0044370F" w:rsidRDefault="002274A5" w:rsidP="002274A5">
      <w:pPr>
        <w:pStyle w:val="a"/>
      </w:pPr>
      <w:r w:rsidRPr="0044370F">
        <w:t>Barnett, M. and Duvall, R. (2005) ‘Power in International Politics’, International Organization, 59(1), pp. 39-75.</w:t>
      </w:r>
    </w:p>
    <w:p w:rsidR="002274A5" w:rsidRPr="0044370F" w:rsidRDefault="002274A5" w:rsidP="002274A5">
      <w:pPr>
        <w:pStyle w:val="a"/>
      </w:pPr>
      <w:r w:rsidRPr="0044370F">
        <w:t>Barney, J. (1991) ‘Firm Resources and Sustained Competitive Advantage’, Journal of Management, 17(1), pp. 99-120</w:t>
      </w:r>
    </w:p>
    <w:p w:rsidR="002274A5" w:rsidRPr="0044370F" w:rsidRDefault="002274A5" w:rsidP="002274A5">
      <w:pPr>
        <w:pStyle w:val="a"/>
      </w:pPr>
      <w:r w:rsidRPr="0044370F">
        <w:t xml:space="preserve">Barrett, P.M. (2023). Meta’s Oversight Board and the Need for a New Theory of Online Speech. </w:t>
      </w:r>
      <w:proofErr w:type="spellStart"/>
      <w:r w:rsidRPr="0044370F">
        <w:t>Lawfare</w:t>
      </w:r>
      <w:proofErr w:type="spellEnd"/>
      <w:r w:rsidRPr="0044370F">
        <w:t>. Available at: https://www.lawfareblog.com/metas-oversight-board-and-need-new-theory-online-speech [Accessed 2 Jul. 2025]</w:t>
      </w:r>
    </w:p>
    <w:p w:rsidR="002274A5" w:rsidRPr="0044370F" w:rsidRDefault="002274A5" w:rsidP="002274A5">
      <w:pPr>
        <w:pStyle w:val="a"/>
      </w:pPr>
      <w:proofErr w:type="spellStart"/>
      <w:r w:rsidRPr="0044370F">
        <w:t>Bartelson</w:t>
      </w:r>
      <w:proofErr w:type="spellEnd"/>
      <w:r w:rsidRPr="0044370F">
        <w:t>, J. (</w:t>
      </w:r>
      <w:proofErr w:type="gramStart"/>
      <w:r w:rsidRPr="0044370F">
        <w:t>1995)A</w:t>
      </w:r>
      <w:proofErr w:type="gramEnd"/>
      <w:r w:rsidRPr="0044370F">
        <w:t xml:space="preserve"> Genealogy of Sovereignty. Cambridge: Cambridge University Press.</w:t>
      </w:r>
    </w:p>
    <w:p w:rsidR="002274A5" w:rsidRPr="0044370F" w:rsidRDefault="002274A5" w:rsidP="002274A5">
      <w:pPr>
        <w:pStyle w:val="a"/>
      </w:pPr>
      <w:r w:rsidRPr="0044370F">
        <w:t xml:space="preserve">Bauer, J. M. &amp; </w:t>
      </w:r>
      <w:proofErr w:type="spellStart"/>
      <w:r w:rsidRPr="0044370F">
        <w:t>Latzer</w:t>
      </w:r>
      <w:proofErr w:type="spellEnd"/>
      <w:r w:rsidRPr="0044370F">
        <w:t>, M. (2016). Governance of the Internet: The Shifting and Contested Terrain. In M. Graham &amp; W. H. Dutton (Eds.), Society and the Internet. Oxford: Oxford University Press</w:t>
      </w:r>
    </w:p>
    <w:p w:rsidR="002274A5" w:rsidRPr="0044370F" w:rsidRDefault="002274A5" w:rsidP="002274A5">
      <w:pPr>
        <w:pStyle w:val="a"/>
      </w:pPr>
      <w:proofErr w:type="spellStart"/>
      <w:r w:rsidRPr="0044370F">
        <w:t>Bernroider</w:t>
      </w:r>
      <w:proofErr w:type="spellEnd"/>
      <w:r w:rsidRPr="0044370F">
        <w:t xml:space="preserve">, E. W. N. (2008) ‘IT Governance for Enterprise Resource Planning Supported by the </w:t>
      </w:r>
      <w:proofErr w:type="spellStart"/>
      <w:r w:rsidRPr="0044370F">
        <w:t>DeLone</w:t>
      </w:r>
      <w:proofErr w:type="spellEnd"/>
      <w:r w:rsidRPr="0044370F">
        <w:t>-McLean Model of Information Systems Success’, Information &amp; Management, 45(5), pp. 257-269.</w:t>
      </w:r>
    </w:p>
    <w:p w:rsidR="002274A5" w:rsidRPr="0044370F" w:rsidRDefault="002274A5" w:rsidP="002274A5">
      <w:pPr>
        <w:pStyle w:val="a"/>
      </w:pPr>
      <w:r w:rsidRPr="0044370F">
        <w:t xml:space="preserve">Bertelsmann </w:t>
      </w:r>
      <w:proofErr w:type="spellStart"/>
      <w:r w:rsidRPr="0044370F">
        <w:t>Stiftung</w:t>
      </w:r>
      <w:proofErr w:type="spellEnd"/>
      <w:r w:rsidRPr="0044370F">
        <w:t xml:space="preserve"> (2020) Governance of Digitalization in Europe – A Contribution to the Exploration Shaping Digital Policy. </w:t>
      </w:r>
      <w:proofErr w:type="spellStart"/>
      <w:r w:rsidRPr="0044370F">
        <w:t>Gütersloh</w:t>
      </w:r>
      <w:proofErr w:type="spellEnd"/>
      <w:r w:rsidRPr="0044370F">
        <w:t xml:space="preserve">: Bertelsmann </w:t>
      </w:r>
      <w:proofErr w:type="spellStart"/>
      <w:r w:rsidRPr="0044370F">
        <w:t>Stiftung</w:t>
      </w:r>
      <w:proofErr w:type="spellEnd"/>
      <w:r w:rsidRPr="0044370F">
        <w:t>.</w:t>
      </w:r>
    </w:p>
    <w:p w:rsidR="002274A5" w:rsidRPr="0044370F" w:rsidRDefault="002274A5" w:rsidP="002274A5">
      <w:pPr>
        <w:pStyle w:val="a"/>
      </w:pPr>
      <w:r w:rsidRPr="0044370F">
        <w:t xml:space="preserve">Binder, J. and </w:t>
      </w:r>
      <w:proofErr w:type="spellStart"/>
      <w:r w:rsidRPr="0044370F">
        <w:t>Heupel</w:t>
      </w:r>
      <w:proofErr w:type="spellEnd"/>
      <w:r w:rsidRPr="0044370F">
        <w:t>, M. (2022) ‘Security, Trust, and Legitimacy in Global Technical Infrastructures: The Case of Huawei’, Contemporary Security Policy, 43(4), pp. 679-707</w:t>
      </w:r>
    </w:p>
    <w:p w:rsidR="002274A5" w:rsidRPr="0044370F" w:rsidRDefault="002274A5" w:rsidP="002274A5">
      <w:pPr>
        <w:pStyle w:val="a"/>
      </w:pPr>
      <w:r w:rsidRPr="0044370F">
        <w:t xml:space="preserve">Blatter, J. and </w:t>
      </w:r>
      <w:proofErr w:type="spellStart"/>
      <w:r w:rsidRPr="0044370F">
        <w:t>Haverland</w:t>
      </w:r>
      <w:proofErr w:type="spellEnd"/>
      <w:r w:rsidRPr="0044370F">
        <w:t>, M. (2012) Designing Case Studies: Explanatory Approaches in Small-N Research. London: Palgrave.</w:t>
      </w:r>
    </w:p>
    <w:p w:rsidR="002274A5" w:rsidRPr="0044370F" w:rsidRDefault="002274A5" w:rsidP="002274A5">
      <w:pPr>
        <w:pStyle w:val="a"/>
      </w:pPr>
      <w:r w:rsidRPr="0044370F">
        <w:lastRenderedPageBreak/>
        <w:t>Bloomberg (2011). Huawei Counts on $30 Billion China Credit to Open Doors in Brazil, Mexico. 25 April. Available at: https://www.bloomberg.com/news/articles/2011-04-25/huawei-counts-on-30-billion-china-credit-to-open-doors-in-brazil-mexico (Accessed 31 August 2025). (Bloomberg.com)</w:t>
      </w:r>
    </w:p>
    <w:p w:rsidR="002274A5" w:rsidRPr="0044370F" w:rsidRDefault="002274A5" w:rsidP="002274A5">
      <w:pPr>
        <w:pStyle w:val="a"/>
      </w:pPr>
      <w:proofErr w:type="spellStart"/>
      <w:r w:rsidRPr="0044370F">
        <w:t>BMWi</w:t>
      </w:r>
      <w:proofErr w:type="spellEnd"/>
      <w:r w:rsidRPr="0044370F">
        <w:t>/BMWK (Federal Ministry for Economic Affairs and Climate Action, Germany) (</w:t>
      </w:r>
      <w:proofErr w:type="spellStart"/>
      <w:r w:rsidRPr="0044370F">
        <w:t>n.d.</w:t>
      </w:r>
      <w:proofErr w:type="spellEnd"/>
      <w:r w:rsidRPr="0044370F">
        <w:t>) ‘GAIAX The ecosystem dossier / GAIAX project materials’. Berlin: BMWK. [Accessed 5 October 2025].</w:t>
      </w:r>
    </w:p>
    <w:p w:rsidR="002274A5" w:rsidRPr="0044370F" w:rsidRDefault="002274A5" w:rsidP="002274A5">
      <w:pPr>
        <w:pStyle w:val="a"/>
      </w:pPr>
      <w:proofErr w:type="spellStart"/>
      <w:r w:rsidRPr="0044370F">
        <w:t>Borghini</w:t>
      </w:r>
      <w:proofErr w:type="spellEnd"/>
      <w:r w:rsidRPr="0044370F">
        <w:t>, A. (2018). The Crisis and the Changing Face of the State.</w:t>
      </w:r>
    </w:p>
    <w:p w:rsidR="002274A5" w:rsidRPr="0044370F" w:rsidRDefault="002274A5" w:rsidP="002274A5">
      <w:pPr>
        <w:pStyle w:val="a"/>
      </w:pPr>
      <w:r w:rsidRPr="0044370F">
        <w:t>Bourdieu, P. (1986) ‘The Forms of Capital’, in Richardson, J. (ed.) Handbook of Theory and Research for the Sociology of Education. New York: Greenwood, pp. 241-258.</w:t>
      </w:r>
    </w:p>
    <w:p w:rsidR="002274A5" w:rsidRPr="0044370F" w:rsidRDefault="002274A5" w:rsidP="002274A5">
      <w:pPr>
        <w:pStyle w:val="a"/>
      </w:pPr>
      <w:r w:rsidRPr="0044370F">
        <w:t>Bowen, G. A. (2009) ‘Document Analysis as a Qualitative Research Method’, Qualitative Research Journal, 9(2), pp. 27-40.</w:t>
      </w:r>
    </w:p>
    <w:p w:rsidR="002274A5" w:rsidRPr="0044370F" w:rsidRDefault="002274A5" w:rsidP="002274A5">
      <w:pPr>
        <w:pStyle w:val="a"/>
      </w:pPr>
      <w:r w:rsidRPr="0044370F">
        <w:t>Bradford, A. (2020) The Brussels Effect: How the European Union Rules the World. Oxford: Oxford University Press.</w:t>
      </w:r>
    </w:p>
    <w:p w:rsidR="002274A5" w:rsidRPr="0044370F" w:rsidRDefault="002274A5" w:rsidP="002274A5">
      <w:pPr>
        <w:pStyle w:val="a"/>
      </w:pPr>
      <w:r w:rsidRPr="0044370F">
        <w:t xml:space="preserve">Breton, T. (2022) ‘Sovereignty, </w:t>
      </w:r>
      <w:proofErr w:type="spellStart"/>
      <w:r w:rsidRPr="0044370F">
        <w:t>selfassurance</w:t>
      </w:r>
      <w:proofErr w:type="spellEnd"/>
      <w:r w:rsidRPr="0044370F">
        <w:t xml:space="preserve"> and solidarity: Europe in today’s geopolitics’. Brussels: European Commission Press Corner. Accessed 21 October 2025.</w:t>
      </w:r>
    </w:p>
    <w:p w:rsidR="002274A5" w:rsidRPr="0044370F" w:rsidRDefault="002274A5" w:rsidP="002274A5">
      <w:pPr>
        <w:pStyle w:val="a"/>
      </w:pPr>
      <w:r w:rsidRPr="0044370F">
        <w:t>Brock, J. (2018) ‘Germany’s SAP admits misconduct in South Africa Gupta deals’, Reuters, 8 March. Available at: https://www.reuters.com/world/germanys-sap-admits-misconduct-in-south-africa-gupta-deals-idUSKCN1GK1AI/ (Accessed: 5 October 2025)</w:t>
      </w:r>
    </w:p>
    <w:p w:rsidR="002274A5" w:rsidRPr="0044370F" w:rsidRDefault="002274A5" w:rsidP="002274A5">
      <w:pPr>
        <w:pStyle w:val="a"/>
      </w:pPr>
      <w:proofErr w:type="spellStart"/>
      <w:r w:rsidRPr="0044370F">
        <w:t>Budnitsky</w:t>
      </w:r>
      <w:proofErr w:type="spellEnd"/>
      <w:r w:rsidRPr="0044370F">
        <w:t>, S. (2020). Toward a Cultural Framework of Internet Governance: Russia’s Great Power Identity and the Quest for a Multipolar Digital Order.</w:t>
      </w:r>
    </w:p>
    <w:p w:rsidR="002274A5" w:rsidRPr="0044370F" w:rsidRDefault="002274A5" w:rsidP="002274A5">
      <w:pPr>
        <w:pStyle w:val="a"/>
      </w:pPr>
      <w:r w:rsidRPr="0044370F">
        <w:t>Buhler, P. and Chandler, D. (2021) ‘Standardizing Sustainability: How Digital Platforms Shape Corporate Environmental Reporting’, Business Strategy and the Environment, 30(4), pp. 1927-1940.</w:t>
      </w:r>
    </w:p>
    <w:p w:rsidR="002274A5" w:rsidRPr="0044370F" w:rsidRDefault="002274A5" w:rsidP="002274A5">
      <w:pPr>
        <w:pStyle w:val="a"/>
      </w:pPr>
      <w:r w:rsidRPr="0044370F">
        <w:t>Bull, H. (1977) The Anarchical Society: A Study of Order in World Politics. London: Macmillan.</w:t>
      </w:r>
    </w:p>
    <w:p w:rsidR="002274A5" w:rsidRPr="0044370F" w:rsidRDefault="002274A5" w:rsidP="002274A5">
      <w:pPr>
        <w:pStyle w:val="a"/>
      </w:pPr>
      <w:r w:rsidRPr="0044370F">
        <w:t>Business &amp; Finance / Banking Info Security (2025) ‘The slow march to SAP S/4HANA’, 2 April. Available at: https://www.bankinfosecurity.com/slow-march-to-sap-s4hana-a-27900 (Accessed: 21 October 2025). (</w:t>
      </w:r>
      <w:proofErr w:type="spellStart"/>
      <w:r w:rsidRPr="0044370F">
        <w:t>BankInfoSecurity</w:t>
      </w:r>
      <w:proofErr w:type="spellEnd"/>
      <w:r w:rsidRPr="0044370F">
        <w:t>)</w:t>
      </w:r>
    </w:p>
    <w:p w:rsidR="002274A5" w:rsidRPr="0044370F" w:rsidRDefault="002274A5" w:rsidP="002274A5">
      <w:pPr>
        <w:pStyle w:val="a"/>
      </w:pPr>
      <w:r w:rsidRPr="0044370F">
        <w:t xml:space="preserve">Butler, G. (2025) ‘German software company SAP to spend €20 </w:t>
      </w:r>
      <w:proofErr w:type="spellStart"/>
      <w:r w:rsidRPr="0044370F">
        <w:t>bn</w:t>
      </w:r>
      <w:proofErr w:type="spellEnd"/>
      <w:r w:rsidRPr="0044370F">
        <w:t xml:space="preserve"> on European sovereign cloud over next decade’, Data Center Dynamics, 3 September. Available at: https://www.datacenterdynamics.com/en/news/german-software-company-sap-to-spend-20bn-on-european-sovereign-cloud-over-next-decade. SAP SE (2025) ‘SAP Deepens European Cloud Sovereignty Offering to Unlock Regional AI Innovation’, 2 September. Available at: https://news.sap.com/2025/09/sap-deepens-european-cloud-sovereignty-offering-unlock-regional-ai-innovation</w:t>
      </w:r>
    </w:p>
    <w:p w:rsidR="002274A5" w:rsidRPr="0044370F" w:rsidRDefault="002274A5" w:rsidP="002274A5">
      <w:pPr>
        <w:pStyle w:val="a"/>
      </w:pPr>
      <w:proofErr w:type="spellStart"/>
      <w:r w:rsidRPr="0044370F">
        <w:t>Büthe</w:t>
      </w:r>
      <w:proofErr w:type="spellEnd"/>
      <w:r w:rsidRPr="0044370F">
        <w:t xml:space="preserve">, T. and </w:t>
      </w:r>
      <w:proofErr w:type="spellStart"/>
      <w:r w:rsidRPr="0044370F">
        <w:t>Mattli</w:t>
      </w:r>
      <w:proofErr w:type="spellEnd"/>
      <w:r w:rsidRPr="0044370F">
        <w:t>, W. (2011) The New Global Rulers: The Privatization of Regulation in the World Economy. Princeton, NJ: Princeton University Press.</w:t>
      </w:r>
    </w:p>
    <w:p w:rsidR="002274A5" w:rsidRPr="0044370F" w:rsidRDefault="002274A5" w:rsidP="002274A5">
      <w:pPr>
        <w:pStyle w:val="a"/>
      </w:pPr>
      <w:r w:rsidRPr="0044370F">
        <w:lastRenderedPageBreak/>
        <w:t>“Caliph and Caliphate, Islamic Studies” (</w:t>
      </w:r>
      <w:proofErr w:type="spellStart"/>
      <w:r w:rsidRPr="0044370F">
        <w:t>n.d.</w:t>
      </w:r>
      <w:proofErr w:type="spellEnd"/>
      <w:r w:rsidRPr="0044370F">
        <w:t>) Oxford Bibliographies. Available at: https://www.oxfordbibliographies.com/abstract/document/obo-9780195390155/obo-9780195390155-0013.xml</w:t>
      </w:r>
    </w:p>
    <w:p w:rsidR="002274A5" w:rsidRPr="0044370F" w:rsidRDefault="002274A5" w:rsidP="002274A5">
      <w:pPr>
        <w:pStyle w:val="a"/>
      </w:pPr>
      <w:proofErr w:type="spellStart"/>
      <w:r w:rsidRPr="0044370F">
        <w:t>Callon</w:t>
      </w:r>
      <w:proofErr w:type="spellEnd"/>
      <w:r w:rsidRPr="0044370F">
        <w:t xml:space="preserve">, M. (1986) ‘Some Elements of a Sociology of Translation: Domestication of the Scallops and the Fishermen of St </w:t>
      </w:r>
      <w:proofErr w:type="spellStart"/>
      <w:r w:rsidRPr="0044370F">
        <w:t>Brieuc</w:t>
      </w:r>
      <w:proofErr w:type="spellEnd"/>
      <w:r w:rsidRPr="0044370F">
        <w:t xml:space="preserve"> Bay’, in Law, J. (ed.) Power, Action and Belief: A New Sociology of Knowledge? London: Routledge &amp; Kegan Paul, pp. 196-233</w:t>
      </w:r>
    </w:p>
    <w:p w:rsidR="002274A5" w:rsidRPr="0044370F" w:rsidRDefault="002274A5" w:rsidP="002274A5">
      <w:pPr>
        <w:pStyle w:val="a"/>
      </w:pPr>
      <w:r w:rsidRPr="0044370F">
        <w:t>Carnegie Endowment (2019) AI Global Surveillance (AIGS) Index. Washington, DC: Feldstein, S.</w:t>
      </w:r>
    </w:p>
    <w:p w:rsidR="002274A5" w:rsidRPr="0044370F" w:rsidRDefault="002274A5" w:rsidP="002274A5">
      <w:pPr>
        <w:pStyle w:val="a"/>
      </w:pPr>
      <w:r w:rsidRPr="0044370F">
        <w:t>Carnegie Endowment (2022) ‘How Huawei’s localization in North Africa delivered mixed returns’, 14 April. Available at: https://carnegieendowment.org/research/2022/04/how-huaweis-localization-in-north-africa-delivered-mixed-returns?lang=en (Accessed 31 August 2025). (Carnegie Endowment)</w:t>
      </w:r>
    </w:p>
    <w:p w:rsidR="002274A5" w:rsidRPr="0044370F" w:rsidRDefault="002274A5" w:rsidP="002274A5">
      <w:pPr>
        <w:pStyle w:val="a"/>
      </w:pPr>
      <w:r w:rsidRPr="0044370F">
        <w:t>Carnegie Endowment for International Peace (2025) ‘Beneath the Waves: Addressing Vulnerabilities in Africa’s Undersea Digital Infrastructure’, Carnegie Endowment, March. Available at: https://carnegieendowment.org/research/2025/03/beneath-the-waves-addressing-vulnerabilities-in-africas-undersea-digital-infrastructure.</w:t>
      </w:r>
    </w:p>
    <w:p w:rsidR="002274A5" w:rsidRPr="0044370F" w:rsidRDefault="002274A5" w:rsidP="002274A5">
      <w:pPr>
        <w:pStyle w:val="a"/>
      </w:pPr>
      <w:r w:rsidRPr="0044370F">
        <w:t>Castells, M. (1996), The Rise of the Network Society, Oxford: Blackwell</w:t>
      </w:r>
    </w:p>
    <w:p w:rsidR="002274A5" w:rsidRPr="0044370F" w:rsidRDefault="002274A5" w:rsidP="002274A5">
      <w:pPr>
        <w:pStyle w:val="a"/>
      </w:pPr>
      <w:r w:rsidRPr="0044370F">
        <w:t>Castells, M. (2009), Communication Power, Oxford: Oxford University Press.</w:t>
      </w:r>
    </w:p>
    <w:p w:rsidR="002274A5" w:rsidRPr="0044370F" w:rsidRDefault="002274A5" w:rsidP="002274A5">
      <w:pPr>
        <w:pStyle w:val="a"/>
      </w:pPr>
      <w:r w:rsidRPr="0044370F">
        <w:t xml:space="preserve">Castells, M. (2011) The Rise of the Network Society. 2nd </w:t>
      </w:r>
      <w:proofErr w:type="spellStart"/>
      <w:r w:rsidRPr="0044370F">
        <w:t>edn</w:t>
      </w:r>
      <w:proofErr w:type="spellEnd"/>
      <w:r w:rsidRPr="0044370F">
        <w:t>. Oxford: Wiley-Blackwell.</w:t>
      </w:r>
    </w:p>
    <w:p w:rsidR="002274A5" w:rsidRPr="0044370F" w:rsidRDefault="002274A5" w:rsidP="002274A5">
      <w:pPr>
        <w:pStyle w:val="a"/>
      </w:pPr>
      <w:r w:rsidRPr="0044370F">
        <w:t>Cisco (2010) ‘Let’s set the record straight about Cisco v. Huawei’ (corporate blog). Available at: https://newsroom.cisco.com/c/r/newsroom/en/us/a/y2010/m03/lets-set-the-record-straight-about-cisco-v-huawei.html (Accessed 31 August 2025). (Cisco Blogs)</w:t>
      </w:r>
    </w:p>
    <w:p w:rsidR="002274A5" w:rsidRPr="0044370F" w:rsidRDefault="002274A5" w:rsidP="002274A5">
      <w:pPr>
        <w:pStyle w:val="a"/>
      </w:pPr>
      <w:r w:rsidRPr="0044370F">
        <w:t>Cisco Systems (2003) ‘Cisco files lawsuit against Huawei for IP infringement’ (press release)</w:t>
      </w:r>
    </w:p>
    <w:p w:rsidR="002274A5" w:rsidRPr="0044370F" w:rsidRDefault="002274A5" w:rsidP="002274A5">
      <w:pPr>
        <w:pStyle w:val="a"/>
      </w:pPr>
      <w:proofErr w:type="spellStart"/>
      <w:r w:rsidRPr="0044370F">
        <w:t>Civitas</w:t>
      </w:r>
      <w:proofErr w:type="spellEnd"/>
      <w:r w:rsidRPr="0044370F">
        <w:t xml:space="preserve"> (2022) Trade Champions: The role of trade missions in supporting future exports. London: </w:t>
      </w:r>
      <w:proofErr w:type="spellStart"/>
      <w:r w:rsidRPr="0044370F">
        <w:t>Civitas</w:t>
      </w:r>
      <w:proofErr w:type="spellEnd"/>
      <w:r w:rsidRPr="0044370F">
        <w:t>. (Accessed 5 October 2025).</w:t>
      </w:r>
    </w:p>
    <w:p w:rsidR="002274A5" w:rsidRPr="0044370F" w:rsidRDefault="002274A5" w:rsidP="002274A5">
      <w:pPr>
        <w:pStyle w:val="a"/>
      </w:pPr>
      <w:r w:rsidRPr="0044370F">
        <w:t>Cohen, J. E. (2019) Between Truth and Power: The Legal Constructions of Informational Capitalism. Oxford: Oxford University Press.</w:t>
      </w:r>
    </w:p>
    <w:p w:rsidR="002274A5" w:rsidRPr="0044370F" w:rsidRDefault="002274A5" w:rsidP="002274A5">
      <w:pPr>
        <w:pStyle w:val="a"/>
      </w:pPr>
      <w:r w:rsidRPr="0044370F">
        <w:t xml:space="preserve">Computerworld (2007) ‘German army recruits SAP’, 25 January. Available at: https://www.computerworld.com/article/1679237/german-army-recruits-sap.html (Accessed: 5 October 2025). SAP ‘Company </w:t>
      </w:r>
      <w:proofErr w:type="gramStart"/>
      <w:r w:rsidRPr="0044370F">
        <w:t>information</w:t>
      </w:r>
      <w:proofErr w:type="gramEnd"/>
      <w:r w:rsidRPr="0044370F">
        <w:t>-History (1972 foundation</w:t>
      </w:r>
    </w:p>
    <w:p w:rsidR="002274A5" w:rsidRPr="0044370F" w:rsidRDefault="002274A5" w:rsidP="002274A5">
      <w:pPr>
        <w:pStyle w:val="a"/>
      </w:pPr>
      <w:r w:rsidRPr="0044370F">
        <w:t xml:space="preserve">Computing (2023) ‘SAP customers “feel misled” by </w:t>
      </w:r>
      <w:proofErr w:type="spellStart"/>
      <w:r w:rsidRPr="0044370F">
        <w:t>cloudfirst</w:t>
      </w:r>
      <w:proofErr w:type="spellEnd"/>
      <w:r w:rsidRPr="0044370F">
        <w:t xml:space="preserve"> push’, 29 November. Available at: https://www.computing.co.uk/analysis/4151284/sap-customers-feel-misled-cloud-push (Accessed: 21 October 2025).</w:t>
      </w:r>
    </w:p>
    <w:p w:rsidR="002274A5" w:rsidRPr="0044370F" w:rsidRDefault="002274A5" w:rsidP="002274A5">
      <w:pPr>
        <w:pStyle w:val="a"/>
      </w:pPr>
      <w:r w:rsidRPr="0044370F">
        <w:t>Congressional Research Service (2022). U.S. Restrictions on Huawei Technologies: National Security, Foreign Policy, and Economic Interests (R47012), 5 January. Washington, DC: CRS. Available at: https://www.congress.gov/crs-product/R47012 (Accessed 31 August 2025). (Congress.gov)</w:t>
      </w:r>
    </w:p>
    <w:p w:rsidR="002274A5" w:rsidRPr="0044370F" w:rsidRDefault="002274A5" w:rsidP="002274A5">
      <w:pPr>
        <w:pStyle w:val="a"/>
      </w:pPr>
      <w:r w:rsidRPr="0044370F">
        <w:t>Cornell, T. J. (1995) The Beginnings of Rome: Italy and Rome from the Bronze Age to the Punic Wars (c.1000-264 BC). London: Routledge</w:t>
      </w:r>
    </w:p>
    <w:p w:rsidR="002274A5" w:rsidRPr="0044370F" w:rsidRDefault="002274A5" w:rsidP="002274A5">
      <w:pPr>
        <w:pStyle w:val="a"/>
      </w:pPr>
      <w:r w:rsidRPr="0044370F">
        <w:lastRenderedPageBreak/>
        <w:t>Council on Foreign Relations (CFR). (2025). China’s Digital Silk Road. [online] Available at: https://www.cfr.org/china-digital-silk-road/ [Accessed 2 Jul. 2025].</w:t>
      </w:r>
    </w:p>
    <w:p w:rsidR="002274A5" w:rsidRPr="0044370F" w:rsidRDefault="002274A5" w:rsidP="002274A5">
      <w:pPr>
        <w:pStyle w:val="a"/>
      </w:pPr>
      <w:r w:rsidRPr="0044370F">
        <w:t xml:space="preserve">Council on Foreign Relations (Berman, N., </w:t>
      </w:r>
      <w:proofErr w:type="spellStart"/>
      <w:r w:rsidRPr="0044370F">
        <w:t>Maizland</w:t>
      </w:r>
      <w:proofErr w:type="spellEnd"/>
      <w:r w:rsidRPr="0044370F">
        <w:t xml:space="preserve">, L. and </w:t>
      </w:r>
      <w:proofErr w:type="spellStart"/>
      <w:r w:rsidRPr="0044370F">
        <w:t>Chatzky</w:t>
      </w:r>
      <w:proofErr w:type="spellEnd"/>
      <w:r w:rsidRPr="0044370F">
        <w:t>, A.) (2023) ‘Is China’s Huawei a Threat to U.S. National Security?’, CFR Backgrounder, 8 February. Available at: https://www.cfr.org/backgrounder/chinas-huawei-threat-us-national-security (Accessed: 31 August 2025). (Council on Foreign Relations)</w:t>
      </w:r>
    </w:p>
    <w:p w:rsidR="002274A5" w:rsidRPr="0044370F" w:rsidRDefault="002274A5" w:rsidP="002274A5">
      <w:pPr>
        <w:pStyle w:val="a"/>
      </w:pPr>
      <w:proofErr w:type="spellStart"/>
      <w:r w:rsidRPr="0044370F">
        <w:t>Creemers</w:t>
      </w:r>
      <w:proofErr w:type="spellEnd"/>
      <w:r w:rsidRPr="0044370F">
        <w:t>, R. (2018) ‘China’s Social Credit System: An Evolving Practice of Control’, SSRN Working Paper.</w:t>
      </w:r>
    </w:p>
    <w:p w:rsidR="002274A5" w:rsidRPr="0044370F" w:rsidRDefault="002274A5" w:rsidP="002274A5">
      <w:pPr>
        <w:pStyle w:val="a"/>
      </w:pPr>
      <w:r w:rsidRPr="0044370F">
        <w:t>Crouch, C. (2011) The Strange Non-Death of Neoliberalism. Cambridge: Polity Press</w:t>
      </w:r>
    </w:p>
    <w:p w:rsidR="002274A5" w:rsidRPr="0044370F" w:rsidRDefault="002274A5" w:rsidP="002274A5">
      <w:pPr>
        <w:pStyle w:val="a"/>
      </w:pPr>
      <w:r w:rsidRPr="0044370F">
        <w:t xml:space="preserve">Culpepper, P. D. &amp; </w:t>
      </w:r>
      <w:proofErr w:type="spellStart"/>
      <w:r w:rsidRPr="0044370F">
        <w:t>Thelen</w:t>
      </w:r>
      <w:proofErr w:type="spellEnd"/>
      <w:r w:rsidRPr="0044370F">
        <w:t>, K. (2020) ‘Are We All Amazon Primed? Consumers and the Politics of Platform Power’, Comparative Political Studies, 53(2), pp. 288-318</w:t>
      </w:r>
    </w:p>
    <w:p w:rsidR="002274A5" w:rsidRPr="0044370F" w:rsidRDefault="002274A5" w:rsidP="002274A5">
      <w:pPr>
        <w:pStyle w:val="a"/>
      </w:pPr>
      <w:r w:rsidRPr="0044370F">
        <w:t xml:space="preserve">Cutler, A.C., </w:t>
      </w:r>
      <w:proofErr w:type="spellStart"/>
      <w:r w:rsidRPr="0044370F">
        <w:t>Haufler</w:t>
      </w:r>
      <w:proofErr w:type="spellEnd"/>
      <w:r w:rsidRPr="0044370F">
        <w:t>, V. and Porter, T. (1999), Private Authority and International Affairs, Albany: State University of New York Press</w:t>
      </w:r>
    </w:p>
    <w:p w:rsidR="002274A5" w:rsidRPr="0044370F" w:rsidRDefault="002274A5" w:rsidP="002274A5">
      <w:pPr>
        <w:pStyle w:val="a"/>
      </w:pPr>
      <w:proofErr w:type="spellStart"/>
      <w:r w:rsidRPr="0044370F">
        <w:t>Cyborgology</w:t>
      </w:r>
      <w:proofErr w:type="spellEnd"/>
      <w:r w:rsidRPr="0044370F">
        <w:t xml:space="preserve"> (2011) “A Brief Summary of Actor-Network Theory” The Society Pages, </w:t>
      </w:r>
      <w:proofErr w:type="spellStart"/>
      <w:r w:rsidRPr="0044370F">
        <w:t>Cyborgology</w:t>
      </w:r>
      <w:proofErr w:type="spellEnd"/>
      <w:r w:rsidRPr="0044370F">
        <w:t xml:space="preserve"> Blog, 2 December 2011. Available at: thesocietypages.org/cyborgology/2011/12/02/a-brief-summary-of-actor-network-theory.</w:t>
      </w:r>
    </w:p>
    <w:p w:rsidR="002274A5" w:rsidRPr="0044370F" w:rsidRDefault="002274A5" w:rsidP="002274A5">
      <w:pPr>
        <w:pStyle w:val="a"/>
      </w:pPr>
      <w:r w:rsidRPr="0044370F">
        <w:t xml:space="preserve">Datacenters.com Development (2025), ‘Meta’s $800M Indiana </w:t>
      </w:r>
      <w:proofErr w:type="spellStart"/>
      <w:r w:rsidRPr="0044370F">
        <w:t>Hyperscale</w:t>
      </w:r>
      <w:proofErr w:type="spellEnd"/>
      <w:r w:rsidRPr="0044370F">
        <w:t xml:space="preserve"> Campus: Building for the AI Internet’, Datacenters.com.</w:t>
      </w:r>
    </w:p>
    <w:p w:rsidR="002274A5" w:rsidRPr="0044370F" w:rsidRDefault="002274A5" w:rsidP="002274A5">
      <w:pPr>
        <w:pStyle w:val="a"/>
      </w:pPr>
      <w:r w:rsidRPr="0044370F">
        <w:t>Davenport, T. H. (1998) ‘Putting the Enterprise into the Enterprise System’, Harvard Business Review, 76(4), pp. 121-131.</w:t>
      </w:r>
    </w:p>
    <w:p w:rsidR="002274A5" w:rsidRPr="0044370F" w:rsidRDefault="002274A5" w:rsidP="002274A5">
      <w:pPr>
        <w:pStyle w:val="a"/>
      </w:pPr>
      <w:r w:rsidRPr="0044370F">
        <w:t xml:space="preserve">Dean, M. (2010) Governmentality: Power and Rule in Modern Society, 2nd </w:t>
      </w:r>
      <w:proofErr w:type="spellStart"/>
      <w:r w:rsidRPr="0044370F">
        <w:t>edn</w:t>
      </w:r>
      <w:proofErr w:type="spellEnd"/>
      <w:r w:rsidRPr="0044370F">
        <w:t>. London: Sage Publications.</w:t>
      </w:r>
    </w:p>
    <w:p w:rsidR="002274A5" w:rsidRPr="0044370F" w:rsidRDefault="002274A5" w:rsidP="002274A5">
      <w:pPr>
        <w:pStyle w:val="a"/>
      </w:pPr>
      <w:proofErr w:type="spellStart"/>
      <w:r w:rsidRPr="0044370F">
        <w:t>Dechert</w:t>
      </w:r>
      <w:proofErr w:type="spellEnd"/>
      <w:r w:rsidRPr="0044370F">
        <w:t xml:space="preserve"> (2021) ‘U.S. Government Targets Foreign Cloud and Software Service Providers for Sanctions and Export Control Violations’, </w:t>
      </w:r>
      <w:proofErr w:type="spellStart"/>
      <w:r w:rsidRPr="0044370F">
        <w:t>OnPoint</w:t>
      </w:r>
      <w:proofErr w:type="spellEnd"/>
      <w:r w:rsidRPr="0044370F">
        <w:t>, 4 May. Available at: dechert.com (Accessed: 5 October 2025).</w:t>
      </w:r>
    </w:p>
    <w:p w:rsidR="002274A5" w:rsidRPr="0044370F" w:rsidRDefault="002274A5" w:rsidP="002274A5">
      <w:pPr>
        <w:pStyle w:val="a"/>
      </w:pPr>
      <w:proofErr w:type="spellStart"/>
      <w:r w:rsidRPr="0044370F">
        <w:t>DeNardis</w:t>
      </w:r>
      <w:proofErr w:type="spellEnd"/>
      <w:r w:rsidRPr="0044370F">
        <w:t>, L. (2014) The Global War for Internet Governance. New Haven, CT: Yale University Press.</w:t>
      </w:r>
    </w:p>
    <w:p w:rsidR="002274A5" w:rsidRPr="0044370F" w:rsidRDefault="002274A5" w:rsidP="002274A5">
      <w:pPr>
        <w:pStyle w:val="a"/>
      </w:pPr>
      <w:proofErr w:type="spellStart"/>
      <w:r w:rsidRPr="0044370F">
        <w:t>DeNardis</w:t>
      </w:r>
      <w:proofErr w:type="spellEnd"/>
      <w:r w:rsidRPr="0044370F">
        <w:t>, L. (2020) The Internet in Everything: Freedom and Security in a World with No Off Switch. New Haven, CT: Yale University Press.</w:t>
      </w:r>
    </w:p>
    <w:p w:rsidR="002274A5" w:rsidRPr="0044370F" w:rsidRDefault="002274A5" w:rsidP="002274A5">
      <w:pPr>
        <w:pStyle w:val="a"/>
      </w:pPr>
      <w:proofErr w:type="spellStart"/>
      <w:r w:rsidRPr="0044370F">
        <w:t>Desmarais</w:t>
      </w:r>
      <w:proofErr w:type="spellEnd"/>
      <w:r w:rsidRPr="0044370F">
        <w:t xml:space="preserve">, A. (2025). Meta to build ‘ambitious’ 50,000 km subsea cable around the world. </w:t>
      </w:r>
      <w:proofErr w:type="spellStart"/>
      <w:r w:rsidRPr="0044370F">
        <w:t>Euronews</w:t>
      </w:r>
      <w:proofErr w:type="spellEnd"/>
      <w:r w:rsidRPr="0044370F">
        <w:t xml:space="preserve"> Next, 18 February. Available at: https://www.euronews.com/next/2025/02/18/meta-50000-km-subsea-cable [Accessed 2 Jul. 2025].</w:t>
      </w:r>
    </w:p>
    <w:p w:rsidR="002274A5" w:rsidRPr="0044370F" w:rsidRDefault="002274A5" w:rsidP="002274A5">
      <w:pPr>
        <w:pStyle w:val="a"/>
      </w:pPr>
      <w:proofErr w:type="spellStart"/>
      <w:r w:rsidRPr="0044370F">
        <w:t>Diginomica</w:t>
      </w:r>
      <w:proofErr w:type="spellEnd"/>
      <w:r w:rsidRPr="0044370F">
        <w:t xml:space="preserve"> (du </w:t>
      </w:r>
      <w:proofErr w:type="spellStart"/>
      <w:r w:rsidRPr="0044370F">
        <w:t>Preez</w:t>
      </w:r>
      <w:proofErr w:type="spellEnd"/>
      <w:r w:rsidRPr="0044370F">
        <w:t xml:space="preserve">, D.) (2023) ‘UKISUG urges clarity from SAP over access to S/4HANA innovation for </w:t>
      </w:r>
      <w:proofErr w:type="spellStart"/>
      <w:r w:rsidRPr="0044370F">
        <w:t>onpremise</w:t>
      </w:r>
      <w:proofErr w:type="spellEnd"/>
      <w:r w:rsidRPr="0044370F">
        <w:t xml:space="preserve"> and hosted customers’, 29 November. Available at: https://diginomica.com/ukisug-urges-clarity-sap-over-access-s4hana-innovation-premise-and-hosted-customers (Accessed: 21 October 2025).</w:t>
      </w:r>
    </w:p>
    <w:p w:rsidR="002274A5" w:rsidRPr="0044370F" w:rsidRDefault="002274A5" w:rsidP="002274A5">
      <w:pPr>
        <w:pStyle w:val="a"/>
      </w:pPr>
      <w:proofErr w:type="spellStart"/>
      <w:r w:rsidRPr="0044370F">
        <w:t>Digitimes</w:t>
      </w:r>
      <w:proofErr w:type="spellEnd"/>
      <w:r w:rsidRPr="0044370F">
        <w:t xml:space="preserve"> (2024, Apr 16). Huawei vs Samsung: who leads the global communication equipment </w:t>
      </w:r>
      <w:proofErr w:type="gramStart"/>
      <w:r w:rsidRPr="0044370F">
        <w:t>market?.</w:t>
      </w:r>
      <w:proofErr w:type="gramEnd"/>
    </w:p>
    <w:p w:rsidR="002274A5" w:rsidRPr="0044370F" w:rsidRDefault="002274A5" w:rsidP="002274A5">
      <w:pPr>
        <w:pStyle w:val="a"/>
      </w:pPr>
      <w:r w:rsidRPr="0044370F">
        <w:lastRenderedPageBreak/>
        <w:t xml:space="preserve">DiMaggio, P. J. (1988). Interest and agency in institutional theory. In L. G. </w:t>
      </w:r>
      <w:proofErr w:type="spellStart"/>
      <w:r w:rsidRPr="0044370F">
        <w:t>Zucker</w:t>
      </w:r>
      <w:proofErr w:type="spellEnd"/>
      <w:r w:rsidRPr="0044370F">
        <w:t xml:space="preserve"> (Ed.), Institutional patterns and organizations: Culture and environment (pp. 3-21). Cambridge, MA: Ballinger.</w:t>
      </w:r>
    </w:p>
    <w:p w:rsidR="002274A5" w:rsidRPr="0044370F" w:rsidRDefault="002274A5" w:rsidP="002274A5">
      <w:pPr>
        <w:pStyle w:val="a"/>
      </w:pPr>
      <w:proofErr w:type="spellStart"/>
      <w:r w:rsidRPr="0044370F">
        <w:t>Douek</w:t>
      </w:r>
      <w:proofErr w:type="spellEnd"/>
      <w:r w:rsidRPr="0044370F">
        <w:t>, E. (2019). The Rise of Content Cartels. Columbia Law Review, 119(7), 1195-1264</w:t>
      </w:r>
    </w:p>
    <w:p w:rsidR="002274A5" w:rsidRPr="0044370F" w:rsidRDefault="002274A5" w:rsidP="002274A5">
      <w:pPr>
        <w:pStyle w:val="a"/>
      </w:pPr>
      <w:proofErr w:type="spellStart"/>
      <w:r w:rsidRPr="0044370F">
        <w:t>Douek</w:t>
      </w:r>
      <w:proofErr w:type="spellEnd"/>
      <w:r w:rsidRPr="0044370F">
        <w:t>, E. (2020) ‘Facebook’s Oversight Board: A New Model for Platform Governance?’, University of Chicago Law Review Online, 90, pp. 1-13.</w:t>
      </w:r>
    </w:p>
    <w:p w:rsidR="002274A5" w:rsidRPr="0044370F" w:rsidRDefault="002274A5" w:rsidP="002274A5">
      <w:pPr>
        <w:pStyle w:val="a"/>
      </w:pPr>
      <w:proofErr w:type="spellStart"/>
      <w:r w:rsidRPr="0044370F">
        <w:t>Douek</w:t>
      </w:r>
      <w:proofErr w:type="spellEnd"/>
      <w:r w:rsidRPr="0044370F">
        <w:t>, E. (2024) ‘The Meta Oversight Board and the Empty Promise of Legitimacy’, Harvard Journal of Law &amp; Technology, 37(2).</w:t>
      </w:r>
    </w:p>
    <w:p w:rsidR="002274A5" w:rsidRPr="0044370F" w:rsidRDefault="002274A5" w:rsidP="002274A5">
      <w:pPr>
        <w:pStyle w:val="a"/>
      </w:pPr>
      <w:r w:rsidRPr="0044370F">
        <w:t xml:space="preserve">DSAG - </w:t>
      </w:r>
      <w:proofErr w:type="spellStart"/>
      <w:r w:rsidRPr="0044370F">
        <w:t>Deutschsprachige</w:t>
      </w:r>
      <w:proofErr w:type="spellEnd"/>
      <w:r w:rsidRPr="0044370F">
        <w:t xml:space="preserve"> </w:t>
      </w:r>
      <w:proofErr w:type="spellStart"/>
      <w:r w:rsidRPr="0044370F">
        <w:t>SAPAnwendergruppe</w:t>
      </w:r>
      <w:proofErr w:type="spellEnd"/>
      <w:r w:rsidRPr="0044370F">
        <w:t xml:space="preserve"> (2025) ‘Willingness to invest in </w:t>
      </w:r>
      <w:proofErr w:type="spellStart"/>
      <w:r w:rsidRPr="0044370F">
        <w:t>futureoriented</w:t>
      </w:r>
      <w:proofErr w:type="spellEnd"/>
      <w:r w:rsidRPr="0044370F">
        <w:t xml:space="preserve"> technologies is growing (Investment Report 2025)’, 20 March. Available at: https://dsag.de/presse/willingness-to-invest-in-future-oriented-technologies-is-growing/ (Accessed: 21 October 2025).</w:t>
      </w:r>
    </w:p>
    <w:p w:rsidR="002274A5" w:rsidRPr="0044370F" w:rsidRDefault="002274A5" w:rsidP="002274A5">
      <w:pPr>
        <w:pStyle w:val="a"/>
      </w:pPr>
      <w:r w:rsidRPr="0044370F">
        <w:t xml:space="preserve">Dunleavy, P., Margetts, H., </w:t>
      </w:r>
      <w:proofErr w:type="spellStart"/>
      <w:r w:rsidRPr="0044370F">
        <w:t>Bastow</w:t>
      </w:r>
      <w:proofErr w:type="spellEnd"/>
      <w:r w:rsidRPr="0044370F">
        <w:t xml:space="preserve">, S. and </w:t>
      </w:r>
      <w:proofErr w:type="spellStart"/>
      <w:r w:rsidRPr="0044370F">
        <w:t>Tinkler</w:t>
      </w:r>
      <w:proofErr w:type="spellEnd"/>
      <w:r w:rsidRPr="0044370F">
        <w:t xml:space="preserve">, J. (2013) Digital Era Governance: IT Corporations, the State, and </w:t>
      </w:r>
      <w:proofErr w:type="spellStart"/>
      <w:r w:rsidRPr="0044370F">
        <w:t>EGovernment</w:t>
      </w:r>
      <w:proofErr w:type="spellEnd"/>
      <w:r w:rsidRPr="0044370F">
        <w:t xml:space="preserve"> (Revised Edition). Oxford: Oxford University Press</w:t>
      </w:r>
    </w:p>
    <w:p w:rsidR="002274A5" w:rsidRPr="0044370F" w:rsidRDefault="002274A5" w:rsidP="002274A5">
      <w:pPr>
        <w:pStyle w:val="a"/>
      </w:pPr>
      <w:proofErr w:type="spellStart"/>
      <w:r w:rsidRPr="0044370F">
        <w:t>D’Adderio</w:t>
      </w:r>
      <w:proofErr w:type="spellEnd"/>
      <w:r w:rsidRPr="0044370F">
        <w:t>, L. (2003) ‘Configuring software, reconfiguring memories: The influence of integrated systems on the reproduction of knowledge and routines’, Organization Science, 14(2), pp. 321-341.</w:t>
      </w:r>
    </w:p>
    <w:p w:rsidR="002274A5" w:rsidRPr="0044370F" w:rsidRDefault="002274A5" w:rsidP="002274A5">
      <w:pPr>
        <w:pStyle w:val="a"/>
      </w:pPr>
      <w:r w:rsidRPr="0044370F">
        <w:t xml:space="preserve">e.g., Meta’s attempted Libra cryptocurrency, which raised fears of a corporate currency challenging state monetary sovereignty. See </w:t>
      </w:r>
      <w:proofErr w:type="spellStart"/>
      <w:r w:rsidRPr="0044370F">
        <w:t>Brummer</w:t>
      </w:r>
      <w:proofErr w:type="spellEnd"/>
      <w:r w:rsidRPr="0044370F">
        <w:t xml:space="preserve">, C. (2020) </w:t>
      </w:r>
      <w:proofErr w:type="spellStart"/>
      <w:r w:rsidRPr="0044370F">
        <w:t>Cryptoassets</w:t>
      </w:r>
      <w:proofErr w:type="spellEnd"/>
      <w:r w:rsidRPr="0044370F">
        <w:t>: Legal, Regulatory, and Monetary Perspectives. Oxford: Oxford University Press.</w:t>
      </w:r>
    </w:p>
    <w:p w:rsidR="002274A5" w:rsidRPr="0044370F" w:rsidRDefault="002274A5" w:rsidP="002274A5">
      <w:pPr>
        <w:pStyle w:val="a"/>
      </w:pPr>
      <w:r w:rsidRPr="0044370F">
        <w:t>ECIPE - European Centre for International Political Economy (</w:t>
      </w:r>
      <w:proofErr w:type="spellStart"/>
      <w:r w:rsidRPr="0044370F">
        <w:t>LeeMakiyama</w:t>
      </w:r>
      <w:proofErr w:type="spellEnd"/>
      <w:r w:rsidRPr="0044370F">
        <w:t>, H. and Baker, R.) (2024). How Huawei Weathered the Storm: Resilience, Market Conditions or Failed Sanctions? Brussels: ECIPE, February. Available at: https://ecipe.org/publications/how-huawei-weathered-the-storm-resilience-market-conditions-or-failed-sanctions/ (Accessed 31 August 2025). (</w:t>
      </w:r>
      <w:proofErr w:type="spellStart"/>
      <w:r w:rsidRPr="0044370F">
        <w:t>Ecipe</w:t>
      </w:r>
      <w:proofErr w:type="spellEnd"/>
      <w:r w:rsidRPr="0044370F">
        <w:t>)</w:t>
      </w:r>
    </w:p>
    <w:p w:rsidR="002274A5" w:rsidRPr="0044370F" w:rsidRDefault="002274A5" w:rsidP="002274A5">
      <w:pPr>
        <w:pStyle w:val="a"/>
      </w:pPr>
      <w:r w:rsidRPr="0044370F">
        <w:t xml:space="preserve">Eckstein, H. (1975) ‘Case Study and Theory in Political Science’, in Greenstein, F. and </w:t>
      </w:r>
      <w:proofErr w:type="spellStart"/>
      <w:r w:rsidRPr="0044370F">
        <w:t>Polsby</w:t>
      </w:r>
      <w:proofErr w:type="spellEnd"/>
      <w:r w:rsidRPr="0044370F">
        <w:t>, N. (</w:t>
      </w:r>
      <w:proofErr w:type="spellStart"/>
      <w:r w:rsidRPr="0044370F">
        <w:t>eds</w:t>
      </w:r>
      <w:proofErr w:type="spellEnd"/>
      <w:r w:rsidRPr="0044370F">
        <w:t>) Handbook of Political Science, Vol. 7. Reading, MA: Addison-Wesley.</w:t>
      </w:r>
    </w:p>
    <w:p w:rsidR="002274A5" w:rsidRPr="0044370F" w:rsidRDefault="002274A5" w:rsidP="002274A5">
      <w:pPr>
        <w:pStyle w:val="a"/>
      </w:pPr>
      <w:r w:rsidRPr="0044370F">
        <w:t>Edelman Trust Barometer (2023). Trust in Technology Report. Available at: https://www.edelman.com/trust/2023/trust-in-technology (Accessed: 6 August 2025).</w:t>
      </w:r>
    </w:p>
    <w:p w:rsidR="002274A5" w:rsidRPr="0044370F" w:rsidRDefault="002274A5" w:rsidP="002274A5">
      <w:pPr>
        <w:pStyle w:val="a"/>
      </w:pPr>
      <w:r w:rsidRPr="0044370F">
        <w:t>Edelman, L.B. (1992). ‘Legal Ambiguity and Symbolic Structures: Organizational Mediation of Civil Rights Law’, American Journal of Sociology, 97(6), pp. 1531-1576</w:t>
      </w:r>
    </w:p>
    <w:p w:rsidR="002274A5" w:rsidRPr="0044370F" w:rsidRDefault="002274A5" w:rsidP="002274A5">
      <w:pPr>
        <w:pStyle w:val="a"/>
      </w:pPr>
      <w:r w:rsidRPr="0044370F">
        <w:t>EDPB - European Data Protection Board (2023) ‘1.2 billion euro fine for Facebook as a result of EDPB binding decision’, 22 May. Available at: https://www.edpb.europa.eu/news/news/2023/12-billion-euro-fine-facebook-result-edpb-binding-decision_en (Accessed: 21 October 2025).</w:t>
      </w:r>
    </w:p>
    <w:p w:rsidR="002274A5" w:rsidRPr="0044370F" w:rsidRDefault="002274A5" w:rsidP="002274A5">
      <w:pPr>
        <w:pStyle w:val="a"/>
      </w:pPr>
      <w:proofErr w:type="spellStart"/>
      <w:r w:rsidRPr="0044370F">
        <w:t>Europarl</w:t>
      </w:r>
      <w:proofErr w:type="spellEnd"/>
      <w:r w:rsidRPr="0044370F">
        <w:t xml:space="preserve"> (2023) Social media platforms and challenges for democracy, rule of law. European Parliament.</w:t>
      </w:r>
    </w:p>
    <w:p w:rsidR="002274A5" w:rsidRPr="0044370F" w:rsidRDefault="002274A5" w:rsidP="002274A5">
      <w:pPr>
        <w:pStyle w:val="a"/>
      </w:pPr>
      <w:r w:rsidRPr="0044370F">
        <w:t>European Commission (2019) EU Coordinated Risk Assessment of 5G Networks (press release &amp; summary). Brussels: European Commission.</w:t>
      </w:r>
    </w:p>
    <w:p w:rsidR="002274A5" w:rsidRPr="0044370F" w:rsidRDefault="002274A5" w:rsidP="002274A5">
      <w:pPr>
        <w:pStyle w:val="a"/>
      </w:pPr>
      <w:r w:rsidRPr="0044370F">
        <w:lastRenderedPageBreak/>
        <w:t>European Commission (2022) European Cloud Governance and Data Sovereignty Strategy. Brussels.</w:t>
      </w:r>
    </w:p>
    <w:p w:rsidR="002274A5" w:rsidRPr="0044370F" w:rsidRDefault="002274A5" w:rsidP="002274A5">
      <w:pPr>
        <w:pStyle w:val="a"/>
      </w:pPr>
      <w:r w:rsidRPr="0044370F">
        <w:t>European Commission. (2020). 5G Security Toolbox Report</w:t>
      </w:r>
    </w:p>
    <w:p w:rsidR="002274A5" w:rsidRPr="0044370F" w:rsidRDefault="002274A5" w:rsidP="002274A5">
      <w:pPr>
        <w:pStyle w:val="a"/>
      </w:pPr>
      <w:r w:rsidRPr="0044370F">
        <w:t>European Commission. (2020). European Data Strategy</w:t>
      </w:r>
    </w:p>
    <w:p w:rsidR="002274A5" w:rsidRPr="0044370F" w:rsidRDefault="002274A5" w:rsidP="002274A5">
      <w:pPr>
        <w:pStyle w:val="a"/>
      </w:pPr>
      <w:r w:rsidRPr="0044370F">
        <w:t xml:space="preserve">European Commission (2023) General Data Protection Regulation (GDPR), Brussels: European </w:t>
      </w:r>
      <w:proofErr w:type="spellStart"/>
      <w:r w:rsidRPr="0044370F">
        <w:t>Commission.Available</w:t>
      </w:r>
      <w:proofErr w:type="spellEnd"/>
      <w:r w:rsidRPr="0044370F">
        <w:t xml:space="preserve"> at: https://ec.europa.eu/info/law/law-topic/data-protection_en</w:t>
      </w:r>
    </w:p>
    <w:p w:rsidR="002274A5" w:rsidRPr="0044370F" w:rsidRDefault="002274A5" w:rsidP="002274A5">
      <w:pPr>
        <w:pStyle w:val="a"/>
      </w:pPr>
      <w:r w:rsidRPr="0044370F">
        <w:t>European Security &amp; Technology (ESUT) (2023) ‘</w:t>
      </w:r>
      <w:proofErr w:type="spellStart"/>
      <w:r w:rsidRPr="0044370F">
        <w:t>Bundeswehr</w:t>
      </w:r>
      <w:proofErr w:type="spellEnd"/>
      <w:r w:rsidRPr="0044370F">
        <w:t xml:space="preserve"> relies on S/4HANA as the key to innovation’, 27 July. Available at: https://esut.de/en/2023/07/fachbeitraege/42953/bundeswehr-setzt-auf-s-4hana-als-schluessel-fuer-innovationen/ (Accessed: 5 October 2025).</w:t>
      </w:r>
    </w:p>
    <w:p w:rsidR="002274A5" w:rsidRPr="0044370F" w:rsidRDefault="002274A5" w:rsidP="002274A5">
      <w:pPr>
        <w:pStyle w:val="a"/>
      </w:pPr>
      <w:r w:rsidRPr="0044370F">
        <w:t>Farrell, H. and Newman, A. L. (2019) ‘Weaponized Interdependence: How Global Economic Networks Shape State Coercion’, International Security, 44(1), pp. 42-79.</w:t>
      </w:r>
    </w:p>
    <w:p w:rsidR="002274A5" w:rsidRPr="0044370F" w:rsidRDefault="002274A5" w:rsidP="002274A5">
      <w:pPr>
        <w:pStyle w:val="a"/>
      </w:pPr>
      <w:r w:rsidRPr="0044370F">
        <w:t>Federal Communications Commission (2019) Report and Order, WC Docket No. 1889 (FCC 19121): Protecting Against National Security Threats to the Communications Supply Chain. Washington, DC: FCC.</w:t>
      </w:r>
    </w:p>
    <w:p w:rsidR="002274A5" w:rsidRPr="0044370F" w:rsidRDefault="002274A5" w:rsidP="002274A5">
      <w:pPr>
        <w:pStyle w:val="a"/>
      </w:pPr>
      <w:proofErr w:type="spellStart"/>
      <w:r w:rsidRPr="0044370F">
        <w:t>Feiner</w:t>
      </w:r>
      <w:proofErr w:type="spellEnd"/>
      <w:r w:rsidRPr="0044370F">
        <w:t>, L. (2024). Meta had its biggest lobbying quarter ever. The Verge, 29 April. Available at: https://www.theverge.com/2024/04/29/meta-lobbying-spending-q1 [Accessed 2 Jul. 2025].</w:t>
      </w:r>
    </w:p>
    <w:p w:rsidR="002274A5" w:rsidRPr="0044370F" w:rsidRDefault="002274A5" w:rsidP="002274A5">
      <w:pPr>
        <w:pStyle w:val="a"/>
      </w:pPr>
      <w:proofErr w:type="spellStart"/>
      <w:r w:rsidRPr="0044370F">
        <w:t>Feiner</w:t>
      </w:r>
      <w:proofErr w:type="spellEnd"/>
      <w:r w:rsidRPr="0044370F">
        <w:t>, L. (2024). ‘Meta tops tech lobbying spend in 2024 Q1, targeting AI and platform laws’. CNBC. Available at: https://www.cnbc.com/2024/04/12/meta-tops-tech-lobbying-spend-q1-2024.html (Accessed: 6 August 2025).</w:t>
      </w:r>
    </w:p>
    <w:p w:rsidR="002274A5" w:rsidRPr="0044370F" w:rsidRDefault="002274A5" w:rsidP="002274A5">
      <w:pPr>
        <w:pStyle w:val="a"/>
      </w:pPr>
      <w:proofErr w:type="spellStart"/>
      <w:r w:rsidRPr="0044370F">
        <w:t>Fichtner</w:t>
      </w:r>
      <w:proofErr w:type="spellEnd"/>
      <w:r w:rsidRPr="0044370F">
        <w:t>, J., Heemskerk, E. M. and Garcia-Bernardo, J. (2017) ‘Hidden Power of the Big Three? Passive Index Funds, Re-Concentration of Corporate Ownership, and New Financial Risk’, Business and Politics, 19(2), pp. 298-326.</w:t>
      </w:r>
    </w:p>
    <w:p w:rsidR="002274A5" w:rsidRPr="0044370F" w:rsidRDefault="002274A5" w:rsidP="002274A5">
      <w:pPr>
        <w:pStyle w:val="a"/>
      </w:pPr>
      <w:r w:rsidRPr="0044370F">
        <w:t>Financial Times (2020) ‘China-backed “New IP” proposal to the ITU sparks row’. (U.S.-ASEAN Smart Cities Partnership)</w:t>
      </w:r>
    </w:p>
    <w:p w:rsidR="002274A5" w:rsidRPr="0044370F" w:rsidRDefault="002274A5" w:rsidP="002274A5">
      <w:pPr>
        <w:pStyle w:val="a"/>
      </w:pPr>
      <w:proofErr w:type="spellStart"/>
      <w:r w:rsidRPr="0044370F">
        <w:t>Finnemore</w:t>
      </w:r>
      <w:proofErr w:type="spellEnd"/>
      <w:r w:rsidRPr="0044370F">
        <w:t>, M. and Sell, S.K. (2010). ‘Who Governs the Globe?’, International Studies Quarterly, 54(1), pp. 1-31.</w:t>
      </w:r>
    </w:p>
    <w:p w:rsidR="002274A5" w:rsidRPr="0044370F" w:rsidRDefault="002274A5" w:rsidP="002274A5">
      <w:pPr>
        <w:pStyle w:val="a"/>
      </w:pPr>
      <w:proofErr w:type="spellStart"/>
      <w:r w:rsidRPr="0044370F">
        <w:t>Finnemore</w:t>
      </w:r>
      <w:proofErr w:type="spellEnd"/>
      <w:r w:rsidRPr="0044370F">
        <w:t xml:space="preserve">, M. and </w:t>
      </w:r>
      <w:proofErr w:type="spellStart"/>
      <w:r w:rsidRPr="0044370F">
        <w:t>Sikkink</w:t>
      </w:r>
      <w:proofErr w:type="spellEnd"/>
      <w:r w:rsidRPr="0044370F">
        <w:t>, K. (1998) ‘International Norm Dynamics and Political Change’, International Organization, 52(4), pp. 887-917.</w:t>
      </w:r>
    </w:p>
    <w:p w:rsidR="002274A5" w:rsidRPr="0044370F" w:rsidRDefault="002274A5" w:rsidP="002274A5">
      <w:pPr>
        <w:pStyle w:val="a"/>
      </w:pPr>
      <w:proofErr w:type="spellStart"/>
      <w:r w:rsidRPr="0044370F">
        <w:t>Flyvbjerg</w:t>
      </w:r>
      <w:proofErr w:type="spellEnd"/>
      <w:r w:rsidRPr="0044370F">
        <w:t>, B. (2006) ‘Five Misunderstandings About Case-Study Research’, Qualitative Inquiry, 12(2), pp. 219-245.</w:t>
      </w:r>
    </w:p>
    <w:p w:rsidR="002274A5" w:rsidRPr="0044370F" w:rsidRDefault="002274A5" w:rsidP="002274A5">
      <w:pPr>
        <w:pStyle w:val="a"/>
      </w:pPr>
      <w:r w:rsidRPr="0044370F">
        <w:t>Fortune (2019) ‘Huawei opens Brussels Cyber Security Transparency Centre’, Fortune, 5 March. Available at: https://fortune.com/2019/03/05/huawei-brussels-cyber-security-center-spying/ (Accessed 31 August 2025). (Fortune)</w:t>
      </w:r>
    </w:p>
    <w:p w:rsidR="002274A5" w:rsidRPr="0044370F" w:rsidRDefault="002274A5" w:rsidP="002274A5">
      <w:pPr>
        <w:pStyle w:val="a"/>
      </w:pPr>
      <w:r w:rsidRPr="0044370F">
        <w:t xml:space="preserve">Foucault, M. (1991) Governmentality, in </w:t>
      </w:r>
      <w:proofErr w:type="spellStart"/>
      <w:r w:rsidRPr="0044370F">
        <w:t>Burchell</w:t>
      </w:r>
      <w:proofErr w:type="spellEnd"/>
      <w:r w:rsidRPr="0044370F">
        <w:t>, G.</w:t>
      </w:r>
    </w:p>
    <w:p w:rsidR="002274A5" w:rsidRPr="0044370F" w:rsidRDefault="002274A5" w:rsidP="002274A5">
      <w:pPr>
        <w:pStyle w:val="a"/>
      </w:pPr>
      <w:r w:rsidRPr="0044370F">
        <w:t>Freeman, R.E. (1984) Strategic Management: A Stakeholder Approach. Boston: Pitman</w:t>
      </w:r>
    </w:p>
    <w:p w:rsidR="002274A5" w:rsidRPr="0044370F" w:rsidRDefault="002274A5" w:rsidP="002274A5">
      <w:pPr>
        <w:pStyle w:val="a"/>
      </w:pPr>
      <w:proofErr w:type="spellStart"/>
      <w:r w:rsidRPr="0044370F">
        <w:t>Friedrichs</w:t>
      </w:r>
      <w:proofErr w:type="spellEnd"/>
      <w:r w:rsidRPr="0044370F">
        <w:t>, C. (2014). The Holy Roman Empire, Reconsidered. Canadian Journal of History, 49(2), 267-269.</w:t>
      </w:r>
    </w:p>
    <w:p w:rsidR="002274A5" w:rsidRPr="0044370F" w:rsidRDefault="002274A5" w:rsidP="002274A5">
      <w:pPr>
        <w:pStyle w:val="a"/>
      </w:pPr>
      <w:r w:rsidRPr="0044370F">
        <w:lastRenderedPageBreak/>
        <w:t>Frost, R. (2024) ‘Going “Global” on Big Tech Regulation: Re-</w:t>
      </w:r>
      <w:proofErr w:type="spellStart"/>
      <w:r w:rsidRPr="0044370F">
        <w:t>institutionalising</w:t>
      </w:r>
      <w:proofErr w:type="spellEnd"/>
      <w:r w:rsidRPr="0044370F">
        <w:t xml:space="preserve"> Multilateralism in Digital Governance’, New York University Journal of International Law &amp; Policy, 56(2), pp. 153-209.</w:t>
      </w:r>
    </w:p>
    <w:p w:rsidR="002274A5" w:rsidRPr="0044370F" w:rsidRDefault="002274A5" w:rsidP="002274A5">
      <w:pPr>
        <w:pStyle w:val="a"/>
      </w:pPr>
      <w:proofErr w:type="spellStart"/>
      <w:r w:rsidRPr="0044370F">
        <w:t>GaiaX</w:t>
      </w:r>
      <w:proofErr w:type="spellEnd"/>
      <w:r w:rsidRPr="0044370F">
        <w:t xml:space="preserve"> AISBL (2025) ‘Members directory (listing SAP as Founding Member)’. Brussels: </w:t>
      </w:r>
      <w:proofErr w:type="spellStart"/>
      <w:r w:rsidRPr="0044370F">
        <w:t>GaiaX</w:t>
      </w:r>
      <w:proofErr w:type="spellEnd"/>
      <w:r w:rsidRPr="0044370F">
        <w:t xml:space="preserve"> Association for Data and Cloud.</w:t>
      </w:r>
    </w:p>
    <w:p w:rsidR="002274A5" w:rsidRPr="0044370F" w:rsidRDefault="002274A5" w:rsidP="002274A5">
      <w:pPr>
        <w:pStyle w:val="a"/>
      </w:pPr>
      <w:proofErr w:type="spellStart"/>
      <w:r w:rsidRPr="0044370F">
        <w:t>GaiaX</w:t>
      </w:r>
      <w:proofErr w:type="spellEnd"/>
      <w:r w:rsidRPr="0044370F">
        <w:t xml:space="preserve"> Association AISBL (</w:t>
      </w:r>
      <w:proofErr w:type="spellStart"/>
      <w:r w:rsidRPr="0044370F">
        <w:t>n.d.</w:t>
      </w:r>
      <w:proofErr w:type="spellEnd"/>
      <w:r w:rsidRPr="0044370F">
        <w:t xml:space="preserve">) Members Directory, </w:t>
      </w:r>
      <w:proofErr w:type="spellStart"/>
      <w:r w:rsidRPr="0044370F">
        <w:t>GaiaX</w:t>
      </w:r>
      <w:proofErr w:type="spellEnd"/>
      <w:r w:rsidRPr="0044370F">
        <w:t>.</w:t>
      </w:r>
    </w:p>
    <w:p w:rsidR="002274A5" w:rsidRPr="0044370F" w:rsidRDefault="002274A5" w:rsidP="002274A5">
      <w:pPr>
        <w:pStyle w:val="a"/>
      </w:pPr>
      <w:proofErr w:type="spellStart"/>
      <w:r w:rsidRPr="0044370F">
        <w:t>García</w:t>
      </w:r>
      <w:proofErr w:type="spellEnd"/>
      <w:r w:rsidRPr="0044370F">
        <w:t>-Herrero, A. (2024) ‘What can Europe learn from China’s critical-tech innovation push’, Bruegel Policy Brief. Available at: https://www.bruegel.org/policy-brief/what-can-europe-learn-chinas-critical-tech-innovation-push</w:t>
      </w:r>
    </w:p>
    <w:p w:rsidR="002274A5" w:rsidRPr="0044370F" w:rsidRDefault="002274A5" w:rsidP="002274A5">
      <w:pPr>
        <w:pStyle w:val="a"/>
      </w:pPr>
      <w:proofErr w:type="spellStart"/>
      <w:r w:rsidRPr="0044370F">
        <w:t>Gawer</w:t>
      </w:r>
      <w:proofErr w:type="spellEnd"/>
      <w:r w:rsidRPr="0044370F">
        <w:t>, A. (2014) ‘Bridging differing perspectives on technological platforms: Toward an integrative framework’, Research Policy, 43(7-8), pp. 1239-1249.</w:t>
      </w:r>
    </w:p>
    <w:p w:rsidR="002274A5" w:rsidRPr="0044370F" w:rsidRDefault="002274A5" w:rsidP="002274A5">
      <w:pPr>
        <w:pStyle w:val="a"/>
      </w:pPr>
      <w:proofErr w:type="spellStart"/>
      <w:r w:rsidRPr="0044370F">
        <w:t>Gawer</w:t>
      </w:r>
      <w:proofErr w:type="spellEnd"/>
      <w:r w:rsidRPr="0044370F">
        <w:t xml:space="preserve">, A., &amp; </w:t>
      </w:r>
      <w:proofErr w:type="spellStart"/>
      <w:r w:rsidRPr="0044370F">
        <w:t>Cusumano</w:t>
      </w:r>
      <w:proofErr w:type="spellEnd"/>
      <w:r w:rsidRPr="0044370F">
        <w:t>, M. A. (2008). How companies become platform leaders. MIT Sloan Management Review, 49(2), 28-35</w:t>
      </w:r>
    </w:p>
    <w:p w:rsidR="002274A5" w:rsidRPr="0044370F" w:rsidRDefault="002274A5" w:rsidP="002274A5">
      <w:pPr>
        <w:pStyle w:val="a"/>
      </w:pPr>
      <w:r w:rsidRPr="0044370F">
        <w:t>Geertz, C. (1973) The Interpretation of Cultures. New York: Basic Books.</w:t>
      </w:r>
    </w:p>
    <w:p w:rsidR="002274A5" w:rsidRPr="0044370F" w:rsidRDefault="002274A5" w:rsidP="002274A5">
      <w:pPr>
        <w:pStyle w:val="a"/>
      </w:pPr>
      <w:proofErr w:type="spellStart"/>
      <w:r w:rsidRPr="0044370F">
        <w:t>Gegenhuber</w:t>
      </w:r>
      <w:proofErr w:type="spellEnd"/>
      <w:r w:rsidRPr="0044370F">
        <w:t>, T. and Greenwood, R. (2018) ‘Digital Innovation and Transformation: An Institutional Perspective’, Information and Organization, 28(1), pp. 52-61.</w:t>
      </w:r>
    </w:p>
    <w:p w:rsidR="002274A5" w:rsidRPr="0044370F" w:rsidRDefault="002274A5" w:rsidP="002274A5">
      <w:pPr>
        <w:pStyle w:val="a"/>
      </w:pPr>
      <w:r w:rsidRPr="0044370F">
        <w:t>Gensler, G. and Bailey, L. (2023) ‘Facebook’s Libra and the Challenge to Monetary Sovereignty’, Journal of Financial Regulation, 9(1), pp. 45-67</w:t>
      </w:r>
    </w:p>
    <w:p w:rsidR="002274A5" w:rsidRPr="0044370F" w:rsidRDefault="002274A5" w:rsidP="002274A5">
      <w:pPr>
        <w:pStyle w:val="a"/>
      </w:pPr>
      <w:r w:rsidRPr="0044370F">
        <w:t>George, A. and Bennett, A. (2005) Case Studies and Theory Development in the Social Sciences. Cambridge, MA: MIT Press.</w:t>
      </w:r>
    </w:p>
    <w:p w:rsidR="002274A5" w:rsidRPr="0044370F" w:rsidRDefault="002274A5" w:rsidP="002274A5">
      <w:pPr>
        <w:pStyle w:val="a"/>
      </w:pPr>
      <w:proofErr w:type="spellStart"/>
      <w:r w:rsidRPr="0044370F">
        <w:t>Gerring</w:t>
      </w:r>
      <w:proofErr w:type="spellEnd"/>
      <w:r w:rsidRPr="0044370F">
        <w:t>, J. (2007) Case Study Research: Principles and Practices. Cambridge: Cambridge University Press.</w:t>
      </w:r>
    </w:p>
    <w:p w:rsidR="002274A5" w:rsidRPr="0044370F" w:rsidRDefault="002274A5" w:rsidP="002274A5">
      <w:pPr>
        <w:pStyle w:val="a"/>
      </w:pPr>
      <w:r w:rsidRPr="0044370F">
        <w:t>Gill, S. (1995). ‘</w:t>
      </w:r>
      <w:proofErr w:type="spellStart"/>
      <w:r w:rsidRPr="0044370F">
        <w:t>Globalisation</w:t>
      </w:r>
      <w:proofErr w:type="spellEnd"/>
      <w:r w:rsidRPr="0044370F">
        <w:t xml:space="preserve">, Market </w:t>
      </w:r>
      <w:proofErr w:type="spellStart"/>
      <w:r w:rsidRPr="0044370F">
        <w:t>Civilisation</w:t>
      </w:r>
      <w:proofErr w:type="spellEnd"/>
      <w:r w:rsidRPr="0044370F">
        <w:t>, and Disciplinary Neoliberalism’, Millennium: Journal of International Studies, 24(3), pp. 399-423</w:t>
      </w:r>
    </w:p>
    <w:p w:rsidR="002274A5" w:rsidRPr="0044370F" w:rsidRDefault="002274A5" w:rsidP="002274A5">
      <w:pPr>
        <w:pStyle w:val="a"/>
      </w:pPr>
      <w:r w:rsidRPr="0044370F">
        <w:t>Gillespie, T. (2018) Custodians of the Internet: Platforms, Content Moderation, and the Hidden Decisions That Shape Social Media. New Haven, CT: Yale University Press.</w:t>
      </w:r>
    </w:p>
    <w:p w:rsidR="002274A5" w:rsidRPr="0044370F" w:rsidRDefault="002274A5" w:rsidP="002274A5">
      <w:pPr>
        <w:pStyle w:val="a"/>
      </w:pPr>
      <w:proofErr w:type="spellStart"/>
      <w:r w:rsidRPr="0044370F">
        <w:t>Gilli</w:t>
      </w:r>
      <w:proofErr w:type="spellEnd"/>
      <w:r w:rsidRPr="0044370F">
        <w:t xml:space="preserve">, A. and </w:t>
      </w:r>
      <w:proofErr w:type="spellStart"/>
      <w:r w:rsidRPr="0044370F">
        <w:t>Gilli</w:t>
      </w:r>
      <w:proofErr w:type="spellEnd"/>
      <w:r w:rsidRPr="0044370F">
        <w:t>, M. (2021) ‘Why Tech Companies Are the New Defense Contractors’, Survival, 63(2), pp. 131-154.</w:t>
      </w:r>
    </w:p>
    <w:p w:rsidR="002274A5" w:rsidRPr="0044370F" w:rsidRDefault="002274A5" w:rsidP="002274A5">
      <w:pPr>
        <w:pStyle w:val="a"/>
      </w:pPr>
      <w:proofErr w:type="spellStart"/>
      <w:r w:rsidRPr="0044370F">
        <w:t>Gorwa</w:t>
      </w:r>
      <w:proofErr w:type="spellEnd"/>
      <w:r w:rsidRPr="0044370F">
        <w:t>, R. (2019) ‘What is Platform Governance?’, Information, Communication &amp; Society, 22(6), pp. 854-871.</w:t>
      </w:r>
    </w:p>
    <w:p w:rsidR="002274A5" w:rsidRPr="0044370F" w:rsidRDefault="002274A5" w:rsidP="002274A5">
      <w:pPr>
        <w:pStyle w:val="a"/>
      </w:pPr>
      <w:r w:rsidRPr="0044370F">
        <w:t xml:space="preserve">Gramsci, A. (1971). Selections from the Prison Notebooks. London: Lawrence and </w:t>
      </w:r>
      <w:proofErr w:type="spellStart"/>
      <w:r w:rsidRPr="0044370F">
        <w:t>Wishart</w:t>
      </w:r>
      <w:proofErr w:type="spellEnd"/>
    </w:p>
    <w:p w:rsidR="002274A5" w:rsidRPr="0044370F" w:rsidRDefault="002274A5" w:rsidP="002274A5">
      <w:pPr>
        <w:pStyle w:val="a"/>
      </w:pPr>
      <w:proofErr w:type="spellStart"/>
      <w:r w:rsidRPr="0044370F">
        <w:t>Granovetter</w:t>
      </w:r>
      <w:proofErr w:type="spellEnd"/>
      <w:r w:rsidRPr="0044370F">
        <w:t>, M. (1985) ‘Economic Action and Social Structure: The Problem of Embeddedness’, American Journal of Sociology, 91(3), pp. 481-510</w:t>
      </w:r>
    </w:p>
    <w:p w:rsidR="002274A5" w:rsidRPr="0044370F" w:rsidRDefault="002274A5" w:rsidP="002274A5">
      <w:pPr>
        <w:pStyle w:val="a"/>
      </w:pPr>
      <w:r w:rsidRPr="0044370F">
        <w:t>Grant, R. M. (1996). Toward a knowledge‐based theory of the firm. Strategic Management Journal, 17(S2), 109-122</w:t>
      </w:r>
    </w:p>
    <w:p w:rsidR="002274A5" w:rsidRPr="0044370F" w:rsidRDefault="002274A5" w:rsidP="002274A5">
      <w:pPr>
        <w:pStyle w:val="a"/>
      </w:pPr>
      <w:r w:rsidRPr="0044370F">
        <w:t xml:space="preserve">Grant, R.M. (2021), Contemporary Strategy Analysis, 11th ed. </w:t>
      </w:r>
      <w:proofErr w:type="spellStart"/>
      <w:r w:rsidRPr="0044370F">
        <w:t>Chichester</w:t>
      </w:r>
      <w:proofErr w:type="spellEnd"/>
      <w:r w:rsidRPr="0044370F">
        <w:t>: Wiley.</w:t>
      </w:r>
    </w:p>
    <w:p w:rsidR="002274A5" w:rsidRPr="0044370F" w:rsidRDefault="002274A5" w:rsidP="002274A5">
      <w:pPr>
        <w:pStyle w:val="a"/>
      </w:pPr>
      <w:proofErr w:type="spellStart"/>
      <w:r w:rsidRPr="0044370F">
        <w:t>Gu</w:t>
      </w:r>
      <w:proofErr w:type="spellEnd"/>
      <w:r w:rsidRPr="0044370F">
        <w:t>, H. (2023) ‘Data, Big Tech, and the New Concept of Sovereignty’, Frontiers in Big Data, 6, article 10155150.</w:t>
      </w:r>
    </w:p>
    <w:p w:rsidR="002274A5" w:rsidRPr="0044370F" w:rsidRDefault="002274A5" w:rsidP="002274A5">
      <w:pPr>
        <w:pStyle w:val="a"/>
      </w:pPr>
      <w:proofErr w:type="spellStart"/>
      <w:r w:rsidRPr="0044370F">
        <w:lastRenderedPageBreak/>
        <w:t>Guba</w:t>
      </w:r>
      <w:proofErr w:type="spellEnd"/>
      <w:r w:rsidRPr="0044370F">
        <w:t xml:space="preserve">, E. G. &amp; Lincoln, Y. S. (1994). Competing paradigms in qualitative research. In N. K. </w:t>
      </w:r>
      <w:proofErr w:type="spellStart"/>
      <w:r w:rsidRPr="0044370F">
        <w:t>Denzin</w:t>
      </w:r>
      <w:proofErr w:type="spellEnd"/>
      <w:r w:rsidRPr="0044370F">
        <w:t xml:space="preserve"> &amp; Y. S. Lincoln (Eds.), Handbook of Qualitative Research (pp. 105-117). Thousand Oaks, CA: Sage Publications</w:t>
      </w:r>
    </w:p>
    <w:p w:rsidR="002274A5" w:rsidRPr="0044370F" w:rsidRDefault="002274A5" w:rsidP="002274A5">
      <w:pPr>
        <w:pStyle w:val="a"/>
      </w:pPr>
      <w:r w:rsidRPr="0044370F">
        <w:t xml:space="preserve">Gwyn Jones, M. (2023). Tech companies spend more than €100 million a year on EU digital lobbying. </w:t>
      </w:r>
      <w:proofErr w:type="spellStart"/>
      <w:r w:rsidRPr="0044370F">
        <w:t>Euronews</w:t>
      </w:r>
      <w:proofErr w:type="spellEnd"/>
      <w:r w:rsidRPr="0044370F">
        <w:t>, 11 September. Available at: https://www.euronews.com/my-europe/2023/09/11 [Accessed 2 Jul. 2025].</w:t>
      </w:r>
    </w:p>
    <w:p w:rsidR="002274A5" w:rsidRPr="0044370F" w:rsidRDefault="002274A5" w:rsidP="002274A5">
      <w:pPr>
        <w:pStyle w:val="a"/>
      </w:pPr>
      <w:proofErr w:type="spellStart"/>
      <w:r w:rsidRPr="0044370F">
        <w:t>Hafner</w:t>
      </w:r>
      <w:proofErr w:type="spellEnd"/>
      <w:r w:rsidRPr="0044370F">
        <w:t xml:space="preserve">-Burton, E., </w:t>
      </w:r>
      <w:proofErr w:type="spellStart"/>
      <w:r w:rsidRPr="0044370F">
        <w:t>Kahler</w:t>
      </w:r>
      <w:proofErr w:type="spellEnd"/>
      <w:r w:rsidRPr="0044370F">
        <w:t>, M. and Montgomery, A. H. (2009) ‘Network Analysis for International Relations’, International Organization, 63(3), pp. 559-592</w:t>
      </w:r>
    </w:p>
    <w:p w:rsidR="002274A5" w:rsidRPr="0044370F" w:rsidRDefault="002274A5" w:rsidP="002274A5">
      <w:pPr>
        <w:pStyle w:val="a"/>
      </w:pPr>
      <w:r w:rsidRPr="0044370F">
        <w:t xml:space="preserve">Hall, R.B. and </w:t>
      </w:r>
      <w:proofErr w:type="spellStart"/>
      <w:r w:rsidRPr="0044370F">
        <w:t>Biersteker</w:t>
      </w:r>
      <w:proofErr w:type="spellEnd"/>
      <w:r w:rsidRPr="0044370F">
        <w:t>, T.J. (2002) The Emergence of Private Authority in Global Governance. Cambridge: Cambridge University Press</w:t>
      </w:r>
    </w:p>
    <w:p w:rsidR="002274A5" w:rsidRPr="0044370F" w:rsidRDefault="002274A5" w:rsidP="002274A5">
      <w:pPr>
        <w:pStyle w:val="a"/>
      </w:pPr>
      <w:r w:rsidRPr="0044370F">
        <w:t>Hansen, M.H. (2006) The Polis: An Introduction to the Ancient Greek City-State. Oxford: Oxford University Press.</w:t>
      </w:r>
    </w:p>
    <w:p w:rsidR="002274A5" w:rsidRPr="0044370F" w:rsidRDefault="002274A5" w:rsidP="002274A5">
      <w:pPr>
        <w:pStyle w:val="a"/>
      </w:pPr>
      <w:proofErr w:type="spellStart"/>
      <w:r w:rsidRPr="0044370F">
        <w:t>Hanseth</w:t>
      </w:r>
      <w:proofErr w:type="spellEnd"/>
      <w:r w:rsidRPr="0044370F">
        <w:t xml:space="preserve">, O. and </w:t>
      </w:r>
      <w:proofErr w:type="spellStart"/>
      <w:r w:rsidRPr="0044370F">
        <w:t>Lyytinen</w:t>
      </w:r>
      <w:proofErr w:type="spellEnd"/>
      <w:r w:rsidRPr="0044370F">
        <w:t>, K. (2010) ‘Design Theory for Dynamic Complexity in Information Infrastructures: The Case of Building Internet’, Journal of Information Technology, 25(1), pp. 1-19.</w:t>
      </w:r>
    </w:p>
    <w:p w:rsidR="002274A5" w:rsidRPr="0044370F" w:rsidRDefault="002274A5" w:rsidP="002274A5">
      <w:pPr>
        <w:pStyle w:val="a"/>
      </w:pPr>
      <w:proofErr w:type="spellStart"/>
      <w:r w:rsidRPr="0044370F">
        <w:t>Hanseth</w:t>
      </w:r>
      <w:proofErr w:type="spellEnd"/>
      <w:r w:rsidRPr="0044370F">
        <w:t xml:space="preserve">, O. and Monteiro, E. (1997) ‘Inscribing </w:t>
      </w:r>
      <w:proofErr w:type="spellStart"/>
      <w:r w:rsidRPr="0044370F">
        <w:t>Behaviour</w:t>
      </w:r>
      <w:proofErr w:type="spellEnd"/>
      <w:r w:rsidRPr="0044370F">
        <w:t xml:space="preserve"> in Information Infrastructure: The Role of Standards’, Accounting, Management and Information Technologies, 7(4), pp. 183-211.</w:t>
      </w:r>
    </w:p>
    <w:p w:rsidR="002274A5" w:rsidRPr="0044370F" w:rsidRDefault="002274A5" w:rsidP="002274A5">
      <w:pPr>
        <w:pStyle w:val="a"/>
      </w:pPr>
      <w:r w:rsidRPr="0044370F">
        <w:t>Hardy, C., &amp; Lawrence, T. B. (2004). Institutional entrepreneurship in emerging fields: HIV/AIDS treatment advocacy in Canada. Academy of Management Journal, 47(5), 657-679</w:t>
      </w:r>
    </w:p>
    <w:p w:rsidR="002274A5" w:rsidRPr="0044370F" w:rsidRDefault="002274A5" w:rsidP="002274A5">
      <w:pPr>
        <w:pStyle w:val="a"/>
      </w:pPr>
      <w:proofErr w:type="spellStart"/>
      <w:r w:rsidRPr="0044370F">
        <w:t>Heeks</w:t>
      </w:r>
      <w:proofErr w:type="spellEnd"/>
      <w:r w:rsidRPr="0044370F">
        <w:t>, R. (2024) ‘China’s digital expansion in the Global South’, The Information Society, 40(2), pp. 89-104. Available at: https://www.tandfonline.com/doi/full/10.1080/01972243.2024.2315875 (Accessed 31 August 2025). (Taylor &amp; Francis Online)</w:t>
      </w:r>
    </w:p>
    <w:p w:rsidR="002274A5" w:rsidRPr="0044370F" w:rsidRDefault="002274A5" w:rsidP="002274A5">
      <w:pPr>
        <w:pStyle w:val="a"/>
      </w:pPr>
      <w:proofErr w:type="spellStart"/>
      <w:r w:rsidRPr="0044370F">
        <w:t>Helbing</w:t>
      </w:r>
      <w:proofErr w:type="spellEnd"/>
      <w:r w:rsidRPr="0044370F">
        <w:t xml:space="preserve">, D., Frey, B. S., </w:t>
      </w:r>
      <w:proofErr w:type="spellStart"/>
      <w:r w:rsidRPr="0044370F">
        <w:t>Gigerenzer</w:t>
      </w:r>
      <w:proofErr w:type="spellEnd"/>
      <w:r w:rsidRPr="0044370F">
        <w:t xml:space="preserve">, G., </w:t>
      </w:r>
      <w:proofErr w:type="spellStart"/>
      <w:r w:rsidRPr="0044370F">
        <w:t>Hafen</w:t>
      </w:r>
      <w:proofErr w:type="spellEnd"/>
      <w:r w:rsidRPr="0044370F">
        <w:t xml:space="preserve">, E., </w:t>
      </w:r>
      <w:proofErr w:type="spellStart"/>
      <w:r w:rsidRPr="0044370F">
        <w:t>Hagner</w:t>
      </w:r>
      <w:proofErr w:type="spellEnd"/>
      <w:r w:rsidRPr="0044370F">
        <w:t xml:space="preserve">, M., </w:t>
      </w:r>
      <w:proofErr w:type="spellStart"/>
      <w:r w:rsidRPr="0044370F">
        <w:t>Hofstetter</w:t>
      </w:r>
      <w:proofErr w:type="spellEnd"/>
      <w:r w:rsidRPr="0044370F">
        <w:t xml:space="preserve">, Y., van den Hoven, J., </w:t>
      </w:r>
      <w:proofErr w:type="spellStart"/>
      <w:r w:rsidRPr="0044370F">
        <w:t>Zicari</w:t>
      </w:r>
      <w:proofErr w:type="spellEnd"/>
      <w:r w:rsidRPr="0044370F">
        <w:t xml:space="preserve">, R. V. &amp; </w:t>
      </w:r>
      <w:proofErr w:type="spellStart"/>
      <w:r w:rsidRPr="0044370F">
        <w:t>Zwitter</w:t>
      </w:r>
      <w:proofErr w:type="spellEnd"/>
      <w:r w:rsidRPr="0044370F">
        <w:t>, A. (2019) Will Democracy Survive Big Data and Artificial Intelligence? Cham: Springer International Publishing.</w:t>
      </w:r>
    </w:p>
    <w:p w:rsidR="002274A5" w:rsidRPr="0044370F" w:rsidRDefault="002274A5" w:rsidP="002274A5">
      <w:pPr>
        <w:pStyle w:val="a"/>
      </w:pPr>
      <w:r w:rsidRPr="0044370F">
        <w:t>Hill, C.W.L., Jones, G.R. and Schilling, M.A. (2020), Strategic Management: Theory &amp; Cases, 13th ed. Boston: Cengage Learning.</w:t>
      </w:r>
    </w:p>
    <w:p w:rsidR="002274A5" w:rsidRPr="0044370F" w:rsidRDefault="002274A5" w:rsidP="002274A5">
      <w:pPr>
        <w:pStyle w:val="a"/>
      </w:pPr>
      <w:proofErr w:type="spellStart"/>
      <w:r w:rsidRPr="0044370F">
        <w:t>Hinings</w:t>
      </w:r>
      <w:proofErr w:type="spellEnd"/>
      <w:r w:rsidRPr="0044370F">
        <w:t xml:space="preserve">, B., </w:t>
      </w:r>
      <w:proofErr w:type="spellStart"/>
      <w:r w:rsidRPr="0044370F">
        <w:t>Gegenhuber</w:t>
      </w:r>
      <w:proofErr w:type="spellEnd"/>
      <w:r w:rsidRPr="0044370F">
        <w:t>, T. and Greenwood, R. (2018) ‘Digital Innovation and Transformation: An Institutional Perspective’, Information and Organization, 28(1), pp. 52-61.</w:t>
      </w:r>
    </w:p>
    <w:p w:rsidR="002274A5" w:rsidRPr="0044370F" w:rsidRDefault="002274A5" w:rsidP="002274A5">
      <w:pPr>
        <w:pStyle w:val="a"/>
      </w:pPr>
      <w:r w:rsidRPr="0044370F">
        <w:t>HMN Tech (2020) ‘Huawei Marine Networks Rebrands as HMN Technologies’, Press Release, 3 Nov.</w:t>
      </w:r>
    </w:p>
    <w:p w:rsidR="002274A5" w:rsidRPr="0044370F" w:rsidRDefault="002274A5" w:rsidP="002274A5">
      <w:pPr>
        <w:pStyle w:val="a"/>
      </w:pPr>
      <w:proofErr w:type="spellStart"/>
      <w:r w:rsidRPr="0044370F">
        <w:t>Hornblower</w:t>
      </w:r>
      <w:proofErr w:type="spellEnd"/>
      <w:r w:rsidRPr="0044370F">
        <w:t xml:space="preserve">, S. &amp; </w:t>
      </w:r>
      <w:proofErr w:type="spellStart"/>
      <w:r w:rsidRPr="0044370F">
        <w:t>Spawforth</w:t>
      </w:r>
      <w:proofErr w:type="spellEnd"/>
      <w:r w:rsidRPr="0044370F">
        <w:t>, A. (</w:t>
      </w:r>
      <w:proofErr w:type="spellStart"/>
      <w:r w:rsidRPr="0044370F">
        <w:t>eds</w:t>
      </w:r>
      <w:proofErr w:type="spellEnd"/>
      <w:r w:rsidRPr="0044370F">
        <w:t xml:space="preserve">) (2014) The Oxford Classical Dictionary, 4th </w:t>
      </w:r>
      <w:proofErr w:type="spellStart"/>
      <w:r w:rsidRPr="0044370F">
        <w:t>edn</w:t>
      </w:r>
      <w:proofErr w:type="spellEnd"/>
      <w:r w:rsidRPr="0044370F">
        <w:t>. Oxford: Oxford University Press.</w:t>
      </w:r>
    </w:p>
    <w:p w:rsidR="002274A5" w:rsidRPr="0044370F" w:rsidRDefault="002274A5" w:rsidP="002274A5">
      <w:pPr>
        <w:pStyle w:val="a"/>
      </w:pPr>
      <w:proofErr w:type="spellStart"/>
      <w:r w:rsidRPr="0044370F">
        <w:t>Houlihan</w:t>
      </w:r>
      <w:proofErr w:type="spellEnd"/>
      <w:r w:rsidRPr="0044370F">
        <w:t xml:space="preserve"> </w:t>
      </w:r>
      <w:proofErr w:type="spellStart"/>
      <w:r w:rsidRPr="0044370F">
        <w:t>Lokey</w:t>
      </w:r>
      <w:proofErr w:type="spellEnd"/>
      <w:r w:rsidRPr="0044370F">
        <w:t xml:space="preserve"> (2024) SAP Industry Overview-October 2024. Los Angeles: </w:t>
      </w:r>
      <w:proofErr w:type="spellStart"/>
      <w:r w:rsidRPr="0044370F">
        <w:t>Houlihan</w:t>
      </w:r>
      <w:proofErr w:type="spellEnd"/>
      <w:r w:rsidRPr="0044370F">
        <w:t xml:space="preserve"> </w:t>
      </w:r>
      <w:proofErr w:type="spellStart"/>
      <w:r w:rsidRPr="0044370F">
        <w:t>Lokey</w:t>
      </w:r>
      <w:proofErr w:type="spellEnd"/>
      <w:r w:rsidRPr="0044370F">
        <w:t>. (Accessed 5 October 2025).</w:t>
      </w:r>
    </w:p>
    <w:p w:rsidR="002274A5" w:rsidRPr="0044370F" w:rsidRDefault="002274A5" w:rsidP="002274A5">
      <w:pPr>
        <w:pStyle w:val="a"/>
      </w:pPr>
      <w:r w:rsidRPr="0044370F">
        <w:t>Huawei White Paper (2021) Innovation and Intellectual Property 2020</w:t>
      </w:r>
    </w:p>
    <w:p w:rsidR="002274A5" w:rsidRPr="0044370F" w:rsidRDefault="002274A5" w:rsidP="002274A5">
      <w:pPr>
        <w:pStyle w:val="a"/>
      </w:pPr>
      <w:r w:rsidRPr="0044370F">
        <w:lastRenderedPageBreak/>
        <w:t>Huawei (2019) Cyber Security Transparency Centre Opens in Brussels, Press release, 5 March. Available at: https://www.huawei.com/en/news/2019/3/huawei-cyber-security-transparency-centre-brussels [Accessed 2 Jul. 2025]</w:t>
      </w:r>
    </w:p>
    <w:p w:rsidR="002274A5" w:rsidRPr="0044370F" w:rsidRDefault="002274A5" w:rsidP="002274A5">
      <w:pPr>
        <w:pStyle w:val="a"/>
      </w:pPr>
      <w:r w:rsidRPr="0044370F">
        <w:t>Huawei (2019) Huawei Cyber Security Evaluation Centre Oversight Board Annual Report 2019, HCSEC Oversight Board. Available at:https://assets.publishing.service.gov.uk/media/5c9c8a52e5274a528752d590/HCSEC_OversightBoardReport-2019.pdf [Accessed 2 Jul. 2025].</w:t>
      </w:r>
    </w:p>
    <w:p w:rsidR="002274A5" w:rsidRPr="0044370F" w:rsidRDefault="002274A5" w:rsidP="002274A5">
      <w:pPr>
        <w:pStyle w:val="a"/>
      </w:pPr>
      <w:r w:rsidRPr="0044370F">
        <w:t xml:space="preserve">Huawei (2019) ‘Ren </w:t>
      </w:r>
      <w:proofErr w:type="spellStart"/>
      <w:r w:rsidRPr="0044370F">
        <w:t>Zhengfei</w:t>
      </w:r>
      <w:proofErr w:type="spellEnd"/>
      <w:r w:rsidRPr="0044370F">
        <w:t xml:space="preserve"> interview: “We would rather shut Huawei down than harm customers’ interests”’, Huawei Voices. Available at: https://www.huawei.com/fr/facts/voices-of-huawei/interview-with-ren-zhengfei (Accessed 31 August 2025). (</w:t>
      </w:r>
      <w:proofErr w:type="spellStart"/>
      <w:r w:rsidRPr="0044370F">
        <w:t>huawei</w:t>
      </w:r>
      <w:proofErr w:type="spellEnd"/>
      <w:r w:rsidRPr="0044370F">
        <w:t>)</w:t>
      </w:r>
    </w:p>
    <w:p w:rsidR="002274A5" w:rsidRPr="0044370F" w:rsidRDefault="002274A5" w:rsidP="002274A5">
      <w:pPr>
        <w:pStyle w:val="a"/>
      </w:pPr>
      <w:r w:rsidRPr="0044370F">
        <w:t>Huawei (2022) ICT Sustainable Development Report: Partnering for a Digital Future. Shenzhen: Huawei Technologies Co., Ltd.</w:t>
      </w:r>
    </w:p>
    <w:p w:rsidR="002274A5" w:rsidRPr="0044370F" w:rsidRDefault="002274A5" w:rsidP="002274A5">
      <w:pPr>
        <w:pStyle w:val="a"/>
      </w:pPr>
      <w:r w:rsidRPr="0044370F">
        <w:t>Huawei (</w:t>
      </w:r>
      <w:proofErr w:type="spellStart"/>
      <w:r w:rsidRPr="0044370F">
        <w:t>n.d.</w:t>
      </w:r>
      <w:proofErr w:type="spellEnd"/>
      <w:r w:rsidRPr="0044370F">
        <w:t>) Seeds for the Future, Cultivating ICT Talent to Stimulate Innovation, Huawei Sustainability Stories. Available at: https://www.huawei.com/en/sustainability/the-latest/stories/seeds-cultivating-ict-talent-to-stimulate-innovation [Accessed 2 Jul. 2025].</w:t>
      </w:r>
    </w:p>
    <w:p w:rsidR="002274A5" w:rsidRPr="0044370F" w:rsidRDefault="002274A5" w:rsidP="002274A5">
      <w:pPr>
        <w:pStyle w:val="a"/>
      </w:pPr>
      <w:r w:rsidRPr="0044370F">
        <w:t>Huawei Corporate Presentation (2023) One Africa, One Rail, One Tech, Huawei.</w:t>
      </w:r>
    </w:p>
    <w:p w:rsidR="002274A5" w:rsidRPr="0044370F" w:rsidRDefault="002274A5" w:rsidP="002274A5">
      <w:pPr>
        <w:pStyle w:val="a"/>
      </w:pPr>
      <w:proofErr w:type="spellStart"/>
      <w:r w:rsidRPr="0044370F">
        <w:t>Höpner</w:t>
      </w:r>
      <w:proofErr w:type="spellEnd"/>
      <w:r w:rsidRPr="0044370F">
        <w:t xml:space="preserve">, M. and </w:t>
      </w:r>
      <w:proofErr w:type="spellStart"/>
      <w:r w:rsidRPr="0044370F">
        <w:t>Schäfer</w:t>
      </w:r>
      <w:proofErr w:type="spellEnd"/>
      <w:r w:rsidRPr="0044370F">
        <w:t>, A. (2012) ‘Embeddedness and Regional Integration: Waiting for the Economic Spillovers from Monetary Union’, Journal of European Public Policy, 19(1), pp. 1-16</w:t>
      </w:r>
    </w:p>
    <w:p w:rsidR="002274A5" w:rsidRPr="0044370F" w:rsidRDefault="002274A5" w:rsidP="002274A5">
      <w:pPr>
        <w:pStyle w:val="a"/>
      </w:pPr>
      <w:r w:rsidRPr="0044370F">
        <w:t>Inkster, N. (2019) China’s Cyber Power. London: Routledge / IISS.</w:t>
      </w:r>
    </w:p>
    <w:p w:rsidR="002274A5" w:rsidRPr="0044370F" w:rsidRDefault="002274A5" w:rsidP="002274A5">
      <w:pPr>
        <w:pStyle w:val="a"/>
      </w:pPr>
      <w:r w:rsidRPr="0044370F">
        <w:t>Insight7 (2024), ‘Effective Document Analysis as a Qualitative Research Method’, Insight7 Research Hub.</w:t>
      </w:r>
    </w:p>
    <w:p w:rsidR="002274A5" w:rsidRPr="0044370F" w:rsidRDefault="002274A5" w:rsidP="002274A5">
      <w:pPr>
        <w:pStyle w:val="a"/>
      </w:pPr>
      <w:r w:rsidRPr="0044370F">
        <w:t>Institute on Taxation and Economic Policy (ITEP) (2017) Fact Sheet: Facebook and Tax Avoidance.</w:t>
      </w:r>
    </w:p>
    <w:p w:rsidR="002274A5" w:rsidRPr="0044370F" w:rsidRDefault="002274A5" w:rsidP="002274A5">
      <w:pPr>
        <w:pStyle w:val="a"/>
      </w:pPr>
      <w:r w:rsidRPr="0044370F">
        <w:t>International Telecommunication Union (ITUR) (2017) Report ITUR M.24100: Minimum requirements related to technical performance for IMT2020 radio interface(s). Geneva: ITU.</w:t>
      </w:r>
    </w:p>
    <w:p w:rsidR="002274A5" w:rsidRPr="0044370F" w:rsidRDefault="002274A5" w:rsidP="002274A5">
      <w:pPr>
        <w:pStyle w:val="a"/>
      </w:pPr>
      <w:r w:rsidRPr="0044370F">
        <w:t>International Tax Review (2020) ‘The IRS takes Facebook to court over its Irish tax structure’, International Tax Review, 5 Apr.</w:t>
      </w:r>
    </w:p>
    <w:p w:rsidR="002274A5" w:rsidRPr="0044370F" w:rsidRDefault="002274A5" w:rsidP="002274A5">
      <w:pPr>
        <w:pStyle w:val="a"/>
      </w:pPr>
      <w:r w:rsidRPr="0044370F">
        <w:t>IT Pro (Kelly, R.) (2025) ‘SAP wants to take data sovereignty to the next level with new “onsite” infrastructure options’, 2 September. Available at: https://www.itpro.com/cloud/cloud-management/sap-wants-to-take-data-sovereignty-to-the-next-level-with-new-on-site-infrastructure-options (Accessed: 21 October 2025)</w:t>
      </w:r>
    </w:p>
    <w:p w:rsidR="002274A5" w:rsidRPr="0044370F" w:rsidRDefault="002274A5" w:rsidP="002274A5">
      <w:pPr>
        <w:pStyle w:val="a"/>
      </w:pPr>
      <w:r w:rsidRPr="0044370F">
        <w:t>ITIF (</w:t>
      </w:r>
      <w:proofErr w:type="spellStart"/>
      <w:r w:rsidRPr="0044370F">
        <w:t>Bruer</w:t>
      </w:r>
      <w:proofErr w:type="spellEnd"/>
      <w:r w:rsidRPr="0044370F">
        <w:t>, A.) (2021) ‘Mapping the international 5G standards landscape and how it impacts U.S. strategy’, 8 November. Available at: https://itif.org/publications/2021/11/08/mapping-international-5g-standards-landscape-and-how-it-impacts-us-strategy/ (Accessed 31 August 2025). (ITIF)</w:t>
      </w:r>
    </w:p>
    <w:p w:rsidR="002274A5" w:rsidRPr="0044370F" w:rsidRDefault="002274A5" w:rsidP="002274A5">
      <w:pPr>
        <w:pStyle w:val="a"/>
      </w:pPr>
      <w:r w:rsidRPr="0044370F">
        <w:t>ITIF - Information Technology &amp; Innovation Foundation (</w:t>
      </w:r>
      <w:proofErr w:type="spellStart"/>
      <w:r w:rsidRPr="0044370F">
        <w:t>Bruer</w:t>
      </w:r>
      <w:proofErr w:type="spellEnd"/>
      <w:r w:rsidRPr="0044370F">
        <w:t xml:space="preserve">, A. and Brake, D.) (2021). Mapping the International 5G Standards Landscape and How It Impacts U.S. </w:t>
      </w:r>
      <w:r w:rsidRPr="0044370F">
        <w:lastRenderedPageBreak/>
        <w:t>Strategy and Policy. 8 November. Available at: https://itif.org/publications/2021/11/08/mapping-international-5g-standards-landscape-and-how-it-impacts-us-strategy/ (Accessed 31 August 2025). (ITIF)</w:t>
      </w:r>
    </w:p>
    <w:p w:rsidR="002274A5" w:rsidRPr="0044370F" w:rsidRDefault="002274A5" w:rsidP="002274A5">
      <w:pPr>
        <w:pStyle w:val="a"/>
      </w:pPr>
      <w:r w:rsidRPr="0044370F">
        <w:t>Jackson, R. H. (1990) Quasi-States: Sovereignty, International Relations and the Third World. Cambridge: Cambridge University Press.</w:t>
      </w:r>
    </w:p>
    <w:p w:rsidR="002274A5" w:rsidRPr="0044370F" w:rsidRDefault="002274A5" w:rsidP="002274A5">
      <w:pPr>
        <w:pStyle w:val="a"/>
      </w:pPr>
      <w:r w:rsidRPr="0044370F">
        <w:t>Jessop, B. (2016) The State: Past, Present, Future. Cambridge: Polity Press.</w:t>
      </w:r>
    </w:p>
    <w:p w:rsidR="002274A5" w:rsidRPr="0044370F" w:rsidRDefault="002274A5" w:rsidP="00DD3FE9">
      <w:pPr>
        <w:pStyle w:val="a"/>
      </w:pPr>
      <w:r w:rsidRPr="0044370F">
        <w:t xml:space="preserve">Jiang, X. (2019) ‘Who owns </w:t>
      </w:r>
      <w:proofErr w:type="spellStart"/>
      <w:proofErr w:type="gramStart"/>
      <w:r w:rsidRPr="0044370F">
        <w:t>Huawei?An</w:t>
      </w:r>
      <w:proofErr w:type="spellEnd"/>
      <w:proofErr w:type="gramEnd"/>
      <w:r w:rsidRPr="0044370F">
        <w:t xml:space="preserve"> </w:t>
      </w:r>
      <w:proofErr w:type="spellStart"/>
      <w:r w:rsidRPr="0044370F">
        <w:t>employeeowned</w:t>
      </w:r>
      <w:proofErr w:type="spellEnd"/>
      <w:r w:rsidRPr="0044370F">
        <w:t xml:space="preserve"> company’, Huawei. Available at: https://www.huawei.com/en/facts/voices-of-huawei/who-owns-huawei (Accessed 31 August 2025). (</w:t>
      </w:r>
      <w:proofErr w:type="spellStart"/>
      <w:r w:rsidRPr="0044370F">
        <w:t>huawei</w:t>
      </w:r>
      <w:proofErr w:type="spellEnd"/>
      <w:r w:rsidRPr="0044370F">
        <w:t>), Jones, G. (2023). ‘Lobbying in the Digital Age: Tech Giants and EU Regulation’. European Policy Journal, 11(3), pp. 45-58</w:t>
      </w:r>
    </w:p>
    <w:p w:rsidR="002274A5" w:rsidRPr="0044370F" w:rsidRDefault="002274A5" w:rsidP="002274A5">
      <w:pPr>
        <w:pStyle w:val="a"/>
      </w:pPr>
      <w:r w:rsidRPr="0044370F">
        <w:t xml:space="preserve">Josh </w:t>
      </w:r>
      <w:proofErr w:type="spellStart"/>
      <w:r w:rsidRPr="0044370F">
        <w:t>Bersin</w:t>
      </w:r>
      <w:proofErr w:type="spellEnd"/>
      <w:r w:rsidRPr="0044370F">
        <w:t xml:space="preserve"> (2018) ‘Why Did SAP Pay $8 Billion </w:t>
      </w:r>
      <w:proofErr w:type="gramStart"/>
      <w:r w:rsidRPr="0044370F">
        <w:t>To</w:t>
      </w:r>
      <w:proofErr w:type="gramEnd"/>
      <w:r w:rsidRPr="0044370F">
        <w:t xml:space="preserve"> Acquire </w:t>
      </w:r>
      <w:proofErr w:type="spellStart"/>
      <w:r w:rsidRPr="0044370F">
        <w:t>Qualtrics</w:t>
      </w:r>
      <w:proofErr w:type="spellEnd"/>
      <w:r w:rsidRPr="0044370F">
        <w:t xml:space="preserve">?’, Josh </w:t>
      </w:r>
      <w:proofErr w:type="spellStart"/>
      <w:r w:rsidRPr="0044370F">
        <w:t>Bersin</w:t>
      </w:r>
      <w:proofErr w:type="spellEnd"/>
      <w:r w:rsidRPr="0044370F">
        <w:t xml:space="preserve"> Blog, 17 November.</w:t>
      </w:r>
    </w:p>
    <w:p w:rsidR="002274A5" w:rsidRPr="0044370F" w:rsidRDefault="002274A5" w:rsidP="002274A5">
      <w:pPr>
        <w:pStyle w:val="a"/>
      </w:pPr>
      <w:proofErr w:type="spellStart"/>
      <w:r w:rsidRPr="0044370F">
        <w:t>Kanie</w:t>
      </w:r>
      <w:proofErr w:type="spellEnd"/>
      <w:r w:rsidRPr="0044370F">
        <w:t>, N. and Biermann, F. (2017). Governing through Goals: Sustainable Development Goals as Governance Innovation. Cambridge, MA: MIT Press</w:t>
      </w:r>
    </w:p>
    <w:p w:rsidR="002274A5" w:rsidRPr="0044370F" w:rsidRDefault="002274A5" w:rsidP="002274A5">
      <w:pPr>
        <w:pStyle w:val="a"/>
      </w:pPr>
      <w:r w:rsidRPr="0044370F">
        <w:t>Kaye, D. (2019) Speech Police: The Global Struggle to Govern the Internet. New Haven, CT: Yale University Press.</w:t>
      </w:r>
    </w:p>
    <w:p w:rsidR="002274A5" w:rsidRPr="0044370F" w:rsidRDefault="002274A5" w:rsidP="002274A5">
      <w:pPr>
        <w:pStyle w:val="a"/>
      </w:pPr>
      <w:r w:rsidRPr="0044370F">
        <w:t>Keller, J. &amp; Ringrose, J. (2020) ‘Platform Power and the Politics of Online Visibility: Making the Fitbit Binge Watch the Citizen’, New Media &amp; Society, 22(12), pp. 2160-2180</w:t>
      </w:r>
    </w:p>
    <w:p w:rsidR="002274A5" w:rsidRPr="0044370F" w:rsidRDefault="002274A5" w:rsidP="002274A5">
      <w:pPr>
        <w:pStyle w:val="a"/>
      </w:pPr>
      <w:r w:rsidRPr="0044370F">
        <w:t xml:space="preserve">Kelton, M., Sullivan, M., Rogers, Z., </w:t>
      </w:r>
      <w:proofErr w:type="spellStart"/>
      <w:r w:rsidRPr="0044370F">
        <w:t>Bienvenue</w:t>
      </w:r>
      <w:proofErr w:type="spellEnd"/>
      <w:r w:rsidRPr="0044370F">
        <w:t xml:space="preserve">, E., &amp; </w:t>
      </w:r>
      <w:proofErr w:type="spellStart"/>
      <w:r w:rsidRPr="0044370F">
        <w:t>Troath</w:t>
      </w:r>
      <w:proofErr w:type="spellEnd"/>
      <w:r w:rsidRPr="0044370F">
        <w:t>, S. (2022). ‘Virtual sovereignty? Private internet capital, digital platforms and infrastructural power in the United States’. International Affairs, 98(6), 1977-1999</w:t>
      </w:r>
    </w:p>
    <w:p w:rsidR="002274A5" w:rsidRPr="0044370F" w:rsidRDefault="002274A5" w:rsidP="002274A5">
      <w:pPr>
        <w:pStyle w:val="a"/>
      </w:pPr>
      <w:proofErr w:type="spellStart"/>
      <w:r w:rsidRPr="0044370F">
        <w:t>Kettemann</w:t>
      </w:r>
      <w:proofErr w:type="spellEnd"/>
      <w:r w:rsidRPr="0044370F">
        <w:t xml:space="preserve">, M. C. and </w:t>
      </w:r>
      <w:proofErr w:type="spellStart"/>
      <w:r w:rsidRPr="0044370F">
        <w:t>Lachmayer</w:t>
      </w:r>
      <w:proofErr w:type="spellEnd"/>
      <w:r w:rsidRPr="0044370F">
        <w:t>, K. (2019) ‘When Sovereignty Seems to Have Lost Its Meaning: The Case for Digital Constitutionalism’, Global Constitutionalism, 8(1), pp. 56-92.</w:t>
      </w:r>
    </w:p>
    <w:p w:rsidR="002274A5" w:rsidRPr="0044370F" w:rsidRDefault="002274A5" w:rsidP="002274A5">
      <w:pPr>
        <w:pStyle w:val="a"/>
      </w:pPr>
      <w:r w:rsidRPr="0044370F">
        <w:t xml:space="preserve">Khanna, P. (2016) </w:t>
      </w:r>
      <w:proofErr w:type="spellStart"/>
      <w:r w:rsidRPr="0044370F">
        <w:t>Connectography</w:t>
      </w:r>
      <w:proofErr w:type="spellEnd"/>
      <w:r w:rsidRPr="0044370F">
        <w:t>: Mapping the Future of Global Civilization. New York: Random House</w:t>
      </w:r>
    </w:p>
    <w:p w:rsidR="002274A5" w:rsidRPr="0044370F" w:rsidRDefault="002274A5" w:rsidP="002274A5">
      <w:pPr>
        <w:pStyle w:val="a"/>
      </w:pPr>
      <w:proofErr w:type="spellStart"/>
      <w:r w:rsidRPr="0044370F">
        <w:t>Kien</w:t>
      </w:r>
      <w:proofErr w:type="spellEnd"/>
      <w:r w:rsidRPr="0044370F">
        <w:t xml:space="preserve">, S. S. and </w:t>
      </w:r>
      <w:proofErr w:type="spellStart"/>
      <w:r w:rsidRPr="0044370F">
        <w:t>Tay</w:t>
      </w:r>
      <w:proofErr w:type="spellEnd"/>
      <w:r w:rsidRPr="0044370F">
        <w:t>-Yap, J. (2000) ‘Cultural Fits and Misfits: Is ERP a Universal Solution?’, Communications of the ACM, 43(4), pp. 47-51.</w:t>
      </w:r>
    </w:p>
    <w:p w:rsidR="002274A5" w:rsidRPr="0044370F" w:rsidRDefault="002274A5" w:rsidP="002274A5">
      <w:pPr>
        <w:pStyle w:val="a"/>
      </w:pPr>
      <w:proofErr w:type="spellStart"/>
      <w:r w:rsidRPr="0044370F">
        <w:t>Kindleberger</w:t>
      </w:r>
      <w:proofErr w:type="spellEnd"/>
      <w:r w:rsidRPr="0044370F">
        <w:t>, C. P. (1973). The World in Depression, 1929-1939. Berkeley: University of California Press.</w:t>
      </w:r>
    </w:p>
    <w:p w:rsidR="002274A5" w:rsidRPr="0044370F" w:rsidRDefault="002274A5" w:rsidP="002274A5">
      <w:pPr>
        <w:pStyle w:val="a"/>
      </w:pPr>
      <w:proofErr w:type="spellStart"/>
      <w:r w:rsidRPr="0044370F">
        <w:t>Klonick</w:t>
      </w:r>
      <w:proofErr w:type="spellEnd"/>
      <w:r w:rsidRPr="0044370F">
        <w:t>, K. (2018). ‘The New Governors: The People, Rules, and Processes Governing Online Speech’, Harvard Law Review, 131(6), pp. 1598-1670</w:t>
      </w:r>
    </w:p>
    <w:p w:rsidR="002274A5" w:rsidRPr="0044370F" w:rsidRDefault="002274A5" w:rsidP="002274A5">
      <w:pPr>
        <w:pStyle w:val="a"/>
      </w:pPr>
      <w:r w:rsidRPr="0044370F">
        <w:t>Krasner, S. D. (1999) Sovereignty: Organized Hypocrisy. Princeton, NJ: Princeton University Press.</w:t>
      </w:r>
    </w:p>
    <w:p w:rsidR="002274A5" w:rsidRPr="0044370F" w:rsidRDefault="002274A5" w:rsidP="002274A5">
      <w:pPr>
        <w:pStyle w:val="a"/>
      </w:pPr>
      <w:proofErr w:type="spellStart"/>
      <w:r w:rsidRPr="0044370F">
        <w:t>Kroes</w:t>
      </w:r>
      <w:proofErr w:type="spellEnd"/>
      <w:r w:rsidRPr="0044370F">
        <w:t xml:space="preserve">, N. (2013) ‘Internet Security: Strengthening Europe’s Digital Sovereignty’, Keynote Speech at the European Cyber Security Conference, Brussels, 19 </w:t>
      </w:r>
      <w:proofErr w:type="spellStart"/>
      <w:r w:rsidRPr="0044370F">
        <w:t>November.European</w:t>
      </w:r>
      <w:proofErr w:type="spellEnd"/>
      <w:r w:rsidRPr="0044370F">
        <w:t xml:space="preserve"> Commission. Available at: https://ec.europa.eu/commission/presscorner/detail/en/SPEECH_13_1025</w:t>
      </w:r>
    </w:p>
    <w:p w:rsidR="002274A5" w:rsidRPr="0044370F" w:rsidRDefault="002274A5" w:rsidP="002274A5">
      <w:pPr>
        <w:pStyle w:val="a"/>
      </w:pPr>
      <w:proofErr w:type="spellStart"/>
      <w:r w:rsidRPr="0044370F">
        <w:t>Kroes</w:t>
      </w:r>
      <w:proofErr w:type="spellEnd"/>
      <w:r w:rsidRPr="0044370F">
        <w:t xml:space="preserve">, R. (2013) ‘The Westphalian Settlement’, in </w:t>
      </w:r>
      <w:proofErr w:type="spellStart"/>
      <w:r w:rsidRPr="0044370F">
        <w:t>Nexon</w:t>
      </w:r>
      <w:proofErr w:type="spellEnd"/>
      <w:r w:rsidRPr="0044370F">
        <w:t>, D. H. &amp; Wright, J. (</w:t>
      </w:r>
      <w:proofErr w:type="spellStart"/>
      <w:r w:rsidRPr="0044370F">
        <w:t>eds</w:t>
      </w:r>
      <w:proofErr w:type="spellEnd"/>
      <w:r w:rsidRPr="0044370F">
        <w:t>) Individual Rights and the Making of the International System. Cambridge: Cambridge University Press, pp. 68-105</w:t>
      </w:r>
    </w:p>
    <w:p w:rsidR="002274A5" w:rsidRPr="0044370F" w:rsidRDefault="002274A5" w:rsidP="002274A5">
      <w:pPr>
        <w:pStyle w:val="a"/>
      </w:pPr>
      <w:proofErr w:type="spellStart"/>
      <w:r w:rsidRPr="0044370F">
        <w:lastRenderedPageBreak/>
        <w:t>Kurlantzick</w:t>
      </w:r>
      <w:proofErr w:type="spellEnd"/>
      <w:r w:rsidRPr="0044370F">
        <w:t>, J. (2024 update) ‘Is China’s Huawei a threat to U.S. national security?’, Council on Foreign Relations Backgrounder. Available at: https://www.cfr.org/backgrounder/chinas-huawei-threat-us-national-security (Accessed 31 August 2025).</w:t>
      </w:r>
    </w:p>
    <w:p w:rsidR="002274A5" w:rsidRPr="0044370F" w:rsidRDefault="002274A5" w:rsidP="002274A5">
      <w:pPr>
        <w:pStyle w:val="a"/>
      </w:pPr>
      <w:r w:rsidRPr="0044370F">
        <w:t>Lake, D. A. (2003) ‘The New Sovereignty in International Relations’, International Studies Review, 5(3), pp. 303-323.</w:t>
      </w:r>
    </w:p>
    <w:p w:rsidR="002274A5" w:rsidRPr="0044370F" w:rsidRDefault="002274A5" w:rsidP="002274A5">
      <w:pPr>
        <w:pStyle w:val="a"/>
      </w:pPr>
      <w:r w:rsidRPr="0044370F">
        <w:t>Lake, D. A. (2010) ‘Rightful Rules: Authority, Order, and the Foundations of Global Governance’, International Studies Quarterly, 54(3), pp. 587-613.</w:t>
      </w:r>
    </w:p>
    <w:p w:rsidR="002274A5" w:rsidRPr="0044370F" w:rsidRDefault="002274A5" w:rsidP="002274A5">
      <w:pPr>
        <w:pStyle w:val="a"/>
      </w:pPr>
      <w:proofErr w:type="spellStart"/>
      <w:r w:rsidRPr="0044370F">
        <w:t>Latour</w:t>
      </w:r>
      <w:proofErr w:type="spellEnd"/>
      <w:r w:rsidRPr="0044370F">
        <w:t>, B. (2005). Reassembling the Social: An Introduction to Actor-Network-Theory. Oxford: Oxford University Press.</w:t>
      </w:r>
    </w:p>
    <w:p w:rsidR="002274A5" w:rsidRPr="0044370F" w:rsidRDefault="002274A5" w:rsidP="002274A5">
      <w:pPr>
        <w:pStyle w:val="a"/>
      </w:pPr>
      <w:r w:rsidRPr="0044370F">
        <w:t>Law, J. (1992) ‘Notes on the Theory of the Actor-Network: Ordering, Strategy and Heterogeneity’, Systems Practice, 5(4), pp. 379-393.</w:t>
      </w:r>
    </w:p>
    <w:p w:rsidR="002274A5" w:rsidRPr="0044370F" w:rsidRDefault="002274A5" w:rsidP="002274A5">
      <w:pPr>
        <w:pStyle w:val="a"/>
      </w:pPr>
      <w:r w:rsidRPr="0044370F">
        <w:t>“Law of the Twelve Tables” (2025) Britannica. Available at: https://www.britannica.com/topic/Law-of-the-Twelve-Tables</w:t>
      </w:r>
    </w:p>
    <w:p w:rsidR="002274A5" w:rsidRPr="0044370F" w:rsidRDefault="002274A5" w:rsidP="002274A5">
      <w:pPr>
        <w:pStyle w:val="a"/>
      </w:pPr>
      <w:r w:rsidRPr="0044370F">
        <w:t>Lemke, T. (2019) Foucault’s Analysis of Modern Governmentality: A Critique of Political Reason. London: Verso Books.</w:t>
      </w:r>
    </w:p>
    <w:p w:rsidR="002274A5" w:rsidRPr="0044370F" w:rsidRDefault="002274A5" w:rsidP="002274A5">
      <w:pPr>
        <w:pStyle w:val="a"/>
      </w:pPr>
      <w:proofErr w:type="spellStart"/>
      <w:r w:rsidRPr="0044370F">
        <w:t>Leonardi</w:t>
      </w:r>
      <w:proofErr w:type="spellEnd"/>
      <w:r w:rsidRPr="0044370F">
        <w:t>, P.M. (2011) ‘When flexible routines meet flexible technologies: Affordance, constraint, and the imbrication of human and material agencies’, Organization Science, 22(2), pp. 400-417</w:t>
      </w:r>
    </w:p>
    <w:p w:rsidR="002274A5" w:rsidRPr="0044370F" w:rsidRDefault="002274A5" w:rsidP="002274A5">
      <w:pPr>
        <w:pStyle w:val="a"/>
      </w:pPr>
      <w:proofErr w:type="spellStart"/>
      <w:r w:rsidRPr="0044370F">
        <w:t>Lerman</w:t>
      </w:r>
      <w:proofErr w:type="spellEnd"/>
      <w:r w:rsidRPr="0044370F">
        <w:t xml:space="preserve">, R. (2017) ‘Jury awards </w:t>
      </w:r>
      <w:proofErr w:type="spellStart"/>
      <w:r w:rsidRPr="0044370F">
        <w:t>TMobile</w:t>
      </w:r>
      <w:proofErr w:type="spellEnd"/>
      <w:r w:rsidRPr="0044370F">
        <w:t xml:space="preserve"> $4.8M in </w:t>
      </w:r>
      <w:proofErr w:type="spellStart"/>
      <w:r w:rsidRPr="0044370F">
        <w:t>tradesecrets</w:t>
      </w:r>
      <w:proofErr w:type="spellEnd"/>
      <w:r w:rsidRPr="0044370F">
        <w:t xml:space="preserve"> case against Huawei’, </w:t>
      </w:r>
      <w:proofErr w:type="spellStart"/>
      <w:r w:rsidRPr="0044370F">
        <w:t>GeekWire</w:t>
      </w:r>
      <w:proofErr w:type="spellEnd"/>
      <w:r w:rsidRPr="0044370F">
        <w:t>, 18 May. Available at: https://www.geekwire.com/2017/jury-awards-t-mobile-4-8m-trade-secrets-case-huawei/ (Accessed 31 August 2025). (</w:t>
      </w:r>
      <w:proofErr w:type="spellStart"/>
      <w:r w:rsidRPr="0044370F">
        <w:t>GeekWire</w:t>
      </w:r>
      <w:proofErr w:type="spellEnd"/>
      <w:r w:rsidRPr="0044370F">
        <w:t>)</w:t>
      </w:r>
    </w:p>
    <w:p w:rsidR="002274A5" w:rsidRPr="0044370F" w:rsidRDefault="002274A5" w:rsidP="002274A5">
      <w:pPr>
        <w:pStyle w:val="a"/>
      </w:pPr>
      <w:proofErr w:type="spellStart"/>
      <w:r w:rsidRPr="0044370F">
        <w:t>Lessig</w:t>
      </w:r>
      <w:proofErr w:type="spellEnd"/>
      <w:r w:rsidRPr="0044370F">
        <w:t>, L. (1999) Code and Other Laws of Cyberspace. New York: Basic Books.</w:t>
      </w:r>
    </w:p>
    <w:p w:rsidR="002274A5" w:rsidRPr="0044370F" w:rsidRDefault="002274A5" w:rsidP="002274A5">
      <w:pPr>
        <w:pStyle w:val="a"/>
      </w:pPr>
      <w:proofErr w:type="spellStart"/>
      <w:r w:rsidRPr="0044370F">
        <w:t>Lessig</w:t>
      </w:r>
      <w:proofErr w:type="spellEnd"/>
      <w:r w:rsidRPr="0044370F">
        <w:t>, L. (2000). Code and Other Laws of Cyberspace. New York: Basic Books</w:t>
      </w:r>
    </w:p>
    <w:p w:rsidR="002274A5" w:rsidRPr="0044370F" w:rsidRDefault="002274A5" w:rsidP="002274A5">
      <w:pPr>
        <w:pStyle w:val="a"/>
      </w:pPr>
      <w:proofErr w:type="spellStart"/>
      <w:r w:rsidRPr="0044370F">
        <w:t>Lessig</w:t>
      </w:r>
      <w:proofErr w:type="spellEnd"/>
      <w:r w:rsidRPr="0044370F">
        <w:t>, L. (2006) Code: And Other Laws of Cyberspace, Version 2.0. New York: Basic Books</w:t>
      </w:r>
    </w:p>
    <w:p w:rsidR="002274A5" w:rsidRPr="0044370F" w:rsidRDefault="002274A5" w:rsidP="002274A5">
      <w:pPr>
        <w:pStyle w:val="a"/>
      </w:pPr>
      <w:r w:rsidRPr="0044370F">
        <w:t xml:space="preserve">LexisNexis </w:t>
      </w:r>
      <w:proofErr w:type="spellStart"/>
      <w:r w:rsidRPr="0044370F">
        <w:t>IPlytics</w:t>
      </w:r>
      <w:proofErr w:type="spellEnd"/>
      <w:r w:rsidRPr="0044370F">
        <w:t xml:space="preserve"> (</w:t>
      </w:r>
      <w:proofErr w:type="spellStart"/>
      <w:r w:rsidRPr="0044370F">
        <w:t>Pohlmann</w:t>
      </w:r>
      <w:proofErr w:type="spellEnd"/>
      <w:r w:rsidRPr="0044370F">
        <w:t>, T.) (2023) Who is Leading the 5G Patent Race? August 2023. Available at: https://www.lexisnexisip.com/wp-content/uploads/2023/10/Who-is-Leading-the-5G-Patent-Race.-IPlytics-August-2023.pdf (Accessed: 31 August 2025). (LexisNexis IP Solutions)</w:t>
      </w:r>
    </w:p>
    <w:p w:rsidR="002274A5" w:rsidRPr="0044370F" w:rsidRDefault="002274A5" w:rsidP="002274A5">
      <w:pPr>
        <w:pStyle w:val="a"/>
      </w:pPr>
      <w:r w:rsidRPr="0044370F">
        <w:t>Lindsay, J. R. (2020) ‘Digital Coercion and Great Power Competition’, Texas National Security Review, 3(4), pp. 10-32.</w:t>
      </w:r>
    </w:p>
    <w:p w:rsidR="002274A5" w:rsidRPr="0044370F" w:rsidRDefault="002274A5" w:rsidP="002274A5">
      <w:pPr>
        <w:pStyle w:val="a"/>
      </w:pPr>
      <w:r w:rsidRPr="0044370F">
        <w:t>Liu, H. (2021) ‘Huawei, 5G, and China’s Digital Silk Road: The Politics of Technological Sovereignty’, Global Policy, 12(S3), pp. 5-17.</w:t>
      </w:r>
    </w:p>
    <w:p w:rsidR="002274A5" w:rsidRPr="0044370F" w:rsidRDefault="002274A5" w:rsidP="002274A5">
      <w:pPr>
        <w:pStyle w:val="a"/>
      </w:pPr>
      <w:r w:rsidRPr="0044370F">
        <w:t>Los Angeles Times (2025), ‘Meta says it plans to build the world’s longest undersea internet cable’, LA Times, Feb 18, 2025.</w:t>
      </w:r>
    </w:p>
    <w:p w:rsidR="002274A5" w:rsidRPr="0044370F" w:rsidRDefault="002274A5" w:rsidP="002274A5">
      <w:pPr>
        <w:pStyle w:val="a"/>
      </w:pPr>
      <w:r w:rsidRPr="0044370F">
        <w:t>Mann, M. (1984) ‘The autonomous power of the state’, European Journal of Sociology, 25(2), pp. 185-213.</w:t>
      </w:r>
    </w:p>
    <w:p w:rsidR="002274A5" w:rsidRPr="0044370F" w:rsidRDefault="002274A5" w:rsidP="002274A5">
      <w:pPr>
        <w:pStyle w:val="a"/>
      </w:pPr>
      <w:proofErr w:type="spellStart"/>
      <w:r w:rsidRPr="0044370F">
        <w:t>Manokha</w:t>
      </w:r>
      <w:proofErr w:type="spellEnd"/>
      <w:r w:rsidRPr="0044370F">
        <w:t xml:space="preserve">, I. (2018) ‘Surveillance: The DNA of Platform Capital - The Case of Cambridge </w:t>
      </w:r>
      <w:proofErr w:type="spellStart"/>
      <w:r w:rsidRPr="0044370F">
        <w:t>Analytica</w:t>
      </w:r>
      <w:proofErr w:type="spellEnd"/>
      <w:r w:rsidRPr="0044370F">
        <w:t>’, Media, Culture &amp; Society</w:t>
      </w:r>
    </w:p>
    <w:p w:rsidR="002274A5" w:rsidRPr="0044370F" w:rsidRDefault="002274A5" w:rsidP="002274A5">
      <w:pPr>
        <w:pStyle w:val="a"/>
      </w:pPr>
      <w:r w:rsidRPr="0044370F">
        <w:lastRenderedPageBreak/>
        <w:t xml:space="preserve">Markus, M. L. and Tanis, C. (2000) ‘The Enterprise Systems Experience, From Adoption to Success’, in </w:t>
      </w:r>
      <w:proofErr w:type="spellStart"/>
      <w:r w:rsidRPr="0044370F">
        <w:t>Zmud</w:t>
      </w:r>
      <w:proofErr w:type="spellEnd"/>
      <w:r w:rsidRPr="0044370F">
        <w:t xml:space="preserve">, R. (ed.) Framing the Domains of IT Management. Cincinnati, OH: </w:t>
      </w:r>
      <w:proofErr w:type="spellStart"/>
      <w:r w:rsidRPr="0044370F">
        <w:t>Pinnaflex</w:t>
      </w:r>
      <w:proofErr w:type="spellEnd"/>
      <w:r w:rsidRPr="0044370F">
        <w:t>, pp. 173-207.</w:t>
      </w:r>
    </w:p>
    <w:p w:rsidR="002274A5" w:rsidRPr="0044370F" w:rsidRDefault="002274A5" w:rsidP="002274A5">
      <w:pPr>
        <w:pStyle w:val="a"/>
      </w:pPr>
      <w:proofErr w:type="spellStart"/>
      <w:r w:rsidRPr="0044370F">
        <w:t>Marres</w:t>
      </w:r>
      <w:proofErr w:type="spellEnd"/>
      <w:r w:rsidRPr="0044370F">
        <w:t>, N. (2017) Digital Sociology: The Reinvention of Social Research. Cambridge: Polity Press.</w:t>
      </w:r>
    </w:p>
    <w:p w:rsidR="002274A5" w:rsidRPr="0044370F" w:rsidRDefault="002274A5" w:rsidP="002274A5">
      <w:pPr>
        <w:pStyle w:val="a"/>
      </w:pPr>
      <w:r w:rsidRPr="0044370F">
        <w:t>Matten, D. and Crane, A. (2005) ‘Corporate Citizenship: Toward an Extended Theoretical Conceptualization’, Academy of Management Review, 30(1), pp. 166-179.</w:t>
      </w:r>
    </w:p>
    <w:p w:rsidR="002274A5" w:rsidRPr="0044370F" w:rsidRDefault="002274A5" w:rsidP="002274A5">
      <w:pPr>
        <w:pStyle w:val="a"/>
      </w:pPr>
      <w:r w:rsidRPr="0044370F">
        <w:t>Meta (2023). Meta’s Participation in the Christchurch Call and GIFCT. Meta Newsroom. Available at: https://about.meta.com/news/2023/10/meta-global-internet-governance/ [Accessed 2 Jul. 2025].</w:t>
      </w:r>
    </w:p>
    <w:p w:rsidR="002274A5" w:rsidRPr="0044370F" w:rsidRDefault="002274A5" w:rsidP="002274A5">
      <w:pPr>
        <w:pStyle w:val="a"/>
      </w:pPr>
      <w:r w:rsidRPr="0044370F">
        <w:t>Meta Transparency Center (2025) ‘Content Restrictions Based on Local Law – Germany’, Meta Transparency Center.</w:t>
      </w:r>
    </w:p>
    <w:p w:rsidR="002274A5" w:rsidRPr="0044370F" w:rsidRDefault="002274A5" w:rsidP="002274A5">
      <w:pPr>
        <w:pStyle w:val="a"/>
      </w:pPr>
      <w:r w:rsidRPr="0044370F">
        <w:t xml:space="preserve">Meta. (2024). Meta’s AI Research Advances with </w:t>
      </w:r>
      <w:proofErr w:type="spellStart"/>
      <w:r w:rsidRPr="0044370F">
        <w:t>LLaMA</w:t>
      </w:r>
      <w:proofErr w:type="spellEnd"/>
      <w:r w:rsidRPr="0044370F">
        <w:t xml:space="preserve"> 3. Meta AI Blog. Available at: https://ai.meta.com/blog/llama-3-meta-generative-ai-models [Accessed 2 Jul. 2025].</w:t>
      </w:r>
    </w:p>
    <w:p w:rsidR="002274A5" w:rsidRPr="0044370F" w:rsidRDefault="002274A5" w:rsidP="002274A5">
      <w:pPr>
        <w:pStyle w:val="a"/>
      </w:pPr>
      <w:r w:rsidRPr="0044370F">
        <w:t>Mishra, S. (2024). The Fluidity of World Order and Break from Past: Opportunities and Challenges. Social Development Issues, 46(1), 45-68.</w:t>
      </w:r>
    </w:p>
    <w:p w:rsidR="002274A5" w:rsidRPr="0044370F" w:rsidRDefault="002274A5" w:rsidP="002274A5">
      <w:pPr>
        <w:pStyle w:val="a"/>
      </w:pPr>
      <w:r w:rsidRPr="0044370F">
        <w:t xml:space="preserve">Mitchell, R. K., </w:t>
      </w:r>
      <w:proofErr w:type="spellStart"/>
      <w:r w:rsidRPr="0044370F">
        <w:t>Agle</w:t>
      </w:r>
      <w:proofErr w:type="spellEnd"/>
      <w:r w:rsidRPr="0044370F">
        <w:t>, B. R., &amp; Wood, D. J. (1997). Toward a theory of stakeholder identification and salience. Academy of Management Review, 22(4), 853-886</w:t>
      </w:r>
    </w:p>
    <w:p w:rsidR="002274A5" w:rsidRPr="0044370F" w:rsidRDefault="002274A5" w:rsidP="002274A5">
      <w:pPr>
        <w:pStyle w:val="a"/>
      </w:pPr>
      <w:r w:rsidRPr="0044370F">
        <w:t>MITRE (2021) ‘Securing Western leadership in global 5G standards and patents’ (Report PR210045), 12 February. Available at: https://www.mitre.org/sites/default/files/2021-08/pr-21-0045-securing-western-leadership-in-global-5g-standards-and-patents.pdf (Accessed 31 August 2025). (MITRE)</w:t>
      </w:r>
    </w:p>
    <w:p w:rsidR="002274A5" w:rsidRPr="0044370F" w:rsidRDefault="002274A5" w:rsidP="002274A5">
      <w:pPr>
        <w:pStyle w:val="a"/>
      </w:pPr>
      <w:r w:rsidRPr="0044370F">
        <w:t>Mobile World Live. (2024). Huawei tops worldwide telecom equipment revenue in 2023</w:t>
      </w:r>
    </w:p>
    <w:p w:rsidR="002274A5" w:rsidRPr="0044370F" w:rsidRDefault="002274A5" w:rsidP="002274A5">
      <w:pPr>
        <w:pStyle w:val="a"/>
      </w:pPr>
      <w:r w:rsidRPr="0044370F">
        <w:t>Morgan, H. (2022), ‘Conducting a Qualitative Document Analysis’, The Qualitative Report, Jan 2022</w:t>
      </w:r>
    </w:p>
    <w:p w:rsidR="002274A5" w:rsidRPr="0044370F" w:rsidRDefault="002274A5" w:rsidP="002274A5">
      <w:pPr>
        <w:pStyle w:val="a"/>
      </w:pPr>
      <w:r w:rsidRPr="0044370F">
        <w:t>Morin, J.F. and Young, O. (2013). ‘Regime complexes: A buzz, a boom, or a boost for global governance?’, Global Governance, 19(1), pp. 27-39.</w:t>
      </w:r>
    </w:p>
    <w:p w:rsidR="002274A5" w:rsidRPr="0044370F" w:rsidRDefault="002274A5" w:rsidP="002274A5">
      <w:pPr>
        <w:pStyle w:val="a"/>
      </w:pPr>
      <w:proofErr w:type="spellStart"/>
      <w:r w:rsidRPr="0044370F">
        <w:t>Musiani</w:t>
      </w:r>
      <w:proofErr w:type="spellEnd"/>
      <w:r w:rsidRPr="0044370F">
        <w:t xml:space="preserve">, F., </w:t>
      </w:r>
      <w:proofErr w:type="spellStart"/>
      <w:r w:rsidRPr="0044370F">
        <w:t>Cogburn</w:t>
      </w:r>
      <w:proofErr w:type="spellEnd"/>
      <w:r w:rsidRPr="0044370F">
        <w:t xml:space="preserve">, D. L., </w:t>
      </w:r>
      <w:proofErr w:type="spellStart"/>
      <w:r w:rsidRPr="0044370F">
        <w:t>DeNardis</w:t>
      </w:r>
      <w:proofErr w:type="spellEnd"/>
      <w:r w:rsidRPr="0044370F">
        <w:t>, L. and Levinson, N. S. (</w:t>
      </w:r>
      <w:proofErr w:type="spellStart"/>
      <w:r w:rsidRPr="0044370F">
        <w:t>eds</w:t>
      </w:r>
      <w:proofErr w:type="spellEnd"/>
      <w:r w:rsidRPr="0044370F">
        <w:t>) (2016) The Turn to Infrastructure in Internet Governance. New York: Palgrave Macmillan.</w:t>
      </w:r>
    </w:p>
    <w:p w:rsidR="002274A5" w:rsidRPr="0044370F" w:rsidRDefault="002274A5" w:rsidP="002274A5">
      <w:pPr>
        <w:pStyle w:val="a"/>
      </w:pPr>
      <w:r w:rsidRPr="0044370F">
        <w:t>Myers West, S. (2018) ‘Internet Governance and the Privatization of Human Rights: Facebook’s Oversight Board’, Telecommunications Policy, 42(4), pp. 315-324.</w:t>
      </w:r>
    </w:p>
    <w:p w:rsidR="002274A5" w:rsidRPr="0044370F" w:rsidRDefault="002274A5" w:rsidP="002274A5">
      <w:pPr>
        <w:pStyle w:val="a"/>
      </w:pPr>
      <w:r w:rsidRPr="0044370F">
        <w:t>Nairobi Bureau (2025). ‘Kenyan Court Accepts Jurisdiction in Case Against Meta’. The East African, 22 January. Available at: https://www.theeastafrican.co.ke/kenya/news/meta-lawsuit-kenya-2025 (Accessed: 6 August 2025)</w:t>
      </w:r>
    </w:p>
    <w:p w:rsidR="002274A5" w:rsidRPr="0044370F" w:rsidRDefault="002274A5" w:rsidP="002274A5">
      <w:pPr>
        <w:pStyle w:val="a"/>
      </w:pPr>
      <w:r w:rsidRPr="0044370F">
        <w:t>Network World (Dunn, J.E.) (2025) ‘SAP data sovereignty service lets customers run cloud workloads inside their data centers’, 2 September. Available at: https://www.networkworld.com/article/4050008/sap-data-sovereignty-service-lets-customers-run-cloud-workloads-inside-their-data-centers.html (Accessed: 21 October 2025).</w:t>
      </w:r>
    </w:p>
    <w:p w:rsidR="002274A5" w:rsidRPr="0044370F" w:rsidRDefault="002274A5" w:rsidP="002274A5">
      <w:pPr>
        <w:pStyle w:val="a"/>
      </w:pPr>
      <w:r w:rsidRPr="0044370F">
        <w:t>Newnham, E. (2014). Birth control: Power/knowledge in the politics of birth. Health Sociology Review, 23(3), 254-268.</w:t>
      </w:r>
    </w:p>
    <w:p w:rsidR="002274A5" w:rsidRPr="0044370F" w:rsidRDefault="002274A5" w:rsidP="002274A5">
      <w:pPr>
        <w:pStyle w:val="a"/>
      </w:pPr>
      <w:r w:rsidRPr="0044370F">
        <w:lastRenderedPageBreak/>
        <w:t>Nikkei / Reuters (2020). TSMC stops taking new orders from Huawei after U.S. export control move</w:t>
      </w:r>
    </w:p>
    <w:p w:rsidR="002274A5" w:rsidRPr="0044370F" w:rsidRDefault="002274A5" w:rsidP="002274A5">
      <w:pPr>
        <w:pStyle w:val="a"/>
      </w:pPr>
      <w:proofErr w:type="spellStart"/>
      <w:r w:rsidRPr="0044370F">
        <w:t>Nowell</w:t>
      </w:r>
      <w:proofErr w:type="spellEnd"/>
      <w:r w:rsidRPr="0044370F">
        <w:t xml:space="preserve">, L.S., Norris, J.M., White, D.E. and </w:t>
      </w:r>
      <w:proofErr w:type="spellStart"/>
      <w:r w:rsidRPr="0044370F">
        <w:t>Moules</w:t>
      </w:r>
      <w:proofErr w:type="spellEnd"/>
      <w:r w:rsidRPr="0044370F">
        <w:t>, N.J. (2017), ‘Thematic Analysis: Striving to Meet the Trustworthiness Criteria’, International Journal of Qualitative Methods.</w:t>
      </w:r>
    </w:p>
    <w:p w:rsidR="002274A5" w:rsidRPr="0044370F" w:rsidRDefault="002274A5" w:rsidP="002274A5">
      <w:pPr>
        <w:pStyle w:val="a"/>
      </w:pPr>
      <w:r w:rsidRPr="0044370F">
        <w:t xml:space="preserve">Nye, J. S. (2004) Soft Power: The Means to Success in World Politics. New York: </w:t>
      </w:r>
      <w:proofErr w:type="spellStart"/>
      <w:r w:rsidRPr="0044370F">
        <w:t>PublicAffairs</w:t>
      </w:r>
      <w:proofErr w:type="spellEnd"/>
    </w:p>
    <w:p w:rsidR="002274A5" w:rsidRPr="0044370F" w:rsidRDefault="002274A5" w:rsidP="002274A5">
      <w:pPr>
        <w:pStyle w:val="a"/>
      </w:pPr>
      <w:r w:rsidRPr="0044370F">
        <w:t>Nye, J. S. (2017) ‘Cyber Power and the Challenge of Global Governance’, Ethics &amp; International Affairs, 31(1), pp. 9-22.</w:t>
      </w:r>
    </w:p>
    <w:p w:rsidR="002274A5" w:rsidRPr="0044370F" w:rsidRDefault="002274A5" w:rsidP="002274A5">
      <w:pPr>
        <w:pStyle w:val="a"/>
      </w:pPr>
      <w:r w:rsidRPr="0044370F">
        <w:t>Nye, J. S. (2021) ‘Power and Interdependence with China in the Twenty-First Century’, The Washington Quarterly, 44(1), pp. 7-22.</w:t>
      </w:r>
    </w:p>
    <w:p w:rsidR="002274A5" w:rsidRPr="0044370F" w:rsidRDefault="002274A5" w:rsidP="002274A5">
      <w:pPr>
        <w:pStyle w:val="a"/>
      </w:pPr>
      <w:r w:rsidRPr="0044370F">
        <w:t>O'Kane, R. (2022) ‘Meta’s Private Speech Governance and the Role of the Oversight Board: Lessons from the Board’s First Decisions’, Stanford Technology Law Review, 25 STLR 167</w:t>
      </w:r>
    </w:p>
    <w:p w:rsidR="002274A5" w:rsidRPr="0044370F" w:rsidRDefault="002274A5" w:rsidP="002274A5">
      <w:pPr>
        <w:pStyle w:val="a"/>
      </w:pPr>
      <w:r w:rsidRPr="0044370F">
        <w:t>OECD (2019) The OECD Digital Government Policy Framework: Six dimensions of a Digital Government. Paris: OECD Publishing</w:t>
      </w:r>
    </w:p>
    <w:p w:rsidR="002274A5" w:rsidRPr="0044370F" w:rsidRDefault="002274A5" w:rsidP="002274A5">
      <w:pPr>
        <w:pStyle w:val="a"/>
      </w:pPr>
      <w:r w:rsidRPr="0044370F">
        <w:t>Office of the Director, Operational Test and Evaluation (DoD) (2013) Navy Enterprise Resource Planning (ERP), FY2013 Annual Report. Washington, DC: U.S. DoD. Available at: https://www.dote.osd.mil/Portals/97/pub/reports/FY2013/navy/2013nerp.pdf (Accessed: 5 October 2025)</w:t>
      </w:r>
    </w:p>
    <w:p w:rsidR="002274A5" w:rsidRPr="0044370F" w:rsidRDefault="002274A5" w:rsidP="002274A5">
      <w:pPr>
        <w:pStyle w:val="a"/>
      </w:pPr>
      <w:proofErr w:type="spellStart"/>
      <w:r w:rsidRPr="0044370F">
        <w:t>Okoli</w:t>
      </w:r>
      <w:proofErr w:type="spellEnd"/>
      <w:r w:rsidRPr="0044370F">
        <w:t xml:space="preserve">, </w:t>
      </w:r>
      <w:proofErr w:type="spellStart"/>
      <w:r w:rsidRPr="0044370F">
        <w:t>Chitu</w:t>
      </w:r>
      <w:proofErr w:type="spellEnd"/>
      <w:r w:rsidRPr="0044370F">
        <w:t xml:space="preserve"> (2015) "A Guide to Conducting a Standalone Systematic Literature Review," Communications of the Association for Information Systems: Vol. 37, Article 43.</w:t>
      </w:r>
    </w:p>
    <w:p w:rsidR="002274A5" w:rsidRPr="0044370F" w:rsidRDefault="002274A5" w:rsidP="002274A5">
      <w:pPr>
        <w:pStyle w:val="a"/>
      </w:pPr>
      <w:proofErr w:type="spellStart"/>
      <w:r w:rsidRPr="0044370F">
        <w:t>Osiander</w:t>
      </w:r>
      <w:proofErr w:type="spellEnd"/>
      <w:r w:rsidRPr="0044370F">
        <w:t>, A. (2001) ‘Sovereignty, International Relations, and the Westphalian Myth’, International Organization, 55(2), pp. 251-287.</w:t>
      </w:r>
    </w:p>
    <w:p w:rsidR="002274A5" w:rsidRPr="0044370F" w:rsidRDefault="002274A5" w:rsidP="002274A5">
      <w:pPr>
        <w:pStyle w:val="a"/>
      </w:pPr>
      <w:r w:rsidRPr="0044370F">
        <w:t xml:space="preserve">other times they resist or negotiate. The fact that companies can negotiate with sovereign governments (for example, over how local laws apply to their global platforms) hints at a peer-like relationship rather than a subordinate one. See </w:t>
      </w:r>
      <w:proofErr w:type="spellStart"/>
      <w:r w:rsidRPr="0044370F">
        <w:t>Makridis</w:t>
      </w:r>
      <w:proofErr w:type="spellEnd"/>
      <w:r w:rsidRPr="0044370F">
        <w:t xml:space="preserve">, C. A. (2024) ‘The Big Tech Antitrust Paradox’, Stanford Law Review, 77(1), pp. 71-113, and Jahangir, R. (2025) ‘Tracking Recent Statements on the Enforcement of EU Tech Laws’, </w:t>
      </w:r>
      <w:proofErr w:type="spellStart"/>
      <w:r w:rsidRPr="0044370F">
        <w:t>TechPolicy.Press</w:t>
      </w:r>
      <w:proofErr w:type="spellEnd"/>
      <w:r w:rsidRPr="0044370F">
        <w:t>, 13 March. Available at: https://www.techpolicy.press/tracking-recent-statements-on-the-enforcement-of-eu-tech-laws</w:t>
      </w:r>
    </w:p>
    <w:p w:rsidR="002274A5" w:rsidRPr="0044370F" w:rsidRDefault="002274A5" w:rsidP="002274A5">
      <w:pPr>
        <w:pStyle w:val="a"/>
      </w:pPr>
      <w:r w:rsidRPr="0044370F">
        <w:t>Oversight Board (2021) ‘Former President Trump’s suspension’, Oversight Board Decision, 5 May. Available at: https://oversightboard.com/decision/fb-691qamhj</w:t>
      </w:r>
    </w:p>
    <w:p w:rsidR="002274A5" w:rsidRPr="0044370F" w:rsidRDefault="002274A5" w:rsidP="002274A5">
      <w:pPr>
        <w:pStyle w:val="a"/>
      </w:pPr>
      <w:r w:rsidRPr="0044370F">
        <w:t xml:space="preserve">O’Leary, Z. (2014), The Essential Guide to Doing Your Research Project, 2nd </w:t>
      </w:r>
      <w:proofErr w:type="spellStart"/>
      <w:r w:rsidRPr="0044370F">
        <w:t>edn</w:t>
      </w:r>
      <w:proofErr w:type="spellEnd"/>
      <w:r w:rsidRPr="0044370F">
        <w:t>, SAGE, Thousand Oaks, CA</w:t>
      </w:r>
    </w:p>
    <w:p w:rsidR="002274A5" w:rsidRPr="0044370F" w:rsidRDefault="002274A5" w:rsidP="002274A5">
      <w:pPr>
        <w:pStyle w:val="a"/>
      </w:pPr>
      <w:proofErr w:type="spellStart"/>
      <w:r w:rsidRPr="0044370F">
        <w:t>Parola</w:t>
      </w:r>
      <w:proofErr w:type="spellEnd"/>
      <w:r w:rsidRPr="0044370F">
        <w:t xml:space="preserve"> Analytics (2025) 5G Standard Essential Patents: Key Players and Trends, </w:t>
      </w:r>
      <w:proofErr w:type="spellStart"/>
      <w:r w:rsidRPr="0044370F">
        <w:t>Parola</w:t>
      </w:r>
      <w:proofErr w:type="spellEnd"/>
      <w:r w:rsidRPr="0044370F">
        <w:t xml:space="preserve"> Analytics Blog, May.</w:t>
      </w:r>
    </w:p>
    <w:p w:rsidR="002274A5" w:rsidRPr="0044370F" w:rsidRDefault="002274A5" w:rsidP="002274A5">
      <w:pPr>
        <w:pStyle w:val="a"/>
      </w:pPr>
      <w:r w:rsidRPr="0044370F">
        <w:t xml:space="preserve">Pearson, M., </w:t>
      </w:r>
      <w:proofErr w:type="spellStart"/>
      <w:r w:rsidRPr="0044370F">
        <w:t>Rithmire</w:t>
      </w:r>
      <w:proofErr w:type="spellEnd"/>
      <w:r w:rsidRPr="0044370F">
        <w:t>, M. and Tsai, K.S. (2021) ‘</w:t>
      </w:r>
      <w:proofErr w:type="spellStart"/>
      <w:r w:rsidRPr="0044370F">
        <w:t>PartyState</w:t>
      </w:r>
      <w:proofErr w:type="spellEnd"/>
      <w:r w:rsidRPr="0044370F">
        <w:t xml:space="preserve"> Capitalism in China’, Current History, 120(827), pp. 207-213. Available at: https://www.hbs.edu/ris/Publication%20Files/CURH120827_01_Pearson_4ea34a0b-21d5-45af-a51a-c938eeeb6380.pdf (Accessed: 31 August 2025). (Harvard Business School)</w:t>
      </w:r>
    </w:p>
    <w:p w:rsidR="002274A5" w:rsidRPr="0044370F" w:rsidRDefault="002274A5" w:rsidP="002274A5">
      <w:pPr>
        <w:pStyle w:val="a"/>
      </w:pPr>
      <w:proofErr w:type="spellStart"/>
      <w:r w:rsidRPr="0044370F">
        <w:lastRenderedPageBreak/>
        <w:t>Pierucci</w:t>
      </w:r>
      <w:proofErr w:type="spellEnd"/>
      <w:r w:rsidRPr="0044370F">
        <w:t>, F. (2025) ‘Contextual Digital Sovereignty: Domain-Specific Authority in the Age of Platforms and Strategic Technologies’, Digital Society, 4, article 31.</w:t>
      </w:r>
    </w:p>
    <w:p w:rsidR="002274A5" w:rsidRPr="0044370F" w:rsidRDefault="002274A5" w:rsidP="002274A5">
      <w:pPr>
        <w:pStyle w:val="a"/>
      </w:pPr>
      <w:proofErr w:type="spellStart"/>
      <w:r w:rsidRPr="0044370F">
        <w:t>Pierucci</w:t>
      </w:r>
      <w:proofErr w:type="spellEnd"/>
      <w:r w:rsidRPr="0044370F">
        <w:t>, F. (2025) ‘Hybrid and Distributed Digital Sovereignty: Rethinking Authority in the Age of Platforms and Strategic Technologies’, Digital Society, 4, article 27.</w:t>
      </w:r>
    </w:p>
    <w:p w:rsidR="002274A5" w:rsidRPr="0044370F" w:rsidRDefault="002274A5" w:rsidP="002274A5">
      <w:pPr>
        <w:pStyle w:val="a"/>
      </w:pPr>
      <w:r w:rsidRPr="0044370F">
        <w:t xml:space="preserve">Ping, J. (2013). The path to harmonious regionalism: Negotiation, </w:t>
      </w:r>
      <w:proofErr w:type="spellStart"/>
      <w:r w:rsidRPr="0044370F">
        <w:t>institutionalisation</w:t>
      </w:r>
      <w:proofErr w:type="spellEnd"/>
      <w:r w:rsidRPr="0044370F">
        <w:t xml:space="preserve"> and consent-based hegemony.</w:t>
      </w:r>
    </w:p>
    <w:p w:rsidR="002274A5" w:rsidRPr="0044370F" w:rsidRDefault="002274A5" w:rsidP="002274A5">
      <w:pPr>
        <w:pStyle w:val="a"/>
      </w:pPr>
      <w:proofErr w:type="spellStart"/>
      <w:r w:rsidRPr="0044370F">
        <w:t>Pistor</w:t>
      </w:r>
      <w:proofErr w:type="spellEnd"/>
      <w:r w:rsidRPr="0044370F">
        <w:t>, K. (2019) The Code of Capital: How the Law Creates Wealth and Inequality. Princeton, NJ: Princeton University Press.</w:t>
      </w:r>
    </w:p>
    <w:p w:rsidR="002274A5" w:rsidRPr="0044370F" w:rsidRDefault="002274A5" w:rsidP="002274A5">
      <w:pPr>
        <w:pStyle w:val="a"/>
      </w:pPr>
      <w:proofErr w:type="spellStart"/>
      <w:r w:rsidRPr="0044370F">
        <w:t>Plantin</w:t>
      </w:r>
      <w:proofErr w:type="spellEnd"/>
      <w:r w:rsidRPr="0044370F">
        <w:t xml:space="preserve">, J.-C., </w:t>
      </w:r>
      <w:proofErr w:type="spellStart"/>
      <w:r w:rsidRPr="0044370F">
        <w:t>Lagoze</w:t>
      </w:r>
      <w:proofErr w:type="spellEnd"/>
      <w:r w:rsidRPr="0044370F">
        <w:t xml:space="preserve">, C., Edwards, P. N. and </w:t>
      </w:r>
      <w:proofErr w:type="spellStart"/>
      <w:r w:rsidRPr="0044370F">
        <w:t>Sandvig</w:t>
      </w:r>
      <w:proofErr w:type="spellEnd"/>
      <w:r w:rsidRPr="0044370F">
        <w:t>, C. (2018) ‘Infrastructure Studies Meet Platform Studies in the Age of Google and Facebook’, New Media &amp; Society, 20(1), pp. 293-310</w:t>
      </w:r>
    </w:p>
    <w:p w:rsidR="002274A5" w:rsidRPr="0044370F" w:rsidRDefault="002274A5" w:rsidP="002274A5">
      <w:pPr>
        <w:pStyle w:val="a"/>
      </w:pPr>
      <w:proofErr w:type="spellStart"/>
      <w:r w:rsidRPr="0044370F">
        <w:t>Pohle</w:t>
      </w:r>
      <w:proofErr w:type="spellEnd"/>
      <w:r w:rsidRPr="0044370F">
        <w:t>, J. and Thiel, T. (2020) ‘Digital Sovereignty’, Internet Policy Review, 9(4).</w:t>
      </w:r>
    </w:p>
    <w:p w:rsidR="002274A5" w:rsidRPr="0044370F" w:rsidRDefault="002274A5" w:rsidP="002274A5">
      <w:pPr>
        <w:pStyle w:val="a"/>
      </w:pPr>
      <w:r w:rsidRPr="0044370F">
        <w:t>Policy Review (2016) ‘Internet governance as ideology in practice, India’s Free Basics controversy’, Policy Review</w:t>
      </w:r>
    </w:p>
    <w:p w:rsidR="002274A5" w:rsidRPr="0044370F" w:rsidRDefault="002274A5" w:rsidP="002274A5">
      <w:pPr>
        <w:pStyle w:val="a"/>
      </w:pPr>
      <w:r w:rsidRPr="0044370F">
        <w:t>Politico (2023). Inside Nick Clegg’s Role as Meta’s Foreign Minister. Politico EU, 20 October. Available at: https://www.politico.eu/article/meta-nick-clegg-digital-diplomacy/ [Accessed 2 Jul. 2025].</w:t>
      </w:r>
    </w:p>
    <w:p w:rsidR="002274A5" w:rsidRPr="0044370F" w:rsidRDefault="002274A5" w:rsidP="007455E0">
      <w:pPr>
        <w:pStyle w:val="a"/>
      </w:pPr>
      <w:r w:rsidRPr="0044370F">
        <w:t xml:space="preserve">Pollock, N. and Williams, R. (2008) Software and </w:t>
      </w:r>
      <w:proofErr w:type="spellStart"/>
      <w:r w:rsidRPr="0044370F">
        <w:t>Organisations</w:t>
      </w:r>
      <w:proofErr w:type="spellEnd"/>
      <w:r w:rsidRPr="0044370F">
        <w:t>: The Biography of the Enterprise-Wide System or How SAP Conquered the World. London: Routledge</w:t>
      </w:r>
      <w:r w:rsidR="00396349" w:rsidRPr="0044370F">
        <w:t>, and</w:t>
      </w:r>
      <w:r w:rsidRPr="0044370F">
        <w:t xml:space="preserve"> European Commission (2020) The Digital Economy and Society Index (DESI). Brussels: European Commission</w:t>
      </w:r>
    </w:p>
    <w:p w:rsidR="002274A5" w:rsidRPr="0044370F" w:rsidRDefault="002274A5" w:rsidP="002274A5">
      <w:pPr>
        <w:pStyle w:val="a"/>
      </w:pPr>
      <w:r w:rsidRPr="0044370F">
        <w:t xml:space="preserve">Pollock, N. and Williams, R. (2009) Software and </w:t>
      </w:r>
      <w:proofErr w:type="spellStart"/>
      <w:r w:rsidRPr="0044370F">
        <w:t>Organisations</w:t>
      </w:r>
      <w:proofErr w:type="spellEnd"/>
      <w:r w:rsidRPr="0044370F">
        <w:t xml:space="preserve">: The Biography of the </w:t>
      </w:r>
      <w:proofErr w:type="spellStart"/>
      <w:r w:rsidRPr="0044370F">
        <w:t>EnterpriseWide</w:t>
      </w:r>
      <w:proofErr w:type="spellEnd"/>
      <w:r w:rsidRPr="0044370F">
        <w:t xml:space="preserve"> System or How SAP Conquered the World. London: Routledge.</w:t>
      </w:r>
    </w:p>
    <w:p w:rsidR="002274A5" w:rsidRPr="0044370F" w:rsidRDefault="002274A5" w:rsidP="002274A5">
      <w:pPr>
        <w:pStyle w:val="a"/>
      </w:pPr>
      <w:r w:rsidRPr="0044370F">
        <w:t>Porter, M.E. (1979), How Competitive Forces Shape Strategy, Harvard Business Review, 57(2), pp.137-145</w:t>
      </w:r>
    </w:p>
    <w:p w:rsidR="002274A5" w:rsidRPr="0044370F" w:rsidRDefault="002274A5" w:rsidP="002274A5">
      <w:pPr>
        <w:pStyle w:val="a"/>
      </w:pPr>
      <w:r w:rsidRPr="0044370F">
        <w:t>Porter, M.E. (2008), The Five Competitive Forces That Shape Strategy, Harvard Business Review, 86(1), pp.78-93</w:t>
      </w:r>
    </w:p>
    <w:p w:rsidR="002274A5" w:rsidRPr="0044370F" w:rsidRDefault="002274A5" w:rsidP="002274A5">
      <w:pPr>
        <w:pStyle w:val="a"/>
      </w:pPr>
      <w:proofErr w:type="spellStart"/>
      <w:r w:rsidRPr="0044370F">
        <w:t>Prenga</w:t>
      </w:r>
      <w:proofErr w:type="spellEnd"/>
      <w:r w:rsidRPr="0044370F">
        <w:t>, K. (2024) ‘AI regulation in the EU, the US and China: A lexical and qualitative analysis’, Journal of Ethics and Legal Technologies, 6(2), pp.64-78</w:t>
      </w:r>
    </w:p>
    <w:p w:rsidR="002274A5" w:rsidRPr="0044370F" w:rsidRDefault="002274A5" w:rsidP="002274A5">
      <w:pPr>
        <w:pStyle w:val="a"/>
      </w:pPr>
      <w:r w:rsidRPr="0044370F">
        <w:t>Ramachandran, J. and Pant, A. (2010) ‘The liabilities of origin: An emerging economy perspective on the costs of doing business’, Asia Pacific Journal of Management, 27(2), pp. 291-310.</w:t>
      </w:r>
    </w:p>
    <w:p w:rsidR="002274A5" w:rsidRPr="0044370F" w:rsidRDefault="002274A5" w:rsidP="002274A5">
      <w:pPr>
        <w:pStyle w:val="a"/>
      </w:pPr>
      <w:proofErr w:type="spellStart"/>
      <w:r w:rsidRPr="0044370F">
        <w:t>Rasche</w:t>
      </w:r>
      <w:proofErr w:type="spellEnd"/>
      <w:r w:rsidRPr="0044370F">
        <w:t>, A. (2009) ‘“A necessary supplement”: What the United Nations Global Compact is and is not’, Business and Society, 48(4), pp. 511-537.</w:t>
      </w:r>
    </w:p>
    <w:p w:rsidR="002274A5" w:rsidRPr="0044370F" w:rsidRDefault="002274A5" w:rsidP="002274A5">
      <w:pPr>
        <w:pStyle w:val="a"/>
      </w:pPr>
      <w:proofErr w:type="spellStart"/>
      <w:r w:rsidRPr="0044370F">
        <w:t>Rasche</w:t>
      </w:r>
      <w:proofErr w:type="spellEnd"/>
      <w:r w:rsidRPr="0044370F">
        <w:t>, A. (2015). ‘The Corporation as a Political Actor, European and North American Perspectives’. European Management Journal, 33(1), 4-8.</w:t>
      </w:r>
    </w:p>
    <w:p w:rsidR="002274A5" w:rsidRPr="0044370F" w:rsidRDefault="002274A5" w:rsidP="002274A5">
      <w:pPr>
        <w:pStyle w:val="a"/>
      </w:pPr>
      <w:proofErr w:type="spellStart"/>
      <w:r w:rsidRPr="0044370F">
        <w:t>Renna</w:t>
      </w:r>
      <w:proofErr w:type="spellEnd"/>
      <w:r w:rsidRPr="0044370F">
        <w:t>, T. (2015) ‘“The Holy Roman Empire was Neither Holy nor Roman nor an Empire.”: Voltaire’s famous quip and the historical reality’, Michigan Academician, 42(1), pp. 60–75.</w:t>
      </w:r>
    </w:p>
    <w:p w:rsidR="002274A5" w:rsidRPr="0044370F" w:rsidRDefault="002274A5" w:rsidP="002274A5">
      <w:pPr>
        <w:pStyle w:val="a"/>
      </w:pPr>
      <w:r w:rsidRPr="0044370F">
        <w:lastRenderedPageBreak/>
        <w:t>Reuters (2025) ‘Russian billionaire says replacement of SAP software is costly but essential’. 3 June. Accessed 21 October 2025.</w:t>
      </w:r>
    </w:p>
    <w:p w:rsidR="002274A5" w:rsidRPr="0044370F" w:rsidRDefault="002274A5" w:rsidP="002274A5">
      <w:pPr>
        <w:pStyle w:val="a"/>
      </w:pPr>
      <w:r w:rsidRPr="0044370F">
        <w:t>Reuters, 16 Sept 2020). Available at: https://www.reuters.com (Accessed 31 August 2025). (</w:t>
      </w:r>
      <w:proofErr w:type="spellStart"/>
      <w:r w:rsidRPr="0044370F">
        <w:t>huawei</w:t>
      </w:r>
      <w:proofErr w:type="spellEnd"/>
      <w:r w:rsidRPr="0044370F">
        <w:t>, Times Higher Education (THE))</w:t>
      </w:r>
    </w:p>
    <w:p w:rsidR="002274A5" w:rsidRPr="0044370F" w:rsidRDefault="002274A5" w:rsidP="002274A5">
      <w:pPr>
        <w:pStyle w:val="a"/>
      </w:pPr>
      <w:r w:rsidRPr="0044370F">
        <w:t>Reuters (2019) ‘Huawei willing to sign “</w:t>
      </w:r>
      <w:proofErr w:type="spellStart"/>
      <w:r w:rsidRPr="0044370F">
        <w:t>nospy</w:t>
      </w:r>
      <w:proofErr w:type="spellEnd"/>
      <w:r w:rsidRPr="0044370F">
        <w:t>” pacts with governments-chairman’, 14 May. Available at: https://www.reuters.com/article/world/huawei-willing-to-sign-no-spy-pacts-with-governments-chairman-idUSKCN1SK1HH/ (Accessed 31 August 2025). (Reuters)</w:t>
      </w:r>
    </w:p>
    <w:p w:rsidR="002274A5" w:rsidRPr="0044370F" w:rsidRDefault="002274A5" w:rsidP="002274A5">
      <w:pPr>
        <w:pStyle w:val="a"/>
      </w:pPr>
      <w:r w:rsidRPr="0044370F">
        <w:t>Reuters (2019b). Despite political headwinds, Huawei wins 5G customers in Europe. 18 October. Available at: https://www.reuters.com/article/technology/despite-political-headwinds-huawei-wins-5g-customers-in-europe-idUSKBN1WU2G2/ (Accessed 31 August 2025). (Reuters)</w:t>
      </w:r>
    </w:p>
    <w:p w:rsidR="002274A5" w:rsidRPr="0044370F" w:rsidRDefault="002274A5" w:rsidP="002274A5">
      <w:pPr>
        <w:pStyle w:val="a"/>
      </w:pPr>
      <w:r w:rsidRPr="0044370F">
        <w:t>Reuters (2020) ‘U.S. judge rejects Huawei challenge to federal law restricting its business’, 18 February. Available at: https://www.reuters.com/article/us-usa-china-huawei-tech/us-judge-rejects-huawei-challenge-to-federal-law-restricting-its-business-idUSKBN20C2M9 (Accessed 31 August 2025).</w:t>
      </w:r>
    </w:p>
    <w:p w:rsidR="002274A5" w:rsidRPr="0044370F" w:rsidRDefault="002274A5" w:rsidP="002274A5">
      <w:pPr>
        <w:pStyle w:val="a"/>
      </w:pPr>
      <w:r w:rsidRPr="0044370F">
        <w:t>Reuters (2021) ‘Huawei announces royalty rates for 5G phone technology’, 16 Mar. (Reuters)</w:t>
      </w:r>
    </w:p>
    <w:p w:rsidR="002274A5" w:rsidRPr="0044370F" w:rsidRDefault="002274A5" w:rsidP="002274A5">
      <w:pPr>
        <w:pStyle w:val="a"/>
      </w:pPr>
      <w:r w:rsidRPr="0044370F">
        <w:t>Reuters (2021) ‘Maintenance error caused Facebook’s 6hour outage’, Reuters, 5 October</w:t>
      </w:r>
    </w:p>
    <w:p w:rsidR="002274A5" w:rsidRPr="0044370F" w:rsidRDefault="002274A5" w:rsidP="002274A5">
      <w:pPr>
        <w:pStyle w:val="a"/>
      </w:pPr>
      <w:r w:rsidRPr="0044370F">
        <w:t xml:space="preserve">Reuters (2021) ‘Software company SAP to pay $8 </w:t>
      </w:r>
      <w:proofErr w:type="spellStart"/>
      <w:r w:rsidRPr="0044370F">
        <w:t>mln</w:t>
      </w:r>
      <w:proofErr w:type="spellEnd"/>
      <w:r w:rsidRPr="0044370F">
        <w:t xml:space="preserve"> to resolve case involving exports to Iran’, 29 April (updated 28 May). Washington, DC: Reuters.</w:t>
      </w:r>
    </w:p>
    <w:p w:rsidR="002274A5" w:rsidRPr="0044370F" w:rsidRDefault="002274A5" w:rsidP="002274A5">
      <w:pPr>
        <w:pStyle w:val="a"/>
      </w:pPr>
      <w:r w:rsidRPr="0044370F">
        <w:t>Reuters (2021) ‘Ten takeaways from SAP’s recent export controls and economic sanctions settlement’, 14 June. Available at: reuters.com</w:t>
      </w:r>
    </w:p>
    <w:p w:rsidR="002274A5" w:rsidRPr="0044370F" w:rsidRDefault="002274A5" w:rsidP="002274A5">
      <w:pPr>
        <w:pStyle w:val="a"/>
      </w:pPr>
      <w:r w:rsidRPr="0044370F">
        <w:t>Reuters (2021) ‘U.S. and China wage war beneath the waves over internet cables’, Reuters, 20 May.</w:t>
      </w:r>
    </w:p>
    <w:p w:rsidR="002274A5" w:rsidRPr="0044370F" w:rsidRDefault="002274A5" w:rsidP="002274A5">
      <w:pPr>
        <w:pStyle w:val="a"/>
      </w:pPr>
      <w:r w:rsidRPr="0044370F">
        <w:t>Reuters (2021). Facebook, WhatsApp, Instagram suffer global outage. Reuters, 4 October. Available at: https://www.reuters.com/technology/facebook-whatsapp-instagram-suffer-outage-2021-10-04/ [Accessed 2 Jul. 2025].</w:t>
      </w:r>
    </w:p>
    <w:p w:rsidR="002274A5" w:rsidRPr="0044370F" w:rsidRDefault="002274A5" w:rsidP="002274A5">
      <w:pPr>
        <w:pStyle w:val="a"/>
      </w:pPr>
      <w:r w:rsidRPr="0044370F">
        <w:t>Reuters (2022) ‘SAP ordered to repay $23.1 million over irregular South African contracts’, Reuters, 17 March.</w:t>
      </w:r>
    </w:p>
    <w:p w:rsidR="002274A5" w:rsidRPr="0044370F" w:rsidRDefault="002274A5" w:rsidP="002274A5">
      <w:pPr>
        <w:pStyle w:val="a"/>
      </w:pPr>
      <w:r w:rsidRPr="0044370F">
        <w:t>Reuters (2022) ‘SAP winds down Russia activities further, ending cloud services’. 24 March. Accessed 21 October 2025.</w:t>
      </w:r>
    </w:p>
    <w:p w:rsidR="002274A5" w:rsidRPr="0044370F" w:rsidRDefault="002274A5" w:rsidP="002274A5">
      <w:pPr>
        <w:pStyle w:val="a"/>
      </w:pPr>
      <w:r w:rsidRPr="0044370F">
        <w:t>Reuters (2022) ‘Swedish court upholds ban on Huawei sale of 5G gear’, 22 June. Available at: https://www.reuters.com/business/media-telecom/swedish-court-upholds-ban-huawei-sale-5g-gear-2022-06-22/ (Accessed 31 August 2025).</w:t>
      </w:r>
    </w:p>
    <w:p w:rsidR="002274A5" w:rsidRPr="0044370F" w:rsidRDefault="002274A5" w:rsidP="002274A5">
      <w:pPr>
        <w:pStyle w:val="a"/>
      </w:pPr>
      <w:r w:rsidRPr="0044370F">
        <w:t>Reuters (2024) ‘Billionaire urges Russian firms to build alternative to SAP software’, 21 May. Available at: https://www.reuters.com/technology/billionaire-urges-russian-firms-build-alternative-sap-software-2024-05-21/ (Accessed: 5 October 2025).</w:t>
      </w:r>
    </w:p>
    <w:p w:rsidR="002274A5" w:rsidRPr="0044370F" w:rsidRDefault="002274A5" w:rsidP="002274A5">
      <w:pPr>
        <w:pStyle w:val="a"/>
      </w:pPr>
      <w:r w:rsidRPr="0044370F">
        <w:lastRenderedPageBreak/>
        <w:t>Reuters (2025) ‘Russian billionaire says replacement of SAP software is costly but essential’, 3 June. Available at: https://www.reuters.com/technology/russian-billionaire-says-replacement-sap-software-is-costly-essential-2025-06-03/ (Accessed: 5 October 2025)</w:t>
      </w:r>
    </w:p>
    <w:p w:rsidR="002274A5" w:rsidRPr="0044370F" w:rsidRDefault="002274A5" w:rsidP="002274A5">
      <w:pPr>
        <w:pStyle w:val="a"/>
      </w:pPr>
      <w:r w:rsidRPr="0044370F">
        <w:t xml:space="preserve">Rolland, K. H. &amp; </w:t>
      </w:r>
      <w:proofErr w:type="spellStart"/>
      <w:r w:rsidRPr="0044370F">
        <w:t>Loebbecke</w:t>
      </w:r>
      <w:proofErr w:type="spellEnd"/>
      <w:r w:rsidRPr="0044370F">
        <w:t>, C. (2007). Identifying and Analyzing Multiple ERP Stakeholders. Communications of the ACM, 50(8), 52-58</w:t>
      </w:r>
    </w:p>
    <w:p w:rsidR="002274A5" w:rsidRPr="0044370F" w:rsidRDefault="002274A5" w:rsidP="002274A5">
      <w:pPr>
        <w:pStyle w:val="a"/>
      </w:pPr>
      <w:r w:rsidRPr="0044370F">
        <w:t>Rosen, P. (2023) “Apple’s market cap is larger than all but 6 of world’s top economies.” Business Insider, 15 December 2023.</w:t>
      </w:r>
    </w:p>
    <w:p w:rsidR="002274A5" w:rsidRPr="0044370F" w:rsidRDefault="002274A5" w:rsidP="002274A5">
      <w:pPr>
        <w:pStyle w:val="a"/>
      </w:pPr>
      <w:proofErr w:type="spellStart"/>
      <w:r w:rsidRPr="0044370F">
        <w:t>Rosenau</w:t>
      </w:r>
      <w:proofErr w:type="spellEnd"/>
      <w:r w:rsidRPr="0044370F">
        <w:t>, J. N. (2003) Distant Proximities: Dynamics Beyond Globalization. Princeton, NJ: Princeton University Press.</w:t>
      </w:r>
    </w:p>
    <w:p w:rsidR="002274A5" w:rsidRPr="0044370F" w:rsidRDefault="002274A5" w:rsidP="002274A5">
      <w:pPr>
        <w:pStyle w:val="a"/>
      </w:pPr>
      <w:proofErr w:type="spellStart"/>
      <w:r w:rsidRPr="0044370F">
        <w:t>Ruggie</w:t>
      </w:r>
      <w:proofErr w:type="spellEnd"/>
      <w:r w:rsidRPr="0044370F">
        <w:t>, J. G. (1993) ‘Territoriality and Beyond: Problematizing Modernity in International Relations’, International Organization, 47(1), pp. 139-174. DOI: 10.1017/S0020818300004730</w:t>
      </w:r>
    </w:p>
    <w:p w:rsidR="002274A5" w:rsidRPr="0044370F" w:rsidRDefault="002274A5" w:rsidP="002274A5">
      <w:pPr>
        <w:pStyle w:val="a"/>
      </w:pPr>
      <w:proofErr w:type="spellStart"/>
      <w:r w:rsidRPr="0044370F">
        <w:t>Ruggie</w:t>
      </w:r>
      <w:proofErr w:type="spellEnd"/>
      <w:r w:rsidRPr="0044370F">
        <w:t>, J.G. (2004) ‘Reconstituting the Global Public Domain’, European Journal of International Relations, 10(4), pp. 499-531</w:t>
      </w:r>
    </w:p>
    <w:p w:rsidR="002274A5" w:rsidRPr="0044370F" w:rsidRDefault="002274A5" w:rsidP="002274A5">
      <w:pPr>
        <w:pStyle w:val="a"/>
      </w:pPr>
      <w:proofErr w:type="spellStart"/>
      <w:r w:rsidRPr="0044370F">
        <w:t>Ruggie</w:t>
      </w:r>
      <w:proofErr w:type="spellEnd"/>
      <w:r w:rsidRPr="0044370F">
        <w:t>, J.G. (2014), Global Governance and “New Governance Theory”, Global Governance, 20(1), pp.5-17</w:t>
      </w:r>
    </w:p>
    <w:p w:rsidR="002274A5" w:rsidRPr="0044370F" w:rsidRDefault="002274A5" w:rsidP="002274A5">
      <w:pPr>
        <w:pStyle w:val="a"/>
      </w:pPr>
      <w:proofErr w:type="spellStart"/>
      <w:r w:rsidRPr="0044370F">
        <w:t>Salvadori</w:t>
      </w:r>
      <w:proofErr w:type="spellEnd"/>
      <w:r w:rsidRPr="0044370F">
        <w:t>, K. (2021) ‘2Africa Pearls subsea cable connects Africa, Europe and Asia’, Meta Engineering Blog, 28 September. Available at: https://engineering.fb.com/2021/09/28/connectivity/2africa-pearls/</w:t>
      </w:r>
    </w:p>
    <w:p w:rsidR="002274A5" w:rsidRPr="0044370F" w:rsidRDefault="002274A5" w:rsidP="002274A5">
      <w:pPr>
        <w:pStyle w:val="a"/>
      </w:pPr>
      <w:r w:rsidRPr="0044370F">
        <w:t>SAP Help Portal. (</w:t>
      </w:r>
      <w:proofErr w:type="spellStart"/>
      <w:r w:rsidRPr="0044370F">
        <w:t>n.d.</w:t>
      </w:r>
      <w:proofErr w:type="spellEnd"/>
      <w:r w:rsidRPr="0044370F">
        <w:t>) About the General Data Protection Regulation (GDPR). Available at: https://help.sap.com/docs/SAP_UPSCALE_COMMERCE/a18d58566bd046f0a5eeccd138ce18 [Accessed 2 Jul. 2025].</w:t>
      </w:r>
    </w:p>
    <w:p w:rsidR="002274A5" w:rsidRPr="0044370F" w:rsidRDefault="002274A5" w:rsidP="002274A5">
      <w:pPr>
        <w:pStyle w:val="a"/>
      </w:pPr>
      <w:r w:rsidRPr="0044370F">
        <w:t>SAP News (2025) ‘AWS and SAP to advance digital sovereignty across Europe’. 24 September. Accessed 21 October 2025.</w:t>
      </w:r>
    </w:p>
    <w:p w:rsidR="002274A5" w:rsidRPr="0044370F" w:rsidRDefault="002274A5" w:rsidP="002274A5">
      <w:pPr>
        <w:pStyle w:val="a"/>
      </w:pPr>
      <w:r w:rsidRPr="0044370F">
        <w:t xml:space="preserve">SAP SE. (2021). Integrated Report and Sustainability </w:t>
      </w:r>
      <w:proofErr w:type="spellStart"/>
      <w:r w:rsidRPr="0044370F">
        <w:t>Factbook</w:t>
      </w:r>
      <w:proofErr w:type="spellEnd"/>
    </w:p>
    <w:p w:rsidR="002274A5" w:rsidRPr="0044370F" w:rsidRDefault="002274A5" w:rsidP="002274A5">
      <w:pPr>
        <w:pStyle w:val="a"/>
      </w:pPr>
      <w:r w:rsidRPr="0044370F">
        <w:t xml:space="preserve">SAP (2012). SAP to Acquire </w:t>
      </w:r>
      <w:proofErr w:type="spellStart"/>
      <w:r w:rsidRPr="0044370F">
        <w:t>Ariba</w:t>
      </w:r>
      <w:proofErr w:type="spellEnd"/>
      <w:r w:rsidRPr="0044370F">
        <w:t xml:space="preserve"> to Create the Business Network of the Future, SAP News Center, 22 May.</w:t>
      </w:r>
    </w:p>
    <w:p w:rsidR="002274A5" w:rsidRPr="0044370F" w:rsidRDefault="002274A5" w:rsidP="002274A5">
      <w:pPr>
        <w:pStyle w:val="a"/>
      </w:pPr>
      <w:r w:rsidRPr="0044370F">
        <w:t>SAP (2014). SAP to Acquire Concur, Reinforcing Leadership in the Cloud, SAP News Center, 18 September.</w:t>
      </w:r>
    </w:p>
    <w:p w:rsidR="002274A5" w:rsidRPr="0044370F" w:rsidRDefault="002274A5" w:rsidP="002274A5">
      <w:pPr>
        <w:pStyle w:val="a"/>
      </w:pPr>
      <w:r w:rsidRPr="0044370F">
        <w:t>SAP (2020) SAP Pre-Announces First Quarter Results, Updates 2020 Outlook, Press Release, 5 February.</w:t>
      </w:r>
    </w:p>
    <w:p w:rsidR="002274A5" w:rsidRPr="0044370F" w:rsidRDefault="002274A5" w:rsidP="002274A5">
      <w:pPr>
        <w:pStyle w:val="a"/>
      </w:pPr>
      <w:r w:rsidRPr="0044370F">
        <w:t>SAP Community (2023) ‘SAP’s Banking Product - SAP Financial Services Data Management and Platform’, SAP Community Blog, 2023.</w:t>
      </w:r>
    </w:p>
    <w:p w:rsidR="002274A5" w:rsidRPr="0044370F" w:rsidRDefault="002274A5" w:rsidP="002274A5">
      <w:pPr>
        <w:pStyle w:val="a"/>
      </w:pPr>
      <w:r w:rsidRPr="0044370F">
        <w:t>SAP SE (2017) ‘SAP Provides Update on Ongoing Investigation into Its South Africa Business’, PR Newswire, 26 October. Available at: https://www.prnewswire.com/news-releases/sap-provides-update-on-ongoing-investigation-into-its-south-africa-business-300543754.html (Accessed: 5 October 2025)</w:t>
      </w:r>
    </w:p>
    <w:p w:rsidR="002274A5" w:rsidRPr="0044370F" w:rsidRDefault="002274A5" w:rsidP="002274A5">
      <w:pPr>
        <w:pStyle w:val="a"/>
      </w:pPr>
      <w:r w:rsidRPr="0044370F">
        <w:t>SAP SE (2025) Support, Services and Engagements ISO 27001 Certificate.</w:t>
      </w:r>
    </w:p>
    <w:p w:rsidR="002274A5" w:rsidRPr="0044370F" w:rsidRDefault="002274A5" w:rsidP="002274A5">
      <w:pPr>
        <w:pStyle w:val="a"/>
      </w:pPr>
      <w:r w:rsidRPr="0044370F">
        <w:lastRenderedPageBreak/>
        <w:t>SAP: The World’s Largest Provider of Enterprise Application Software (corporate fact sheet). Available at: https://www.sap.com/documents/2017/04/4666ecdd-b67c-0010-82c7-eda71af511fa.html (Accessed: 5 October 2025).</w:t>
      </w:r>
    </w:p>
    <w:p w:rsidR="002274A5" w:rsidRPr="0044370F" w:rsidRDefault="002274A5" w:rsidP="002274A5">
      <w:pPr>
        <w:pStyle w:val="a"/>
      </w:pPr>
      <w:proofErr w:type="spellStart"/>
      <w:r w:rsidRPr="0044370F">
        <w:t>Sassen</w:t>
      </w:r>
      <w:proofErr w:type="spellEnd"/>
      <w:r w:rsidRPr="0044370F">
        <w:t>, S. (2006) Territory, Authority, Rights: From Medieval to Global Assemblages. Princeton, NJ: Princeton University Press.</w:t>
      </w:r>
    </w:p>
    <w:p w:rsidR="002274A5" w:rsidRPr="0044370F" w:rsidRDefault="002274A5" w:rsidP="002274A5">
      <w:pPr>
        <w:pStyle w:val="a"/>
      </w:pPr>
      <w:proofErr w:type="spellStart"/>
      <w:r w:rsidRPr="0044370F">
        <w:t>Schaake</w:t>
      </w:r>
      <w:proofErr w:type="spellEnd"/>
      <w:r w:rsidRPr="0044370F">
        <w:t>, M. (2024) The Tech Coup: How to Save Democracy from Silicon Valley. Princeton, NJ: Princeton University Press.</w:t>
      </w:r>
    </w:p>
    <w:p w:rsidR="002274A5" w:rsidRPr="0044370F" w:rsidRDefault="002274A5" w:rsidP="002274A5">
      <w:pPr>
        <w:pStyle w:val="a"/>
      </w:pPr>
      <w:proofErr w:type="spellStart"/>
      <w:r w:rsidRPr="0044370F">
        <w:t>Schembera</w:t>
      </w:r>
      <w:proofErr w:type="spellEnd"/>
      <w:r w:rsidRPr="0044370F">
        <w:t>, S. (2018) ‘Implementing corporate social responsibility: Empirical insights on the impact of the UN Global Compact’, Business and Society, 57(5), pp. 783-825</w:t>
      </w:r>
    </w:p>
    <w:p w:rsidR="002274A5" w:rsidRPr="0044370F" w:rsidRDefault="002274A5" w:rsidP="002274A5">
      <w:pPr>
        <w:pStyle w:val="a"/>
      </w:pPr>
      <w:r w:rsidRPr="0044370F">
        <w:t>Scherer, A. G., &amp; Palazzo, G. (2011). The new political role of business in a globalized world: A review of a new perspective on CSR and its implications. Journal of Management Studies, 48(4), 899-931</w:t>
      </w:r>
    </w:p>
    <w:p w:rsidR="002274A5" w:rsidRPr="0044370F" w:rsidRDefault="002274A5" w:rsidP="002274A5">
      <w:pPr>
        <w:pStyle w:val="a"/>
      </w:pPr>
      <w:r w:rsidRPr="0044370F">
        <w:t>Schiller, D. (2014) Digital Depression: Information Technology and Economic Crisis. Urbana, IL: University of Illinois Press.</w:t>
      </w:r>
    </w:p>
    <w:p w:rsidR="002274A5" w:rsidRPr="0044370F" w:rsidRDefault="002274A5" w:rsidP="002274A5">
      <w:pPr>
        <w:pStyle w:val="a"/>
      </w:pPr>
      <w:r w:rsidRPr="0044370F">
        <w:t>Schmidt, V. A. (2002) The Futures of European Capitalism. Oxford: Oxford University Press</w:t>
      </w:r>
    </w:p>
    <w:p w:rsidR="002274A5" w:rsidRPr="0044370F" w:rsidRDefault="002274A5" w:rsidP="002274A5">
      <w:pPr>
        <w:pStyle w:val="a"/>
      </w:pPr>
      <w:r w:rsidRPr="0044370F">
        <w:t xml:space="preserve">Scholte, J.A. (2005). Globalization: A Critical Introduction. 2nd </w:t>
      </w:r>
      <w:proofErr w:type="spellStart"/>
      <w:r w:rsidRPr="0044370F">
        <w:t>edn</w:t>
      </w:r>
      <w:proofErr w:type="spellEnd"/>
      <w:r w:rsidRPr="0044370F">
        <w:t>. Basingstoke: Palgrave Macmillan.</w:t>
      </w:r>
    </w:p>
    <w:p w:rsidR="002274A5" w:rsidRPr="0044370F" w:rsidRDefault="002274A5" w:rsidP="002274A5">
      <w:pPr>
        <w:pStyle w:val="a"/>
      </w:pPr>
      <w:r w:rsidRPr="0044370F">
        <w:t xml:space="preserve">Scholte, J.A. (2018). ‘Globalization and Governance’, in: </w:t>
      </w:r>
      <w:proofErr w:type="spellStart"/>
      <w:r w:rsidRPr="0044370F">
        <w:t>Bevir</w:t>
      </w:r>
      <w:proofErr w:type="spellEnd"/>
      <w:r w:rsidRPr="0044370F">
        <w:t>, M. (ed.) The SAGE Handbook of Governance. London: SAGE.</w:t>
      </w:r>
    </w:p>
    <w:p w:rsidR="002274A5" w:rsidRPr="0044370F" w:rsidRDefault="002274A5" w:rsidP="002274A5">
      <w:pPr>
        <w:pStyle w:val="a"/>
      </w:pPr>
      <w:proofErr w:type="spellStart"/>
      <w:r w:rsidRPr="0044370F">
        <w:t>Scoles</w:t>
      </w:r>
      <w:proofErr w:type="spellEnd"/>
      <w:r w:rsidRPr="0044370F">
        <w:t>, S. (2023) ‘</w:t>
      </w:r>
      <w:proofErr w:type="spellStart"/>
      <w:r w:rsidRPr="0044370F">
        <w:t>Starlink</w:t>
      </w:r>
      <w:proofErr w:type="spellEnd"/>
      <w:r w:rsidRPr="0044370F">
        <w:t xml:space="preserve"> and the Geopolitics of Satellite Internet’, MIT Technology Review, 18 October. Available at: https://www.technologyreview.com/2023/10/18/starlink-geopolitics-ukraine-elon-musk</w:t>
      </w:r>
    </w:p>
    <w:p w:rsidR="002274A5" w:rsidRPr="0044370F" w:rsidRDefault="002274A5" w:rsidP="002274A5">
      <w:pPr>
        <w:pStyle w:val="a"/>
      </w:pPr>
      <w:r w:rsidRPr="0044370F">
        <w:t>Scott, M. (2021). Facebook’s ‘supreme court’ struggles to set global free speech rules. Politico, 1 April. Available at: https://www.politico.eu/article/facebook-supreme-court-oversight-board-free-speech [Accessed 2 Jul. 2025].</w:t>
      </w:r>
    </w:p>
    <w:p w:rsidR="002274A5" w:rsidRPr="0044370F" w:rsidRDefault="002274A5" w:rsidP="002274A5">
      <w:pPr>
        <w:pStyle w:val="a"/>
      </w:pPr>
      <w:proofErr w:type="spellStart"/>
      <w:r w:rsidRPr="0044370F">
        <w:t>Seabrooke</w:t>
      </w:r>
      <w:proofErr w:type="spellEnd"/>
      <w:r w:rsidRPr="0044370F">
        <w:t xml:space="preserve">, L. and </w:t>
      </w:r>
      <w:proofErr w:type="spellStart"/>
      <w:r w:rsidRPr="0044370F">
        <w:t>Wigan</w:t>
      </w:r>
      <w:proofErr w:type="spellEnd"/>
      <w:r w:rsidRPr="0044370F">
        <w:t>, D. (2016) Powering Finance: The Hidden Architecture of Global Governance. Oxford: Oxford University Press.</w:t>
      </w:r>
    </w:p>
    <w:p w:rsidR="002274A5" w:rsidRPr="0044370F" w:rsidRDefault="002274A5" w:rsidP="002274A5">
      <w:pPr>
        <w:pStyle w:val="a"/>
      </w:pPr>
      <w:r w:rsidRPr="0044370F">
        <w:t>Segal, A. (2019) Huawei and the Future of Global Technology Competition. New York: Council on Foreign Relations (CFR).</w:t>
      </w:r>
    </w:p>
    <w:p w:rsidR="002274A5" w:rsidRPr="0044370F" w:rsidRDefault="002274A5" w:rsidP="002274A5">
      <w:pPr>
        <w:pStyle w:val="a"/>
      </w:pPr>
      <w:r w:rsidRPr="0044370F">
        <w:t xml:space="preserve">Segal, A. (2019) The Hacked World Order: How Nations Fight, Trade, Maneuver, and Manipulate in the Digital Age. New York: </w:t>
      </w:r>
      <w:proofErr w:type="spellStart"/>
      <w:r w:rsidRPr="0044370F">
        <w:t>PublicAffairs</w:t>
      </w:r>
      <w:proofErr w:type="spellEnd"/>
      <w:r w:rsidRPr="0044370F">
        <w:t>.</w:t>
      </w:r>
    </w:p>
    <w:p w:rsidR="002274A5" w:rsidRPr="0044370F" w:rsidRDefault="002274A5" w:rsidP="002274A5">
      <w:pPr>
        <w:pStyle w:val="a"/>
      </w:pPr>
      <w:r w:rsidRPr="0044370F">
        <w:t>Segal, A. (2020). Huawei, the United States, and the Global Struggle for Power. Foreign Affairs, 99(3), 28-36</w:t>
      </w:r>
    </w:p>
    <w:p w:rsidR="002274A5" w:rsidRPr="0044370F" w:rsidRDefault="002274A5" w:rsidP="002274A5">
      <w:pPr>
        <w:pStyle w:val="a"/>
      </w:pPr>
      <w:proofErr w:type="spellStart"/>
      <w:r w:rsidRPr="0044370F">
        <w:t>Senden</w:t>
      </w:r>
      <w:proofErr w:type="spellEnd"/>
      <w:r w:rsidRPr="0044370F">
        <w:t xml:space="preserve">, L. &amp; de </w:t>
      </w:r>
      <w:proofErr w:type="spellStart"/>
      <w:r w:rsidRPr="0044370F">
        <w:t>Vries</w:t>
      </w:r>
      <w:proofErr w:type="spellEnd"/>
      <w:r w:rsidRPr="0044370F">
        <w:t>, M. (2021) ‘Corporate Diplomacy in the Age of Big Tech: Facebook, Google and the EU’s Digital Single Market’, Journal of International Relations and Development, 24(4), pp. 817-842.</w:t>
      </w:r>
    </w:p>
    <w:p w:rsidR="002274A5" w:rsidRPr="0044370F" w:rsidRDefault="002274A5" w:rsidP="002274A5">
      <w:pPr>
        <w:pStyle w:val="a"/>
      </w:pPr>
      <w:proofErr w:type="spellStart"/>
      <w:r w:rsidRPr="0044370F">
        <w:t>Servajean</w:t>
      </w:r>
      <w:proofErr w:type="spellEnd"/>
      <w:r w:rsidRPr="0044370F">
        <w:t>, D. (2021) ‘Pandemic Tech Governance: The Apple–Google Exposure Notification System as Transnational Public Health Infrastructure’, Global Public Health, 16(8-9), pp. 1317-1330.</w:t>
      </w:r>
    </w:p>
    <w:p w:rsidR="002274A5" w:rsidRPr="0044370F" w:rsidRDefault="002274A5" w:rsidP="002274A5">
      <w:pPr>
        <w:pStyle w:val="a"/>
      </w:pPr>
      <w:proofErr w:type="spellStart"/>
      <w:r w:rsidRPr="0044370F">
        <w:lastRenderedPageBreak/>
        <w:t>Shaanika</w:t>
      </w:r>
      <w:proofErr w:type="spellEnd"/>
      <w:r w:rsidRPr="0044370F">
        <w:t xml:space="preserve">, I., </w:t>
      </w:r>
      <w:proofErr w:type="spellStart"/>
      <w:r w:rsidRPr="0044370F">
        <w:t>Nhinda</w:t>
      </w:r>
      <w:proofErr w:type="spellEnd"/>
      <w:r w:rsidRPr="0044370F">
        <w:t xml:space="preserve">, G. and </w:t>
      </w:r>
      <w:proofErr w:type="spellStart"/>
      <w:r w:rsidRPr="0044370F">
        <w:t>Amunkete</w:t>
      </w:r>
      <w:proofErr w:type="spellEnd"/>
      <w:r w:rsidRPr="0044370F">
        <w:t>, K. (2022) ‘Assessing the implications of ICT Projects Vendor Lock-in to the Namibian Government Digital Transformation’, Proceedings of the International Conference on Information Systems and Emerging Technologies (ICISET).</w:t>
      </w:r>
    </w:p>
    <w:p w:rsidR="002274A5" w:rsidRPr="0044370F" w:rsidRDefault="002274A5" w:rsidP="002274A5">
      <w:pPr>
        <w:pStyle w:val="a"/>
      </w:pPr>
      <w:r w:rsidRPr="0044370F">
        <w:t>Shen, H. (2018). Building a Digital Silk Road? Chinese Tech Firms and the Global Internet. Journal of Contemporary China, 27(113), 51-65</w:t>
      </w:r>
    </w:p>
    <w:p w:rsidR="002274A5" w:rsidRPr="0044370F" w:rsidRDefault="002274A5" w:rsidP="002274A5">
      <w:pPr>
        <w:pStyle w:val="a"/>
      </w:pPr>
      <w:proofErr w:type="spellStart"/>
      <w:r w:rsidRPr="0044370F">
        <w:t>Silberling</w:t>
      </w:r>
      <w:proofErr w:type="spellEnd"/>
      <w:r w:rsidRPr="0044370F">
        <w:t>, A. (2023). Facebook surpasses 3 billion monthly active users. TechCrunch, 26 July. Available at: https://techcrunch.com/2023/07/26/facebook-3-billion-users [Accessed 2 Jul. 2025].</w:t>
      </w:r>
    </w:p>
    <w:p w:rsidR="002274A5" w:rsidRPr="0044370F" w:rsidRDefault="002274A5" w:rsidP="002274A5">
      <w:pPr>
        <w:pStyle w:val="a"/>
      </w:pPr>
      <w:r w:rsidRPr="0044370F">
        <w:t>Sinclair, A. (1997). Among the new books. Antiquity, 71(272), 460-468.</w:t>
      </w:r>
    </w:p>
    <w:p w:rsidR="002274A5" w:rsidRPr="0044370F" w:rsidRDefault="002274A5" w:rsidP="002274A5">
      <w:pPr>
        <w:pStyle w:val="a"/>
      </w:pPr>
      <w:r w:rsidRPr="0044370F">
        <w:t xml:space="preserve">South China Morning Post (2024) ‘How Huawei Technologies’ Seeds for the Future </w:t>
      </w:r>
      <w:proofErr w:type="spellStart"/>
      <w:r w:rsidRPr="0044370F">
        <w:t>programme</w:t>
      </w:r>
      <w:proofErr w:type="spellEnd"/>
      <w:r w:rsidRPr="0044370F">
        <w:t xml:space="preserve"> nurtures global talent and drives innovation’, SCMP, 20 Mar</w:t>
      </w:r>
    </w:p>
    <w:p w:rsidR="002274A5" w:rsidRPr="0044370F" w:rsidRDefault="002274A5" w:rsidP="002274A5">
      <w:pPr>
        <w:pStyle w:val="a"/>
      </w:pPr>
      <w:r w:rsidRPr="0044370F">
        <w:t>Special Investigating Unit (South Africa) (2024) ‘SAP ordered to pay back R500 million earned from invalid Eskom contracts’, 20 March. Available at: https://www.siu.org.za/sap-ordered-to-pay-back-r500-million-earned-from-invalid-eskom-contracts/ (Accessed: 5 October 2025).</w:t>
      </w:r>
    </w:p>
    <w:p w:rsidR="002274A5" w:rsidRPr="0044370F" w:rsidRDefault="002274A5" w:rsidP="002274A5">
      <w:pPr>
        <w:pStyle w:val="a"/>
      </w:pPr>
      <w:proofErr w:type="spellStart"/>
      <w:r w:rsidRPr="0044370F">
        <w:t>SpringerLink</w:t>
      </w:r>
      <w:proofErr w:type="spellEnd"/>
      <w:r w:rsidRPr="0044370F">
        <w:t>. (2023). China's Smart Infrastructure and Huawei's Localization Strategies in Algeria. In: Chen, L. and Wang, H. (eds.) Digital Geopolitics in the Global South. Springer, pp. 219-240.</w:t>
      </w:r>
    </w:p>
    <w:p w:rsidR="002274A5" w:rsidRPr="0044370F" w:rsidRDefault="002274A5" w:rsidP="002274A5">
      <w:pPr>
        <w:pStyle w:val="a"/>
      </w:pPr>
      <w:r w:rsidRPr="0044370F">
        <w:t xml:space="preserve">Srivastava, S. (2023). Meta’s Mandate-Free Governance: How to Think about Facebook and the Oversight Board. New </w:t>
      </w:r>
      <w:proofErr w:type="spellStart"/>
      <w:proofErr w:type="gramStart"/>
      <w:r w:rsidRPr="0044370F">
        <w:t>America,Planetary</w:t>
      </w:r>
      <w:proofErr w:type="spellEnd"/>
      <w:proofErr w:type="gramEnd"/>
      <w:r w:rsidRPr="0044370F">
        <w:t xml:space="preserve"> Politics Blog, 24 March. Available at: https://www.newamerica.org/planetary-politics/blog/meta-mandate-free-governance [Accessed 2 Jul. 2025].</w:t>
      </w:r>
    </w:p>
    <w:p w:rsidR="002274A5" w:rsidRPr="0044370F" w:rsidRDefault="002274A5" w:rsidP="002274A5">
      <w:pPr>
        <w:pStyle w:val="a"/>
      </w:pPr>
      <w:r w:rsidRPr="0044370F">
        <w:t>Stake, R. E. (1995). The Art of Case Study Research. Thousand Oaks, CA: Sage Publications</w:t>
      </w:r>
    </w:p>
    <w:p w:rsidR="002274A5" w:rsidRPr="0044370F" w:rsidRDefault="002274A5" w:rsidP="002274A5">
      <w:pPr>
        <w:pStyle w:val="a"/>
      </w:pPr>
      <w:proofErr w:type="spellStart"/>
      <w:r w:rsidRPr="0044370F">
        <w:t>Starosielski</w:t>
      </w:r>
      <w:proofErr w:type="spellEnd"/>
      <w:r w:rsidRPr="0044370F">
        <w:t>, N. (2015) The Undersea Network. Durham, NC: Duke University Press</w:t>
      </w:r>
    </w:p>
    <w:p w:rsidR="002274A5" w:rsidRPr="0044370F" w:rsidRDefault="002274A5" w:rsidP="002274A5">
      <w:pPr>
        <w:pStyle w:val="a"/>
      </w:pPr>
      <w:r w:rsidRPr="0044370F">
        <w:t>Steel, C. (2018) ‘Roman citizenship between law and practice’, University of Glasgow e-print. Available at: https://eprints.gla.ac.uk/161306/1/161306.pdf</w:t>
      </w:r>
    </w:p>
    <w:p w:rsidR="002274A5" w:rsidRPr="0044370F" w:rsidRDefault="002274A5" w:rsidP="002274A5">
      <w:pPr>
        <w:pStyle w:val="a"/>
      </w:pPr>
      <w:r w:rsidRPr="0044370F">
        <w:t xml:space="preserve">Stewart, L. (2025), 'Document Analysis - How to Analyze Text Data for Research', </w:t>
      </w:r>
      <w:proofErr w:type="spellStart"/>
      <w:r w:rsidRPr="0044370F">
        <w:t>ATLAS.ti</w:t>
      </w:r>
      <w:proofErr w:type="spellEnd"/>
      <w:r w:rsidRPr="0044370F">
        <w:t xml:space="preserve"> Research Hub</w:t>
      </w:r>
    </w:p>
    <w:p w:rsidR="002274A5" w:rsidRPr="0044370F" w:rsidRDefault="002274A5" w:rsidP="002274A5">
      <w:pPr>
        <w:pStyle w:val="a"/>
      </w:pPr>
      <w:r w:rsidRPr="0044370F">
        <w:t>Strange, S. (1988) States and Markets: An Introduction to International Political Economy. London: Pinter Publishers.</w:t>
      </w:r>
    </w:p>
    <w:p w:rsidR="002274A5" w:rsidRPr="0044370F" w:rsidRDefault="002274A5" w:rsidP="002274A5">
      <w:pPr>
        <w:pStyle w:val="a"/>
      </w:pPr>
      <w:r w:rsidRPr="0044370F">
        <w:t>Strange, S. (1996), The Retreat of the State: The Diffusion of Power in the World Economy, Cambridge: Cambridge University Press.</w:t>
      </w:r>
    </w:p>
    <w:p w:rsidR="002274A5" w:rsidRPr="0044370F" w:rsidRDefault="002274A5" w:rsidP="002274A5">
      <w:pPr>
        <w:pStyle w:val="a"/>
      </w:pPr>
      <w:proofErr w:type="spellStart"/>
      <w:r w:rsidRPr="0044370F">
        <w:t>Straumann</w:t>
      </w:r>
      <w:proofErr w:type="spellEnd"/>
      <w:r w:rsidRPr="0044370F">
        <w:t>, N. (2007) ‘The Peace of Westphalia 1648 as a Secular Constitution’, International Law and Justice Working Paper, University of Zurich</w:t>
      </w:r>
    </w:p>
    <w:p w:rsidR="002274A5" w:rsidRPr="0044370F" w:rsidRDefault="002274A5" w:rsidP="002274A5">
      <w:pPr>
        <w:pStyle w:val="a"/>
      </w:pPr>
      <w:proofErr w:type="spellStart"/>
      <w:r w:rsidRPr="0044370F">
        <w:t>Suchman</w:t>
      </w:r>
      <w:proofErr w:type="spellEnd"/>
      <w:r w:rsidRPr="0044370F">
        <w:t>, M. C. (1995) ‘Managing Legitimacy: Strategic and Institutional Approaches’, Academy of Management Review, 20(3), pp. 571-610</w:t>
      </w:r>
    </w:p>
    <w:p w:rsidR="002274A5" w:rsidRPr="0044370F" w:rsidRDefault="002274A5" w:rsidP="002274A5">
      <w:pPr>
        <w:pStyle w:val="a"/>
      </w:pPr>
      <w:proofErr w:type="spellStart"/>
      <w:r w:rsidRPr="0044370F">
        <w:t>Suzor</w:t>
      </w:r>
      <w:proofErr w:type="spellEnd"/>
      <w:r w:rsidRPr="0044370F">
        <w:t>, N. P. (2019) Lawless: The Secret Rules that Govern Our Digital Lives. Cambridge: Cambridge University Press</w:t>
      </w:r>
    </w:p>
    <w:p w:rsidR="002274A5" w:rsidRPr="0044370F" w:rsidRDefault="002274A5" w:rsidP="002274A5">
      <w:pPr>
        <w:pStyle w:val="a"/>
      </w:pPr>
      <w:r w:rsidRPr="0044370F">
        <w:lastRenderedPageBreak/>
        <w:t xml:space="preserve">Tang, C. (2025), ‘Meta’s </w:t>
      </w:r>
      <w:proofErr w:type="spellStart"/>
      <w:r w:rsidRPr="0044370F">
        <w:t>Hyperscale</w:t>
      </w:r>
      <w:proofErr w:type="spellEnd"/>
      <w:r w:rsidRPr="0044370F">
        <w:t xml:space="preserve"> Infrastructure: Overview and Insights’, Communications of the ACM, Jan 22, 2025.</w:t>
      </w:r>
    </w:p>
    <w:p w:rsidR="002274A5" w:rsidRPr="0044370F" w:rsidRDefault="002274A5" w:rsidP="002274A5">
      <w:pPr>
        <w:pStyle w:val="a"/>
      </w:pPr>
      <w:proofErr w:type="spellStart"/>
      <w:r w:rsidRPr="0044370F">
        <w:t>TechRepublic</w:t>
      </w:r>
      <w:proofErr w:type="spellEnd"/>
      <w:r w:rsidRPr="0044370F">
        <w:t xml:space="preserve"> (2018) ‘Facebook data privacy scandal: A cheat sheet’, </w:t>
      </w:r>
      <w:proofErr w:type="spellStart"/>
      <w:r w:rsidRPr="0044370F">
        <w:t>TechRepublic</w:t>
      </w:r>
      <w:proofErr w:type="spellEnd"/>
      <w:r w:rsidRPr="0044370F">
        <w:t>, May. Available at: https://www.techrepublic.com/article/facebook-data-privacy-scandal-a-cheat-sheet/</w:t>
      </w:r>
    </w:p>
    <w:p w:rsidR="002274A5" w:rsidRPr="0044370F" w:rsidRDefault="002274A5" w:rsidP="002274A5">
      <w:pPr>
        <w:pStyle w:val="a"/>
      </w:pPr>
      <w:proofErr w:type="spellStart"/>
      <w:r w:rsidRPr="0044370F">
        <w:t>TechTarget</w:t>
      </w:r>
      <w:proofErr w:type="spellEnd"/>
      <w:r w:rsidRPr="0044370F">
        <w:t xml:space="preserve"> (2021) ‘3 lessons from the 2021 Facebook outage for network pros’, </w:t>
      </w:r>
      <w:proofErr w:type="spellStart"/>
      <w:r w:rsidRPr="0044370F">
        <w:t>TechTarget</w:t>
      </w:r>
      <w:proofErr w:type="spellEnd"/>
      <w:r w:rsidRPr="0044370F">
        <w:t>, 24 November.</w:t>
      </w:r>
    </w:p>
    <w:p w:rsidR="002274A5" w:rsidRPr="0044370F" w:rsidRDefault="002274A5" w:rsidP="002274A5">
      <w:pPr>
        <w:pStyle w:val="a"/>
      </w:pPr>
      <w:proofErr w:type="spellStart"/>
      <w:r w:rsidRPr="0044370F">
        <w:t>Teece</w:t>
      </w:r>
      <w:proofErr w:type="spellEnd"/>
      <w:r w:rsidRPr="0044370F">
        <w:t xml:space="preserve">, D. J., Pisano, G., &amp; </w:t>
      </w:r>
      <w:proofErr w:type="spellStart"/>
      <w:r w:rsidRPr="0044370F">
        <w:t>Shuen</w:t>
      </w:r>
      <w:proofErr w:type="spellEnd"/>
      <w:r w:rsidRPr="0044370F">
        <w:t>, A. (1997). Dynamic capabilities and strategic management.</w:t>
      </w:r>
    </w:p>
    <w:p w:rsidR="002274A5" w:rsidRPr="0044370F" w:rsidRDefault="002274A5" w:rsidP="002274A5">
      <w:pPr>
        <w:pStyle w:val="a"/>
      </w:pPr>
      <w:r w:rsidRPr="0044370F">
        <w:t>The Guardian (2019) ‘U.S. national emergency on telecoms threats (EO 13873)’. (The Guardian)</w:t>
      </w:r>
    </w:p>
    <w:p w:rsidR="002274A5" w:rsidRPr="0044370F" w:rsidRDefault="002274A5" w:rsidP="002274A5">
      <w:pPr>
        <w:pStyle w:val="a"/>
      </w:pPr>
      <w:r w:rsidRPr="0044370F">
        <w:t>The Economist (Klein, C.) (2025) ‘The boss of SAP on Europe’s botched approach to digital sovereig</w:t>
      </w:r>
      <w:r w:rsidR="00EA7193" w:rsidRPr="0044370F">
        <w:t xml:space="preserve">nty’, </w:t>
      </w:r>
      <w:proofErr w:type="spellStart"/>
      <w:r w:rsidR="00EA7193" w:rsidRPr="0044370F">
        <w:t>ByInvitation</w:t>
      </w:r>
      <w:proofErr w:type="spellEnd"/>
      <w:r w:rsidR="00EA7193" w:rsidRPr="0044370F">
        <w:t>, 25 August</w:t>
      </w:r>
      <w:r w:rsidRPr="0044370F">
        <w:t>. London: The Economist. (Accessed 5 October 2025).</w:t>
      </w:r>
    </w:p>
    <w:p w:rsidR="002274A5" w:rsidRPr="0044370F" w:rsidRDefault="002274A5" w:rsidP="002274A5">
      <w:pPr>
        <w:pStyle w:val="a"/>
      </w:pPr>
      <w:r w:rsidRPr="0044370F">
        <w:t>The Guardian (2016). India blocks Facebook’s Free Basics program. The Guardian, 8 February. Available at: https://www.theguardian.com/technology/2016/feb/08/india-facebook-free-basics-internet-org [Accessed 2 Jul. 2025].</w:t>
      </w:r>
    </w:p>
    <w:p w:rsidR="002274A5" w:rsidRPr="0044370F" w:rsidRDefault="002274A5" w:rsidP="002274A5">
      <w:pPr>
        <w:pStyle w:val="a"/>
      </w:pPr>
      <w:r w:rsidRPr="0044370F">
        <w:t>“The Ideology of the Holy Roman Empire” (2021) World History Encyclopedia. Available at: https://www.worldhistory.org/article/1786/the-ideology-of-the-holy-roman-empire/</w:t>
      </w:r>
    </w:p>
    <w:p w:rsidR="002274A5" w:rsidRPr="0044370F" w:rsidRDefault="002274A5" w:rsidP="002274A5">
      <w:pPr>
        <w:pStyle w:val="a"/>
      </w:pPr>
      <w:r w:rsidRPr="0044370F">
        <w:t>The Register (Clark, L.) (2023) ‘SAP faces more accusations of breaching customers’ trust’, 30 November. Available at: https://www.theregister.com/2023/11/30/sap_cloud_innovation_worries/ (Accessed: 21 October 2025).</w:t>
      </w:r>
    </w:p>
    <w:p w:rsidR="002274A5" w:rsidRPr="0044370F" w:rsidRDefault="002274A5" w:rsidP="002274A5">
      <w:pPr>
        <w:pStyle w:val="a"/>
      </w:pPr>
      <w:r w:rsidRPr="0044370F">
        <w:t>The Verge (2019), ‘Is Huawei a security threat? Seven experts weigh in’, The Verge, 17 March.</w:t>
      </w:r>
    </w:p>
    <w:p w:rsidR="002274A5" w:rsidRPr="0044370F" w:rsidRDefault="002274A5" w:rsidP="002274A5">
      <w:pPr>
        <w:pStyle w:val="a"/>
      </w:pPr>
      <w:r w:rsidRPr="0044370F">
        <w:t>The Wall Street Journal (2019) ‘Huawei Technicians Helped African Governments Spy on Political Opponents’, 15 Aug.</w:t>
      </w:r>
    </w:p>
    <w:p w:rsidR="002274A5" w:rsidRPr="0044370F" w:rsidRDefault="002274A5" w:rsidP="002274A5">
      <w:pPr>
        <w:pStyle w:val="a"/>
      </w:pPr>
      <w:r w:rsidRPr="0044370F">
        <w:t>Thompson, C. (2022) ‘</w:t>
      </w:r>
      <w:proofErr w:type="spellStart"/>
      <w:r w:rsidRPr="0044370F">
        <w:t>Palantir</w:t>
      </w:r>
      <w:proofErr w:type="spellEnd"/>
      <w:r w:rsidRPr="0044370F">
        <w:t xml:space="preserve"> and the New Logic of Security Capitalism’, Security Dialogue, 53(6), pp. 482-499.</w:t>
      </w:r>
    </w:p>
    <w:p w:rsidR="002274A5" w:rsidRPr="0044370F" w:rsidRDefault="002274A5" w:rsidP="002274A5">
      <w:pPr>
        <w:pStyle w:val="a"/>
      </w:pPr>
      <w:proofErr w:type="spellStart"/>
      <w:r w:rsidRPr="0044370F">
        <w:t>Triolo</w:t>
      </w:r>
      <w:proofErr w:type="spellEnd"/>
      <w:r w:rsidRPr="0044370F">
        <w:t>, P. and Allison, K. (2022) ‘Geopolitical Implications of China’s Digital Silk Road’, Asia Policy, 17(3), pp. 5-35.</w:t>
      </w:r>
    </w:p>
    <w:p w:rsidR="002274A5" w:rsidRPr="0044370F" w:rsidRDefault="002274A5" w:rsidP="002274A5">
      <w:pPr>
        <w:pStyle w:val="a"/>
      </w:pPr>
      <w:proofErr w:type="spellStart"/>
      <w:r w:rsidRPr="0044370F">
        <w:t>Triolo</w:t>
      </w:r>
      <w:proofErr w:type="spellEnd"/>
      <w:r w:rsidRPr="0044370F">
        <w:t>, P., Allison, K. and Brown, R. (2020) The Geopolitics of 5G: Huawei and the Future of Global Networks. Washington, DC: Eurasia Group</w:t>
      </w:r>
    </w:p>
    <w:p w:rsidR="002274A5" w:rsidRPr="0044370F" w:rsidRDefault="002274A5" w:rsidP="002274A5">
      <w:pPr>
        <w:pStyle w:val="a"/>
      </w:pPr>
      <w:r w:rsidRPr="0044370F">
        <w:t>U.S. Army (2010) ‘General Fund Enterprise Business System (GFEBS) is an ERP built on SAP’, Army.mil. Available at: https://www.army.mil/article/46682/general_fund_enterprise_business_system (Accessed: 5 October 2025).</w:t>
      </w:r>
    </w:p>
    <w:p w:rsidR="002274A5" w:rsidRPr="0044370F" w:rsidRDefault="002274A5" w:rsidP="002274A5">
      <w:pPr>
        <w:pStyle w:val="a"/>
      </w:pPr>
      <w:r w:rsidRPr="0044370F">
        <w:t xml:space="preserve">U.S. Department of Justice, Office of Public Affairs (2024) ‘SAP to Pay Over $220M to Resolve Foreign Bribery Investigations’, 10 January. Available at: </w:t>
      </w:r>
      <w:r w:rsidRPr="0044370F">
        <w:lastRenderedPageBreak/>
        <w:t>https://www.justice.gov/archives/opa/pr/sap-pay-over-220m-resolve-foreign-bribery-investigations (Accessed: 5 October 2025). U.S. Securities and Exchange Commission (2024a) ‘SEC Charges Global Software Company SAP for FCPA Violations’, Press Release No. 20244, 10 January. Available at: https://www.sec.gov/newsroom/press-releases/2024-4 (Accessed: 5 October 2025).</w:t>
      </w:r>
    </w:p>
    <w:p w:rsidR="002274A5" w:rsidRPr="0044370F" w:rsidRDefault="002274A5" w:rsidP="002274A5">
      <w:pPr>
        <w:pStyle w:val="a"/>
      </w:pPr>
      <w:r w:rsidRPr="0044370F">
        <w:t xml:space="preserve">U.S. Department of Justice &amp; SEC (2024) ‘SAP Agrees to Pay Over $220 Million to Resolve Foreign Bribery Investigations’, </w:t>
      </w:r>
      <w:proofErr w:type="spellStart"/>
      <w:r w:rsidRPr="0044370F">
        <w:t>Comsure</w:t>
      </w:r>
      <w:proofErr w:type="spellEnd"/>
      <w:r w:rsidRPr="0044370F">
        <w:t xml:space="preserve"> / DOJ press release, 10 January.</w:t>
      </w:r>
    </w:p>
    <w:p w:rsidR="002274A5" w:rsidRPr="0044370F" w:rsidRDefault="002274A5" w:rsidP="002274A5">
      <w:pPr>
        <w:pStyle w:val="a"/>
      </w:pPr>
      <w:r w:rsidRPr="0044370F">
        <w:t>U.S. Department of Justice (2020) ‘Huawei and subsidiaries charged in racketeering conspiracy and conspiracy to steal trade secrets’ (press release), 13 February. Available at: https://www.justice.gov/archives/opa/pr/chinese-telecommunications-conglomerate-huawei-and-subsidiaries-charged-racketeering (Accessed 31 August 2025). (Department of Justice)</w:t>
      </w:r>
    </w:p>
    <w:p w:rsidR="002274A5" w:rsidRPr="0044370F" w:rsidRDefault="002274A5" w:rsidP="002274A5">
      <w:pPr>
        <w:pStyle w:val="a"/>
      </w:pPr>
      <w:r w:rsidRPr="0044370F">
        <w:t>UNESCO (2023) ‘Huawei ICT Academy and ICT Competition-Global Skills Academy partner page’. Available at: https://www.unesco.org/en/global-education-coalition/skills-academy/huawei (Accessed 31 August 2025). (UNESCO)</w:t>
      </w:r>
    </w:p>
    <w:p w:rsidR="002274A5" w:rsidRPr="0044370F" w:rsidRDefault="002274A5" w:rsidP="002274A5">
      <w:pPr>
        <w:pStyle w:val="a"/>
      </w:pPr>
      <w:proofErr w:type="spellStart"/>
      <w:r w:rsidRPr="0044370F">
        <w:t>Vaidhyanathan</w:t>
      </w:r>
      <w:proofErr w:type="spellEnd"/>
      <w:r w:rsidRPr="0044370F">
        <w:t>, S. (2018) Antisocial Media: How Facebook Disconnects Us and Undermines Democracy. New York: Oxford University Press.</w:t>
      </w:r>
    </w:p>
    <w:p w:rsidR="002274A5" w:rsidRPr="0044370F" w:rsidRDefault="002274A5" w:rsidP="002274A5">
      <w:pPr>
        <w:pStyle w:val="a"/>
      </w:pPr>
      <w:r w:rsidRPr="0044370F">
        <w:t>Van Apeldoorn, B. (2021) ‘Corporate Power and the Transformation of Global Governance’, Review of International Political Economy, 28(2), pp. 328-354.</w:t>
      </w:r>
    </w:p>
    <w:p w:rsidR="002274A5" w:rsidRPr="0044370F" w:rsidRDefault="002274A5" w:rsidP="002274A5">
      <w:pPr>
        <w:pStyle w:val="a"/>
      </w:pPr>
      <w:r w:rsidRPr="0044370F">
        <w:t xml:space="preserve">van </w:t>
      </w:r>
      <w:proofErr w:type="spellStart"/>
      <w:r w:rsidRPr="0044370F">
        <w:t>Dijck</w:t>
      </w:r>
      <w:proofErr w:type="spellEnd"/>
      <w:r w:rsidRPr="0044370F">
        <w:t xml:space="preserve">, J., </w:t>
      </w:r>
      <w:proofErr w:type="spellStart"/>
      <w:r w:rsidRPr="0044370F">
        <w:t>Poell</w:t>
      </w:r>
      <w:proofErr w:type="spellEnd"/>
      <w:r w:rsidRPr="0044370F">
        <w:t>, T. and de Waal, M. (2018) The Platform Society: Public Values in a Connective World. Oxford: Oxford University Press.</w:t>
      </w:r>
    </w:p>
    <w:p w:rsidR="002274A5" w:rsidRPr="0044370F" w:rsidRDefault="002274A5" w:rsidP="002274A5">
      <w:pPr>
        <w:pStyle w:val="a"/>
      </w:pPr>
      <w:proofErr w:type="spellStart"/>
      <w:r w:rsidRPr="0044370F">
        <w:t>Ventresca</w:t>
      </w:r>
      <w:proofErr w:type="spellEnd"/>
      <w:r w:rsidRPr="0044370F">
        <w:t>, M. and Mohr, J. (2002) ‘Archival Research Methods’, in Baum, J. (ed.) The Blackwell Companion to Organizations. Oxford: Blackwell, pp. 805-828.</w:t>
      </w:r>
    </w:p>
    <w:p w:rsidR="002274A5" w:rsidRPr="0044370F" w:rsidRDefault="002274A5" w:rsidP="002274A5">
      <w:pPr>
        <w:pStyle w:val="a"/>
      </w:pPr>
      <w:proofErr w:type="spellStart"/>
      <w:r w:rsidRPr="0044370F">
        <w:t>Venturini</w:t>
      </w:r>
      <w:proofErr w:type="spellEnd"/>
      <w:r w:rsidRPr="0044370F">
        <w:t xml:space="preserve">, T. and </w:t>
      </w:r>
      <w:proofErr w:type="spellStart"/>
      <w:r w:rsidRPr="0044370F">
        <w:t>Latour</w:t>
      </w:r>
      <w:proofErr w:type="spellEnd"/>
      <w:r w:rsidRPr="0044370F">
        <w:t xml:space="preserve">, B. (2021) ‘The Social Fabric: Digital Traces and </w:t>
      </w:r>
      <w:proofErr w:type="spellStart"/>
      <w:r w:rsidRPr="0044370F">
        <w:t>Quali</w:t>
      </w:r>
      <w:proofErr w:type="spellEnd"/>
      <w:r w:rsidRPr="0044370F">
        <w:t xml:space="preserve">-Quantitative Methods’, in </w:t>
      </w:r>
      <w:proofErr w:type="spellStart"/>
      <w:r w:rsidRPr="0044370F">
        <w:t>Lury</w:t>
      </w:r>
      <w:proofErr w:type="spellEnd"/>
      <w:r w:rsidRPr="0044370F">
        <w:t>, C.</w:t>
      </w:r>
    </w:p>
    <w:p w:rsidR="002274A5" w:rsidRPr="0044370F" w:rsidRDefault="002274A5" w:rsidP="002274A5">
      <w:pPr>
        <w:pStyle w:val="a"/>
      </w:pPr>
      <w:r w:rsidRPr="0044370F">
        <w:t>Vincent, J. (2016) ‘Facebook’s Free Basics service has been banned in India’, The Verge, 8 February</w:t>
      </w:r>
    </w:p>
    <w:p w:rsidR="002274A5" w:rsidRPr="0044370F" w:rsidRDefault="002274A5" w:rsidP="002274A5">
      <w:pPr>
        <w:pStyle w:val="a"/>
      </w:pPr>
      <w:r w:rsidRPr="0044370F">
        <w:t xml:space="preserve">Waguespack, D. M., </w:t>
      </w:r>
      <w:proofErr w:type="spellStart"/>
      <w:r w:rsidRPr="0044370F">
        <w:t>Birnir</w:t>
      </w:r>
      <w:proofErr w:type="spellEnd"/>
      <w:r w:rsidRPr="0044370F">
        <w:t>, J. K. and Schroeder, J. (2020) ‘Open Standards and Organizational Participation: Industry Consortia in the Global ICT Sector’, Research Policy, 49(8), article 104002</w:t>
      </w:r>
    </w:p>
    <w:p w:rsidR="002274A5" w:rsidRPr="0044370F" w:rsidRDefault="002274A5" w:rsidP="002274A5">
      <w:pPr>
        <w:pStyle w:val="a"/>
      </w:pPr>
      <w:r w:rsidRPr="0044370F">
        <w:t>Wall Street Journal (2020), ‘U.S. Officials Say Huawei Can Covertly Access Telecom Networks’, WSJ, 12 February.</w:t>
      </w:r>
    </w:p>
    <w:p w:rsidR="002274A5" w:rsidRPr="0044370F" w:rsidRDefault="002274A5" w:rsidP="002274A5">
      <w:pPr>
        <w:pStyle w:val="a"/>
      </w:pPr>
      <w:proofErr w:type="spellStart"/>
      <w:r w:rsidRPr="0044370F">
        <w:t>Wallerstein</w:t>
      </w:r>
      <w:proofErr w:type="spellEnd"/>
      <w:r w:rsidRPr="0044370F">
        <w:t>, I. (1974). The Modern World-System I: Capitalist Agriculture and the Origins of the European World-Economy in the Sixteenth Century. New York: Academic Press</w:t>
      </w:r>
    </w:p>
    <w:p w:rsidR="002274A5" w:rsidRPr="0044370F" w:rsidRDefault="002274A5" w:rsidP="002274A5">
      <w:pPr>
        <w:pStyle w:val="a"/>
      </w:pPr>
      <w:r w:rsidRPr="0044370F">
        <w:t>Washington Post (Nakashima, E.) (2019). U.S. pushes hard for a ban on Huawei in Europe, but the firm’s 5G prices are nearly irresistible. 29 May. Available at: https://www.washingtonpost.com/world/national-security/for-huawei-the-5g-play-is-in-europe--and-the-us-is-pushing-hard-for-a-ban-there/2019/05/28/582a8ff6-78d4-11e9-b7ae-390de4259661_story.html (Accessed 31 August 2025). (The Washington Post)</w:t>
      </w:r>
    </w:p>
    <w:p w:rsidR="002274A5" w:rsidRPr="0044370F" w:rsidRDefault="002274A5" w:rsidP="002274A5">
      <w:pPr>
        <w:pStyle w:val="a"/>
      </w:pPr>
      <w:r w:rsidRPr="0044370F">
        <w:lastRenderedPageBreak/>
        <w:t>Weill, P. and Ross, J. W. (2004) IT Governance: How Top Performers Manage IT Decision Rights for Superior Results. Boston, MA: Harvard Business School Press.</w:t>
      </w:r>
    </w:p>
    <w:p w:rsidR="002274A5" w:rsidRPr="0044370F" w:rsidRDefault="002274A5" w:rsidP="002274A5">
      <w:pPr>
        <w:pStyle w:val="a"/>
      </w:pPr>
      <w:r w:rsidRPr="0044370F">
        <w:t>Wendt, A. (1999) Social Theory of International Politics. Cambridge: Cambridge University Press.</w:t>
      </w:r>
    </w:p>
    <w:p w:rsidR="002274A5" w:rsidRPr="0044370F" w:rsidRDefault="002274A5" w:rsidP="002274A5">
      <w:pPr>
        <w:pStyle w:val="a"/>
      </w:pPr>
      <w:r w:rsidRPr="0044370F">
        <w:t xml:space="preserve">West, J. and </w:t>
      </w:r>
      <w:proofErr w:type="spellStart"/>
      <w:r w:rsidRPr="0044370F">
        <w:t>Dedrick</w:t>
      </w:r>
      <w:proofErr w:type="spellEnd"/>
      <w:r w:rsidRPr="0044370F">
        <w:t>, J. (2011) The Rise of Enterprise Software: How SAP Became a Global Power. Cambridge, MA: MIT Sloan Research Paper No. 4778-11</w:t>
      </w:r>
    </w:p>
    <w:p w:rsidR="002274A5" w:rsidRPr="0044370F" w:rsidRDefault="002274A5" w:rsidP="002274A5">
      <w:pPr>
        <w:pStyle w:val="a"/>
      </w:pPr>
      <w:r w:rsidRPr="0044370F">
        <w:t>Wired (2022) ‘Inside Meta’s Oversight Board: 2 Years of Pushing Limits’, Wired, 8 November.</w:t>
      </w:r>
    </w:p>
    <w:p w:rsidR="002274A5" w:rsidRPr="0044370F" w:rsidRDefault="002274A5" w:rsidP="002274A5">
      <w:pPr>
        <w:pStyle w:val="a"/>
      </w:pPr>
      <w:r w:rsidRPr="0044370F">
        <w:t>Yin, R. K. (2014). Case Study Research: Design and Methods (5th ed.). Thousand Oaks, CA: Sage Publications</w:t>
      </w:r>
    </w:p>
    <w:p w:rsidR="002274A5" w:rsidRPr="0044370F" w:rsidRDefault="002274A5" w:rsidP="002274A5">
      <w:pPr>
        <w:pStyle w:val="a"/>
      </w:pPr>
      <w:r w:rsidRPr="0044370F">
        <w:t xml:space="preserve">Yu, S., </w:t>
      </w:r>
      <w:proofErr w:type="spellStart"/>
      <w:r w:rsidRPr="0044370F">
        <w:t>Sekiguchi</w:t>
      </w:r>
      <w:proofErr w:type="spellEnd"/>
      <w:r w:rsidRPr="0044370F">
        <w:t xml:space="preserve">, T., &amp; </w:t>
      </w:r>
      <w:proofErr w:type="spellStart"/>
      <w:r w:rsidRPr="0044370F">
        <w:t>Sekiguchi</w:t>
      </w:r>
      <w:proofErr w:type="spellEnd"/>
      <w:r w:rsidRPr="0044370F">
        <w:t>, T. (2024). Platform-Dependent Entrepreneurship: A Systematic Review. Administrative Sciences, 14(12), 326.</w:t>
      </w:r>
    </w:p>
    <w:p w:rsidR="002274A5" w:rsidRPr="0044370F" w:rsidRDefault="002274A5" w:rsidP="002274A5">
      <w:pPr>
        <w:pStyle w:val="a"/>
      </w:pPr>
      <w:proofErr w:type="spellStart"/>
      <w:r w:rsidRPr="0044370F">
        <w:t>Zerk</w:t>
      </w:r>
      <w:proofErr w:type="spellEnd"/>
      <w:r w:rsidRPr="0044370F">
        <w:t>, J. (2019) ‘Corporate Influence in Global Governance: Private Actors and Public Authority’, Journal of International Economic Law, 22(2), pp. 287-312.</w:t>
      </w:r>
    </w:p>
    <w:p w:rsidR="002274A5" w:rsidRPr="0044370F" w:rsidRDefault="002274A5" w:rsidP="002274A5">
      <w:pPr>
        <w:pStyle w:val="a"/>
      </w:pPr>
      <w:r w:rsidRPr="0044370F">
        <w:t xml:space="preserve">Zhang, </w:t>
      </w:r>
      <w:proofErr w:type="spellStart"/>
      <w:r w:rsidRPr="0044370F">
        <w:t>Anlan</w:t>
      </w:r>
      <w:proofErr w:type="spellEnd"/>
      <w:r w:rsidRPr="0044370F">
        <w:t xml:space="preserve"> et al. (2023): “The legitimacy defeat of Huawei in the media: Cause, context, and process,” International Business Review, 32(6)</w:t>
      </w:r>
    </w:p>
    <w:p w:rsidR="002274A5" w:rsidRPr="0044370F" w:rsidRDefault="002274A5" w:rsidP="002274A5">
      <w:pPr>
        <w:pStyle w:val="a"/>
      </w:pPr>
      <w:r w:rsidRPr="0044370F">
        <w:t>Zhang, Y., Fu, J., Peng, Y. and Ge, Y. (2023) ‘Huawei’s “legitimacy defeat” in Western media’, in Journal of Language and Communication in Greater China, 1(1), pp. 22-50. (Preprint version). Available at: https://philarchive.org/rec/ZHATLD (Accessed 31 August 2025).</w:t>
      </w:r>
    </w:p>
    <w:p w:rsidR="002274A5" w:rsidRPr="0044370F" w:rsidRDefault="002274A5" w:rsidP="002274A5">
      <w:pPr>
        <w:pStyle w:val="a"/>
      </w:pPr>
      <w:proofErr w:type="spellStart"/>
      <w:r w:rsidRPr="0044370F">
        <w:t>Zreik</w:t>
      </w:r>
      <w:proofErr w:type="spellEnd"/>
      <w:r w:rsidRPr="0044370F">
        <w:t>, M. (2024). Commodifying the Self: The Influence of Neoliberalism and Consumerism on Digital Identity Formation and Representation. Journal of Information Ethics, 33(1), 30-51.</w:t>
      </w:r>
    </w:p>
    <w:p w:rsidR="002274A5" w:rsidRPr="0044370F" w:rsidRDefault="002274A5" w:rsidP="002274A5">
      <w:pPr>
        <w:pStyle w:val="a"/>
      </w:pPr>
      <w:proofErr w:type="spellStart"/>
      <w:r w:rsidRPr="0044370F">
        <w:t>Zuboff</w:t>
      </w:r>
      <w:proofErr w:type="spellEnd"/>
      <w:r w:rsidRPr="0044370F">
        <w:t xml:space="preserve">, S. (2019). The Age of Surveillance Capitalism: The Fight for a Human Future at the New Frontier of Power. New York: </w:t>
      </w:r>
      <w:proofErr w:type="spellStart"/>
      <w:r w:rsidRPr="0044370F">
        <w:t>PublicAffairs</w:t>
      </w:r>
      <w:proofErr w:type="spellEnd"/>
    </w:p>
    <w:p w:rsidR="002274A5" w:rsidRPr="0044370F" w:rsidRDefault="002274A5" w:rsidP="002274A5">
      <w:pPr>
        <w:pStyle w:val="a"/>
      </w:pPr>
      <w:proofErr w:type="spellStart"/>
      <w:r w:rsidRPr="0044370F">
        <w:t>Zysman</w:t>
      </w:r>
      <w:proofErr w:type="spellEnd"/>
      <w:r w:rsidRPr="0044370F">
        <w:t xml:space="preserve">, J. and Newman, A. (2006) ‘The Market, the State, and the Institutions of Governance’, in: How Revolutionary Was the Digital </w:t>
      </w:r>
      <w:proofErr w:type="gramStart"/>
      <w:r w:rsidRPr="0044370F">
        <w:t>Revolution?,</w:t>
      </w:r>
      <w:proofErr w:type="gramEnd"/>
      <w:r w:rsidRPr="0044370F">
        <w:t xml:space="preserve"> Stanford University Press, pp. 287-311.Farrell, H. and Newman, A.L. (2019) ‘Weaponized Interdependence: How Global Economic Networks Shape State Coercion’, International Security, 44(1), pp. 42-79.</w:t>
      </w:r>
    </w:p>
    <w:p w:rsidR="002C3B1E" w:rsidRPr="0044370F" w:rsidRDefault="002274A5" w:rsidP="00396349">
      <w:pPr>
        <w:pStyle w:val="a"/>
        <w:spacing w:line="360" w:lineRule="auto"/>
        <w:jc w:val="both"/>
        <w:rPr>
          <w:rtl/>
        </w:rPr>
      </w:pPr>
      <w:proofErr w:type="spellStart"/>
      <w:r w:rsidRPr="0044370F">
        <w:t>Zürn</w:t>
      </w:r>
      <w:proofErr w:type="spellEnd"/>
      <w:r w:rsidRPr="0044370F">
        <w:t xml:space="preserve">, M. (2018) A Theory of Global Governance. </w:t>
      </w:r>
      <w:r w:rsidR="00396349" w:rsidRPr="0044370F">
        <w:t>Oxford: Oxford University Press.</w:t>
      </w:r>
    </w:p>
    <w:p w:rsidR="00926B5D" w:rsidRPr="00004125" w:rsidRDefault="00926B5D" w:rsidP="00926B5D">
      <w:pPr>
        <w:spacing w:line="360" w:lineRule="auto"/>
        <w:jc w:val="both"/>
        <w:rPr>
          <w:rFonts w:asciiTheme="majorBidi" w:hAnsiTheme="majorBidi" w:cstheme="majorBidi"/>
        </w:rPr>
      </w:pPr>
    </w:p>
    <w:sectPr w:rsidR="00926B5D" w:rsidRPr="00004125" w:rsidSect="003119A6">
      <w:footerReference w:type="default" r:id="rId1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740" w:rsidRDefault="00206740" w:rsidP="0060194B">
      <w:pPr>
        <w:spacing w:after="0" w:line="240" w:lineRule="auto"/>
      </w:pPr>
      <w:r>
        <w:separator/>
      </w:r>
    </w:p>
  </w:endnote>
  <w:endnote w:type="continuationSeparator" w:id="0">
    <w:p w:rsidR="00206740" w:rsidRDefault="00206740" w:rsidP="00601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3528610"/>
      <w:docPartObj>
        <w:docPartGallery w:val="Page Numbers (Bottom of Page)"/>
        <w:docPartUnique/>
      </w:docPartObj>
    </w:sdtPr>
    <w:sdtContent>
      <w:p w:rsidR="00C62A14" w:rsidRDefault="00C62A14">
        <w:pPr>
          <w:pStyle w:val="ad"/>
        </w:pPr>
        <w:r>
          <w:rPr>
            <w:noProof/>
            <w:rtl/>
          </w:rPr>
          <mc:AlternateContent>
            <mc:Choice Requires="wps">
              <w:drawing>
                <wp:anchor distT="0" distB="0" distL="114300" distR="114300" simplePos="0" relativeHeight="251659264" behindDoc="0" locked="0" layoutInCell="1" allowOverlap="1">
                  <wp:simplePos x="0" y="0"/>
                  <wp:positionH relativeFrom="leftMargin">
                    <wp:align>center</wp:align>
                  </wp:positionH>
                  <wp:positionV relativeFrom="bottomMargin">
                    <wp:align>top</wp:align>
                  </wp:positionV>
                  <wp:extent cx="762000" cy="895350"/>
                  <wp:effectExtent l="0" t="0" r="0" b="0"/>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rsidR="00C62A14" w:rsidRDefault="00C62A14">
                                      <w:pPr>
                                        <w:jc w:val="center"/>
                                        <w:rPr>
                                          <w:rFonts w:asciiTheme="majorHAnsi" w:eastAsiaTheme="majorEastAsia" w:hAnsiTheme="majorHAnsi" w:cstheme="majorBidi"/>
                                          <w:sz w:val="48"/>
                                          <w:szCs w:val="48"/>
                                          <w:rtl/>
                                          <w:cs/>
                                        </w:rPr>
                                      </w:pPr>
                                      <w:r>
                                        <w:rPr>
                                          <w:rFonts w:eastAsiaTheme="minorEastAsia" w:cs="Times New Roman"/>
                                        </w:rPr>
                                        <w:fldChar w:fldCharType="begin"/>
                                      </w:r>
                                      <w:r>
                                        <w:rPr>
                                          <w:rtl/>
                                          <w:cs/>
                                        </w:rPr>
                                        <w:instrText>PAGE   \* MERGEFORMAT</w:instrText>
                                      </w:r>
                                      <w:r>
                                        <w:rPr>
                                          <w:rFonts w:eastAsiaTheme="minorEastAsia" w:cs="Times New Roman"/>
                                        </w:rPr>
                                        <w:fldChar w:fldCharType="separate"/>
                                      </w:r>
                                      <w:r w:rsidR="007D5946" w:rsidRPr="007D5946">
                                        <w:rPr>
                                          <w:rFonts w:asciiTheme="majorHAnsi" w:eastAsiaTheme="majorEastAsia" w:hAnsiTheme="majorHAnsi" w:cs="Calibri Light"/>
                                          <w:noProof/>
                                          <w:sz w:val="48"/>
                                          <w:szCs w:val="48"/>
                                          <w:lang w:val="he-IL"/>
                                        </w:rPr>
                                        <w:t>268</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3" o:spid="_x0000_s1026" style="position:absolute;margin-left:0;margin-top:0;width:60pt;height:70.5pt;flip:x;z-index:251659264;visibility:visible;mso-wrap-style:square;mso-width-percent:0;mso-height-percent:0;mso-wrap-distance-left:9pt;mso-wrap-distance-top:0;mso-wrap-distance-right:9pt;mso-wrap-distance-bottom:0;mso-position-horizontal:center;mso-position-horizontal-relative:lef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"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rsidR="00C62A14" w:rsidRDefault="00C62A14">
                                <w:pPr>
                                  <w:jc w:val="center"/>
                                  <w:rPr>
                                    <w:rFonts w:asciiTheme="majorHAnsi" w:eastAsiaTheme="majorEastAsia" w:hAnsiTheme="majorHAnsi" w:cstheme="majorBidi"/>
                                    <w:sz w:val="48"/>
                                    <w:szCs w:val="48"/>
                                    <w:rtl/>
                                    <w:cs/>
                                  </w:rPr>
                                </w:pPr>
                                <w:r>
                                  <w:rPr>
                                    <w:rFonts w:eastAsiaTheme="minorEastAsia" w:cs="Times New Roman"/>
                                  </w:rPr>
                                  <w:fldChar w:fldCharType="begin"/>
                                </w:r>
                                <w:r>
                                  <w:rPr>
                                    <w:rtl/>
                                    <w:cs/>
                                  </w:rPr>
                                  <w:instrText>PAGE   \* MERGEFORMAT</w:instrText>
                                </w:r>
                                <w:r>
                                  <w:rPr>
                                    <w:rFonts w:eastAsiaTheme="minorEastAsia" w:cs="Times New Roman"/>
                                  </w:rPr>
                                  <w:fldChar w:fldCharType="separate"/>
                                </w:r>
                                <w:r w:rsidR="007D5946" w:rsidRPr="007D5946">
                                  <w:rPr>
                                    <w:rFonts w:asciiTheme="majorHAnsi" w:eastAsiaTheme="majorEastAsia" w:hAnsiTheme="majorHAnsi" w:cs="Calibri Light"/>
                                    <w:noProof/>
                                    <w:sz w:val="48"/>
                                    <w:szCs w:val="48"/>
                                    <w:lang w:val="he-IL"/>
                                  </w:rPr>
                                  <w:t>268</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740" w:rsidRDefault="00206740" w:rsidP="0060194B">
      <w:pPr>
        <w:spacing w:after="0" w:line="240" w:lineRule="auto"/>
      </w:pPr>
      <w:r>
        <w:separator/>
      </w:r>
    </w:p>
  </w:footnote>
  <w:footnote w:type="continuationSeparator" w:id="0">
    <w:p w:rsidR="00206740" w:rsidRDefault="00206740" w:rsidP="0060194B">
      <w:pPr>
        <w:spacing w:after="0" w:line="240" w:lineRule="auto"/>
      </w:pPr>
      <w:r>
        <w:continuationSeparator/>
      </w:r>
    </w:p>
  </w:footnote>
  <w:footnote w:id="1">
    <w:p w:rsidR="00C62A14" w:rsidRPr="00B842B6" w:rsidRDefault="00C62A14" w:rsidP="0060194B">
      <w:pPr>
        <w:pStyle w:val="NormalWeb"/>
        <w:rPr>
          <w:rFonts w:asciiTheme="minorHAnsi" w:hAnsiTheme="minorHAnsi" w:cstheme="minorHAnsi"/>
          <w:sz w:val="20"/>
          <w:szCs w:val="20"/>
        </w:rPr>
      </w:pPr>
      <w:r w:rsidRPr="00B842B6">
        <w:rPr>
          <w:rStyle w:val="a8"/>
          <w:rFonts w:asciiTheme="minorHAnsi" w:hAnsiTheme="minorHAnsi" w:cstheme="minorHAnsi"/>
        </w:rPr>
        <w:footnoteRef/>
      </w:r>
      <w:r w:rsidRPr="00B842B6">
        <w:rPr>
          <w:rFonts w:asciiTheme="minorHAnsi" w:hAnsiTheme="minorHAnsi" w:cstheme="minorHAnsi"/>
          <w:sz w:val="20"/>
          <w:szCs w:val="20"/>
        </w:rPr>
        <w:t xml:space="preserve">   </w:t>
      </w:r>
      <w:proofErr w:type="spellStart"/>
      <w:r w:rsidRPr="00B842B6">
        <w:rPr>
          <w:rFonts w:asciiTheme="minorHAnsi" w:hAnsiTheme="minorHAnsi" w:cstheme="minorHAnsi"/>
          <w:sz w:val="20"/>
          <w:szCs w:val="20"/>
        </w:rPr>
        <w:t>Hornblower</w:t>
      </w:r>
      <w:proofErr w:type="spellEnd"/>
      <w:r w:rsidRPr="00B842B6">
        <w:rPr>
          <w:rFonts w:asciiTheme="minorHAnsi" w:hAnsiTheme="minorHAnsi" w:cstheme="minorHAnsi"/>
          <w:sz w:val="20"/>
          <w:szCs w:val="20"/>
        </w:rPr>
        <w:t xml:space="preserve">, S. &amp; </w:t>
      </w:r>
      <w:proofErr w:type="spellStart"/>
      <w:r w:rsidRPr="00B842B6">
        <w:rPr>
          <w:rFonts w:asciiTheme="minorHAnsi" w:hAnsiTheme="minorHAnsi" w:cstheme="minorHAnsi"/>
          <w:sz w:val="20"/>
          <w:szCs w:val="20"/>
        </w:rPr>
        <w:t>Spawforth</w:t>
      </w:r>
      <w:proofErr w:type="spellEnd"/>
      <w:r w:rsidRPr="00B842B6">
        <w:rPr>
          <w:rFonts w:asciiTheme="minorHAnsi" w:hAnsiTheme="minorHAnsi" w:cstheme="minorHAnsi"/>
          <w:sz w:val="20"/>
          <w:szCs w:val="20"/>
        </w:rPr>
        <w:t>, A. (</w:t>
      </w:r>
      <w:proofErr w:type="spellStart"/>
      <w:r w:rsidRPr="00B842B6">
        <w:rPr>
          <w:rFonts w:asciiTheme="minorHAnsi" w:hAnsiTheme="minorHAnsi" w:cstheme="minorHAnsi"/>
          <w:sz w:val="20"/>
          <w:szCs w:val="20"/>
        </w:rPr>
        <w:t>eds</w:t>
      </w:r>
      <w:proofErr w:type="spellEnd"/>
      <w:r w:rsidRPr="00B842B6">
        <w:rPr>
          <w:rFonts w:asciiTheme="minorHAnsi" w:hAnsiTheme="minorHAnsi" w:cstheme="minorHAnsi"/>
          <w:sz w:val="20"/>
          <w:szCs w:val="20"/>
        </w:rPr>
        <w:t xml:space="preserve">) (2014) </w:t>
      </w:r>
      <w:r w:rsidRPr="00B842B6">
        <w:rPr>
          <w:rStyle w:val="a5"/>
          <w:rFonts w:asciiTheme="minorHAnsi" w:eastAsiaTheme="majorEastAsia" w:hAnsiTheme="minorHAnsi" w:cstheme="minorHAnsi"/>
          <w:sz w:val="20"/>
          <w:szCs w:val="20"/>
        </w:rPr>
        <w:t>The Oxford Classical Dictionary</w:t>
      </w:r>
      <w:r w:rsidRPr="00B842B6">
        <w:rPr>
          <w:rFonts w:asciiTheme="minorHAnsi" w:hAnsiTheme="minorHAnsi" w:cstheme="minorHAnsi"/>
          <w:sz w:val="20"/>
          <w:szCs w:val="20"/>
        </w:rPr>
        <w:t xml:space="preserve">, 4th </w:t>
      </w:r>
      <w:proofErr w:type="spellStart"/>
      <w:r w:rsidRPr="00B842B6">
        <w:rPr>
          <w:rFonts w:asciiTheme="minorHAnsi" w:hAnsiTheme="minorHAnsi" w:cstheme="minorHAnsi"/>
          <w:sz w:val="20"/>
          <w:szCs w:val="20"/>
        </w:rPr>
        <w:t>edn</w:t>
      </w:r>
      <w:proofErr w:type="spellEnd"/>
      <w:r w:rsidRPr="00B842B6">
        <w:rPr>
          <w:rFonts w:asciiTheme="minorHAnsi" w:hAnsiTheme="minorHAnsi" w:cstheme="minorHAnsi"/>
          <w:sz w:val="20"/>
          <w:szCs w:val="20"/>
        </w:rPr>
        <w:t>. Oxford: Oxford University Press.</w:t>
      </w:r>
    </w:p>
  </w:footnote>
  <w:footnote w:id="2">
    <w:p w:rsidR="00C62A14" w:rsidRPr="00B842B6" w:rsidRDefault="00C62A14" w:rsidP="0060194B">
      <w:pPr>
        <w:pStyle w:val="NormalWeb"/>
        <w:rPr>
          <w:rFonts w:asciiTheme="minorHAnsi" w:hAnsiTheme="minorHAnsi" w:cstheme="minorHAnsi"/>
          <w:sz w:val="20"/>
          <w:szCs w:val="20"/>
        </w:rPr>
      </w:pPr>
      <w:r w:rsidRPr="00B842B6">
        <w:rPr>
          <w:rStyle w:val="a8"/>
          <w:rFonts w:asciiTheme="minorHAnsi" w:hAnsiTheme="minorHAnsi" w:cstheme="minorHAnsi"/>
        </w:rPr>
        <w:footnoteRef/>
      </w:r>
      <w:r w:rsidRPr="00B842B6">
        <w:rPr>
          <w:rFonts w:asciiTheme="minorHAnsi" w:hAnsiTheme="minorHAnsi" w:cstheme="minorHAnsi"/>
          <w:sz w:val="20"/>
          <w:szCs w:val="20"/>
        </w:rPr>
        <w:t xml:space="preserve">  Hansen, M.H. (2006) </w:t>
      </w:r>
      <w:r w:rsidRPr="00B842B6">
        <w:rPr>
          <w:rStyle w:val="a5"/>
          <w:rFonts w:asciiTheme="minorHAnsi" w:eastAsiaTheme="majorEastAsia" w:hAnsiTheme="minorHAnsi" w:cstheme="minorHAnsi"/>
          <w:sz w:val="20"/>
          <w:szCs w:val="20"/>
        </w:rPr>
        <w:t>The Polis: An Introduction to the Ancient Greek City-State</w:t>
      </w:r>
      <w:r w:rsidRPr="00B842B6">
        <w:rPr>
          <w:rFonts w:asciiTheme="minorHAnsi" w:hAnsiTheme="minorHAnsi" w:cstheme="minorHAnsi"/>
          <w:sz w:val="20"/>
          <w:szCs w:val="20"/>
        </w:rPr>
        <w:t>. Oxford: Oxford University Press.</w:t>
      </w:r>
    </w:p>
  </w:footnote>
  <w:footnote w:id="3">
    <w:p w:rsidR="00C62A14" w:rsidRPr="00B842B6" w:rsidRDefault="00C62A14" w:rsidP="0060194B">
      <w:pPr>
        <w:pStyle w:val="a6"/>
        <w:rPr>
          <w:rFonts w:cstheme="minorHAnsi"/>
          <w:rtl/>
        </w:rPr>
      </w:pPr>
      <w:r w:rsidRPr="00B842B6">
        <w:rPr>
          <w:rStyle w:val="a8"/>
          <w:rFonts w:cstheme="minorHAnsi"/>
        </w:rPr>
        <w:footnoteRef/>
      </w:r>
      <w:r w:rsidRPr="00B842B6">
        <w:rPr>
          <w:rFonts w:cstheme="minorHAnsi"/>
        </w:rPr>
        <w:t xml:space="preserve">  </w:t>
      </w:r>
      <w:r w:rsidRPr="00B842B6">
        <w:rPr>
          <w:rFonts w:cstheme="minorHAnsi"/>
        </w:rPr>
        <w:t>https://universalium.en-academic.com/121729/government</w:t>
      </w:r>
    </w:p>
  </w:footnote>
  <w:footnote w:id="4">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Cornell, </w:t>
      </w:r>
      <w:r w:rsidRPr="00B842B6">
        <w:rPr>
          <w:rFonts w:cstheme="minorHAnsi"/>
        </w:rPr>
        <w:t xml:space="preserve">T. J. (1995) </w:t>
      </w:r>
      <w:r w:rsidRPr="00B842B6">
        <w:rPr>
          <w:rStyle w:val="a5"/>
          <w:rFonts w:cstheme="minorHAnsi"/>
        </w:rPr>
        <w:t>The Beginnings of Rome: Italy and Rome from the Bronze Age to the Punic Wars (c.1000</w:t>
      </w:r>
      <w:r w:rsidRPr="00B842B6">
        <w:rPr>
          <w:rStyle w:val="a5"/>
          <w:rFonts w:cstheme="minorHAnsi"/>
          <w:lang w:val="en-US"/>
        </w:rPr>
        <w:t>-</w:t>
      </w:r>
      <w:r w:rsidRPr="00B842B6">
        <w:rPr>
          <w:rStyle w:val="a5"/>
          <w:rFonts w:cstheme="minorHAnsi"/>
        </w:rPr>
        <w:t>264 BC)</w:t>
      </w:r>
      <w:r w:rsidRPr="00B842B6">
        <w:rPr>
          <w:rFonts w:cstheme="minorHAnsi"/>
        </w:rPr>
        <w:t>. London: Routledge</w:t>
      </w:r>
      <w:r w:rsidRPr="00B842B6">
        <w:rPr>
          <w:rFonts w:cstheme="minorHAnsi"/>
          <w:rtl/>
          <w:lang w:val="en-US"/>
        </w:rPr>
        <w:t xml:space="preserve">; </w:t>
      </w:r>
      <w:r w:rsidRPr="00B842B6">
        <w:rPr>
          <w:rFonts w:cstheme="minorHAnsi"/>
          <w:lang w:val="en-US"/>
        </w:rPr>
        <w:t xml:space="preserve"> Sinclair, A. (1997). Among the new books. Antiquity, 71(272), 460-468.</w:t>
      </w:r>
    </w:p>
  </w:footnote>
  <w:footnote w:id="5">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“Law of the Twelve Tables” (2025) </w:t>
      </w:r>
      <w:r w:rsidRPr="00B842B6">
        <w:rPr>
          <w:rStyle w:val="a5"/>
          <w:rFonts w:cstheme="minorHAnsi"/>
        </w:rPr>
        <w:t>Britannica</w:t>
      </w:r>
      <w:r w:rsidRPr="00B842B6">
        <w:rPr>
          <w:rFonts w:cstheme="minorHAnsi"/>
        </w:rPr>
        <w:t xml:space="preserve">. Available at: </w:t>
      </w:r>
      <w:r>
        <w:fldChar w:fldCharType="begin"/>
      </w:r>
      <w:r>
        <w:instrText xml:space="preserve"> HYPERLINK "https://www.britannica.com/topic/Law-of-the-Twelve-Tables?utm_source=chatgpt.com" \t "_new" </w:instrText>
      </w:r>
      <w:r>
        <w:fldChar w:fldCharType="separate"/>
      </w:r>
      <w:r w:rsidRPr="00B842B6">
        <w:rPr>
          <w:rStyle w:val="Hyperlink"/>
          <w:rFonts w:cstheme="minorHAnsi"/>
        </w:rPr>
        <w:t>https://www.britannica.com/topic/Law-of-the-Twelve-Tables</w:t>
      </w:r>
      <w:r>
        <w:rPr>
          <w:rStyle w:val="Hyperlink"/>
          <w:rFonts w:cstheme="minorHAnsi"/>
        </w:rPr>
        <w:fldChar w:fldCharType="end"/>
      </w:r>
    </w:p>
  </w:footnote>
  <w:footnote w:id="6">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Steel, C. (2018) ‘Roman citizenship between law and practice’, University of Glasgow e-print. Available at: </w:t>
      </w:r>
      <w:r>
        <w:fldChar w:fldCharType="begin"/>
      </w:r>
      <w:r>
        <w:instrText xml:space="preserve"> HYPERLINK "https://eprints.gla.ac.uk/161306/1/161306.pdf?utm_source=chatgpt.com" \t "_new" </w:instrText>
      </w:r>
      <w:r>
        <w:fldChar w:fldCharType="separate"/>
      </w:r>
      <w:r w:rsidRPr="00B842B6">
        <w:rPr>
          <w:rStyle w:val="Hyperlink"/>
          <w:rFonts w:cstheme="minorHAnsi"/>
        </w:rPr>
        <w:t>https://eprints.gla.ac.uk/161306/1/161306.pdf</w:t>
      </w:r>
      <w:r>
        <w:rPr>
          <w:rStyle w:val="Hyperlink"/>
          <w:rFonts w:cstheme="minorHAnsi"/>
        </w:rPr>
        <w:fldChar w:fldCharType="end"/>
      </w:r>
    </w:p>
  </w:footnote>
  <w:footnote w:id="7">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Afsaruddin, A. (2025) </w:t>
      </w:r>
      <w:r w:rsidRPr="00B842B6">
        <w:rPr>
          <w:rFonts w:eastAsia="Times New Roman" w:cstheme="minorHAnsi"/>
          <w:i/>
          <w:iCs/>
          <w:lang w:eastAsia="en-IL"/>
        </w:rPr>
        <w:t>Caliphate</w:t>
      </w:r>
      <w:r w:rsidRPr="00B842B6">
        <w:rPr>
          <w:rFonts w:eastAsia="Times New Roman" w:cstheme="minorHAnsi"/>
          <w:lang w:eastAsia="en-IL"/>
        </w:rPr>
        <w:t xml:space="preserve">. </w:t>
      </w:r>
      <w:r w:rsidRPr="002E5E1A">
        <w:rPr>
          <w:rFonts w:eastAsia="Times New Roman" w:cstheme="minorHAnsi"/>
          <w:lang w:eastAsia="en-IL"/>
        </w:rPr>
        <w:t>Encyclopædia Britannica,</w:t>
      </w:r>
      <w:r w:rsidRPr="00B842B6">
        <w:rPr>
          <w:rFonts w:eastAsia="Times New Roman" w:cstheme="minorHAnsi"/>
          <w:lang w:eastAsia="en-IL"/>
        </w:rPr>
        <w:t xml:space="preserve"> Last updated 6 June 2025. Available at: britannica.com/place/Caliphate</w:t>
      </w:r>
      <w:r w:rsidRPr="00B842B6">
        <w:rPr>
          <w:rFonts w:eastAsia="Times New Roman" w:cstheme="minorHAnsi"/>
          <w:lang w:val="en-US" w:eastAsia="en-IL"/>
        </w:rPr>
        <w:t xml:space="preserve">. </w:t>
      </w:r>
      <w:r w:rsidRPr="00B842B6">
        <w:rPr>
          <w:rFonts w:cstheme="minorHAnsi"/>
        </w:rPr>
        <w:t xml:space="preserve">“Caliphate | History, Empire, Meaning, &amp; Definition” (2025) </w:t>
      </w:r>
      <w:r w:rsidRPr="00B842B6">
        <w:rPr>
          <w:rStyle w:val="a5"/>
          <w:rFonts w:cstheme="minorHAnsi"/>
        </w:rPr>
        <w:t>Britannica</w:t>
      </w:r>
      <w:r w:rsidRPr="00B842B6">
        <w:rPr>
          <w:rFonts w:cstheme="minorHAnsi"/>
        </w:rPr>
        <w:t xml:space="preserve">. Available at: </w:t>
      </w:r>
      <w:r>
        <w:fldChar w:fldCharType="begin"/>
      </w:r>
      <w:r>
        <w:instrText xml:space="preserve"> HYPERLINK "https://www.britannica.com/place/Caliphate?utm_source=chatgpt.com" \t "_new" </w:instrText>
      </w:r>
      <w:r>
        <w:fldChar w:fldCharType="separate"/>
      </w:r>
      <w:r w:rsidRPr="00B842B6">
        <w:rPr>
          <w:rStyle w:val="Hyperlink"/>
          <w:rFonts w:cstheme="minorHAnsi"/>
        </w:rPr>
        <w:t>https://www.britannica.com/place/Caliphate</w:t>
      </w:r>
      <w:r>
        <w:rPr>
          <w:rStyle w:val="Hyperlink"/>
          <w:rFonts w:cstheme="minorHAnsi"/>
        </w:rPr>
        <w:fldChar w:fldCharType="end"/>
      </w:r>
    </w:p>
  </w:footnote>
  <w:footnote w:id="8">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“Caliph and Caliphate</w:t>
      </w:r>
      <w:r w:rsidRPr="00B842B6">
        <w:rPr>
          <w:rFonts w:cstheme="minorHAnsi"/>
          <w:lang w:val="en-US"/>
        </w:rPr>
        <w:t xml:space="preserve">, </w:t>
      </w:r>
      <w:r w:rsidRPr="00B842B6">
        <w:rPr>
          <w:rFonts w:cstheme="minorHAnsi"/>
        </w:rPr>
        <w:t xml:space="preserve">Islamic Studies” (n.d.) </w:t>
      </w:r>
      <w:r w:rsidRPr="00B842B6">
        <w:rPr>
          <w:rStyle w:val="a5"/>
          <w:rFonts w:cstheme="minorHAnsi"/>
        </w:rPr>
        <w:t>Oxford Bibliographies</w:t>
      </w:r>
      <w:r w:rsidRPr="00B842B6">
        <w:rPr>
          <w:rFonts w:cstheme="minorHAnsi"/>
        </w:rPr>
        <w:t xml:space="preserve">. Available at: </w:t>
      </w:r>
      <w:r>
        <w:fldChar w:fldCharType="begin"/>
      </w:r>
      <w:r>
        <w:instrText xml:space="preserve"> HYPERLINK "https://www.oxfordbibliographies.com/abstract/document/obo-9780195390155/obo-9780195390155-0013.xml?utm_source=chatgpt.com" \t "_new" </w:instrText>
      </w:r>
      <w:r>
        <w:fldChar w:fldCharType="separate"/>
      </w:r>
      <w:r w:rsidRPr="00B842B6">
        <w:rPr>
          <w:rStyle w:val="Hyperlink"/>
          <w:rFonts w:cstheme="minorHAnsi"/>
        </w:rPr>
        <w:t>https://www.oxfordbibliographies.com/abstract/document/obo-9780195390155/obo-9780195390155-0013.xml</w:t>
      </w:r>
      <w:r>
        <w:rPr>
          <w:rStyle w:val="Hyperlink"/>
          <w:rFonts w:cstheme="minorHAnsi"/>
        </w:rPr>
        <w:fldChar w:fldCharType="end"/>
      </w:r>
    </w:p>
  </w:footnote>
  <w:footnote w:id="9">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Renna, </w:t>
      </w:r>
      <w:r w:rsidRPr="00B842B6">
        <w:rPr>
          <w:rFonts w:cstheme="minorHAnsi"/>
        </w:rPr>
        <w:t xml:space="preserve">T. (2015) ‘“The Holy Roman Empire was Neither Holy nor Roman nor an Empire.”: Voltaire’s famous quip and the historical reality’, </w:t>
      </w:r>
      <w:r w:rsidRPr="00B842B6">
        <w:rPr>
          <w:rStyle w:val="a5"/>
          <w:rFonts w:cstheme="minorHAnsi"/>
        </w:rPr>
        <w:t>Michigan Academician</w:t>
      </w:r>
      <w:r w:rsidRPr="00B842B6">
        <w:rPr>
          <w:rFonts w:cstheme="minorHAnsi"/>
        </w:rPr>
        <w:t>, 42(1), pp. 60–75.</w:t>
      </w:r>
      <w:r w:rsidRPr="00B842B6">
        <w:rPr>
          <w:rFonts w:cstheme="minorHAnsi"/>
          <w:lang w:val="en-US"/>
        </w:rPr>
        <w:t xml:space="preserve"> </w:t>
      </w:r>
      <w:r w:rsidRPr="00B842B6">
        <w:rPr>
          <w:rFonts w:cstheme="minorHAnsi"/>
        </w:rPr>
        <w:t xml:space="preserve">“The Ideology of the Holy Roman Empire” (2021) </w:t>
      </w:r>
      <w:r w:rsidRPr="00B842B6">
        <w:rPr>
          <w:rStyle w:val="a5"/>
          <w:rFonts w:cstheme="minorHAnsi"/>
        </w:rPr>
        <w:t>World History Encyclopedia</w:t>
      </w:r>
      <w:r w:rsidRPr="00B842B6">
        <w:rPr>
          <w:rFonts w:cstheme="minorHAnsi"/>
        </w:rPr>
        <w:t xml:space="preserve">. Available at: </w:t>
      </w:r>
      <w:r>
        <w:fldChar w:fldCharType="begin"/>
      </w:r>
      <w:r>
        <w:instrText xml:space="preserve"> HYPERLINK "https://www.worldhistory.org/article/1786/the-ideology-of-the-holy-roman-empire/?utm_source=chatgpt.com" \t "_new" </w:instrText>
      </w:r>
      <w:r>
        <w:fldChar w:fldCharType="separate"/>
      </w:r>
      <w:r w:rsidRPr="00B842B6">
        <w:rPr>
          <w:rStyle w:val="Hyperlink"/>
          <w:rFonts w:cstheme="minorHAnsi"/>
        </w:rPr>
        <w:t>https://www.worldhistory.org/article/1786/the-ideology-of-the-holy-roman-empire/</w:t>
      </w:r>
      <w:r>
        <w:rPr>
          <w:rStyle w:val="Hyperlink"/>
          <w:rFonts w:cstheme="minorHAnsi"/>
        </w:rPr>
        <w:fldChar w:fldCharType="end"/>
      </w:r>
    </w:p>
  </w:footnote>
  <w:footnote w:id="10">
    <w:p w:rsidR="00C62A14" w:rsidRPr="00B842B6" w:rsidRDefault="00C62A14" w:rsidP="0060194B">
      <w:pPr>
        <w:pStyle w:val="a6"/>
        <w:rPr>
          <w:rFonts w:cstheme="minorHAnsi"/>
          <w:rtl/>
        </w:rPr>
      </w:pPr>
      <w:r w:rsidRPr="00B842B6">
        <w:rPr>
          <w:rStyle w:val="a8"/>
          <w:rFonts w:cstheme="minorHAnsi"/>
        </w:rPr>
        <w:footnoteRef/>
      </w:r>
      <w:r w:rsidRPr="00B842B6">
        <w:rPr>
          <w:rFonts w:cstheme="minorHAnsi"/>
        </w:rPr>
        <w:t xml:space="preserve"> </w:t>
      </w:r>
      <w:r w:rsidRPr="00B842B6">
        <w:rPr>
          <w:rFonts w:cstheme="minorHAnsi"/>
        </w:rPr>
        <w:t xml:space="preserve">Friedrichs, </w:t>
      </w:r>
      <w:r w:rsidRPr="00B842B6">
        <w:rPr>
          <w:rFonts w:cstheme="minorHAnsi"/>
        </w:rPr>
        <w:t>C. (2014). The Holy Roman Empire, Reconsidered. Canadian Journal of History, 49(2), 267-269.</w:t>
      </w:r>
    </w:p>
  </w:footnote>
  <w:footnote w:id="11">
    <w:p w:rsidR="00C62A14" w:rsidRPr="00B842B6" w:rsidRDefault="00C62A14" w:rsidP="0060194B">
      <w:pPr>
        <w:pStyle w:val="a6"/>
        <w:rPr>
          <w:rFonts w:cstheme="minorHAnsi"/>
          <w:rtl/>
        </w:rPr>
      </w:pPr>
      <w:r w:rsidRPr="00B842B6">
        <w:rPr>
          <w:rStyle w:val="a8"/>
          <w:rFonts w:cstheme="minorHAnsi"/>
        </w:rPr>
        <w:footnoteRef/>
      </w:r>
      <w:r w:rsidRPr="00B842B6">
        <w:rPr>
          <w:rFonts w:cstheme="minorHAnsi"/>
        </w:rPr>
        <w:t xml:space="preserve"> </w:t>
      </w:r>
      <w:r w:rsidRPr="00B842B6">
        <w:rPr>
          <w:rFonts w:cstheme="minorHAnsi"/>
        </w:rPr>
        <w:t xml:space="preserve">Osiander, </w:t>
      </w:r>
      <w:r w:rsidRPr="00B842B6">
        <w:rPr>
          <w:rFonts w:cstheme="minorHAnsi"/>
        </w:rPr>
        <w:t xml:space="preserve">A. (2001) ‘Sovereignty, International Relations, and the Westphalian Myth’, </w:t>
      </w:r>
      <w:r w:rsidRPr="00B842B6">
        <w:rPr>
          <w:rStyle w:val="a5"/>
          <w:rFonts w:cstheme="minorHAnsi"/>
        </w:rPr>
        <w:t>International Organization</w:t>
      </w:r>
      <w:r w:rsidRPr="00B842B6">
        <w:rPr>
          <w:rFonts w:cstheme="minorHAnsi"/>
        </w:rPr>
        <w:t>, 55(2), pp. 251-287.</w:t>
      </w:r>
    </w:p>
  </w:footnote>
  <w:footnote w:id="12">
    <w:p w:rsidR="00C62A14" w:rsidRPr="00B842B6" w:rsidRDefault="00C62A14" w:rsidP="0060194B">
      <w:pPr>
        <w:pStyle w:val="a6"/>
        <w:rPr>
          <w:rFonts w:cstheme="minorHAnsi"/>
          <w:rtl/>
        </w:rPr>
      </w:pPr>
      <w:r w:rsidRPr="00B842B6">
        <w:rPr>
          <w:rStyle w:val="a8"/>
          <w:rFonts w:cstheme="minorHAnsi"/>
        </w:rPr>
        <w:footnoteRef/>
      </w:r>
      <w:r w:rsidRPr="00B842B6">
        <w:rPr>
          <w:rFonts w:cstheme="minorHAnsi"/>
        </w:rPr>
        <w:t xml:space="preserve"> </w:t>
      </w:r>
      <w:r w:rsidRPr="00B842B6">
        <w:rPr>
          <w:rFonts w:cstheme="minorHAnsi"/>
        </w:rPr>
        <w:t xml:space="preserve">Straumann, </w:t>
      </w:r>
      <w:r w:rsidRPr="00B842B6">
        <w:rPr>
          <w:rFonts w:cstheme="minorHAnsi"/>
        </w:rPr>
        <w:t xml:space="preserve">N. (2007) ‘The Peace of Westphalia 1648 as a Secular Constitution’, </w:t>
      </w:r>
      <w:r w:rsidRPr="00B842B6">
        <w:rPr>
          <w:rStyle w:val="a5"/>
          <w:rFonts w:cstheme="minorHAnsi"/>
        </w:rPr>
        <w:t>International Law and Justice Working Paper</w:t>
      </w:r>
      <w:r w:rsidRPr="00B842B6">
        <w:rPr>
          <w:rFonts w:cstheme="minorHAnsi"/>
        </w:rPr>
        <w:t>, University of Zurich</w:t>
      </w:r>
    </w:p>
  </w:footnote>
  <w:footnote w:id="13">
    <w:p w:rsidR="00C62A14" w:rsidRPr="00B842B6" w:rsidRDefault="00C62A14" w:rsidP="0060194B">
      <w:pPr>
        <w:pStyle w:val="a6"/>
        <w:rPr>
          <w:rFonts w:cstheme="minorHAnsi"/>
          <w:rtl/>
        </w:rPr>
      </w:pPr>
      <w:r w:rsidRPr="00B842B6">
        <w:rPr>
          <w:rStyle w:val="a8"/>
          <w:rFonts w:cstheme="minorHAnsi"/>
        </w:rPr>
        <w:footnoteRef/>
      </w:r>
      <w:r w:rsidRPr="00B842B6">
        <w:rPr>
          <w:rFonts w:cstheme="minorHAnsi"/>
        </w:rPr>
        <w:t xml:space="preserve"> </w:t>
      </w:r>
      <w:r w:rsidRPr="00B842B6">
        <w:rPr>
          <w:rFonts w:cstheme="minorHAnsi"/>
        </w:rPr>
        <w:t xml:space="preserve">Kroes, </w:t>
      </w:r>
      <w:r w:rsidRPr="00B842B6">
        <w:rPr>
          <w:rFonts w:cstheme="minorHAnsi"/>
        </w:rPr>
        <w:t xml:space="preserve">R. (2013) ‘The Westphalian Settlement’, in Nexon, D. H. &amp; Wright, J. (eds) </w:t>
      </w:r>
      <w:r w:rsidRPr="00B842B6">
        <w:rPr>
          <w:rStyle w:val="a5"/>
          <w:rFonts w:cstheme="minorHAnsi"/>
        </w:rPr>
        <w:t>Individual Rights and the Making of the International System</w:t>
      </w:r>
      <w:r w:rsidRPr="00B842B6">
        <w:rPr>
          <w:rFonts w:cstheme="minorHAnsi"/>
        </w:rPr>
        <w:t>. Cambridge: Cambridge University Press, pp. 68-105</w:t>
      </w:r>
    </w:p>
  </w:footnote>
  <w:footnote w:id="14">
    <w:p w:rsidR="00C62A14" w:rsidRPr="00B842B6" w:rsidRDefault="00C62A14" w:rsidP="0060194B">
      <w:pPr>
        <w:pStyle w:val="a6"/>
        <w:rPr>
          <w:rFonts w:cstheme="minorHAnsi"/>
          <w:rtl/>
        </w:rPr>
      </w:pPr>
      <w:r w:rsidRPr="00B842B6">
        <w:rPr>
          <w:rStyle w:val="a8"/>
          <w:rFonts w:cstheme="minorHAnsi"/>
        </w:rPr>
        <w:footnoteRef/>
      </w:r>
      <w:r w:rsidRPr="00B842B6">
        <w:rPr>
          <w:rFonts w:cstheme="minorHAnsi"/>
        </w:rPr>
        <w:t xml:space="preserve"> </w:t>
      </w:r>
      <w:r w:rsidRPr="00B842B6">
        <w:rPr>
          <w:rFonts w:cstheme="minorHAnsi"/>
        </w:rPr>
        <w:t xml:space="preserve">Jackson, </w:t>
      </w:r>
      <w:r w:rsidRPr="00B842B6">
        <w:rPr>
          <w:rFonts w:cstheme="minorHAnsi"/>
        </w:rPr>
        <w:t xml:space="preserve">R. H. (1990) </w:t>
      </w:r>
      <w:r w:rsidRPr="00B842B6">
        <w:rPr>
          <w:rStyle w:val="a5"/>
          <w:rFonts w:cstheme="minorHAnsi"/>
        </w:rPr>
        <w:t>Quasi-States: Sovereignty, International Relations and the Third World</w:t>
      </w:r>
      <w:r w:rsidRPr="00B842B6">
        <w:rPr>
          <w:rFonts w:cstheme="minorHAnsi"/>
        </w:rPr>
        <w:t>. Cambridge: Cambridge University Press.</w:t>
      </w:r>
    </w:p>
  </w:footnote>
  <w:footnote w:id="15">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Krasner, </w:t>
      </w:r>
      <w:r w:rsidRPr="00B842B6">
        <w:rPr>
          <w:rFonts w:eastAsia="Times New Roman" w:cstheme="minorHAnsi"/>
          <w:lang w:eastAsia="en-IL"/>
        </w:rPr>
        <w:t xml:space="preserve">S. D. (1999) </w:t>
      </w:r>
      <w:r w:rsidRPr="00B842B6">
        <w:rPr>
          <w:rFonts w:eastAsia="Times New Roman" w:cstheme="minorHAnsi"/>
          <w:i/>
          <w:iCs/>
          <w:lang w:eastAsia="en-IL"/>
        </w:rPr>
        <w:t>Sovereignty: Organized Hypocrisy</w:t>
      </w:r>
      <w:r w:rsidRPr="00B842B6">
        <w:rPr>
          <w:rFonts w:eastAsia="Times New Roman" w:cstheme="minorHAnsi"/>
          <w:lang w:eastAsia="en-IL"/>
        </w:rPr>
        <w:t>. Princeton, NJ: Princeton University Press</w:t>
      </w:r>
    </w:p>
  </w:footnote>
  <w:footnote w:id="16">
    <w:p w:rsidR="00C62A14" w:rsidRPr="00B842B6" w:rsidRDefault="00C62A14" w:rsidP="0060194B">
      <w:pPr>
        <w:pStyle w:val="a6"/>
        <w:rPr>
          <w:rFonts w:cstheme="minorHAnsi"/>
          <w:rtl/>
        </w:rPr>
      </w:pPr>
      <w:r w:rsidRPr="00B842B6">
        <w:rPr>
          <w:rStyle w:val="a8"/>
          <w:rFonts w:cstheme="minorHAnsi"/>
        </w:rPr>
        <w:footnoteRef/>
      </w:r>
      <w:r w:rsidRPr="00B842B6">
        <w:rPr>
          <w:rFonts w:cstheme="minorHAnsi"/>
        </w:rPr>
        <w:t xml:space="preserve"> </w:t>
      </w:r>
      <w:r w:rsidRPr="00B842B6">
        <w:rPr>
          <w:rFonts w:cstheme="minorHAnsi"/>
        </w:rPr>
        <w:t xml:space="preserve">Lake, </w:t>
      </w:r>
      <w:r w:rsidRPr="00B842B6">
        <w:rPr>
          <w:rFonts w:cstheme="minorHAnsi"/>
        </w:rPr>
        <w:t xml:space="preserve">D. A. (2003) ‘The New Sovereignty in International Relations’, </w:t>
      </w:r>
      <w:r w:rsidRPr="00B842B6">
        <w:rPr>
          <w:rStyle w:val="a5"/>
          <w:rFonts w:cstheme="minorHAnsi"/>
        </w:rPr>
        <w:t>International Studies Review</w:t>
      </w:r>
      <w:r w:rsidRPr="00B842B6">
        <w:rPr>
          <w:rFonts w:cstheme="minorHAnsi"/>
        </w:rPr>
        <w:t>, 5(3), pp. 303</w:t>
      </w:r>
      <w:r w:rsidRPr="00B842B6">
        <w:rPr>
          <w:rFonts w:cstheme="minorHAnsi"/>
          <w:lang w:val="en-US"/>
        </w:rPr>
        <w:t>-</w:t>
      </w:r>
      <w:r w:rsidRPr="00B842B6">
        <w:rPr>
          <w:rFonts w:cstheme="minorHAnsi"/>
        </w:rPr>
        <w:t xml:space="preserve">323. </w:t>
      </w:r>
    </w:p>
  </w:footnote>
  <w:footnote w:id="17">
    <w:p w:rsidR="00C62A14" w:rsidRPr="004E43B8" w:rsidRDefault="00C62A14" w:rsidP="0060194B">
      <w:pPr>
        <w:pStyle w:val="a6"/>
        <w:rPr>
          <w:rtl/>
        </w:rPr>
      </w:pPr>
      <w:r>
        <w:rPr>
          <w:rStyle w:val="a8"/>
        </w:rPr>
        <w:footnoteRef/>
      </w:r>
      <w:r>
        <w:t xml:space="preserve"> </w:t>
      </w:r>
      <w:r>
        <w:t xml:space="preserve">Ruggie, </w:t>
      </w:r>
      <w:r>
        <w:t xml:space="preserve">J. G. (1993) ‘Territoriality and Beyond: Problematizing Modernity in International Relations’, </w:t>
      </w:r>
      <w:r>
        <w:rPr>
          <w:rStyle w:val="a5"/>
        </w:rPr>
        <w:t>International Organization</w:t>
      </w:r>
      <w:r>
        <w:t>, 47(1), pp. 139</w:t>
      </w:r>
      <w:r>
        <w:rPr>
          <w:lang w:val="en-US"/>
        </w:rPr>
        <w:t>-</w:t>
      </w:r>
      <w:r>
        <w:t>174. DOI: 10.1017/S0020818300004730</w:t>
      </w:r>
    </w:p>
  </w:footnote>
  <w:footnote w:id="18">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Schaake, </w:t>
      </w:r>
      <w:r w:rsidRPr="00B842B6">
        <w:rPr>
          <w:rFonts w:eastAsia="Times New Roman" w:cstheme="minorHAnsi"/>
          <w:lang w:eastAsia="en-IL"/>
        </w:rPr>
        <w:t xml:space="preserve">M. (2024) </w:t>
      </w:r>
      <w:r w:rsidRPr="00B842B6">
        <w:rPr>
          <w:rFonts w:eastAsia="Times New Roman" w:cstheme="minorHAnsi"/>
          <w:i/>
          <w:iCs/>
          <w:lang w:eastAsia="en-IL"/>
        </w:rPr>
        <w:t>The Tech Coup: How to Save Democracy from Silicon Valley</w:t>
      </w:r>
      <w:r w:rsidRPr="00B842B6">
        <w:rPr>
          <w:rFonts w:eastAsia="Times New Roman" w:cstheme="minorHAnsi"/>
          <w:lang w:eastAsia="en-IL"/>
        </w:rPr>
        <w:t>. Princeton, NJ: Princeton University Press</w:t>
      </w:r>
      <w:r w:rsidRPr="00B842B6">
        <w:rPr>
          <w:rFonts w:eastAsia="Times New Roman" w:cstheme="minorHAnsi"/>
          <w:lang w:val="en-US" w:eastAsia="en-IL"/>
        </w:rPr>
        <w:t xml:space="preserve">; </w:t>
      </w:r>
      <w:r w:rsidRPr="00B842B6">
        <w:rPr>
          <w:rFonts w:eastAsia="Times New Roman" w:cstheme="minorHAnsi"/>
          <w:lang w:eastAsia="en-IL"/>
        </w:rPr>
        <w:t xml:space="preserve">Rosen, P. (2023) </w:t>
      </w:r>
      <w:r w:rsidRPr="002E5E1A">
        <w:rPr>
          <w:rFonts w:eastAsia="Times New Roman" w:cstheme="minorHAnsi"/>
          <w:lang w:eastAsia="en-IL"/>
        </w:rPr>
        <w:t>“Apple’s market cap is larger than all but 6 of world’s top economies.”</w:t>
      </w:r>
      <w:r w:rsidRPr="00B842B6">
        <w:rPr>
          <w:rFonts w:eastAsia="Times New Roman" w:cstheme="minorHAnsi"/>
          <w:lang w:eastAsia="en-IL"/>
        </w:rPr>
        <w:t xml:space="preserve"> </w:t>
      </w:r>
      <w:r w:rsidRPr="00B842B6">
        <w:rPr>
          <w:rFonts w:eastAsia="Times New Roman" w:cstheme="minorHAnsi"/>
          <w:i/>
          <w:iCs/>
          <w:lang w:eastAsia="en-IL"/>
        </w:rPr>
        <w:t>Business Insider</w:t>
      </w:r>
      <w:r w:rsidRPr="00B842B6">
        <w:rPr>
          <w:rFonts w:eastAsia="Times New Roman" w:cstheme="minorHAnsi"/>
          <w:lang w:eastAsia="en-IL"/>
        </w:rPr>
        <w:t>, 15 December 2023</w:t>
      </w:r>
      <w:r w:rsidRPr="00B842B6">
        <w:rPr>
          <w:rFonts w:eastAsia="Times New Roman" w:cstheme="minorHAnsi"/>
          <w:lang w:val="en-US" w:eastAsia="en-IL"/>
        </w:rPr>
        <w:t>.</w:t>
      </w:r>
      <w:r w:rsidRPr="00B842B6">
        <w:rPr>
          <w:rFonts w:eastAsia="Times New Roman" w:cstheme="minorHAnsi"/>
          <w:rtl/>
          <w:lang w:val="en-US" w:eastAsia="en-IL"/>
        </w:rPr>
        <w:t xml:space="preserve"> </w:t>
      </w:r>
      <w:r w:rsidRPr="00B842B6">
        <w:rPr>
          <w:rFonts w:cstheme="minorHAnsi"/>
        </w:rPr>
        <w:t xml:space="preserve">Culpepper, P. D. &amp; Thelen, K. (2020) ‘Are We All Amazon Primed? Consumers and the Politics of Platform Power’, </w:t>
      </w:r>
      <w:r w:rsidRPr="00B842B6">
        <w:rPr>
          <w:rStyle w:val="a5"/>
          <w:rFonts w:cstheme="minorHAnsi"/>
        </w:rPr>
        <w:t>Comparative Political Studies</w:t>
      </w:r>
      <w:r w:rsidRPr="00B842B6">
        <w:rPr>
          <w:rFonts w:cstheme="minorHAnsi"/>
        </w:rPr>
        <w:t>, 53(2), pp. 288</w:t>
      </w:r>
      <w:r w:rsidRPr="00B842B6">
        <w:rPr>
          <w:rFonts w:cstheme="minorHAnsi"/>
          <w:lang w:val="en-US"/>
        </w:rPr>
        <w:t>-</w:t>
      </w:r>
      <w:r w:rsidRPr="00B842B6">
        <w:rPr>
          <w:rFonts w:cstheme="minorHAnsi"/>
        </w:rPr>
        <w:t>318</w:t>
      </w:r>
      <w:r w:rsidRPr="00B842B6">
        <w:rPr>
          <w:rFonts w:cstheme="minorHAnsi"/>
          <w:lang w:val="en-US"/>
        </w:rPr>
        <w:t xml:space="preserve">; Yu, S., </w:t>
      </w:r>
      <w:proofErr w:type="spellStart"/>
      <w:r w:rsidRPr="00B842B6">
        <w:rPr>
          <w:rFonts w:cstheme="minorHAnsi"/>
          <w:lang w:val="en-US"/>
        </w:rPr>
        <w:t>Sekiguchi</w:t>
      </w:r>
      <w:proofErr w:type="spellEnd"/>
      <w:r w:rsidRPr="00B842B6">
        <w:rPr>
          <w:rFonts w:cstheme="minorHAnsi"/>
          <w:lang w:val="en-US"/>
        </w:rPr>
        <w:t xml:space="preserve">, T., &amp; </w:t>
      </w:r>
      <w:proofErr w:type="spellStart"/>
      <w:r w:rsidRPr="00B842B6">
        <w:rPr>
          <w:rFonts w:cstheme="minorHAnsi"/>
          <w:lang w:val="en-US"/>
        </w:rPr>
        <w:t>Sekiguchi</w:t>
      </w:r>
      <w:proofErr w:type="spellEnd"/>
      <w:r w:rsidRPr="00B842B6">
        <w:rPr>
          <w:rFonts w:cstheme="minorHAnsi"/>
          <w:lang w:val="en-US"/>
        </w:rPr>
        <w:t>, T. (2024). Platform-Dependent Entrepreneurship: A Systematic Review. Administrative Sciences, 14(12), 326.</w:t>
      </w:r>
    </w:p>
  </w:footnote>
  <w:footnote w:id="19">
    <w:p w:rsidR="00C62A14" w:rsidRPr="00B842B6" w:rsidRDefault="00C62A14" w:rsidP="0060194B">
      <w:pPr>
        <w:pStyle w:val="a6"/>
        <w:rPr>
          <w:rFonts w:cstheme="minorHAnsi"/>
          <w:rtl/>
          <w:lang w:val="en-US"/>
        </w:rPr>
      </w:pPr>
      <w:r w:rsidRPr="00B842B6">
        <w:rPr>
          <w:rStyle w:val="a8"/>
          <w:rFonts w:cstheme="minorHAnsi"/>
        </w:rPr>
        <w:footnoteRef/>
      </w:r>
      <w:r w:rsidRPr="00B842B6">
        <w:rPr>
          <w:rFonts w:cstheme="minorHAnsi"/>
        </w:rPr>
        <w:t xml:space="preserve"> </w:t>
      </w:r>
      <w:r w:rsidRPr="00B842B6">
        <w:rPr>
          <w:rFonts w:cstheme="minorHAnsi"/>
        </w:rPr>
        <w:t xml:space="preserve">Khanna, P. (2016) </w:t>
      </w:r>
      <w:r w:rsidRPr="00B842B6">
        <w:rPr>
          <w:rStyle w:val="a5"/>
          <w:rFonts w:cstheme="minorHAnsi"/>
        </w:rPr>
        <w:t>Connectography: Mapping the Future of Global Civilization</w:t>
      </w:r>
      <w:r w:rsidRPr="00B842B6">
        <w:rPr>
          <w:rFonts w:cstheme="minorHAnsi"/>
        </w:rPr>
        <w:t>. New York: Random House</w:t>
      </w:r>
      <w:r w:rsidRPr="00B842B6">
        <w:rPr>
          <w:rFonts w:cstheme="minorHAnsi"/>
          <w:lang w:val="en-US"/>
        </w:rPr>
        <w:t>; Mishra, S. (2024). The Fluidity of World Order and Break from Past: Opportunities and Challenges. Social Development Issues, 46(1), 45-68.</w:t>
      </w:r>
    </w:p>
  </w:footnote>
  <w:footnote w:id="20">
    <w:p w:rsidR="00C62A14" w:rsidRPr="00290452" w:rsidRDefault="00C62A14" w:rsidP="0060194B">
      <w:pPr>
        <w:pStyle w:val="a6"/>
        <w:rPr>
          <w:rtl/>
          <w:lang w:val="en-US"/>
        </w:rPr>
      </w:pPr>
      <w:r>
        <w:rPr>
          <w:rStyle w:val="a8"/>
        </w:rPr>
        <w:footnoteRef/>
      </w:r>
      <w:r>
        <w:t xml:space="preserve"> </w:t>
      </w:r>
      <w:r>
        <w:t xml:space="preserve">Cohen, J. E. (2019) </w:t>
      </w:r>
      <w:r>
        <w:rPr>
          <w:rStyle w:val="a5"/>
        </w:rPr>
        <w:t>Between Truth and Power: The Legal Constructions of Informational Capitalism</w:t>
      </w:r>
      <w:r>
        <w:t>. Oxford: Oxford University Press</w:t>
      </w:r>
      <w:r>
        <w:rPr>
          <w:lang w:val="en-US"/>
        </w:rPr>
        <w:t xml:space="preserve">; </w:t>
      </w:r>
      <w:proofErr w:type="spellStart"/>
      <w:r w:rsidRPr="00290452">
        <w:rPr>
          <w:lang w:val="en-US"/>
        </w:rPr>
        <w:t>Zreik</w:t>
      </w:r>
      <w:proofErr w:type="spellEnd"/>
      <w:r w:rsidRPr="00290452">
        <w:rPr>
          <w:lang w:val="en-US"/>
        </w:rPr>
        <w:t>, M. (2024). Commodifying the Self: The Influence of Neoliberalism and Consumerism on Digital Identity Formation and Representation. Journal of Information Ethics, 33(1), 30-51.</w:t>
      </w:r>
    </w:p>
  </w:footnote>
  <w:footnote w:id="21">
    <w:p w:rsidR="00C62A14" w:rsidRPr="004E43B8" w:rsidRDefault="00C62A14" w:rsidP="0060194B">
      <w:pPr>
        <w:pStyle w:val="a6"/>
        <w:rPr>
          <w:rtl/>
        </w:rPr>
      </w:pPr>
      <w:r>
        <w:rPr>
          <w:rStyle w:val="a8"/>
        </w:rPr>
        <w:footnoteRef/>
      </w:r>
      <w:r>
        <w:t xml:space="preserve"> </w:t>
      </w:r>
      <w:r>
        <w:t xml:space="preserve">Nye, J. S. (2017) ‘Cyber Power and the Challenge of Global Governance’, </w:t>
      </w:r>
      <w:r>
        <w:rPr>
          <w:rStyle w:val="a5"/>
        </w:rPr>
        <w:t>Ethics &amp; International Affairs</w:t>
      </w:r>
      <w:r>
        <w:t>, 31(1), pp. 9</w:t>
      </w:r>
      <w:r>
        <w:rPr>
          <w:lang w:val="en-US"/>
        </w:rPr>
        <w:t>-</w:t>
      </w:r>
      <w:r>
        <w:t xml:space="preserve">22. </w:t>
      </w:r>
    </w:p>
  </w:footnote>
  <w:footnote w:id="22">
    <w:p w:rsidR="00C62A14" w:rsidRPr="00576B42" w:rsidRDefault="00C62A14" w:rsidP="0060194B">
      <w:pPr>
        <w:pStyle w:val="a6"/>
      </w:pPr>
      <w:r>
        <w:rPr>
          <w:rStyle w:val="a8"/>
        </w:rPr>
        <w:footnoteRef/>
      </w:r>
      <w:r>
        <w:t xml:space="preserve"> </w:t>
      </w:r>
      <w:r>
        <w:t xml:space="preserve">Jessop, </w:t>
      </w:r>
      <w:r>
        <w:t xml:space="preserve">B. (2016) </w:t>
      </w:r>
      <w:r>
        <w:rPr>
          <w:rStyle w:val="a5"/>
        </w:rPr>
        <w:t>The State: Past, Present, Future</w:t>
      </w:r>
      <w:r>
        <w:t>. Cambridge: Polity Press</w:t>
      </w:r>
      <w:r>
        <w:rPr>
          <w:lang w:val="en-US"/>
        </w:rPr>
        <w:t xml:space="preserve">. </w:t>
      </w:r>
      <w:r>
        <w:t xml:space="preserve">Jackson, R. H. (1990) </w:t>
      </w:r>
      <w:r>
        <w:rPr>
          <w:rStyle w:val="a5"/>
        </w:rPr>
        <w:t>Quasi-States: Sovereignty, International Relations and the Third World</w:t>
      </w:r>
      <w:r>
        <w:t>. Cambridge: Cambridge University Press</w:t>
      </w:r>
      <w:r>
        <w:rPr>
          <w:lang w:val="en-US"/>
        </w:rPr>
        <w:t xml:space="preserve">; </w:t>
      </w:r>
      <w:proofErr w:type="spellStart"/>
      <w:r w:rsidRPr="00290452">
        <w:rPr>
          <w:lang w:val="en-US"/>
        </w:rPr>
        <w:t>Borghini</w:t>
      </w:r>
      <w:proofErr w:type="spellEnd"/>
      <w:r w:rsidRPr="00290452">
        <w:rPr>
          <w:lang w:val="en-US"/>
        </w:rPr>
        <w:t>, A. (2018). The Crisis and the Changing Face of the State. https://core.ac.uk/download/147685666.pdf</w:t>
      </w:r>
    </w:p>
  </w:footnote>
  <w:footnote w:id="23">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Krasner, S. D. (1999) </w:t>
      </w:r>
      <w:r w:rsidRPr="00B842B6">
        <w:rPr>
          <w:rFonts w:eastAsia="Times New Roman" w:cstheme="minorHAnsi"/>
          <w:i/>
          <w:iCs/>
          <w:lang w:eastAsia="en-IL"/>
        </w:rPr>
        <w:t>Sovereignty: Organized Hypocrisy</w:t>
      </w:r>
      <w:r w:rsidRPr="00B842B6">
        <w:rPr>
          <w:rFonts w:eastAsia="Times New Roman" w:cstheme="minorHAnsi"/>
          <w:lang w:eastAsia="en-IL"/>
        </w:rPr>
        <w:t>. Princeton, NJ: Princeton University Press</w:t>
      </w:r>
    </w:p>
  </w:footnote>
  <w:footnote w:id="24">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Lake, </w:t>
      </w:r>
      <w:r w:rsidRPr="00B842B6">
        <w:rPr>
          <w:rFonts w:cstheme="minorHAnsi"/>
        </w:rPr>
        <w:t xml:space="preserve">D. A. (2003) ‘The New Sovereignty in International Relations’, </w:t>
      </w:r>
      <w:r w:rsidRPr="00B842B6">
        <w:rPr>
          <w:rStyle w:val="a5"/>
          <w:rFonts w:cstheme="minorHAnsi"/>
        </w:rPr>
        <w:t>International Studies Review</w:t>
      </w:r>
      <w:r w:rsidRPr="00B842B6">
        <w:rPr>
          <w:rFonts w:cstheme="minorHAnsi"/>
        </w:rPr>
        <w:t>, 5(3), pp. 303</w:t>
      </w:r>
      <w:r w:rsidRPr="00B842B6">
        <w:rPr>
          <w:rFonts w:cstheme="minorHAnsi"/>
          <w:lang w:val="en-US"/>
        </w:rPr>
        <w:t>-</w:t>
      </w:r>
      <w:r w:rsidRPr="00B842B6">
        <w:rPr>
          <w:rFonts w:cstheme="minorHAnsi"/>
        </w:rPr>
        <w:t>323</w:t>
      </w:r>
    </w:p>
  </w:footnote>
  <w:footnote w:id="25">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Foucault, </w:t>
      </w:r>
      <w:r w:rsidRPr="00B842B6">
        <w:rPr>
          <w:rFonts w:eastAsia="Times New Roman" w:cstheme="minorHAnsi"/>
          <w:lang w:eastAsia="en-IL"/>
        </w:rPr>
        <w:t xml:space="preserve">M. (1991) </w:t>
      </w:r>
      <w:r w:rsidRPr="002E5E1A">
        <w:rPr>
          <w:rFonts w:eastAsia="Times New Roman" w:cstheme="minorHAnsi"/>
          <w:lang w:eastAsia="en-IL"/>
        </w:rPr>
        <w:t>“Governmentality.”</w:t>
      </w:r>
      <w:r w:rsidRPr="00B842B6">
        <w:rPr>
          <w:rFonts w:eastAsia="Times New Roman" w:cstheme="minorHAnsi"/>
          <w:lang w:eastAsia="en-IL"/>
        </w:rPr>
        <w:t xml:space="preserve"> In G. Burchell, C. Gordon &amp; P. Miller (eds.), </w:t>
      </w:r>
      <w:r w:rsidRPr="00B842B6">
        <w:rPr>
          <w:rFonts w:eastAsia="Times New Roman" w:cstheme="minorHAnsi"/>
          <w:i/>
          <w:iCs/>
          <w:lang w:eastAsia="en-IL"/>
        </w:rPr>
        <w:t>The Foucault Effect: Studies in Governmentality</w:t>
      </w:r>
      <w:r w:rsidRPr="00B842B6">
        <w:rPr>
          <w:rFonts w:eastAsia="Times New Roman" w:cstheme="minorHAnsi"/>
          <w:lang w:eastAsia="en-IL"/>
        </w:rPr>
        <w:t>. Chicago: University of Chicago Press, pp. 87</w:t>
      </w:r>
      <w:r w:rsidRPr="00B842B6">
        <w:rPr>
          <w:rFonts w:eastAsia="Times New Roman" w:cstheme="minorHAnsi"/>
          <w:lang w:val="en-US" w:eastAsia="en-IL"/>
        </w:rPr>
        <w:t>-</w:t>
      </w:r>
      <w:r w:rsidRPr="00B842B6">
        <w:rPr>
          <w:rFonts w:eastAsia="Times New Roman" w:cstheme="minorHAnsi"/>
          <w:lang w:eastAsia="en-IL"/>
        </w:rPr>
        <w:t>104</w:t>
      </w:r>
      <w:r w:rsidRPr="00B842B6">
        <w:rPr>
          <w:rFonts w:eastAsia="Times New Roman" w:cstheme="minorHAnsi"/>
          <w:lang w:val="en-US" w:eastAsia="en-IL"/>
        </w:rPr>
        <w:t>; Newnham, E. (2014). Birth control: Power/knowledge in the politics of birth. Health Sociology Review, 23(3), 254-268.</w:t>
      </w:r>
    </w:p>
  </w:footnote>
  <w:footnote w:id="26">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Dean, M. (2010) </w:t>
      </w:r>
      <w:r w:rsidRPr="00B842B6">
        <w:rPr>
          <w:rStyle w:val="a5"/>
          <w:rFonts w:cstheme="minorHAnsi"/>
        </w:rPr>
        <w:t>Governmentality: Power and Rule in Modern Society</w:t>
      </w:r>
      <w:r w:rsidRPr="00B842B6">
        <w:rPr>
          <w:rFonts w:cstheme="minorHAnsi"/>
        </w:rPr>
        <w:t>, 2nd edn. London: Sage Publications</w:t>
      </w:r>
      <w:r w:rsidRPr="00B842B6">
        <w:rPr>
          <w:rFonts w:cstheme="minorHAnsi"/>
          <w:lang w:val="en-US"/>
        </w:rPr>
        <w:t xml:space="preserve">. </w:t>
      </w:r>
      <w:r w:rsidRPr="00B842B6">
        <w:rPr>
          <w:rFonts w:cstheme="minorHAnsi"/>
        </w:rPr>
        <w:t xml:space="preserve">Lemke, T. (2019) </w:t>
      </w:r>
      <w:r w:rsidRPr="00B842B6">
        <w:rPr>
          <w:rStyle w:val="a5"/>
          <w:rFonts w:cstheme="minorHAnsi"/>
        </w:rPr>
        <w:t>Foucault’s Analysis of Modern Governmentality: A Critique of Political Reason</w:t>
      </w:r>
      <w:r w:rsidRPr="00B842B6">
        <w:rPr>
          <w:rFonts w:cstheme="minorHAnsi"/>
        </w:rPr>
        <w:t>. London: Verso Books</w:t>
      </w:r>
      <w:r w:rsidRPr="00B842B6">
        <w:rPr>
          <w:rFonts w:cstheme="minorHAnsi"/>
          <w:lang w:val="en-US"/>
        </w:rPr>
        <w:t>.</w:t>
      </w:r>
    </w:p>
    <w:p w:rsidR="00C62A14" w:rsidRPr="00B842B6" w:rsidRDefault="00C62A14" w:rsidP="0060194B">
      <w:pPr>
        <w:pStyle w:val="a6"/>
        <w:rPr>
          <w:rFonts w:cstheme="minorHAnsi"/>
          <w:lang w:val="en-US"/>
        </w:rPr>
      </w:pPr>
    </w:p>
  </w:footnote>
  <w:footnote w:id="27">
    <w:p w:rsidR="00C62A14" w:rsidRPr="00ED5A0F"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Foucault, M. (1991) </w:t>
      </w:r>
      <w:r w:rsidRPr="00B842B6">
        <w:rPr>
          <w:rStyle w:val="a5"/>
          <w:rFonts w:cstheme="minorHAnsi"/>
        </w:rPr>
        <w:t>Governmentality</w:t>
      </w:r>
      <w:r w:rsidRPr="00B842B6">
        <w:rPr>
          <w:rFonts w:cstheme="minorHAnsi"/>
        </w:rPr>
        <w:t xml:space="preserve">, in Burchell, G., Gordon, C. and Miller, P. (eds) </w:t>
      </w:r>
      <w:r w:rsidRPr="00B842B6">
        <w:rPr>
          <w:rStyle w:val="a5"/>
          <w:rFonts w:cstheme="minorHAnsi"/>
        </w:rPr>
        <w:t>The Foucault Effect: Studies in Governmentality</w:t>
      </w:r>
      <w:r w:rsidRPr="00B842B6">
        <w:rPr>
          <w:rFonts w:cstheme="minorHAnsi"/>
        </w:rPr>
        <w:t>. Chicago: University of Chicago Press, pp. 87</w:t>
      </w:r>
      <w:r w:rsidRPr="00B842B6">
        <w:rPr>
          <w:rFonts w:cstheme="minorHAnsi"/>
          <w:lang w:val="en-US"/>
        </w:rPr>
        <w:t>-</w:t>
      </w:r>
      <w:r w:rsidRPr="00B842B6">
        <w:rPr>
          <w:rFonts w:cstheme="minorHAnsi"/>
        </w:rPr>
        <w:t>104</w:t>
      </w:r>
      <w:r>
        <w:rPr>
          <w:rFonts w:cstheme="minorHAnsi"/>
          <w:lang w:val="en-US"/>
        </w:rPr>
        <w:t>.</w:t>
      </w:r>
    </w:p>
  </w:footnote>
  <w:footnote w:id="28">
    <w:p w:rsidR="00C62A14" w:rsidRPr="00ED5A0F"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Latour, B. (2005) </w:t>
      </w:r>
      <w:r w:rsidRPr="00B842B6">
        <w:rPr>
          <w:rFonts w:eastAsia="Times New Roman" w:cstheme="minorHAnsi"/>
          <w:i/>
          <w:iCs/>
          <w:lang w:eastAsia="en-IL"/>
        </w:rPr>
        <w:t>Reassembling the Social: An Introduction to Actor-Network-Theory</w:t>
      </w:r>
      <w:r w:rsidRPr="00B842B6">
        <w:rPr>
          <w:rFonts w:eastAsia="Times New Roman" w:cstheme="minorHAnsi"/>
          <w:lang w:eastAsia="en-IL"/>
        </w:rPr>
        <w:t>. Oxford: Oxford University Press</w:t>
      </w:r>
      <w:r>
        <w:rPr>
          <w:rFonts w:eastAsia="Times New Roman" w:cstheme="minorHAnsi"/>
          <w:lang w:val="en-US" w:eastAsia="en-IL"/>
        </w:rPr>
        <w:t>.</w:t>
      </w:r>
    </w:p>
  </w:footnote>
  <w:footnote w:id="29">
    <w:p w:rsidR="00C62A14" w:rsidRPr="00ED5A0F" w:rsidRDefault="00C62A14" w:rsidP="0060194B">
      <w:pPr>
        <w:pStyle w:val="a6"/>
        <w:rPr>
          <w:rFonts w:ascii="Times New Roman" w:hAnsi="Times New Roman" w:cstheme="minorHAnsi"/>
          <w:lang w:val="en-US"/>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Cyborgology (2011) “A Brief Summary of Actor-Network Theory” </w:t>
      </w:r>
      <w:r w:rsidRPr="00B842B6">
        <w:rPr>
          <w:rFonts w:eastAsia="Times New Roman" w:cstheme="minorHAnsi"/>
          <w:i/>
          <w:iCs/>
          <w:lang w:eastAsia="en-IL"/>
        </w:rPr>
        <w:t>The Society Pages</w:t>
      </w:r>
      <w:r w:rsidRPr="00B842B6">
        <w:rPr>
          <w:rFonts w:eastAsia="Times New Roman" w:cstheme="minorHAnsi"/>
          <w:i/>
          <w:iCs/>
          <w:lang w:val="en-US" w:eastAsia="en-IL"/>
        </w:rPr>
        <w:t>,</w:t>
      </w:r>
      <w:r w:rsidRPr="00B842B6">
        <w:rPr>
          <w:rFonts w:eastAsia="Times New Roman" w:cstheme="minorHAnsi"/>
          <w:i/>
          <w:iCs/>
          <w:lang w:eastAsia="en-IL"/>
        </w:rPr>
        <w:t xml:space="preserve"> Cyborgology Blog</w:t>
      </w:r>
      <w:r w:rsidRPr="00B842B6">
        <w:rPr>
          <w:rFonts w:eastAsia="Times New Roman" w:cstheme="minorHAnsi"/>
          <w:lang w:eastAsia="en-IL"/>
        </w:rPr>
        <w:t>, 2 December 2011. Available at: thesocietypages.org/cyborgology/2011/12/02/a-brief-</w:t>
      </w:r>
      <w:r>
        <w:rPr>
          <w:rFonts w:eastAsia="Times New Roman" w:cstheme="minorHAnsi"/>
          <w:lang w:eastAsia="en-IL"/>
        </w:rPr>
        <w:t>summary-of-actor-network-theory</w:t>
      </w:r>
      <w:r>
        <w:rPr>
          <w:rFonts w:eastAsia="Times New Roman" w:cstheme="minorHAnsi"/>
          <w:lang w:val="en-US" w:eastAsia="en-IL"/>
        </w:rPr>
        <w:t>.</w:t>
      </w:r>
    </w:p>
  </w:footnote>
  <w:footnote w:id="30">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Callon, M. (1986) ‘Some Elements of a Sociology of Translation: Domestication of the Scallops and the Fishermen of St Brieuc Bay’, in Law, J. (ed.) </w:t>
      </w:r>
      <w:r w:rsidRPr="00B842B6">
        <w:rPr>
          <w:rStyle w:val="a5"/>
          <w:rFonts w:cstheme="minorHAnsi"/>
        </w:rPr>
        <w:t>Power, Action and Belief: A New Sociology of Knowledge?</w:t>
      </w:r>
      <w:r w:rsidRPr="00B842B6">
        <w:rPr>
          <w:rFonts w:cstheme="minorHAnsi"/>
        </w:rPr>
        <w:t xml:space="preserve"> London: Routledge &amp; Kegan Paul, pp. 196</w:t>
      </w:r>
      <w:r w:rsidRPr="00B842B6">
        <w:rPr>
          <w:rFonts w:cstheme="minorHAnsi"/>
          <w:lang w:val="en-US"/>
        </w:rPr>
        <w:t>-</w:t>
      </w:r>
      <w:r w:rsidRPr="00B842B6">
        <w:rPr>
          <w:rFonts w:cstheme="minorHAnsi"/>
        </w:rPr>
        <w:t>233</w:t>
      </w:r>
      <w:r w:rsidRPr="00B842B6">
        <w:rPr>
          <w:rFonts w:cstheme="minorHAnsi"/>
          <w:lang w:val="en-US"/>
        </w:rPr>
        <w:t xml:space="preserve">; </w:t>
      </w:r>
      <w:proofErr w:type="spellStart"/>
      <w:r w:rsidRPr="00B842B6">
        <w:rPr>
          <w:rFonts w:cstheme="minorHAnsi"/>
          <w:lang w:val="en-US"/>
        </w:rPr>
        <w:t>Ahmedshareef</w:t>
      </w:r>
      <w:proofErr w:type="spellEnd"/>
      <w:r w:rsidRPr="00B842B6">
        <w:rPr>
          <w:rFonts w:cstheme="minorHAnsi"/>
          <w:lang w:val="en-US"/>
        </w:rPr>
        <w:t>, Z., Hughes, R., &amp; Petridis, M. (2014). Applying Actor-Network Theory to Software Project Management Research. European Conference on Research Methodology for Bus</w:t>
      </w:r>
      <w:r>
        <w:rPr>
          <w:rFonts w:cstheme="minorHAnsi"/>
          <w:lang w:val="en-US"/>
        </w:rPr>
        <w:t>iness and Management Studies</w:t>
      </w:r>
      <w:r w:rsidRPr="00B842B6">
        <w:rPr>
          <w:rFonts w:cstheme="minorHAnsi"/>
          <w:lang w:val="en-US"/>
        </w:rPr>
        <w:t>, 1-10.</w:t>
      </w:r>
    </w:p>
    <w:p w:rsidR="00C62A14" w:rsidRPr="00B842B6" w:rsidRDefault="00C62A14" w:rsidP="0060194B">
      <w:pPr>
        <w:pStyle w:val="a6"/>
        <w:rPr>
          <w:rFonts w:cstheme="minorHAnsi"/>
        </w:rPr>
      </w:pPr>
    </w:p>
  </w:footnote>
  <w:footnote w:id="31">
    <w:p w:rsidR="00C62A14" w:rsidRPr="00ED5A0F"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Marres, N. (2017) </w:t>
      </w:r>
      <w:r w:rsidRPr="00B842B6">
        <w:rPr>
          <w:rStyle w:val="a5"/>
          <w:rFonts w:cstheme="minorHAnsi"/>
        </w:rPr>
        <w:t>Digital Sociology: The Reinvention of Social Research</w:t>
      </w:r>
      <w:r w:rsidRPr="00B842B6">
        <w:rPr>
          <w:rFonts w:cstheme="minorHAnsi"/>
        </w:rPr>
        <w:t>. Cambridge: Polity Press</w:t>
      </w:r>
      <w:r w:rsidRPr="00B842B6">
        <w:rPr>
          <w:rFonts w:cstheme="minorHAnsi"/>
          <w:lang w:val="en-US"/>
        </w:rPr>
        <w:t xml:space="preserve">. </w:t>
      </w:r>
      <w:r w:rsidRPr="00B842B6">
        <w:rPr>
          <w:rFonts w:cstheme="minorHAnsi"/>
        </w:rPr>
        <w:t xml:space="preserve">Law, J. (1992) ‘Notes on the Theory of the Actor-Network: Ordering, Strategy and Heterogeneity’, </w:t>
      </w:r>
      <w:r w:rsidRPr="00B842B6">
        <w:rPr>
          <w:rStyle w:val="a5"/>
          <w:rFonts w:cstheme="minorHAnsi"/>
        </w:rPr>
        <w:t>Systems Practice</w:t>
      </w:r>
      <w:r w:rsidRPr="00B842B6">
        <w:rPr>
          <w:rFonts w:cstheme="minorHAnsi"/>
        </w:rPr>
        <w:t>, 5(4), pp. 379</w:t>
      </w:r>
      <w:r w:rsidRPr="00B842B6">
        <w:rPr>
          <w:rFonts w:cstheme="minorHAnsi"/>
          <w:lang w:val="en-US"/>
        </w:rPr>
        <w:t>-</w:t>
      </w:r>
      <w:r w:rsidRPr="00B842B6">
        <w:rPr>
          <w:rFonts w:cstheme="minorHAnsi"/>
        </w:rPr>
        <w:t>393</w:t>
      </w:r>
      <w:r>
        <w:rPr>
          <w:rFonts w:cstheme="minorHAnsi"/>
          <w:lang w:val="en-US"/>
        </w:rPr>
        <w:t>.</w:t>
      </w:r>
    </w:p>
  </w:footnote>
  <w:footnote w:id="32">
    <w:p w:rsidR="00C62A14" w:rsidRPr="00ED5A0F"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Venturini, T. and Latour, B. (2021) ‘The Social Fabric: Digital Traces and Quali-Quantitative Methods’, in Lury, C., Clough, P. T. and Day, S. (eds) </w:t>
      </w:r>
      <w:r w:rsidRPr="00B842B6">
        <w:rPr>
          <w:rStyle w:val="a5"/>
          <w:rFonts w:cstheme="minorHAnsi"/>
        </w:rPr>
        <w:t>Routledge Handbook of Interdisciplinary Research Methods</w:t>
      </w:r>
      <w:r w:rsidRPr="00B842B6">
        <w:rPr>
          <w:rFonts w:cstheme="minorHAnsi"/>
        </w:rPr>
        <w:t>. London: Routledge, pp. 121</w:t>
      </w:r>
      <w:r w:rsidRPr="00B842B6">
        <w:rPr>
          <w:rFonts w:cstheme="minorHAnsi"/>
          <w:lang w:val="en-US"/>
        </w:rPr>
        <w:t>-</w:t>
      </w:r>
      <w:r w:rsidRPr="00B842B6">
        <w:rPr>
          <w:rFonts w:cstheme="minorHAnsi"/>
        </w:rPr>
        <w:t>137</w:t>
      </w:r>
      <w:r>
        <w:rPr>
          <w:rFonts w:cstheme="minorHAnsi"/>
          <w:lang w:val="en-US"/>
        </w:rPr>
        <w:t>.</w:t>
      </w:r>
    </w:p>
  </w:footnote>
  <w:footnote w:id="33">
    <w:p w:rsidR="00C62A14" w:rsidRPr="00ED5A0F"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Cutler, A. C., Haufler, V. and Porter, T. (eds) (1999) </w:t>
      </w:r>
      <w:r w:rsidRPr="00B842B6">
        <w:rPr>
          <w:rStyle w:val="a5"/>
          <w:rFonts w:cstheme="minorHAnsi"/>
        </w:rPr>
        <w:t>Private Authority and International Affairs</w:t>
      </w:r>
      <w:r w:rsidRPr="00B842B6">
        <w:rPr>
          <w:rFonts w:cstheme="minorHAnsi"/>
        </w:rPr>
        <w:t>. Albany, NY: State University of New York Press</w:t>
      </w:r>
      <w:r>
        <w:rPr>
          <w:rFonts w:cstheme="minorHAnsi"/>
          <w:lang w:val="en-US"/>
        </w:rPr>
        <w:t>.</w:t>
      </w:r>
    </w:p>
  </w:footnote>
  <w:footnote w:id="34">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Hall, R. B. and Biersteker, T. J. (eds) (2002) </w:t>
      </w:r>
      <w:r w:rsidRPr="00B842B6">
        <w:rPr>
          <w:rStyle w:val="a5"/>
          <w:rFonts w:cstheme="minorHAnsi"/>
        </w:rPr>
        <w:t>The Emergence of Private Authority in Global Governance</w:t>
      </w:r>
      <w:r w:rsidRPr="00B842B6">
        <w:rPr>
          <w:rFonts w:cstheme="minorHAnsi"/>
        </w:rPr>
        <w:t>. Cambridge: Cambridge University Press</w:t>
      </w:r>
    </w:p>
  </w:footnote>
  <w:footnote w:id="35">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Bull, </w:t>
      </w:r>
      <w:r w:rsidRPr="00B842B6">
        <w:rPr>
          <w:rFonts w:cstheme="minorHAnsi"/>
        </w:rPr>
        <w:t xml:space="preserve">H. (1977) </w:t>
      </w:r>
      <w:r w:rsidRPr="00B842B6">
        <w:rPr>
          <w:rStyle w:val="a5"/>
          <w:rFonts w:cstheme="minorHAnsi"/>
        </w:rPr>
        <w:t>The Anarchical Society: A Study of Order in World Politics</w:t>
      </w:r>
      <w:r w:rsidRPr="00B842B6">
        <w:rPr>
          <w:rFonts w:cstheme="minorHAnsi"/>
        </w:rPr>
        <w:t>. London: Macmillan</w:t>
      </w:r>
      <w:r w:rsidRPr="00B842B6">
        <w:rPr>
          <w:rFonts w:cstheme="minorHAnsi"/>
          <w:lang w:val="en-US"/>
        </w:rPr>
        <w:t>.</w:t>
      </w:r>
    </w:p>
  </w:footnote>
  <w:footnote w:id="36">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Bull, H. (1977) </w:t>
      </w:r>
      <w:r w:rsidRPr="00B842B6">
        <w:rPr>
          <w:rStyle w:val="a5"/>
          <w:rFonts w:cstheme="minorHAnsi"/>
        </w:rPr>
        <w:t>The Anarchical Society: A Study of Order in World Politics</w:t>
      </w:r>
      <w:r w:rsidRPr="00B842B6">
        <w:rPr>
          <w:rFonts w:cstheme="minorHAnsi"/>
        </w:rPr>
        <w:t>. London: Macmillan</w:t>
      </w:r>
      <w:r w:rsidRPr="00B842B6">
        <w:rPr>
          <w:rFonts w:cstheme="minorHAnsi"/>
          <w:lang w:val="en-US"/>
        </w:rPr>
        <w:t>.</w:t>
      </w:r>
    </w:p>
  </w:footnote>
  <w:footnote w:id="37">
    <w:p w:rsidR="00C62A14" w:rsidRPr="00B842B6" w:rsidRDefault="00C62A14" w:rsidP="0060194B">
      <w:pPr>
        <w:spacing w:before="100" w:beforeAutospacing="1" w:after="100" w:afterAutospacing="1" w:line="240" w:lineRule="auto"/>
        <w:rPr>
          <w:rFonts w:eastAsia="Times New Roman" w:cstheme="minorHAnsi"/>
          <w:sz w:val="20"/>
          <w:szCs w:val="20"/>
        </w:rPr>
      </w:pPr>
      <w:r w:rsidRPr="00B842B6">
        <w:rPr>
          <w:rStyle w:val="a8"/>
          <w:rFonts w:cstheme="minorHAnsi"/>
        </w:rPr>
        <w:footnoteRef/>
      </w:r>
      <w:r w:rsidRPr="00B842B6">
        <w:rPr>
          <w:rFonts w:cstheme="minorHAnsi"/>
        </w:rPr>
        <w:t xml:space="preserve"> </w:t>
      </w:r>
      <w:r w:rsidRPr="00ED5A0F">
        <w:rPr>
          <w:rStyle w:val="a4"/>
          <w:rFonts w:cstheme="minorHAnsi"/>
          <w:b w:val="0"/>
          <w:bCs w:val="0"/>
          <w:sz w:val="20"/>
          <w:szCs w:val="20"/>
        </w:rPr>
        <w:t>Castells, M. (1996)</w:t>
      </w:r>
      <w:r w:rsidRPr="00ED5A0F">
        <w:rPr>
          <w:rFonts w:cstheme="minorHAnsi"/>
          <w:b/>
          <w:bCs/>
          <w:sz w:val="20"/>
          <w:szCs w:val="20"/>
        </w:rPr>
        <w:t>,</w:t>
      </w:r>
      <w:r w:rsidRPr="00B842B6">
        <w:rPr>
          <w:rFonts w:cstheme="minorHAnsi"/>
          <w:b/>
          <w:bCs/>
          <w:sz w:val="20"/>
          <w:szCs w:val="20"/>
        </w:rPr>
        <w:t xml:space="preserve"> </w:t>
      </w:r>
      <w:r w:rsidRPr="00ED5A0F">
        <w:rPr>
          <w:rStyle w:val="a5"/>
          <w:rFonts w:cstheme="minorHAnsi"/>
          <w:sz w:val="20"/>
          <w:szCs w:val="20"/>
        </w:rPr>
        <w:t xml:space="preserve">The Rise of the Network Society, </w:t>
      </w:r>
      <w:r w:rsidRPr="00ED5A0F">
        <w:rPr>
          <w:rFonts w:cstheme="minorHAnsi"/>
          <w:sz w:val="20"/>
          <w:szCs w:val="20"/>
        </w:rPr>
        <w:t xml:space="preserve">Oxford: Blackwell; </w:t>
      </w:r>
      <w:r w:rsidRPr="00ED5A0F">
        <w:rPr>
          <w:rFonts w:eastAsia="Times New Roman" w:cstheme="minorHAnsi"/>
          <w:sz w:val="20"/>
          <w:szCs w:val="20"/>
        </w:rPr>
        <w:t>Castells, M. (2009), Communication Power</w:t>
      </w:r>
      <w:r w:rsidRPr="00B842B6">
        <w:rPr>
          <w:rFonts w:eastAsia="Times New Roman" w:cstheme="minorHAnsi"/>
          <w:i/>
          <w:iCs/>
          <w:sz w:val="20"/>
          <w:szCs w:val="20"/>
        </w:rPr>
        <w:t xml:space="preserve">, </w:t>
      </w:r>
      <w:r w:rsidRPr="00B842B6">
        <w:rPr>
          <w:rFonts w:eastAsia="Times New Roman" w:cstheme="minorHAnsi"/>
          <w:sz w:val="20"/>
          <w:szCs w:val="20"/>
        </w:rPr>
        <w:t>Oxford: Oxford University Press.</w:t>
      </w:r>
    </w:p>
  </w:footnote>
  <w:footnote w:id="38">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eastAsia="Times New Roman" w:cstheme="minorHAnsi"/>
        </w:rPr>
        <w:t xml:space="preserve">Strange, S. (1996), </w:t>
      </w:r>
      <w:r w:rsidRPr="00B842B6">
        <w:rPr>
          <w:rFonts w:eastAsia="Times New Roman" w:cstheme="minorHAnsi"/>
          <w:i/>
          <w:iCs/>
        </w:rPr>
        <w:t xml:space="preserve">The Retreat of the State: The Diffusion of Power in the World Economy, </w:t>
      </w:r>
      <w:r w:rsidRPr="00B842B6">
        <w:rPr>
          <w:rFonts w:eastAsia="Times New Roman" w:cstheme="minorHAnsi"/>
        </w:rPr>
        <w:t>Cambridge: Cambridge University Press</w:t>
      </w:r>
      <w:r w:rsidRPr="00B842B6">
        <w:rPr>
          <w:rFonts w:eastAsia="Times New Roman" w:cstheme="minorHAnsi"/>
          <w:lang w:val="en-US"/>
        </w:rPr>
        <w:t>.</w:t>
      </w:r>
    </w:p>
  </w:footnote>
  <w:footnote w:id="39">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Cohen, J. E. (2019) </w:t>
      </w:r>
      <w:r w:rsidRPr="00B842B6">
        <w:rPr>
          <w:rStyle w:val="a5"/>
          <w:rFonts w:cstheme="minorHAnsi"/>
        </w:rPr>
        <w:t>Between Truth and Power: The Legal Constructions of Informational Capitalism</w:t>
      </w:r>
      <w:r w:rsidRPr="00B842B6">
        <w:rPr>
          <w:rFonts w:cstheme="minorHAnsi"/>
        </w:rPr>
        <w:t>. Oxford: Oxford University Press</w:t>
      </w:r>
      <w:r w:rsidRPr="00B842B6">
        <w:rPr>
          <w:rFonts w:cstheme="minorHAnsi"/>
          <w:lang w:val="en-US"/>
        </w:rPr>
        <w:t xml:space="preserve">. </w:t>
      </w:r>
      <w:r w:rsidRPr="00B842B6">
        <w:rPr>
          <w:rFonts w:cstheme="minorHAnsi"/>
        </w:rPr>
        <w:t xml:space="preserve">Pistor, K. (2019) </w:t>
      </w:r>
      <w:r w:rsidRPr="00B842B6">
        <w:rPr>
          <w:rStyle w:val="a5"/>
          <w:rFonts w:cstheme="minorHAnsi"/>
        </w:rPr>
        <w:t>The Code of Capital: How the Law Creates Wealth and Inequality</w:t>
      </w:r>
      <w:r w:rsidRPr="00B842B6">
        <w:rPr>
          <w:rFonts w:cstheme="minorHAnsi"/>
        </w:rPr>
        <w:t>. Princeton, NJ: Princeton University Press</w:t>
      </w:r>
      <w:r w:rsidRPr="00B842B6">
        <w:rPr>
          <w:rFonts w:cstheme="minorHAnsi"/>
          <w:lang w:val="en-US"/>
        </w:rPr>
        <w:t xml:space="preserve">. </w:t>
      </w:r>
    </w:p>
  </w:footnote>
  <w:footnote w:id="40">
    <w:p w:rsidR="00C62A14" w:rsidRPr="00B842B6" w:rsidRDefault="00C62A14" w:rsidP="0060194B">
      <w:pPr>
        <w:pStyle w:val="a6"/>
        <w:rPr>
          <w:rFonts w:cstheme="minorHAnsi"/>
          <w:lang w:val="en-US"/>
        </w:rPr>
      </w:pPr>
      <w:r w:rsidRPr="00B842B6">
        <w:rPr>
          <w:rStyle w:val="a8"/>
          <w:rFonts w:cstheme="minorHAnsi"/>
        </w:rPr>
        <w:footnoteRef/>
      </w:r>
      <w:r w:rsidRPr="00B842B6">
        <w:rPr>
          <w:rFonts w:cstheme="minorHAnsi"/>
        </w:rPr>
        <w:t xml:space="preserve"> </w:t>
      </w:r>
      <w:r w:rsidRPr="00B842B6">
        <w:rPr>
          <w:rFonts w:cstheme="minorHAnsi"/>
        </w:rPr>
        <w:t xml:space="preserve">Cohen, J. E. (2019) </w:t>
      </w:r>
      <w:r w:rsidRPr="00B842B6">
        <w:rPr>
          <w:rStyle w:val="a5"/>
          <w:rFonts w:cstheme="minorHAnsi"/>
        </w:rPr>
        <w:t>Between Truth and Power: The Legal Constructions of Informational Capitalism</w:t>
      </w:r>
      <w:r w:rsidRPr="00B842B6">
        <w:rPr>
          <w:rFonts w:cstheme="minorHAnsi"/>
        </w:rPr>
        <w:t>. Oxford: Oxford University Press</w:t>
      </w:r>
      <w:r w:rsidRPr="00B842B6">
        <w:rPr>
          <w:rFonts w:cstheme="minorHAnsi"/>
          <w:lang w:val="en-US"/>
        </w:rPr>
        <w:t xml:space="preserve">. </w:t>
      </w:r>
      <w:r w:rsidRPr="00B842B6">
        <w:rPr>
          <w:rFonts w:cstheme="minorHAnsi"/>
        </w:rPr>
        <w:t xml:space="preserve">Pistor, K. (2019) </w:t>
      </w:r>
      <w:r w:rsidRPr="00B842B6">
        <w:rPr>
          <w:rStyle w:val="a5"/>
          <w:rFonts w:cstheme="minorHAnsi"/>
        </w:rPr>
        <w:t>The Code of Capital: How the Law Creates Wealth and Inequality</w:t>
      </w:r>
      <w:r w:rsidRPr="00B842B6">
        <w:rPr>
          <w:rFonts w:cstheme="minorHAnsi"/>
        </w:rPr>
        <w:t>. Princeton, NJ: Princeton University Press</w:t>
      </w:r>
    </w:p>
  </w:footnote>
  <w:footnote w:id="41">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eastAsia="Times New Roman" w:cstheme="minorHAnsi"/>
          <w:lang w:eastAsia="en-IL"/>
        </w:rPr>
        <w:t xml:space="preserve">A </w:t>
      </w:r>
      <w:r w:rsidRPr="00B842B6">
        <w:rPr>
          <w:rFonts w:eastAsia="Times New Roman" w:cstheme="minorHAnsi"/>
          <w:lang w:eastAsia="en-IL"/>
        </w:rPr>
        <w:t xml:space="preserve">striking recent example noted by Marietje Schaake is Ukraine’s dependence on Elon Musk’s SpaceX (Starlink satellite internet) to maintain connectivity during the war. This reliance is not just commercial; it has strategic implications. When a private actor can effectively decide whether a country’s critical communications stay online (as Musk did when he reportedly limited some Starlink access during the conflict), that actor holds </w:t>
      </w:r>
      <w:r w:rsidRPr="002E5E1A">
        <w:rPr>
          <w:rFonts w:eastAsia="Times New Roman" w:cstheme="minorHAnsi"/>
          <w:lang w:eastAsia="en-IL"/>
        </w:rPr>
        <w:t>leverage akin to a sovereign</w:t>
      </w:r>
      <w:r w:rsidRPr="00B842B6">
        <w:rPr>
          <w:rFonts w:eastAsia="Times New Roman" w:cstheme="minorHAnsi"/>
          <w:lang w:eastAsia="en-IL"/>
        </w:rPr>
        <w:t xml:space="preserve"> deciding on aid or sanctions.</w:t>
      </w:r>
      <w:r w:rsidRPr="00B842B6">
        <w:rPr>
          <w:rFonts w:eastAsia="Times New Roman" w:cstheme="minorHAnsi"/>
          <w:lang w:val="en-US" w:eastAsia="en-IL"/>
        </w:rPr>
        <w:t xml:space="preserve"> </w:t>
      </w:r>
      <w:r w:rsidRPr="00B842B6">
        <w:rPr>
          <w:rFonts w:cstheme="minorHAnsi"/>
        </w:rPr>
        <w:t xml:space="preserve">Schaake, M. (2024) </w:t>
      </w:r>
      <w:r w:rsidRPr="00B842B6">
        <w:rPr>
          <w:rStyle w:val="a5"/>
          <w:rFonts w:cstheme="minorHAnsi"/>
        </w:rPr>
        <w:t>The Tech Coup: How to Save Democracy from Silicon Valley</w:t>
      </w:r>
      <w:r w:rsidRPr="00B842B6">
        <w:rPr>
          <w:rFonts w:cstheme="minorHAnsi"/>
        </w:rPr>
        <w:t>. Princeton, NJ: Princeton University Press</w:t>
      </w:r>
      <w:r w:rsidRPr="00B842B6">
        <w:rPr>
          <w:rFonts w:cstheme="minorHAnsi"/>
          <w:lang w:val="en-US"/>
        </w:rPr>
        <w:t xml:space="preserve">. </w:t>
      </w:r>
      <w:r w:rsidRPr="00B842B6">
        <w:rPr>
          <w:rFonts w:cstheme="minorHAnsi"/>
        </w:rPr>
        <w:t xml:space="preserve">Scoles, S. (2023) ‘Starlink and the Geopolitics of Satellite Internet’, </w:t>
      </w:r>
      <w:r w:rsidRPr="00B842B6">
        <w:rPr>
          <w:rStyle w:val="a5"/>
          <w:rFonts w:cstheme="minorHAnsi"/>
        </w:rPr>
        <w:t>MIT Technology Review</w:t>
      </w:r>
      <w:r w:rsidRPr="00B842B6">
        <w:rPr>
          <w:rFonts w:cstheme="minorHAnsi"/>
        </w:rPr>
        <w:t>, 18 October. Available at: https://www.technologyreview.com/2023/10/18/starlink-geopolitics-ukraine-elon-musk</w:t>
      </w:r>
    </w:p>
  </w:footnote>
  <w:footnote w:id="42">
    <w:p w:rsidR="00C62A14" w:rsidRPr="00946269" w:rsidRDefault="00C62A14" w:rsidP="0060194B">
      <w:pPr>
        <w:spacing w:before="100" w:beforeAutospacing="1" w:after="100" w:afterAutospacing="1" w:line="240" w:lineRule="auto"/>
        <w:rPr>
          <w:rFonts w:ascii="Times New Roman" w:eastAsia="Times New Roman" w:hAnsi="Times New Roman" w:cstheme="minorHAnsi"/>
          <w:sz w:val="20"/>
          <w:szCs w:val="20"/>
        </w:rPr>
      </w:pPr>
      <w:r w:rsidRPr="00B842B6">
        <w:rPr>
          <w:rStyle w:val="a8"/>
          <w:rFonts w:cstheme="minorHAnsi"/>
        </w:rPr>
        <w:footnoteRef/>
      </w:r>
      <w:r w:rsidRPr="00B842B6">
        <w:rPr>
          <w:rFonts w:cstheme="minorHAnsi"/>
        </w:rPr>
        <w:t xml:space="preserve"> </w:t>
      </w:r>
      <w:r w:rsidRPr="00B842B6">
        <w:rPr>
          <w:rFonts w:eastAsia="Times New Roman" w:cstheme="minorHAnsi"/>
          <w:sz w:val="20"/>
          <w:szCs w:val="20"/>
          <w:lang w:eastAsia="en-IL"/>
        </w:rPr>
        <w:t xml:space="preserve">Around the world, we see clashes between states and tech corporations over regulation, from antitrust cases and data protection laws to demands that platforms police content or decrypt messages for law enforcement. Sometimes tech companies comply; other times they resist or negotiate. The fact that companies can negotiate with sovereign governments (for example, over how local laws apply to their global platforms) hints at a peer-like relationship rather than a subordinate one. See </w:t>
      </w:r>
      <w:proofErr w:type="spellStart"/>
      <w:r w:rsidRPr="00B842B6">
        <w:rPr>
          <w:rFonts w:cstheme="minorHAnsi"/>
          <w:sz w:val="20"/>
          <w:szCs w:val="20"/>
        </w:rPr>
        <w:t>Makridis</w:t>
      </w:r>
      <w:proofErr w:type="spellEnd"/>
      <w:r w:rsidRPr="00B842B6">
        <w:rPr>
          <w:rFonts w:cstheme="minorHAnsi"/>
          <w:sz w:val="20"/>
          <w:szCs w:val="20"/>
        </w:rPr>
        <w:t xml:space="preserve">, C. A. (2024) ‘The Big Tech Antitrust Paradox’, </w:t>
      </w:r>
      <w:r w:rsidRPr="00B842B6">
        <w:rPr>
          <w:rStyle w:val="a5"/>
          <w:rFonts w:cstheme="minorHAnsi"/>
          <w:sz w:val="20"/>
          <w:szCs w:val="20"/>
        </w:rPr>
        <w:t>Stanford Law Review</w:t>
      </w:r>
      <w:r w:rsidRPr="00B842B6">
        <w:rPr>
          <w:rFonts w:cstheme="minorHAnsi"/>
          <w:sz w:val="20"/>
          <w:szCs w:val="20"/>
        </w:rPr>
        <w:t xml:space="preserve">, 77(1), pp. 71-113, and Jahangir, R. (2025) ‘Tracking Recent Statements on the Enforcement of EU Tech Laws’, </w:t>
      </w:r>
      <w:proofErr w:type="spellStart"/>
      <w:r w:rsidRPr="00B842B6">
        <w:rPr>
          <w:rStyle w:val="a5"/>
          <w:rFonts w:cstheme="minorHAnsi"/>
          <w:sz w:val="20"/>
          <w:szCs w:val="20"/>
        </w:rPr>
        <w:t>TechPolicy.Press</w:t>
      </w:r>
      <w:proofErr w:type="spellEnd"/>
      <w:r w:rsidRPr="00B842B6">
        <w:rPr>
          <w:rFonts w:cstheme="minorHAnsi"/>
          <w:sz w:val="20"/>
          <w:szCs w:val="20"/>
        </w:rPr>
        <w:t xml:space="preserve">, 13 March. Available at: </w:t>
      </w:r>
      <w:hyperlink r:id="rId1" w:tgtFrame="_new" w:history="1">
        <w:r w:rsidRPr="00B842B6">
          <w:rPr>
            <w:rStyle w:val="Hyperlink"/>
            <w:rFonts w:cstheme="minorHAnsi"/>
            <w:sz w:val="20"/>
            <w:szCs w:val="20"/>
          </w:rPr>
          <w:t>https://www.techpolicy.press/tracking-recent-statements-on-the-enforcement-of-eu-tech-laws</w:t>
        </w:r>
      </w:hyperlink>
    </w:p>
  </w:footnote>
  <w:footnote w:id="43">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Helbing, D., Frey, B. S., Gigerenzer, G., Hafen, E., Hagner, M., Hofstetter, Y., van den Hoven, J., Zicari, R. V. &amp; Zwitter, A. (2019) </w:t>
      </w:r>
      <w:r w:rsidRPr="00B842B6">
        <w:rPr>
          <w:rStyle w:val="a5"/>
          <w:rFonts w:cstheme="minorHAnsi"/>
        </w:rPr>
        <w:t>Will Democracy Survive Big Data and Artificial Intelligence?</w:t>
      </w:r>
      <w:r w:rsidRPr="00B842B6">
        <w:rPr>
          <w:rFonts w:cstheme="minorHAnsi"/>
        </w:rPr>
        <w:t xml:space="preserve"> Cham: Springer International Publishing</w:t>
      </w:r>
      <w:r w:rsidRPr="00B842B6">
        <w:rPr>
          <w:rFonts w:cstheme="minorHAnsi"/>
          <w:lang w:val="en-US"/>
        </w:rPr>
        <w:t>.</w:t>
      </w:r>
    </w:p>
    <w:p w:rsidR="00C62A14" w:rsidRPr="00B842B6" w:rsidRDefault="00C62A14" w:rsidP="0060194B">
      <w:pPr>
        <w:pStyle w:val="a6"/>
        <w:rPr>
          <w:rFonts w:cstheme="minorHAnsi"/>
        </w:rPr>
      </w:pPr>
    </w:p>
  </w:footnote>
  <w:footnote w:id="44">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Keller, J. &amp; Ringrose, J. (2020) ‘Platform Power and the Politics of Online Visibility: Making the Fitbit Binge Watch the Citizen’, </w:t>
      </w:r>
      <w:r w:rsidRPr="00B842B6">
        <w:rPr>
          <w:rStyle w:val="a5"/>
          <w:rFonts w:cstheme="minorHAnsi"/>
        </w:rPr>
        <w:t>New Media &amp; Society</w:t>
      </w:r>
      <w:r w:rsidRPr="00B842B6">
        <w:rPr>
          <w:rFonts w:cstheme="minorHAnsi"/>
        </w:rPr>
        <w:t>, 22(12), pp. 2160-2180</w:t>
      </w:r>
    </w:p>
  </w:footnote>
  <w:footnote w:id="45">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Senden, L. &amp; de Vries, M. (2021) ‘Corporate Diplomacy in the Age of Big Tech: Facebook, Google and the EU’s Digital Single Market’, </w:t>
      </w:r>
      <w:r w:rsidRPr="00B842B6">
        <w:rPr>
          <w:rStyle w:val="a5"/>
          <w:rFonts w:cstheme="minorHAnsi"/>
        </w:rPr>
        <w:t>Journal of International Relations and Development</w:t>
      </w:r>
      <w:r w:rsidRPr="00B842B6">
        <w:rPr>
          <w:rFonts w:cstheme="minorHAnsi"/>
        </w:rPr>
        <w:t>, 24(4), pp. 817-842.</w:t>
      </w:r>
    </w:p>
  </w:footnote>
  <w:footnote w:id="46">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Sassen, </w:t>
      </w:r>
      <w:r w:rsidRPr="00B842B6">
        <w:rPr>
          <w:rFonts w:cstheme="minorHAnsi"/>
        </w:rPr>
        <w:t xml:space="preserve">S. (2006) </w:t>
      </w:r>
      <w:r w:rsidRPr="00B842B6">
        <w:rPr>
          <w:rStyle w:val="a5"/>
          <w:rFonts w:cstheme="minorHAnsi"/>
        </w:rPr>
        <w:t>Territory, Authority, Rights: From Medieval to Global Assemblages</w:t>
      </w:r>
      <w:r w:rsidRPr="00B842B6">
        <w:rPr>
          <w:rFonts w:cstheme="minorHAnsi"/>
        </w:rPr>
        <w:t>. Princeton, NJ: Princeton University Press</w:t>
      </w:r>
      <w:r w:rsidRPr="00B842B6">
        <w:rPr>
          <w:rFonts w:cstheme="minorHAnsi"/>
          <w:lang w:val="en-US"/>
        </w:rPr>
        <w:t>.</w:t>
      </w:r>
      <w:r w:rsidRPr="00B842B6">
        <w:rPr>
          <w:rFonts w:cstheme="minorHAnsi"/>
        </w:rPr>
        <w:t xml:space="preserve"> Lake, D. A. (2003) ‘The New Sovereignty in International Relations’, </w:t>
      </w:r>
      <w:r w:rsidRPr="00B842B6">
        <w:rPr>
          <w:rStyle w:val="a5"/>
          <w:rFonts w:cstheme="minorHAnsi"/>
        </w:rPr>
        <w:t>International Studies Review</w:t>
      </w:r>
      <w:r w:rsidRPr="00B842B6">
        <w:rPr>
          <w:rFonts w:cstheme="minorHAnsi"/>
        </w:rPr>
        <w:t>, 5(3), pp. 303</w:t>
      </w:r>
      <w:r w:rsidRPr="00B842B6">
        <w:rPr>
          <w:rFonts w:cstheme="minorHAnsi"/>
          <w:lang w:val="en-US"/>
        </w:rPr>
        <w:t>-</w:t>
      </w:r>
      <w:r w:rsidRPr="00B842B6">
        <w:rPr>
          <w:rFonts w:cstheme="minorHAnsi"/>
        </w:rPr>
        <w:t>323</w:t>
      </w:r>
      <w:r w:rsidRPr="00B842B6">
        <w:rPr>
          <w:rFonts w:cstheme="minorHAnsi"/>
          <w:lang w:val="en-US"/>
        </w:rPr>
        <w:t>.</w:t>
      </w:r>
    </w:p>
  </w:footnote>
  <w:footnote w:id="47">
    <w:p w:rsidR="00C62A14" w:rsidRPr="00B842B6" w:rsidRDefault="00C62A14" w:rsidP="0060194B">
      <w:pPr>
        <w:spacing w:before="100" w:beforeAutospacing="1" w:after="100" w:afterAutospacing="1" w:line="240" w:lineRule="auto"/>
        <w:rPr>
          <w:rFonts w:eastAsia="Times New Roman" w:cstheme="minorHAnsi"/>
          <w:sz w:val="20"/>
          <w:szCs w:val="20"/>
          <w:lang w:eastAsia="en-IL"/>
        </w:rPr>
      </w:pPr>
      <w:r w:rsidRPr="00B842B6">
        <w:rPr>
          <w:rStyle w:val="a8"/>
          <w:rFonts w:cstheme="minorHAnsi"/>
        </w:rPr>
        <w:footnoteRef/>
      </w:r>
      <w:r w:rsidRPr="00B842B6">
        <w:rPr>
          <w:rFonts w:cstheme="minorHAnsi"/>
        </w:rPr>
        <w:t xml:space="preserve"> </w:t>
      </w:r>
      <w:r w:rsidRPr="00B842B6">
        <w:rPr>
          <w:rFonts w:eastAsia="Times New Roman" w:cstheme="minorHAnsi"/>
          <w:sz w:val="20"/>
          <w:szCs w:val="20"/>
          <w:lang w:eastAsia="en-IL"/>
        </w:rPr>
        <w:t xml:space="preserve">e.g., Meta’s attempted Libra cryptocurrency, which raised fears of a corporate currency challenging state monetary sovereignty. See </w:t>
      </w:r>
      <w:proofErr w:type="spellStart"/>
      <w:r w:rsidRPr="00B842B6">
        <w:rPr>
          <w:rFonts w:cstheme="minorHAnsi"/>
          <w:sz w:val="20"/>
          <w:szCs w:val="20"/>
        </w:rPr>
        <w:t>Brummer</w:t>
      </w:r>
      <w:proofErr w:type="spellEnd"/>
      <w:r w:rsidRPr="00B842B6">
        <w:rPr>
          <w:rFonts w:cstheme="minorHAnsi"/>
          <w:sz w:val="20"/>
          <w:szCs w:val="20"/>
        </w:rPr>
        <w:t xml:space="preserve">, C. (2020) </w:t>
      </w:r>
      <w:proofErr w:type="spellStart"/>
      <w:r w:rsidRPr="00B842B6">
        <w:rPr>
          <w:rStyle w:val="a5"/>
          <w:rFonts w:cstheme="minorHAnsi"/>
          <w:sz w:val="20"/>
          <w:szCs w:val="20"/>
        </w:rPr>
        <w:t>Cryptoassets</w:t>
      </w:r>
      <w:proofErr w:type="spellEnd"/>
      <w:r w:rsidRPr="00B842B6">
        <w:rPr>
          <w:rStyle w:val="a5"/>
          <w:rFonts w:cstheme="minorHAnsi"/>
          <w:sz w:val="20"/>
          <w:szCs w:val="20"/>
        </w:rPr>
        <w:t>: Legal, Regulatory, and Monetary Perspectives</w:t>
      </w:r>
      <w:r w:rsidRPr="00B842B6">
        <w:rPr>
          <w:rFonts w:cstheme="minorHAnsi"/>
          <w:sz w:val="20"/>
          <w:szCs w:val="20"/>
        </w:rPr>
        <w:t xml:space="preserve">. Oxford: Oxford University Press. Gensler, G. and Bailey, L. (2023) ‘Facebook’s Libra and the Challenge to Monetary Sovereignty’, </w:t>
      </w:r>
      <w:r w:rsidRPr="00B842B6">
        <w:rPr>
          <w:rStyle w:val="a5"/>
          <w:rFonts w:cstheme="minorHAnsi"/>
          <w:sz w:val="20"/>
          <w:szCs w:val="20"/>
        </w:rPr>
        <w:t>Journal of Financial Regulation</w:t>
      </w:r>
      <w:r w:rsidRPr="00B842B6">
        <w:rPr>
          <w:rFonts w:cstheme="minorHAnsi"/>
          <w:sz w:val="20"/>
          <w:szCs w:val="20"/>
        </w:rPr>
        <w:t>, 9(1), pp. 45-67</w:t>
      </w:r>
    </w:p>
  </w:footnote>
  <w:footnote w:id="48">
    <w:p w:rsidR="00C62A14" w:rsidRPr="00B842B6" w:rsidRDefault="00C62A14" w:rsidP="0060194B">
      <w:pPr>
        <w:pStyle w:val="a6"/>
        <w:rPr>
          <w:rFonts w:cstheme="minorHAnsi"/>
        </w:rPr>
      </w:pPr>
      <w:r w:rsidRPr="00B842B6">
        <w:rPr>
          <w:rStyle w:val="a8"/>
          <w:rFonts w:cstheme="minorHAnsi"/>
        </w:rPr>
        <w:footnoteRef/>
      </w:r>
      <w:r w:rsidRPr="00B842B6">
        <w:rPr>
          <w:rFonts w:cstheme="minorHAnsi"/>
        </w:rPr>
        <w:t xml:space="preserve"> </w:t>
      </w:r>
      <w:r w:rsidRPr="00B842B6">
        <w:rPr>
          <w:rFonts w:cstheme="minorHAnsi"/>
        </w:rPr>
        <w:t xml:space="preserve">Gu, H. (2023) ‘Data, Big Tech, and the New Concept of Sovereignty’, </w:t>
      </w:r>
      <w:r w:rsidRPr="00B842B6">
        <w:rPr>
          <w:rStyle w:val="a5"/>
          <w:rFonts w:cstheme="minorHAnsi"/>
        </w:rPr>
        <w:t>Frontiers in Big Data</w:t>
      </w:r>
      <w:r w:rsidRPr="00B842B6">
        <w:rPr>
          <w:rFonts w:cstheme="minorHAnsi"/>
        </w:rPr>
        <w:t>, 6, article 10155150</w:t>
      </w:r>
      <w:r w:rsidRPr="00B842B6">
        <w:rPr>
          <w:rFonts w:cstheme="minorHAnsi"/>
          <w:lang w:val="en-US"/>
        </w:rPr>
        <w:t xml:space="preserve">. </w:t>
      </w:r>
      <w:r w:rsidRPr="00B842B6">
        <w:rPr>
          <w:rFonts w:cstheme="minorHAnsi"/>
        </w:rPr>
        <w:t xml:space="preserve">Frost, R. (2024) ‘Going “Global” on Big Tech Regulation: Re-institutionalising Multilateralism in Digital Governance’, </w:t>
      </w:r>
      <w:r w:rsidRPr="00B842B6">
        <w:rPr>
          <w:rStyle w:val="a5"/>
          <w:rFonts w:cstheme="minorHAnsi"/>
        </w:rPr>
        <w:t>New York University Journal of International Law &amp; Policy</w:t>
      </w:r>
      <w:r w:rsidRPr="00B842B6">
        <w:rPr>
          <w:rFonts w:cstheme="minorHAnsi"/>
        </w:rPr>
        <w:t>, 56(2), pp. 153</w:t>
      </w:r>
      <w:r w:rsidRPr="00B842B6">
        <w:rPr>
          <w:rFonts w:cstheme="minorHAnsi"/>
          <w:lang w:val="en-US"/>
        </w:rPr>
        <w:t>-</w:t>
      </w:r>
      <w:r w:rsidRPr="00B842B6">
        <w:rPr>
          <w:rFonts w:cstheme="minorHAnsi"/>
        </w:rPr>
        <w:t>209</w:t>
      </w:r>
      <w:r w:rsidRPr="00B842B6">
        <w:rPr>
          <w:rFonts w:cstheme="minorHAnsi"/>
          <w:lang w:val="en-US"/>
        </w:rPr>
        <w:t>.</w:t>
      </w:r>
    </w:p>
  </w:footnote>
  <w:footnote w:id="49">
    <w:p w:rsidR="00C62A14" w:rsidRDefault="00C62A14" w:rsidP="0060194B">
      <w:pPr>
        <w:pStyle w:val="a6"/>
        <w:rPr>
          <w:rtl/>
        </w:rPr>
      </w:pPr>
      <w:r>
        <w:rPr>
          <w:rStyle w:val="a8"/>
        </w:rPr>
        <w:footnoteRef/>
      </w:r>
      <w:r>
        <w:t xml:space="preserve"> </w:t>
      </w:r>
      <w:r w:rsidRPr="00290452">
        <w:t>Budnitsky, S. (2020). Toward a Cultural Framework of Internet Governance: Russia’s Great Power Identity and the Quest for a Multipolar Digital Order. https://core.ac.uk/download/322354080.pdf</w:t>
      </w:r>
    </w:p>
  </w:footnote>
  <w:footnote w:id="50">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cstheme="minorHAnsi"/>
          <w:color w:val="222222"/>
          <w:shd w:val="clear" w:color="auto" w:fill="FFFFFF"/>
        </w:rPr>
        <w:t xml:space="preserve">Paré </w:t>
      </w:r>
      <w:r w:rsidRPr="003C7398">
        <w:rPr>
          <w:rFonts w:cstheme="minorHAnsi"/>
          <w:color w:val="222222"/>
          <w:shd w:val="clear" w:color="auto" w:fill="FFFFFF"/>
        </w:rPr>
        <w:t>G, Kitsiou S. Chapter 9</w:t>
      </w:r>
      <w:r w:rsidRPr="003C7398">
        <w:rPr>
          <w:rFonts w:cstheme="minorHAnsi"/>
          <w:color w:val="222222"/>
          <w:shd w:val="clear" w:color="auto" w:fill="FFFFFF"/>
        </w:rPr>
        <w:t> </w:t>
      </w:r>
      <w:r w:rsidRPr="003C7398">
        <w:rPr>
          <w:rFonts w:cstheme="minorHAnsi"/>
          <w:color w:val="222222"/>
          <w:shd w:val="clear" w:color="auto" w:fill="FFFFFF"/>
        </w:rPr>
        <w:t>Methods for Literature Reviews. In: Lau F, Kuziemsky C, editors. Handbook of eHealth Evaluation: An Evidence-based Approach [Internet]. Victoria (BC): University of Victoria; 2017 Feb 27. </w:t>
      </w:r>
      <w:r w:rsidRPr="003C7398">
        <w:rPr>
          <w:rStyle w:val="bkciteavail"/>
          <w:rFonts w:cstheme="minorHAnsi"/>
          <w:color w:val="222222"/>
          <w:shd w:val="clear" w:color="auto" w:fill="FFFFFF"/>
        </w:rPr>
        <w:t>Available from: https://www.ncbi.nlm.nih.gov/books/NBK481583/</w:t>
      </w:r>
    </w:p>
  </w:footnote>
  <w:footnote w:id="51">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cstheme="minorHAnsi"/>
          <w:color w:val="171717"/>
          <w:shd w:val="clear" w:color="auto" w:fill="FFFFFF"/>
        </w:rPr>
        <w:t xml:space="preserve">U. </w:t>
      </w:r>
      <w:r w:rsidRPr="003C7398">
        <w:rPr>
          <w:rFonts w:cstheme="minorHAnsi"/>
          <w:color w:val="171717"/>
          <w:shd w:val="clear" w:color="auto" w:fill="FFFFFF"/>
        </w:rPr>
        <w:t>Dolata, „Internet</w:t>
      </w:r>
      <w:r w:rsidRPr="003C7398">
        <w:rPr>
          <w:rFonts w:cstheme="minorHAnsi"/>
          <w:color w:val="171717"/>
          <w:shd w:val="clear" w:color="auto" w:fill="FFFFFF"/>
          <w:lang w:val="en-US"/>
        </w:rPr>
        <w:t xml:space="preserve">, </w:t>
      </w:r>
      <w:r w:rsidRPr="003C7398">
        <w:rPr>
          <w:rFonts w:cstheme="minorHAnsi"/>
          <w:color w:val="171717"/>
          <w:shd w:val="clear" w:color="auto" w:fill="FFFFFF"/>
        </w:rPr>
        <w:t xml:space="preserve"> Platforms</w:t>
      </w:r>
      <w:r w:rsidRPr="003C7398">
        <w:rPr>
          <w:rFonts w:cstheme="minorHAnsi"/>
          <w:color w:val="171717"/>
          <w:shd w:val="clear" w:color="auto" w:fill="FFFFFF"/>
          <w:lang w:val="en-US"/>
        </w:rPr>
        <w:t xml:space="preserve">, </w:t>
      </w:r>
      <w:r w:rsidRPr="003C7398">
        <w:rPr>
          <w:rFonts w:cstheme="minorHAnsi"/>
          <w:color w:val="171717"/>
          <w:shd w:val="clear" w:color="auto" w:fill="FFFFFF"/>
        </w:rPr>
        <w:t>Regulation: Coordination of Markets and Curation of Sociality". SOI Discussion Paper 2020-02, 2020."</w:t>
      </w:r>
    </w:p>
  </w:footnote>
  <w:footnote w:id="52">
    <w:p w:rsidR="00C62A14" w:rsidRPr="003C7398" w:rsidRDefault="00C62A14" w:rsidP="0060194B">
      <w:pPr>
        <w:pStyle w:val="a6"/>
        <w:rPr>
          <w:rFonts w:cstheme="minorHAnsi"/>
          <w:rtl/>
        </w:rPr>
      </w:pPr>
      <w:r w:rsidRPr="003C7398">
        <w:rPr>
          <w:rStyle w:val="a8"/>
          <w:rFonts w:cstheme="minorHAnsi"/>
        </w:rPr>
        <w:footnoteRef/>
      </w:r>
      <w:r w:rsidRPr="003C7398">
        <w:rPr>
          <w:rFonts w:cstheme="minorHAnsi"/>
        </w:rPr>
        <w:t xml:space="preserve"> </w:t>
      </w:r>
      <w:r w:rsidRPr="003C7398">
        <w:rPr>
          <w:rFonts w:cstheme="minorHAnsi"/>
        </w:rPr>
        <w:t xml:space="preserve">Okoli, </w:t>
      </w:r>
      <w:r w:rsidRPr="003C7398">
        <w:rPr>
          <w:rFonts w:cstheme="minorHAnsi"/>
        </w:rPr>
        <w:t>Chitu (2015) "A Guide to Conducting a Standalone Systematic Literature Review," Communications of the Association for Information Systems: Vol. 37, Article 43.</w:t>
      </w:r>
    </w:p>
    <w:p w:rsidR="00C62A14" w:rsidRPr="0043035A" w:rsidRDefault="00C62A14" w:rsidP="0060194B">
      <w:pPr>
        <w:pStyle w:val="a6"/>
      </w:pPr>
    </w:p>
  </w:footnote>
  <w:footnote w:id="53">
    <w:p w:rsidR="00C62A14" w:rsidRPr="00DE059B" w:rsidRDefault="00C62A14" w:rsidP="0060194B">
      <w:pPr>
        <w:pStyle w:val="a6"/>
        <w:rPr>
          <w:rFonts w:cstheme="minorHAnsi"/>
        </w:rPr>
      </w:pPr>
      <w:r w:rsidRPr="003C7398">
        <w:rPr>
          <w:rStyle w:val="a8"/>
          <w:rFonts w:cstheme="minorHAnsi"/>
        </w:rPr>
        <w:footnoteRef/>
      </w:r>
      <w:r w:rsidRPr="003C7398">
        <w:rPr>
          <w:rFonts w:cstheme="minorHAnsi"/>
        </w:rPr>
        <w:t xml:space="preserve"> </w:t>
      </w:r>
      <w:hyperlink r:id="rId2" w:anchor=":~:text=their%20state%20agencies%20are%20considered,of%20the%20emerging%20paradigm%20of" w:history="1">
        <w:r w:rsidRPr="00DE059B">
          <w:rPr>
            <w:rStyle w:val="Hyperlink"/>
            <w:rFonts w:cstheme="minorHAnsi"/>
            <w:color w:val="auto"/>
            <w:u w:val="none"/>
          </w:rPr>
          <w:t xml:space="preserve">The </w:t>
        </w:r>
        <w:r w:rsidRPr="00DE059B">
          <w:rPr>
            <w:rStyle w:val="Hyperlink"/>
            <w:rFonts w:cstheme="minorHAnsi"/>
            <w:color w:val="auto"/>
            <w:u w:val="none"/>
          </w:rPr>
          <w:t>New Political Role of Business in a Globalized World</w:t>
        </w:r>
        <w:r w:rsidRPr="00DE059B">
          <w:rPr>
            <w:rStyle w:val="Hyperlink"/>
            <w:rFonts w:cstheme="minorHAnsi"/>
            <w:color w:val="auto"/>
            <w:u w:val="none"/>
            <w:lang w:val="en-US"/>
          </w:rPr>
          <w:t>-</w:t>
        </w:r>
        <w:r w:rsidRPr="00DE059B">
          <w:rPr>
            <w:rStyle w:val="Hyperlink"/>
            <w:rFonts w:cstheme="minorHAnsi"/>
            <w:color w:val="auto"/>
            <w:u w:val="none"/>
          </w:rPr>
          <w:t>A Paradigm Shift in CSR and its Implications for the Firm, Governance, and Democracy</w:t>
        </w:r>
      </w:hyperlink>
    </w:p>
  </w:footnote>
  <w:footnote w:id="54">
    <w:p w:rsidR="00C62A14" w:rsidRPr="003C7398" w:rsidRDefault="00C62A14" w:rsidP="0060194B">
      <w:pPr>
        <w:spacing w:before="100" w:beforeAutospacing="1" w:after="100" w:afterAutospacing="1" w:line="240" w:lineRule="auto"/>
        <w:rPr>
          <w:rFonts w:eastAsia="Times New Roman" w:cstheme="minorHAnsi"/>
          <w:sz w:val="20"/>
          <w:szCs w:val="20"/>
        </w:rPr>
      </w:pPr>
      <w:r w:rsidRPr="003C7398">
        <w:rPr>
          <w:rStyle w:val="a8"/>
          <w:rFonts w:cstheme="minorHAnsi"/>
        </w:rPr>
        <w:footnoteRef/>
      </w:r>
      <w:r w:rsidRPr="003C7398">
        <w:rPr>
          <w:rFonts w:cstheme="minorHAnsi"/>
          <w:sz w:val="20"/>
          <w:szCs w:val="20"/>
        </w:rPr>
        <w:t xml:space="preserve"> </w:t>
      </w:r>
      <w:r w:rsidRPr="003C7398">
        <w:rPr>
          <w:rFonts w:eastAsia="Times New Roman" w:cstheme="minorHAnsi"/>
          <w:sz w:val="20"/>
          <w:szCs w:val="20"/>
        </w:rPr>
        <w:t xml:space="preserve">Strange, S. (1996). </w:t>
      </w:r>
      <w:r w:rsidRPr="003C7398">
        <w:rPr>
          <w:rFonts w:eastAsia="Times New Roman" w:cstheme="minorHAnsi"/>
          <w:i/>
          <w:iCs/>
          <w:sz w:val="20"/>
          <w:szCs w:val="20"/>
        </w:rPr>
        <w:t>The Retreat of the State: The Diffusion of Power in the World Economy</w:t>
      </w:r>
      <w:r w:rsidRPr="003C7398">
        <w:rPr>
          <w:rFonts w:eastAsia="Times New Roman" w:cstheme="minorHAnsi"/>
          <w:sz w:val="20"/>
          <w:szCs w:val="20"/>
        </w:rPr>
        <w:t>. Cambridge: Cambridge University Press.</w:t>
      </w:r>
    </w:p>
  </w:footnote>
  <w:footnote w:id="55">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cstheme="minorHAnsi"/>
          <w:shd w:val="clear" w:color="auto" w:fill="FFFFFF"/>
        </w:rPr>
        <w:t>U. Dolata, „Internet</w:t>
      </w:r>
      <w:r w:rsidRPr="003C7398">
        <w:rPr>
          <w:rFonts w:cstheme="minorHAnsi"/>
          <w:shd w:val="clear" w:color="auto" w:fill="FFFFFF"/>
          <w:lang w:val="en-US"/>
        </w:rPr>
        <w:t xml:space="preserve">, </w:t>
      </w:r>
      <w:r w:rsidRPr="003C7398">
        <w:rPr>
          <w:rFonts w:cstheme="minorHAnsi"/>
          <w:shd w:val="clear" w:color="auto" w:fill="FFFFFF"/>
        </w:rPr>
        <w:t>Platforms</w:t>
      </w:r>
      <w:r w:rsidRPr="003C7398">
        <w:rPr>
          <w:rFonts w:cstheme="minorHAnsi"/>
          <w:shd w:val="clear" w:color="auto" w:fill="FFFFFF"/>
          <w:lang w:val="en-US"/>
        </w:rPr>
        <w:t>,</w:t>
      </w:r>
      <w:r w:rsidRPr="003C7398">
        <w:rPr>
          <w:rFonts w:cstheme="minorHAnsi"/>
          <w:shd w:val="clear" w:color="auto" w:fill="FFFFFF"/>
        </w:rPr>
        <w:t xml:space="preserve"> Regulation: Coordination of Markets and Curation of Sociality". SOI Discussion Paper 2020-02, 2020."</w:t>
      </w:r>
    </w:p>
  </w:footnote>
  <w:footnote w:id="56">
    <w:p w:rsidR="00C62A14" w:rsidRPr="003C7398" w:rsidRDefault="00C62A14" w:rsidP="0060194B">
      <w:pPr>
        <w:pStyle w:val="a6"/>
        <w:rPr>
          <w:rFonts w:cstheme="minorHAnsi"/>
          <w:rtl/>
        </w:rPr>
      </w:pPr>
      <w:r w:rsidRPr="003C7398">
        <w:rPr>
          <w:rStyle w:val="a8"/>
          <w:rFonts w:cstheme="minorHAnsi"/>
        </w:rPr>
        <w:footnoteRef/>
      </w:r>
      <w:r w:rsidRPr="003C7398">
        <w:rPr>
          <w:rFonts w:cstheme="minorHAnsi"/>
        </w:rPr>
        <w:t xml:space="preserve"> </w:t>
      </w:r>
      <w:hyperlink r:id="rId3" w:history="1">
        <w:r w:rsidRPr="00F81EA6">
          <w:rPr>
            <w:rStyle w:val="Hyperlink"/>
            <w:rFonts w:cstheme="minorHAnsi"/>
          </w:rPr>
          <w:t>https://stanleycenter.org/publications/working_papers/Non-stateActorsandGlobalGovernanceLiteratureReview.pdf</w:t>
        </w:r>
      </w:hyperlink>
    </w:p>
  </w:footnote>
  <w:footnote w:id="57">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cstheme="minorHAnsi"/>
          <w:shd w:val="clear" w:color="auto" w:fill="FFFFFF"/>
        </w:rPr>
        <w:t xml:space="preserve">Linda </w:t>
      </w:r>
      <w:r w:rsidRPr="003C7398">
        <w:rPr>
          <w:rFonts w:cstheme="minorHAnsi"/>
          <w:shd w:val="clear" w:color="auto" w:fill="FFFFFF"/>
        </w:rPr>
        <w:t>Monsees, Tobias Liebetrau, Jonathan Luke Austin, Anna Leander, Swati Srivastava, Transversal Politics of Big Tech, </w:t>
      </w:r>
      <w:r w:rsidRPr="003C7398">
        <w:rPr>
          <w:rStyle w:val="a5"/>
          <w:rFonts w:cstheme="minorHAnsi"/>
          <w:bdr w:val="none" w:sz="0" w:space="0" w:color="auto" w:frame="1"/>
          <w:shd w:val="clear" w:color="auto" w:fill="FFFFFF"/>
        </w:rPr>
        <w:t>International Political Sociology</w:t>
      </w:r>
      <w:r w:rsidRPr="003C7398">
        <w:rPr>
          <w:rFonts w:cstheme="minorHAnsi"/>
          <w:shd w:val="clear" w:color="auto" w:fill="FFFFFF"/>
        </w:rPr>
        <w:t xml:space="preserve">, Volume 17, Issue 1, March 2023, </w:t>
      </w:r>
    </w:p>
  </w:footnote>
  <w:footnote w:id="58">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hyperlink r:id="rId4" w:history="1">
        <w:r w:rsidRPr="003C7398">
          <w:rPr>
            <w:rStyle w:val="Hyperlink"/>
            <w:rFonts w:cstheme="minorHAnsi"/>
          </w:rPr>
          <w:t>https://fundamentals.weizenbaum-institut.de/en/digital-sovereignty/</w:t>
        </w:r>
      </w:hyperlink>
    </w:p>
  </w:footnote>
  <w:footnote w:id="59">
    <w:p w:rsidR="00C62A14" w:rsidRPr="003C7398" w:rsidRDefault="00C62A14" w:rsidP="0060194B">
      <w:pPr>
        <w:spacing w:before="100" w:beforeAutospacing="1" w:after="100" w:afterAutospacing="1" w:line="240" w:lineRule="auto"/>
        <w:rPr>
          <w:rFonts w:eastAsia="Times New Roman" w:cstheme="minorHAnsi"/>
          <w:sz w:val="20"/>
          <w:szCs w:val="20"/>
        </w:rPr>
      </w:pPr>
      <w:r w:rsidRPr="003C7398">
        <w:rPr>
          <w:rStyle w:val="a8"/>
          <w:rFonts w:cstheme="minorHAnsi"/>
        </w:rPr>
        <w:footnoteRef/>
      </w:r>
      <w:r w:rsidRPr="003C7398">
        <w:rPr>
          <w:rFonts w:cstheme="minorHAnsi"/>
          <w:sz w:val="20"/>
          <w:szCs w:val="20"/>
        </w:rPr>
        <w:t xml:space="preserve"> </w:t>
      </w:r>
      <w:proofErr w:type="spellStart"/>
      <w:r w:rsidRPr="003C7398">
        <w:rPr>
          <w:rFonts w:eastAsia="Times New Roman" w:cstheme="minorHAnsi"/>
          <w:sz w:val="20"/>
          <w:szCs w:val="20"/>
        </w:rPr>
        <w:t>Rasche</w:t>
      </w:r>
      <w:proofErr w:type="spellEnd"/>
      <w:r w:rsidRPr="003C7398">
        <w:rPr>
          <w:rFonts w:eastAsia="Times New Roman" w:cstheme="minorHAnsi"/>
          <w:sz w:val="20"/>
          <w:szCs w:val="20"/>
        </w:rPr>
        <w:t xml:space="preserve">, A. (2015). ‘The Corporation as a Political Actor, European and North American Perspectives’. </w:t>
      </w:r>
      <w:r w:rsidRPr="003C7398">
        <w:rPr>
          <w:rFonts w:eastAsia="Times New Roman" w:cstheme="minorHAnsi"/>
          <w:i/>
          <w:iCs/>
          <w:sz w:val="20"/>
          <w:szCs w:val="20"/>
        </w:rPr>
        <w:t>European Management Journal</w:t>
      </w:r>
      <w:r w:rsidRPr="003C7398">
        <w:rPr>
          <w:rFonts w:eastAsia="Times New Roman" w:cstheme="minorHAnsi"/>
          <w:sz w:val="20"/>
          <w:szCs w:val="20"/>
        </w:rPr>
        <w:t>, 33(1), 4-8.</w:t>
      </w:r>
    </w:p>
  </w:footnote>
  <w:footnote w:id="60">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eastAsia="Times New Roman" w:cstheme="minorHAnsi"/>
        </w:rPr>
        <w:t xml:space="preserve">Matten, D. and Crane, A. (2005) ‘Corporate Citizenship: Toward an Extended Theoretical Conceptualization’, </w:t>
      </w:r>
      <w:r w:rsidRPr="003C7398">
        <w:rPr>
          <w:rFonts w:eastAsia="Times New Roman" w:cstheme="minorHAnsi"/>
          <w:i/>
          <w:iCs/>
        </w:rPr>
        <w:t>Academy of Management Review</w:t>
      </w:r>
      <w:r w:rsidRPr="003C7398">
        <w:rPr>
          <w:rFonts w:eastAsia="Times New Roman" w:cstheme="minorHAnsi"/>
        </w:rPr>
        <w:t>, 30(1), pp. 166</w:t>
      </w:r>
      <w:r w:rsidRPr="003C7398">
        <w:rPr>
          <w:rFonts w:eastAsia="Times New Roman" w:cstheme="minorHAnsi"/>
          <w:lang w:val="en-US"/>
        </w:rPr>
        <w:t>-</w:t>
      </w:r>
      <w:r w:rsidRPr="003C7398">
        <w:rPr>
          <w:rFonts w:eastAsia="Times New Roman" w:cstheme="minorHAnsi"/>
        </w:rPr>
        <w:t>179.</w:t>
      </w:r>
    </w:p>
  </w:footnote>
  <w:footnote w:id="61">
    <w:p w:rsidR="00C62A14" w:rsidRPr="003C7398" w:rsidRDefault="00C62A14" w:rsidP="0060194B">
      <w:pPr>
        <w:pStyle w:val="a6"/>
        <w:rPr>
          <w:rFonts w:cstheme="minorHAnsi"/>
          <w:lang w:val="en-US"/>
        </w:rPr>
      </w:pPr>
      <w:r w:rsidRPr="003C7398">
        <w:rPr>
          <w:rStyle w:val="a8"/>
          <w:rFonts w:cstheme="minorHAnsi"/>
        </w:rPr>
        <w:footnoteRef/>
      </w:r>
      <w:r w:rsidRPr="003C7398">
        <w:rPr>
          <w:rFonts w:cstheme="minorHAnsi"/>
        </w:rPr>
        <w:t xml:space="preserve"> </w:t>
      </w:r>
      <w:r w:rsidRPr="003C7398">
        <w:rPr>
          <w:rFonts w:cstheme="minorHAnsi"/>
        </w:rPr>
        <w:t xml:space="preserve">Ping, </w:t>
      </w:r>
      <w:r w:rsidRPr="003C7398">
        <w:rPr>
          <w:rFonts w:cstheme="minorHAnsi"/>
        </w:rPr>
        <w:t>J. (2013). The path to harmonious regionalism: Negotiation, institutionalisation and consent-based hegemony. https://core.ac.uk/download/196605793.pdf</w:t>
      </w:r>
    </w:p>
  </w:footnote>
  <w:footnote w:id="62">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eastAsia="Times New Roman" w:cstheme="minorHAnsi"/>
        </w:rPr>
        <w:t xml:space="preserve">Cutler, </w:t>
      </w:r>
      <w:r w:rsidRPr="003C7398">
        <w:rPr>
          <w:rFonts w:eastAsia="Times New Roman" w:cstheme="minorHAnsi"/>
        </w:rPr>
        <w:t xml:space="preserve">A.C., Haufler, V. and Porter, T. (1999), </w:t>
      </w:r>
      <w:r w:rsidRPr="003C7398">
        <w:rPr>
          <w:rFonts w:eastAsia="Times New Roman" w:cstheme="minorHAnsi"/>
          <w:i/>
          <w:iCs/>
        </w:rPr>
        <w:t xml:space="preserve">Private Authority and International Affairs, </w:t>
      </w:r>
      <w:r w:rsidRPr="003C7398">
        <w:rPr>
          <w:rFonts w:eastAsia="Times New Roman" w:cstheme="minorHAnsi"/>
        </w:rPr>
        <w:t>Albany: State University of New York Press</w:t>
      </w:r>
    </w:p>
  </w:footnote>
  <w:footnote w:id="63">
    <w:p w:rsidR="00C62A14" w:rsidRPr="00AC5F1E" w:rsidRDefault="00C62A14" w:rsidP="0060194B">
      <w:pPr>
        <w:pStyle w:val="a6"/>
        <w:rPr>
          <w:lang w:val="en-US"/>
        </w:rPr>
      </w:pPr>
      <w:r>
        <w:rPr>
          <w:rStyle w:val="a8"/>
        </w:rPr>
        <w:footnoteRef/>
      </w:r>
      <w:r>
        <w:t xml:space="preserve"> </w:t>
      </w:r>
      <w:r w:rsidRPr="00B50089">
        <w:t xml:space="preserve">Ruggie, </w:t>
      </w:r>
      <w:r w:rsidRPr="00B50089">
        <w:t xml:space="preserve">J.G. (2004) ‘Reconstituting the Global Public Domain’, </w:t>
      </w:r>
      <w:r w:rsidRPr="00B50089">
        <w:rPr>
          <w:rStyle w:val="a5"/>
        </w:rPr>
        <w:t>European Journal of International Relations</w:t>
      </w:r>
      <w:r w:rsidRPr="00B50089">
        <w:t>, 10(4), pp. 499</w:t>
      </w:r>
      <w:r>
        <w:t>-</w:t>
      </w:r>
      <w:r w:rsidRPr="00B50089">
        <w:t>531</w:t>
      </w:r>
      <w:r>
        <w:rPr>
          <w:lang w:val="en-US"/>
        </w:rPr>
        <w:t xml:space="preserve">; </w:t>
      </w:r>
      <w:r w:rsidRPr="00B50089">
        <w:t xml:space="preserve">Hall, R.B. and Biersteker, T.J. (2002) </w:t>
      </w:r>
      <w:r w:rsidRPr="00B50089">
        <w:rPr>
          <w:rStyle w:val="a5"/>
        </w:rPr>
        <w:t>The Emergence of Private Authority in Global Governance</w:t>
      </w:r>
      <w:r w:rsidRPr="00B50089">
        <w:t>. Cambridge: Cambridge University Press</w:t>
      </w:r>
      <w:r>
        <w:rPr>
          <w:lang w:val="en-US"/>
        </w:rPr>
        <w:t xml:space="preserve">; </w:t>
      </w:r>
    </w:p>
  </w:footnote>
  <w:footnote w:id="64">
    <w:p w:rsidR="00C62A14" w:rsidRPr="00AC5F1E" w:rsidRDefault="00C62A14" w:rsidP="0060194B">
      <w:pPr>
        <w:pStyle w:val="a6"/>
        <w:rPr>
          <w:lang w:val="en-US"/>
        </w:rPr>
      </w:pPr>
      <w:r>
        <w:rPr>
          <w:rStyle w:val="a8"/>
        </w:rPr>
        <w:footnoteRef/>
      </w:r>
      <w:r>
        <w:t xml:space="preserve"> </w:t>
      </w:r>
      <w:r w:rsidRPr="00B50089">
        <w:t xml:space="preserve">Babic, M., Fichtner, J. and Heemskerk, E.M. (2017) ‘States versus Corporations’, </w:t>
      </w:r>
      <w:r w:rsidRPr="00B50089">
        <w:rPr>
          <w:rStyle w:val="a5"/>
        </w:rPr>
        <w:t>International Studies Quarterly</w:t>
      </w:r>
      <w:r w:rsidRPr="00B50089">
        <w:t>, 61(1), pp. 20</w:t>
      </w:r>
      <w:r>
        <w:t>-</w:t>
      </w:r>
      <w:r w:rsidRPr="00B50089">
        <w:t>43</w:t>
      </w:r>
      <w:r>
        <w:rPr>
          <w:lang w:val="en-US"/>
        </w:rPr>
        <w:t>.</w:t>
      </w:r>
    </w:p>
  </w:footnote>
  <w:footnote w:id="65">
    <w:p w:rsidR="00C62A14" w:rsidRPr="00AF0FEF" w:rsidRDefault="00C62A14" w:rsidP="0060194B">
      <w:pPr>
        <w:pStyle w:val="a6"/>
        <w:rPr>
          <w:lang w:val="en-US"/>
        </w:rPr>
      </w:pPr>
      <w:r>
        <w:rPr>
          <w:rStyle w:val="a8"/>
        </w:rPr>
        <w:footnoteRef/>
      </w:r>
      <w:r>
        <w:t xml:space="preserve"> </w:t>
      </w:r>
      <w:r w:rsidRPr="00AF0FEF">
        <w:rPr>
          <w:rFonts w:eastAsia="Times New Roman"/>
        </w:rPr>
        <w:t>Kindleberger, C. P. (1973). The World in Depression, 1929-1939. Berkeley: University of California Press</w:t>
      </w:r>
      <w:r>
        <w:rPr>
          <w:rFonts w:eastAsia="Times New Roman"/>
          <w:lang w:val="en-US"/>
        </w:rPr>
        <w:t>.</w:t>
      </w:r>
    </w:p>
  </w:footnote>
  <w:footnote w:id="66">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eastAsia="Times New Roman" w:cstheme="minorHAnsi"/>
        </w:rPr>
        <w:t xml:space="preserve">Lessig, L. (2000). </w:t>
      </w:r>
      <w:r w:rsidRPr="003C7398">
        <w:rPr>
          <w:rFonts w:eastAsia="Times New Roman" w:cstheme="minorHAnsi"/>
          <w:i/>
          <w:iCs/>
        </w:rPr>
        <w:t>Code and Other Laws of Cyberspace</w:t>
      </w:r>
      <w:r w:rsidRPr="003C7398">
        <w:rPr>
          <w:rFonts w:eastAsia="Times New Roman" w:cstheme="minorHAnsi"/>
        </w:rPr>
        <w:t>. New York: Basic Books</w:t>
      </w:r>
    </w:p>
  </w:footnote>
  <w:footnote w:id="67">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eastAsia="Times New Roman" w:cstheme="minorHAnsi"/>
        </w:rPr>
        <w:t xml:space="preserve">Kelton, </w:t>
      </w:r>
      <w:r w:rsidRPr="003C7398">
        <w:rPr>
          <w:rFonts w:eastAsia="Times New Roman" w:cstheme="minorHAnsi"/>
        </w:rPr>
        <w:t xml:space="preserve">M., Sullivan, M., Rogers, Z., Bienvenue, E., &amp; Troath, S. (2022). ‘Virtual sovereignty? Private internet capital, digital platforms and infrastructural power in the United States’. </w:t>
      </w:r>
      <w:r w:rsidRPr="003C7398">
        <w:rPr>
          <w:rFonts w:eastAsia="Times New Roman" w:cstheme="minorHAnsi"/>
          <w:i/>
          <w:iCs/>
        </w:rPr>
        <w:t>International Affairs</w:t>
      </w:r>
      <w:r w:rsidRPr="003C7398">
        <w:rPr>
          <w:rFonts w:eastAsia="Times New Roman" w:cstheme="minorHAnsi"/>
        </w:rPr>
        <w:t>, 98(6), 1977</w:t>
      </w:r>
      <w:r w:rsidRPr="003C7398">
        <w:rPr>
          <w:rFonts w:eastAsia="Times New Roman" w:cstheme="minorHAnsi"/>
          <w:lang w:val="en-US"/>
        </w:rPr>
        <w:t>-</w:t>
      </w:r>
      <w:r w:rsidRPr="003C7398">
        <w:rPr>
          <w:rFonts w:eastAsia="Times New Roman" w:cstheme="minorHAnsi"/>
        </w:rPr>
        <w:t>1999</w:t>
      </w:r>
    </w:p>
  </w:footnote>
  <w:footnote w:id="68">
    <w:p w:rsidR="00C62A14" w:rsidRPr="003C7398" w:rsidRDefault="00C62A14" w:rsidP="0060194B">
      <w:pPr>
        <w:pStyle w:val="a6"/>
        <w:rPr>
          <w:rFonts w:cstheme="minorHAnsi"/>
        </w:rPr>
      </w:pPr>
      <w:r w:rsidRPr="003C7398">
        <w:rPr>
          <w:rStyle w:val="a8"/>
          <w:rFonts w:cstheme="minorHAnsi"/>
        </w:rPr>
        <w:footnoteRef/>
      </w:r>
      <w:r w:rsidRPr="003C7398">
        <w:rPr>
          <w:rFonts w:cstheme="minorHAnsi"/>
        </w:rPr>
        <w:t xml:space="preserve"> </w:t>
      </w:r>
      <w:r w:rsidRPr="003C7398">
        <w:rPr>
          <w:rFonts w:eastAsia="Times New Roman" w:cstheme="minorHAnsi"/>
        </w:rPr>
        <w:t xml:space="preserve">Zuboff, </w:t>
      </w:r>
      <w:r w:rsidRPr="003C7398">
        <w:rPr>
          <w:rFonts w:eastAsia="Times New Roman" w:cstheme="minorHAnsi"/>
        </w:rPr>
        <w:t xml:space="preserve">S. (2019). </w:t>
      </w:r>
      <w:r w:rsidRPr="003C7398">
        <w:rPr>
          <w:rFonts w:eastAsia="Times New Roman" w:cstheme="minorHAnsi"/>
          <w:i/>
          <w:iCs/>
        </w:rPr>
        <w:t>The Age of Surveillance Capitalism</w:t>
      </w:r>
      <w:r w:rsidRPr="003C7398">
        <w:rPr>
          <w:rFonts w:eastAsia="Times New Roman" w:cstheme="minorHAnsi"/>
        </w:rPr>
        <w:t>. New York: PublicAffairs</w:t>
      </w:r>
    </w:p>
  </w:footnote>
  <w:footnote w:id="69">
    <w:p w:rsidR="00C62A14" w:rsidRPr="00C02C98" w:rsidRDefault="00C62A14" w:rsidP="0060194B">
      <w:pPr>
        <w:pStyle w:val="a6"/>
        <w:rPr>
          <w:rFonts w:cstheme="minorHAnsi"/>
          <w:rtl/>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Crouch, </w:t>
      </w:r>
      <w:r w:rsidRPr="00C02C98">
        <w:rPr>
          <w:rFonts w:eastAsia="Times New Roman" w:cstheme="minorHAnsi"/>
          <w:lang w:eastAsia="en-IL"/>
        </w:rPr>
        <w:t xml:space="preserve">C. (2011) </w:t>
      </w:r>
      <w:r w:rsidRPr="00C02C98">
        <w:rPr>
          <w:rFonts w:eastAsia="Times New Roman" w:cstheme="minorHAnsi"/>
          <w:i/>
          <w:iCs/>
          <w:lang w:eastAsia="en-IL"/>
        </w:rPr>
        <w:t>The Strange Non-Death of Neoliberalism</w:t>
      </w:r>
      <w:r w:rsidRPr="00C02C98">
        <w:rPr>
          <w:rFonts w:eastAsia="Times New Roman" w:cstheme="minorHAnsi"/>
          <w:lang w:eastAsia="en-IL"/>
        </w:rPr>
        <w:t>. Cambridge: Polity Press</w:t>
      </w:r>
    </w:p>
  </w:footnote>
  <w:footnote w:id="70">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Strange, </w:t>
      </w:r>
      <w:r w:rsidRPr="00C02C98">
        <w:rPr>
          <w:rFonts w:eastAsia="Times New Roman" w:cstheme="minorHAnsi"/>
          <w:lang w:eastAsia="en-IL"/>
        </w:rPr>
        <w:t xml:space="preserve">S. (1996). </w:t>
      </w:r>
      <w:r w:rsidRPr="00C02C98">
        <w:rPr>
          <w:rFonts w:eastAsia="Times New Roman" w:cstheme="minorHAnsi"/>
          <w:i/>
          <w:iCs/>
          <w:lang w:eastAsia="en-IL"/>
        </w:rPr>
        <w:t>The Retreat of the State: The Diffusion of Power in the World Economy</w:t>
      </w:r>
      <w:r w:rsidRPr="00C02C98">
        <w:rPr>
          <w:rFonts w:eastAsia="Times New Roman" w:cstheme="minorHAnsi"/>
          <w:lang w:eastAsia="en-IL"/>
        </w:rPr>
        <w:t>. Cambridge: Cambridge University Press</w:t>
      </w:r>
    </w:p>
  </w:footnote>
  <w:footnote w:id="71">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Gill, </w:t>
      </w:r>
      <w:r w:rsidRPr="00C02C98">
        <w:rPr>
          <w:rFonts w:eastAsia="Times New Roman" w:cstheme="minorHAnsi"/>
          <w:lang w:eastAsia="en-IL"/>
        </w:rPr>
        <w:t xml:space="preserve">S. (1995). ‘Globalisation, Market Civilisation, and Disciplinary Neoliberalism’, </w:t>
      </w:r>
      <w:r w:rsidRPr="00C02C98">
        <w:rPr>
          <w:rFonts w:eastAsia="Times New Roman" w:cstheme="minorHAnsi"/>
          <w:i/>
          <w:iCs/>
          <w:lang w:eastAsia="en-IL"/>
        </w:rPr>
        <w:t>Millennium: Journal of International Studies</w:t>
      </w:r>
      <w:r w:rsidRPr="00C02C98">
        <w:rPr>
          <w:rFonts w:eastAsia="Times New Roman" w:cstheme="minorHAnsi"/>
          <w:lang w:eastAsia="en-IL"/>
        </w:rPr>
        <w:t>, 24(3), pp. 399</w:t>
      </w:r>
      <w:r w:rsidRPr="00C02C98">
        <w:rPr>
          <w:rFonts w:eastAsia="Times New Roman" w:cstheme="minorHAnsi"/>
          <w:lang w:val="en-US" w:eastAsia="en-IL"/>
        </w:rPr>
        <w:t>-</w:t>
      </w:r>
      <w:r w:rsidRPr="00C02C98">
        <w:rPr>
          <w:rFonts w:eastAsia="Times New Roman" w:cstheme="minorHAnsi"/>
          <w:lang w:eastAsia="en-IL"/>
        </w:rPr>
        <w:t>423</w:t>
      </w:r>
    </w:p>
  </w:footnote>
  <w:footnote w:id="72">
    <w:p w:rsidR="00C62A14" w:rsidRPr="00C02C98" w:rsidRDefault="00C62A14" w:rsidP="0060194B">
      <w:pPr>
        <w:pStyle w:val="a6"/>
        <w:rPr>
          <w:rFonts w:cstheme="minorHAnsi"/>
          <w:lang w:val="en-US"/>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Gramsci, </w:t>
      </w:r>
      <w:r w:rsidRPr="00C02C98">
        <w:rPr>
          <w:rFonts w:eastAsia="Times New Roman" w:cstheme="minorHAnsi"/>
          <w:lang w:eastAsia="en-IL"/>
        </w:rPr>
        <w:t xml:space="preserve">A. (1971). </w:t>
      </w:r>
      <w:r w:rsidRPr="00C02C98">
        <w:rPr>
          <w:rFonts w:eastAsia="Times New Roman" w:cstheme="minorHAnsi"/>
          <w:i/>
          <w:iCs/>
          <w:lang w:eastAsia="en-IL"/>
        </w:rPr>
        <w:t>Selections from the Prison Notebooks</w:t>
      </w:r>
      <w:r w:rsidRPr="00C02C98">
        <w:rPr>
          <w:rFonts w:eastAsia="Times New Roman" w:cstheme="minorHAnsi"/>
          <w:lang w:eastAsia="en-IL"/>
        </w:rPr>
        <w:t>. London: Lawrence and Wishart</w:t>
      </w:r>
    </w:p>
  </w:footnote>
  <w:footnote w:id="73">
    <w:p w:rsidR="00C62A14" w:rsidRPr="00C02C98" w:rsidRDefault="00C62A14" w:rsidP="0060194B">
      <w:pPr>
        <w:pStyle w:val="a6"/>
        <w:rPr>
          <w:rFonts w:cstheme="minorHAnsi"/>
          <w:lang w:val="en-US"/>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Zuboff, </w:t>
      </w:r>
      <w:r w:rsidRPr="00C02C98">
        <w:rPr>
          <w:rFonts w:eastAsia="Times New Roman" w:cstheme="minorHAnsi"/>
          <w:lang w:eastAsia="en-IL"/>
        </w:rPr>
        <w:t xml:space="preserve">S. (2019). </w:t>
      </w:r>
      <w:r w:rsidRPr="00C02C98">
        <w:rPr>
          <w:rFonts w:eastAsia="Times New Roman" w:cstheme="minorHAnsi"/>
          <w:i/>
          <w:iCs/>
          <w:lang w:eastAsia="en-IL"/>
        </w:rPr>
        <w:t>The Age of Surveillance Capitalism: The Fight for a Human Future at the New Frontier of Power</w:t>
      </w:r>
      <w:r w:rsidRPr="00C02C98">
        <w:rPr>
          <w:rFonts w:eastAsia="Times New Roman" w:cstheme="minorHAnsi"/>
          <w:lang w:eastAsia="en-IL"/>
        </w:rPr>
        <w:t>. New York: PublicAffairs</w:t>
      </w:r>
    </w:p>
  </w:footnote>
  <w:footnote w:id="74">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Wallerstein, </w:t>
      </w:r>
      <w:r w:rsidRPr="00C02C98">
        <w:rPr>
          <w:rFonts w:eastAsia="Times New Roman" w:cstheme="minorHAnsi"/>
          <w:lang w:eastAsia="en-IL"/>
        </w:rPr>
        <w:t xml:space="preserve">I. (1974). </w:t>
      </w:r>
      <w:r w:rsidRPr="00C02C98">
        <w:rPr>
          <w:rFonts w:eastAsia="Times New Roman" w:cstheme="minorHAnsi"/>
          <w:i/>
          <w:iCs/>
          <w:lang w:eastAsia="en-IL"/>
        </w:rPr>
        <w:t>The Modern World-System I: Capitalist Agriculture and the Origins of the European World-Economy in the Sixteenth Century</w:t>
      </w:r>
      <w:r w:rsidRPr="00C02C98">
        <w:rPr>
          <w:rFonts w:eastAsia="Times New Roman" w:cstheme="minorHAnsi"/>
          <w:lang w:eastAsia="en-IL"/>
        </w:rPr>
        <w:t>. New York: Academic Press</w:t>
      </w:r>
    </w:p>
  </w:footnote>
  <w:footnote w:id="75">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Barney, </w:t>
      </w:r>
      <w:r w:rsidRPr="00C02C98">
        <w:rPr>
          <w:rFonts w:eastAsia="Times New Roman" w:cstheme="minorHAnsi"/>
          <w:lang w:eastAsia="en-IL"/>
        </w:rPr>
        <w:t xml:space="preserve">J. (1991) ‘Firm Resources and Sustained Competitive Advantage’, </w:t>
      </w:r>
      <w:r w:rsidRPr="00C02C98">
        <w:rPr>
          <w:rFonts w:eastAsia="Times New Roman" w:cstheme="minorHAnsi"/>
          <w:i/>
          <w:iCs/>
          <w:lang w:eastAsia="en-IL"/>
        </w:rPr>
        <w:t>Journal of Management</w:t>
      </w:r>
      <w:r w:rsidRPr="00C02C98">
        <w:rPr>
          <w:rFonts w:eastAsia="Times New Roman" w:cstheme="minorHAnsi"/>
          <w:lang w:eastAsia="en-IL"/>
        </w:rPr>
        <w:t>, 17(1), pp. 99</w:t>
      </w:r>
      <w:r w:rsidRPr="00C02C98">
        <w:rPr>
          <w:rFonts w:eastAsia="Times New Roman" w:cstheme="minorHAnsi"/>
          <w:lang w:val="en-US" w:eastAsia="en-IL"/>
        </w:rPr>
        <w:t>-</w:t>
      </w:r>
      <w:r w:rsidRPr="00C02C98">
        <w:rPr>
          <w:rFonts w:eastAsia="Times New Roman" w:cstheme="minorHAnsi"/>
          <w:lang w:eastAsia="en-IL"/>
        </w:rPr>
        <w:t>120</w:t>
      </w:r>
    </w:p>
  </w:footnote>
  <w:footnote w:id="76">
    <w:p w:rsidR="00C62A14" w:rsidRPr="00C02C98" w:rsidRDefault="00C62A14" w:rsidP="0060194B">
      <w:pPr>
        <w:pStyle w:val="a6"/>
        <w:rPr>
          <w:rFonts w:cstheme="minorHAnsi"/>
          <w:rtl/>
        </w:rPr>
      </w:pPr>
      <w:r w:rsidRPr="00C02C98">
        <w:rPr>
          <w:rStyle w:val="a8"/>
          <w:rFonts w:cstheme="minorHAnsi"/>
        </w:rPr>
        <w:footnoteRef/>
      </w:r>
      <w:r w:rsidRPr="00C02C98">
        <w:rPr>
          <w:rFonts w:cstheme="minorHAnsi"/>
        </w:rPr>
        <w:t xml:space="preserve"> </w:t>
      </w:r>
      <w:r w:rsidRPr="00C02C98">
        <w:rPr>
          <w:rFonts w:cstheme="minorHAnsi"/>
        </w:rPr>
        <w:t xml:space="preserve">Grant, </w:t>
      </w:r>
      <w:r w:rsidRPr="00C02C98">
        <w:rPr>
          <w:rFonts w:cstheme="minorHAnsi"/>
        </w:rPr>
        <w:t xml:space="preserve">R. M. (1996). Toward a knowledge‐based theory of the firm. </w:t>
      </w:r>
      <w:r w:rsidRPr="00C02C98">
        <w:rPr>
          <w:rStyle w:val="a5"/>
          <w:rFonts w:cstheme="minorHAnsi"/>
        </w:rPr>
        <w:t>Strategic Management Journal, 17</w:t>
      </w:r>
      <w:r w:rsidRPr="00C02C98">
        <w:rPr>
          <w:rFonts w:cstheme="minorHAnsi"/>
        </w:rPr>
        <w:t>(S2), 109</w:t>
      </w:r>
      <w:r w:rsidRPr="00C02C98">
        <w:rPr>
          <w:rFonts w:cstheme="minorHAnsi"/>
          <w:lang w:val="en-US"/>
        </w:rPr>
        <w:t>-</w:t>
      </w:r>
      <w:r w:rsidRPr="00C02C98">
        <w:rPr>
          <w:rFonts w:cstheme="minorHAnsi"/>
        </w:rPr>
        <w:t>122</w:t>
      </w:r>
    </w:p>
  </w:footnote>
  <w:footnote w:id="77">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Teece, </w:t>
      </w:r>
      <w:r w:rsidRPr="00C02C98">
        <w:rPr>
          <w:rFonts w:cstheme="minorHAnsi"/>
        </w:rPr>
        <w:t>D. J., Pisano, G., &amp; Shuen, A. (1997). Dynamic capabilities and strategic management.</w:t>
      </w:r>
    </w:p>
  </w:footnote>
  <w:footnote w:id="78">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Freeman, </w:t>
      </w:r>
      <w:r w:rsidRPr="00C02C98">
        <w:rPr>
          <w:rFonts w:eastAsia="Times New Roman" w:cstheme="minorHAnsi"/>
          <w:lang w:eastAsia="en-IL"/>
        </w:rPr>
        <w:t xml:space="preserve">R.E. (1984) </w:t>
      </w:r>
      <w:r w:rsidRPr="00C02C98">
        <w:rPr>
          <w:rFonts w:eastAsia="Times New Roman" w:cstheme="minorHAnsi"/>
          <w:i/>
          <w:iCs/>
          <w:lang w:eastAsia="en-IL"/>
        </w:rPr>
        <w:t>Strategic Management: A Stakeholder Approach</w:t>
      </w:r>
      <w:r w:rsidRPr="00C02C98">
        <w:rPr>
          <w:rFonts w:eastAsia="Times New Roman" w:cstheme="minorHAnsi"/>
          <w:lang w:eastAsia="en-IL"/>
        </w:rPr>
        <w:t>. Boston: Pitman</w:t>
      </w:r>
    </w:p>
  </w:footnote>
  <w:footnote w:id="79">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Suchman, </w:t>
      </w:r>
      <w:r w:rsidRPr="00C02C98">
        <w:rPr>
          <w:rFonts w:cstheme="minorHAnsi"/>
        </w:rPr>
        <w:t xml:space="preserve">M. C. (1995). Managing legitimacy: Strategic and institutional approaches. </w:t>
      </w:r>
      <w:r w:rsidRPr="00C02C98">
        <w:rPr>
          <w:rStyle w:val="a5"/>
          <w:rFonts w:cstheme="minorHAnsi"/>
        </w:rPr>
        <w:t>Academy of Management Review, 20</w:t>
      </w:r>
      <w:r w:rsidRPr="00C02C98">
        <w:rPr>
          <w:rFonts w:cstheme="minorHAnsi"/>
        </w:rPr>
        <w:t>(3), 571</w:t>
      </w:r>
      <w:r w:rsidRPr="00C02C98">
        <w:rPr>
          <w:rFonts w:cstheme="minorHAnsi"/>
          <w:lang w:val="en-US"/>
        </w:rPr>
        <w:t>-</w:t>
      </w:r>
      <w:r w:rsidRPr="00C02C98">
        <w:rPr>
          <w:rFonts w:cstheme="minorHAnsi"/>
        </w:rPr>
        <w:t>610</w:t>
      </w:r>
    </w:p>
  </w:footnote>
  <w:footnote w:id="80">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Mitchell, </w:t>
      </w:r>
      <w:r w:rsidRPr="00C02C98">
        <w:rPr>
          <w:rFonts w:cstheme="minorHAnsi"/>
        </w:rPr>
        <w:t xml:space="preserve">R. K., Agle, B. R., &amp; Wood, D. J. (1997). Toward a theory of stakeholder identification and salience. </w:t>
      </w:r>
      <w:r w:rsidRPr="00C02C98">
        <w:rPr>
          <w:rStyle w:val="a5"/>
          <w:rFonts w:cstheme="minorHAnsi"/>
        </w:rPr>
        <w:t>Academy of Management Review, 22</w:t>
      </w:r>
      <w:r w:rsidRPr="00C02C98">
        <w:rPr>
          <w:rFonts w:cstheme="minorHAnsi"/>
        </w:rPr>
        <w:t>(4), 853</w:t>
      </w:r>
      <w:r w:rsidRPr="00C02C98">
        <w:rPr>
          <w:rFonts w:cstheme="minorHAnsi"/>
          <w:lang w:val="en-US"/>
        </w:rPr>
        <w:t>-</w:t>
      </w:r>
      <w:r w:rsidRPr="00C02C98">
        <w:rPr>
          <w:rFonts w:cstheme="minorHAnsi"/>
        </w:rPr>
        <w:t>886</w:t>
      </w:r>
    </w:p>
  </w:footnote>
  <w:footnote w:id="81">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Scherer, </w:t>
      </w:r>
      <w:r w:rsidRPr="00C02C98">
        <w:rPr>
          <w:rFonts w:cstheme="minorHAnsi"/>
        </w:rPr>
        <w:t xml:space="preserve">A. G., &amp; Palazzo, G. (2011). The new political role of business in a globalized world: A review of a new perspective on CSR and its implications. </w:t>
      </w:r>
      <w:r w:rsidRPr="00C02C98">
        <w:rPr>
          <w:rStyle w:val="a5"/>
          <w:rFonts w:cstheme="minorHAnsi"/>
        </w:rPr>
        <w:t>Journal of Management Studies, 48</w:t>
      </w:r>
      <w:r w:rsidRPr="00C02C98">
        <w:rPr>
          <w:rFonts w:cstheme="minorHAnsi"/>
        </w:rPr>
        <w:t>(4), 899</w:t>
      </w:r>
      <w:r w:rsidRPr="00C02C98">
        <w:rPr>
          <w:rFonts w:cstheme="minorHAnsi"/>
          <w:lang w:val="en-US"/>
        </w:rPr>
        <w:t>-</w:t>
      </w:r>
      <w:r w:rsidRPr="00C02C98">
        <w:rPr>
          <w:rFonts w:cstheme="minorHAnsi"/>
        </w:rPr>
        <w:t>931</w:t>
      </w:r>
    </w:p>
  </w:footnote>
  <w:footnote w:id="82">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DiMaggio, </w:t>
      </w:r>
      <w:r w:rsidRPr="00C02C98">
        <w:rPr>
          <w:rFonts w:cstheme="minorHAnsi"/>
        </w:rPr>
        <w:t xml:space="preserve">P. J. (1988). Interest and agency in institutional theory. In L. G. Zucker (Ed.), </w:t>
      </w:r>
      <w:r w:rsidRPr="00C02C98">
        <w:rPr>
          <w:rStyle w:val="a5"/>
          <w:rFonts w:cstheme="minorHAnsi"/>
        </w:rPr>
        <w:t>Institutional patterns and organizations: Culture and environment</w:t>
      </w:r>
      <w:r w:rsidRPr="00C02C98">
        <w:rPr>
          <w:rFonts w:cstheme="minorHAnsi"/>
        </w:rPr>
        <w:t xml:space="preserve"> (pp. 3</w:t>
      </w:r>
      <w:r w:rsidRPr="00C02C98">
        <w:rPr>
          <w:rFonts w:cstheme="minorHAnsi"/>
          <w:lang w:val="en-US"/>
        </w:rPr>
        <w:t>-</w:t>
      </w:r>
      <w:r w:rsidRPr="00C02C98">
        <w:rPr>
          <w:rFonts w:cstheme="minorHAnsi"/>
        </w:rPr>
        <w:t xml:space="preserve">21). Cambridge, MA: Ballinger. Maguire, S., Hardy, C., &amp; Lawrence, T. B. (2004). Institutional entrepreneurship in emerging fields: HIV/AIDS treatment advocacy in Canada. </w:t>
      </w:r>
      <w:r w:rsidRPr="00C02C98">
        <w:rPr>
          <w:rStyle w:val="a5"/>
          <w:rFonts w:cstheme="minorHAnsi"/>
        </w:rPr>
        <w:t>Academy of Management Journal, 47</w:t>
      </w:r>
      <w:r w:rsidRPr="00C02C98">
        <w:rPr>
          <w:rFonts w:cstheme="minorHAnsi"/>
        </w:rPr>
        <w:t>(5), 657</w:t>
      </w:r>
      <w:r>
        <w:rPr>
          <w:rFonts w:cstheme="minorHAnsi"/>
          <w:lang w:val="en-US"/>
        </w:rPr>
        <w:t>-</w:t>
      </w:r>
      <w:r w:rsidRPr="00C02C98">
        <w:rPr>
          <w:rFonts w:cstheme="minorHAnsi"/>
        </w:rPr>
        <w:t>679</w:t>
      </w:r>
    </w:p>
  </w:footnote>
  <w:footnote w:id="83">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Gawer, </w:t>
      </w:r>
      <w:r w:rsidRPr="00C02C98">
        <w:rPr>
          <w:rFonts w:cstheme="minorHAnsi"/>
        </w:rPr>
        <w:t xml:space="preserve">A., &amp; Cusumano, M. A. (2008). How companies become platform leaders. </w:t>
      </w:r>
      <w:r w:rsidRPr="00C02C98">
        <w:rPr>
          <w:rStyle w:val="a5"/>
          <w:rFonts w:cstheme="minorHAnsi"/>
        </w:rPr>
        <w:t>MIT Sloan Management Review, 49</w:t>
      </w:r>
      <w:r w:rsidRPr="00C02C98">
        <w:rPr>
          <w:rFonts w:cstheme="minorHAnsi"/>
        </w:rPr>
        <w:t>(2), 28</w:t>
      </w:r>
      <w:r w:rsidRPr="00C02C98">
        <w:rPr>
          <w:rFonts w:cstheme="minorHAnsi"/>
          <w:lang w:val="en-US"/>
        </w:rPr>
        <w:t>-</w:t>
      </w:r>
      <w:r w:rsidRPr="00C02C98">
        <w:rPr>
          <w:rFonts w:cstheme="minorHAnsi"/>
        </w:rPr>
        <w:t>35</w:t>
      </w:r>
    </w:p>
  </w:footnote>
  <w:footnote w:id="84">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Barney, </w:t>
      </w:r>
      <w:r w:rsidRPr="00C02C98">
        <w:rPr>
          <w:rFonts w:cstheme="minorHAnsi"/>
        </w:rPr>
        <w:t xml:space="preserve">J. (1991). Firm resources and sustained competitive advantage. </w:t>
      </w:r>
      <w:r w:rsidRPr="00C02C98">
        <w:rPr>
          <w:rStyle w:val="a5"/>
          <w:rFonts w:cstheme="minorHAnsi"/>
        </w:rPr>
        <w:t>Journal of Management, 17</w:t>
      </w:r>
      <w:r w:rsidRPr="00C02C98">
        <w:rPr>
          <w:rFonts w:cstheme="minorHAnsi"/>
        </w:rPr>
        <w:t>(1), 99</w:t>
      </w:r>
      <w:r w:rsidRPr="00C02C98">
        <w:rPr>
          <w:rFonts w:cstheme="minorHAnsi"/>
          <w:lang w:val="en-US"/>
        </w:rPr>
        <w:t>-</w:t>
      </w:r>
      <w:r w:rsidRPr="00C02C98">
        <w:rPr>
          <w:rFonts w:cstheme="minorHAnsi"/>
        </w:rPr>
        <w:t>120</w:t>
      </w:r>
    </w:p>
  </w:footnote>
  <w:footnote w:id="85">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Strange, </w:t>
      </w:r>
      <w:r w:rsidRPr="00C02C98">
        <w:rPr>
          <w:rFonts w:eastAsia="Times New Roman" w:cstheme="minorHAnsi"/>
          <w:lang w:eastAsia="en-IL"/>
        </w:rPr>
        <w:t xml:space="preserve">S. (1996) </w:t>
      </w:r>
      <w:r w:rsidRPr="00C02C98">
        <w:rPr>
          <w:rFonts w:eastAsia="Times New Roman" w:cstheme="minorHAnsi"/>
          <w:i/>
          <w:iCs/>
          <w:lang w:eastAsia="en-IL"/>
        </w:rPr>
        <w:t>The Retreat of the State: The Diffusion of Power in the World Economy</w:t>
      </w:r>
      <w:r w:rsidRPr="00C02C98">
        <w:rPr>
          <w:rFonts w:eastAsia="Times New Roman" w:cstheme="minorHAnsi"/>
          <w:lang w:eastAsia="en-IL"/>
        </w:rPr>
        <w:t>. Cambridge: Cambridge University Press</w:t>
      </w:r>
    </w:p>
  </w:footnote>
  <w:footnote w:id="86">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Wallerstein, </w:t>
      </w:r>
      <w:r w:rsidRPr="00C02C98">
        <w:rPr>
          <w:rFonts w:eastAsia="Times New Roman" w:cstheme="minorHAnsi"/>
          <w:lang w:eastAsia="en-IL"/>
        </w:rPr>
        <w:t xml:space="preserve">I. (1974). </w:t>
      </w:r>
      <w:r w:rsidRPr="00C02C98">
        <w:rPr>
          <w:rFonts w:eastAsia="Times New Roman" w:cstheme="minorHAnsi"/>
          <w:i/>
          <w:iCs/>
          <w:lang w:eastAsia="en-IL"/>
        </w:rPr>
        <w:t>The Modern World-System I: Capitalist Agriculture and the Origins of the European World-Economy in the Sixteenth Century</w:t>
      </w:r>
      <w:r w:rsidRPr="00C02C98">
        <w:rPr>
          <w:rFonts w:eastAsia="Times New Roman" w:cstheme="minorHAnsi"/>
          <w:lang w:eastAsia="en-IL"/>
        </w:rPr>
        <w:t>. New York: Academic Press</w:t>
      </w:r>
    </w:p>
  </w:footnote>
  <w:footnote w:id="87">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Hall, </w:t>
      </w:r>
      <w:r w:rsidRPr="00C02C98">
        <w:rPr>
          <w:rFonts w:cstheme="minorHAnsi"/>
        </w:rPr>
        <w:t xml:space="preserve">R.B. and Biersteker, T.J. (2002) </w:t>
      </w:r>
      <w:r w:rsidRPr="00C02C98">
        <w:rPr>
          <w:rStyle w:val="a5"/>
          <w:rFonts w:cstheme="minorHAnsi"/>
        </w:rPr>
        <w:t>The Emergence of Private Authority in Global Governance</w:t>
      </w:r>
      <w:r w:rsidRPr="00C02C98">
        <w:rPr>
          <w:rFonts w:cstheme="minorHAnsi"/>
        </w:rPr>
        <w:t>. Cambridge: Cambridge University Press</w:t>
      </w:r>
    </w:p>
  </w:footnote>
  <w:footnote w:id="88">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Edelman, </w:t>
      </w:r>
      <w:r w:rsidRPr="00C02C98">
        <w:rPr>
          <w:rFonts w:eastAsia="Times New Roman" w:cstheme="minorHAnsi"/>
          <w:lang w:eastAsia="en-IL"/>
        </w:rPr>
        <w:t xml:space="preserve">L.B. (1992). ‘Legal Ambiguity and Symbolic Structures: Organizational Mediation of Civil Rights Law’, </w:t>
      </w:r>
      <w:r w:rsidRPr="00C02C98">
        <w:rPr>
          <w:rFonts w:eastAsia="Times New Roman" w:cstheme="minorHAnsi"/>
          <w:i/>
          <w:iCs/>
          <w:lang w:eastAsia="en-IL"/>
        </w:rPr>
        <w:t>American Journal of Sociology</w:t>
      </w:r>
      <w:r w:rsidRPr="00C02C98">
        <w:rPr>
          <w:rFonts w:eastAsia="Times New Roman" w:cstheme="minorHAnsi"/>
          <w:lang w:eastAsia="en-IL"/>
        </w:rPr>
        <w:t>, 97(6), pp. 1531</w:t>
      </w:r>
      <w:r w:rsidRPr="00C02C98">
        <w:rPr>
          <w:rFonts w:eastAsia="Times New Roman" w:cstheme="minorHAnsi"/>
          <w:lang w:val="en-US" w:eastAsia="en-IL"/>
        </w:rPr>
        <w:t>-</w:t>
      </w:r>
      <w:r w:rsidRPr="00C02C98">
        <w:rPr>
          <w:rFonts w:eastAsia="Times New Roman" w:cstheme="minorHAnsi"/>
          <w:lang w:eastAsia="en-IL"/>
        </w:rPr>
        <w:t>1576</w:t>
      </w:r>
    </w:p>
  </w:footnote>
  <w:footnote w:id="89">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Lessig, </w:t>
      </w:r>
      <w:r w:rsidRPr="00C02C98">
        <w:rPr>
          <w:rFonts w:eastAsia="Times New Roman" w:cstheme="minorHAnsi"/>
          <w:lang w:eastAsia="en-IL"/>
        </w:rPr>
        <w:t xml:space="preserve">L. (2006) </w:t>
      </w:r>
      <w:r w:rsidRPr="00C02C98">
        <w:rPr>
          <w:rFonts w:eastAsia="Times New Roman" w:cstheme="minorHAnsi"/>
          <w:i/>
          <w:iCs/>
          <w:lang w:eastAsia="en-IL"/>
        </w:rPr>
        <w:t>Code: And Other Laws of Cyberspace, Version 2.0</w:t>
      </w:r>
      <w:r w:rsidRPr="00C02C98">
        <w:rPr>
          <w:rFonts w:eastAsia="Times New Roman" w:cstheme="minorHAnsi"/>
          <w:lang w:eastAsia="en-IL"/>
        </w:rPr>
        <w:t>. New York: Basic Books</w:t>
      </w:r>
    </w:p>
  </w:footnote>
  <w:footnote w:id="90">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eastAsia="Times New Roman" w:cstheme="minorHAnsi"/>
          <w:lang w:eastAsia="en-IL"/>
        </w:rPr>
        <w:t xml:space="preserve">Gillespie, </w:t>
      </w:r>
      <w:r w:rsidRPr="00C02C98">
        <w:rPr>
          <w:rFonts w:eastAsia="Times New Roman" w:cstheme="minorHAnsi"/>
          <w:lang w:eastAsia="en-IL"/>
        </w:rPr>
        <w:t xml:space="preserve">T. (2018) </w:t>
      </w:r>
      <w:r w:rsidRPr="00C02C98">
        <w:rPr>
          <w:rFonts w:eastAsia="Times New Roman" w:cstheme="minorHAnsi"/>
          <w:i/>
          <w:iCs/>
          <w:lang w:eastAsia="en-IL"/>
        </w:rPr>
        <w:t>Custodians of the Internet: Platforms, Content Moderation, and the Hidden Decisions That Shape Social Media</w:t>
      </w:r>
      <w:r w:rsidRPr="00C02C98">
        <w:rPr>
          <w:rFonts w:eastAsia="Times New Roman" w:cstheme="minorHAnsi"/>
          <w:lang w:eastAsia="en-IL"/>
        </w:rPr>
        <w:t>. New Haven: Yale University Press</w:t>
      </w:r>
    </w:p>
  </w:footnote>
  <w:footnote w:id="91">
    <w:p w:rsidR="00C62A14" w:rsidRPr="00C02C98" w:rsidRDefault="00C62A14" w:rsidP="0060194B">
      <w:pPr>
        <w:pStyle w:val="NormalWeb"/>
        <w:rPr>
          <w:rFonts w:asciiTheme="minorHAnsi" w:hAnsiTheme="minorHAnsi" w:cstheme="minorHAnsi"/>
          <w:sz w:val="20"/>
          <w:szCs w:val="20"/>
        </w:rPr>
      </w:pPr>
      <w:r w:rsidRPr="00C02C98">
        <w:rPr>
          <w:rStyle w:val="a8"/>
          <w:rFonts w:asciiTheme="minorHAnsi" w:hAnsiTheme="minorHAnsi" w:cstheme="minorHAnsi"/>
          <w:sz w:val="20"/>
          <w:szCs w:val="20"/>
        </w:rPr>
        <w:footnoteRef/>
      </w:r>
      <w:r w:rsidRPr="00C02C98">
        <w:rPr>
          <w:rFonts w:asciiTheme="minorHAnsi" w:hAnsiTheme="minorHAnsi" w:cstheme="minorHAnsi"/>
          <w:sz w:val="20"/>
          <w:szCs w:val="20"/>
        </w:rPr>
        <w:t xml:space="preserve"> </w:t>
      </w:r>
      <w:proofErr w:type="spellStart"/>
      <w:r w:rsidRPr="00C02C98">
        <w:rPr>
          <w:rFonts w:asciiTheme="minorHAnsi" w:hAnsiTheme="minorHAnsi" w:cstheme="minorHAnsi"/>
          <w:sz w:val="20"/>
          <w:szCs w:val="20"/>
        </w:rPr>
        <w:t>Latour</w:t>
      </w:r>
      <w:proofErr w:type="spellEnd"/>
      <w:r w:rsidRPr="00C02C98">
        <w:rPr>
          <w:rFonts w:asciiTheme="minorHAnsi" w:hAnsiTheme="minorHAnsi" w:cstheme="minorHAnsi"/>
          <w:sz w:val="20"/>
          <w:szCs w:val="20"/>
        </w:rPr>
        <w:t xml:space="preserve">, B. (2005). </w:t>
      </w:r>
      <w:r w:rsidRPr="00C02C98">
        <w:rPr>
          <w:rFonts w:asciiTheme="minorHAnsi" w:hAnsiTheme="minorHAnsi" w:cstheme="minorHAnsi"/>
          <w:i/>
          <w:iCs/>
          <w:sz w:val="20"/>
          <w:szCs w:val="20"/>
        </w:rPr>
        <w:t>Reassembling the Social: An Introduction to Actor-Network-Theory</w:t>
      </w:r>
      <w:r w:rsidRPr="00C02C98">
        <w:rPr>
          <w:rFonts w:asciiTheme="minorHAnsi" w:hAnsiTheme="minorHAnsi" w:cstheme="minorHAnsi"/>
          <w:sz w:val="20"/>
          <w:szCs w:val="20"/>
        </w:rPr>
        <w:t>. Oxford: Oxford University Press.</w:t>
      </w:r>
    </w:p>
  </w:footnote>
  <w:footnote w:id="92">
    <w:p w:rsidR="00C62A14" w:rsidRPr="00C02C98" w:rsidRDefault="00C62A14" w:rsidP="0060194B">
      <w:pPr>
        <w:pStyle w:val="NormalWeb"/>
        <w:rPr>
          <w:rFonts w:asciiTheme="minorHAnsi" w:hAnsiTheme="minorHAnsi" w:cstheme="minorHAnsi"/>
          <w:sz w:val="20"/>
          <w:szCs w:val="20"/>
        </w:rPr>
      </w:pPr>
      <w:r w:rsidRPr="00C02C98">
        <w:rPr>
          <w:rStyle w:val="a8"/>
          <w:rFonts w:asciiTheme="minorHAnsi" w:hAnsiTheme="minorHAnsi" w:cstheme="minorHAnsi"/>
        </w:rPr>
        <w:footnoteRef/>
      </w:r>
      <w:r w:rsidRPr="00C02C98">
        <w:rPr>
          <w:rFonts w:asciiTheme="minorHAnsi" w:hAnsiTheme="minorHAnsi" w:cstheme="minorHAnsi"/>
        </w:rPr>
        <w:t xml:space="preserve"> </w:t>
      </w:r>
      <w:r w:rsidRPr="00C02C98">
        <w:rPr>
          <w:rFonts w:asciiTheme="minorHAnsi" w:hAnsiTheme="minorHAnsi" w:cstheme="minorHAnsi"/>
          <w:sz w:val="20"/>
          <w:szCs w:val="20"/>
        </w:rPr>
        <w:t xml:space="preserve">While this dissertation operationalizes Science and Technology Studies primarily through Actor-Network Theory (ANT), it is worth noting its conceptual proximity to related STS perspectives such as </w:t>
      </w:r>
      <w:proofErr w:type="spellStart"/>
      <w:r w:rsidRPr="00C02C98">
        <w:rPr>
          <w:rFonts w:asciiTheme="minorHAnsi" w:hAnsiTheme="minorHAnsi" w:cstheme="minorHAnsi"/>
          <w:sz w:val="20"/>
          <w:szCs w:val="20"/>
        </w:rPr>
        <w:t>Lessig’s</w:t>
      </w:r>
      <w:proofErr w:type="spellEnd"/>
      <w:r w:rsidRPr="00C02C98">
        <w:rPr>
          <w:rFonts w:asciiTheme="minorHAnsi" w:hAnsiTheme="minorHAnsi" w:cstheme="minorHAnsi"/>
          <w:sz w:val="20"/>
          <w:szCs w:val="20"/>
        </w:rPr>
        <w:t xml:space="preserve"> notion of </w:t>
      </w:r>
      <w:r w:rsidRPr="00C02C98">
        <w:rPr>
          <w:rStyle w:val="a5"/>
          <w:rFonts w:asciiTheme="minorHAnsi" w:eastAsiaTheme="majorEastAsia" w:hAnsiTheme="minorHAnsi" w:cstheme="minorHAnsi"/>
          <w:sz w:val="20"/>
          <w:szCs w:val="20"/>
        </w:rPr>
        <w:t>“code as law.”</w:t>
      </w:r>
      <w:r w:rsidRPr="00C02C98">
        <w:rPr>
          <w:rFonts w:asciiTheme="minorHAnsi" w:hAnsiTheme="minorHAnsi" w:cstheme="minorHAnsi"/>
          <w:sz w:val="20"/>
          <w:szCs w:val="20"/>
        </w:rPr>
        <w:t xml:space="preserve"> Both approaches emphasize the regulatory effects of technical architectures. However, ANT is adopted here as the principal analytical lens due to its superior capacity to trace distributed agency and socio-technical assemblages across organizational, infrastructural, and geopolitical contexts, rather than treating code as a fixed or deterministic regulatory mechanism.</w:t>
      </w:r>
    </w:p>
    <w:p w:rsidR="00C62A14" w:rsidRPr="00D87006" w:rsidRDefault="00C62A14" w:rsidP="0060194B">
      <w:pPr>
        <w:pStyle w:val="a6"/>
        <w:rPr>
          <w:rtl/>
        </w:rPr>
      </w:pPr>
    </w:p>
  </w:footnote>
  <w:footnote w:id="93">
    <w:p w:rsidR="00C62A14" w:rsidRPr="00C02C98" w:rsidRDefault="00C62A14" w:rsidP="0060194B">
      <w:pPr>
        <w:pStyle w:val="a6"/>
        <w:rPr>
          <w:rFonts w:cstheme="minorHAnsi"/>
        </w:rPr>
      </w:pPr>
      <w:r w:rsidRPr="00C02C98">
        <w:rPr>
          <w:rStyle w:val="a8"/>
          <w:rFonts w:cstheme="minorHAnsi"/>
        </w:rPr>
        <w:footnoteRef/>
      </w:r>
      <w:r w:rsidRPr="00C02C98">
        <w:rPr>
          <w:rFonts w:cstheme="minorHAnsi"/>
        </w:rPr>
        <w:t xml:space="preserve"> </w:t>
      </w:r>
      <w:r w:rsidRPr="00C02C98">
        <w:rPr>
          <w:rFonts w:cstheme="minorHAnsi"/>
        </w:rPr>
        <w:t xml:space="preserve">George, A.L. and Bennett, A. (2005) </w:t>
      </w:r>
      <w:r w:rsidRPr="00C02C98">
        <w:rPr>
          <w:rStyle w:val="a5"/>
          <w:rFonts w:cstheme="minorHAnsi"/>
        </w:rPr>
        <w:t>Case Studies and Theory Development in the Social Sciences</w:t>
      </w:r>
      <w:r w:rsidRPr="00C02C98">
        <w:rPr>
          <w:rFonts w:cstheme="minorHAnsi"/>
        </w:rPr>
        <w:t>. Cambridge, MA: MIT Press</w:t>
      </w:r>
    </w:p>
  </w:footnote>
  <w:footnote w:id="94">
    <w:p w:rsidR="00C62A14" w:rsidRPr="00707308" w:rsidRDefault="00C62A14" w:rsidP="0060194B">
      <w:pPr>
        <w:pStyle w:val="a6"/>
        <w:rPr>
          <w:rFonts w:cstheme="minorHAnsi"/>
        </w:rPr>
      </w:pPr>
      <w:r w:rsidRPr="00707308">
        <w:rPr>
          <w:rStyle w:val="a8"/>
          <w:rFonts w:cstheme="minorHAnsi"/>
        </w:rPr>
        <w:footnoteRef/>
      </w:r>
      <w:r w:rsidRPr="00707308">
        <w:rPr>
          <w:rFonts w:cstheme="minorHAnsi"/>
        </w:rPr>
        <w:t xml:space="preserve"> </w:t>
      </w:r>
      <w:r w:rsidRPr="00707308">
        <w:rPr>
          <w:rFonts w:cstheme="minorHAnsi"/>
        </w:rPr>
        <w:t xml:space="preserve">Guba, </w:t>
      </w:r>
      <w:r w:rsidRPr="00707308">
        <w:rPr>
          <w:rFonts w:cstheme="minorHAnsi"/>
        </w:rPr>
        <w:t>E. G. &amp; Lincoln, Y. S. (1994). Competing paradigms in qualitative research. In N. K. Denzin &amp; Y. S. Lincoln (Eds.), Handbook of Qualitative Research (pp. 105-117). Thousand Oaks, CA: Sage Publications</w:t>
      </w:r>
    </w:p>
  </w:footnote>
  <w:footnote w:id="95">
    <w:p w:rsidR="00C62A14" w:rsidRPr="00707308" w:rsidRDefault="00C62A14" w:rsidP="0060194B">
      <w:pPr>
        <w:pStyle w:val="a6"/>
        <w:rPr>
          <w:rFonts w:cstheme="minorHAnsi"/>
        </w:rPr>
      </w:pPr>
      <w:r w:rsidRPr="00707308">
        <w:rPr>
          <w:rStyle w:val="a8"/>
          <w:rFonts w:cstheme="minorHAnsi"/>
        </w:rPr>
        <w:footnoteRef/>
      </w:r>
      <w:r w:rsidRPr="00707308">
        <w:rPr>
          <w:rFonts w:cstheme="minorHAnsi"/>
        </w:rPr>
        <w:t xml:space="preserve"> </w:t>
      </w:r>
      <w:r w:rsidRPr="00707308">
        <w:rPr>
          <w:rFonts w:cstheme="minorHAnsi"/>
        </w:rPr>
        <w:t xml:space="preserve">Bowen, </w:t>
      </w:r>
      <w:r w:rsidRPr="00707308">
        <w:rPr>
          <w:rFonts w:cstheme="minorHAnsi"/>
        </w:rPr>
        <w:t>G. A. (2009). Document Analysis as a Qualitative Research Method. Qualitative Research Journal, 9(2), 27-40</w:t>
      </w:r>
    </w:p>
  </w:footnote>
  <w:footnote w:id="96">
    <w:p w:rsidR="00C62A14" w:rsidRPr="00707308" w:rsidRDefault="00C62A14" w:rsidP="0060194B">
      <w:pPr>
        <w:pStyle w:val="a6"/>
        <w:rPr>
          <w:rFonts w:cstheme="minorHAnsi"/>
        </w:rPr>
      </w:pPr>
      <w:r w:rsidRPr="00707308">
        <w:rPr>
          <w:rStyle w:val="a8"/>
          <w:rFonts w:cstheme="minorHAnsi"/>
        </w:rPr>
        <w:footnoteRef/>
      </w:r>
      <w:r w:rsidRPr="00707308">
        <w:rPr>
          <w:rFonts w:cstheme="minorHAnsi"/>
        </w:rPr>
        <w:t xml:space="preserve"> </w:t>
      </w:r>
      <w:r w:rsidRPr="00707308">
        <w:rPr>
          <w:rFonts w:cstheme="minorHAnsi"/>
        </w:rPr>
        <w:t xml:space="preserve">Yin, </w:t>
      </w:r>
      <w:r w:rsidRPr="00707308">
        <w:rPr>
          <w:rFonts w:cstheme="minorHAnsi"/>
        </w:rPr>
        <w:t>R. K. (2014). Case Study Research: Design and Methods (5th ed.). Thousand Oaks, CA: Sage Publications</w:t>
      </w:r>
    </w:p>
  </w:footnote>
  <w:footnote w:id="97">
    <w:p w:rsidR="00C62A14" w:rsidRPr="00707308" w:rsidRDefault="00C62A14" w:rsidP="0060194B">
      <w:pPr>
        <w:pStyle w:val="a6"/>
        <w:rPr>
          <w:rFonts w:cstheme="minorHAnsi"/>
        </w:rPr>
      </w:pPr>
      <w:r w:rsidRPr="00707308">
        <w:rPr>
          <w:rStyle w:val="a8"/>
          <w:rFonts w:cstheme="minorHAnsi"/>
        </w:rPr>
        <w:footnoteRef/>
      </w:r>
      <w:r w:rsidRPr="00707308">
        <w:rPr>
          <w:rFonts w:cstheme="minorHAnsi"/>
        </w:rPr>
        <w:t xml:space="preserve"> </w:t>
      </w:r>
      <w:r w:rsidRPr="00707308">
        <w:rPr>
          <w:rFonts w:cstheme="minorHAnsi"/>
        </w:rPr>
        <w:t xml:space="preserve">Yin, </w:t>
      </w:r>
      <w:r w:rsidRPr="00707308">
        <w:rPr>
          <w:rFonts w:cstheme="minorHAnsi"/>
        </w:rPr>
        <w:t>R. K. (2014). Case Study Research: Design and Methods (5th ed.). Thousand Oaks, CA: Sage Publications</w:t>
      </w:r>
    </w:p>
  </w:footnote>
  <w:footnote w:id="98">
    <w:p w:rsidR="00C62A14" w:rsidRPr="00707308" w:rsidRDefault="00C62A14" w:rsidP="0060194B">
      <w:pPr>
        <w:pStyle w:val="a6"/>
        <w:rPr>
          <w:rFonts w:cstheme="minorHAnsi"/>
        </w:rPr>
      </w:pPr>
      <w:r w:rsidRPr="00707308">
        <w:rPr>
          <w:rStyle w:val="a8"/>
          <w:rFonts w:cstheme="minorHAnsi"/>
        </w:rPr>
        <w:footnoteRef/>
      </w:r>
      <w:r w:rsidRPr="00707308">
        <w:rPr>
          <w:rFonts w:cstheme="minorHAnsi"/>
        </w:rPr>
        <w:t xml:space="preserve"> </w:t>
      </w:r>
      <w:r w:rsidRPr="00707308">
        <w:rPr>
          <w:rFonts w:cstheme="minorHAnsi"/>
        </w:rPr>
        <w:t xml:space="preserve">Stake, </w:t>
      </w:r>
      <w:r w:rsidRPr="00707308">
        <w:rPr>
          <w:rFonts w:cstheme="minorHAnsi"/>
        </w:rPr>
        <w:t>R. E. (1995). The Art of Case Study Research. Thousand Oaks, CA: Sage Publications</w:t>
      </w:r>
    </w:p>
  </w:footnote>
  <w:footnote w:id="99">
    <w:p w:rsidR="00C62A14" w:rsidRPr="00707308" w:rsidRDefault="00C62A14" w:rsidP="0060194B">
      <w:pPr>
        <w:pStyle w:val="a6"/>
      </w:pPr>
      <w:r>
        <w:rPr>
          <w:rStyle w:val="a8"/>
        </w:rPr>
        <w:footnoteRef/>
      </w:r>
      <w:r w:rsidRPr="00707308">
        <w:t xml:space="preserve"> </w:t>
      </w:r>
      <w:r w:rsidRPr="00707308">
        <w:rPr>
          <w:rFonts w:cstheme="minorHAnsi"/>
        </w:rPr>
        <w:t xml:space="preserve">George, </w:t>
      </w:r>
      <w:r w:rsidRPr="00707308">
        <w:rPr>
          <w:rFonts w:cstheme="minorHAnsi"/>
        </w:rPr>
        <w:t>A. L. &amp; Bennett, A. (2005). Case Studies and Theory Development in the Social Sciences. Cambridge, MA: MIT Press</w:t>
      </w:r>
    </w:p>
  </w:footnote>
  <w:footnote w:id="100">
    <w:p w:rsidR="00C62A14" w:rsidRPr="00707308" w:rsidRDefault="00C62A14" w:rsidP="0060194B">
      <w:pPr>
        <w:pStyle w:val="a6"/>
        <w:rPr>
          <w:rFonts w:cstheme="minorHAnsi"/>
        </w:rPr>
      </w:pPr>
      <w:r>
        <w:rPr>
          <w:rStyle w:val="a8"/>
        </w:rPr>
        <w:footnoteRef/>
      </w:r>
      <w:r>
        <w:t xml:space="preserve"> </w:t>
      </w:r>
      <w:r w:rsidRPr="00707308">
        <w:rPr>
          <w:rFonts w:cstheme="minorHAnsi"/>
        </w:rPr>
        <w:t xml:space="preserve">Bowen, </w:t>
      </w:r>
      <w:r w:rsidRPr="00707308">
        <w:rPr>
          <w:rFonts w:cstheme="minorHAnsi"/>
        </w:rPr>
        <w:t>G.A. (2009), Document Analysis as a Qualitative Research Method, Qualitative Research Journal, 9(2), pp.27</w:t>
      </w:r>
      <w:r w:rsidRPr="00707308">
        <w:rPr>
          <w:rFonts w:cstheme="minorHAnsi"/>
        </w:rPr>
        <w:noBreakHyphen/>
        <w:t>40</w:t>
      </w:r>
      <w:r>
        <w:rPr>
          <w:rFonts w:cstheme="minorHAnsi"/>
        </w:rPr>
        <w:t xml:space="preserve">; </w:t>
      </w:r>
    </w:p>
  </w:footnote>
  <w:footnote w:id="101">
    <w:p w:rsidR="00C62A14" w:rsidRDefault="00C62A14" w:rsidP="0060194B">
      <w:pPr>
        <w:pStyle w:val="a6"/>
      </w:pPr>
      <w:r>
        <w:rPr>
          <w:rStyle w:val="a8"/>
        </w:rPr>
        <w:footnoteRef/>
      </w:r>
      <w:r>
        <w:t xml:space="preserve"> </w:t>
      </w:r>
      <w:r w:rsidRPr="00707308">
        <w:rPr>
          <w:rFonts w:cstheme="minorHAnsi"/>
        </w:rPr>
        <w:t>Stewart, L. (2025), 'Document Analysis – How to Analyze Text Data for Research', ATLAS.ti Research Hub</w:t>
      </w:r>
    </w:p>
  </w:footnote>
  <w:footnote w:id="102">
    <w:p w:rsidR="00C62A14" w:rsidRDefault="00C62A14" w:rsidP="0060194B">
      <w:pPr>
        <w:pStyle w:val="a6"/>
      </w:pPr>
      <w:r>
        <w:rPr>
          <w:rStyle w:val="a8"/>
        </w:rPr>
        <w:footnoteRef/>
      </w:r>
      <w:r>
        <w:t xml:space="preserve"> </w:t>
      </w:r>
      <w:r w:rsidRPr="003A5B06">
        <w:rPr>
          <w:rFonts w:cstheme="minorHAnsi"/>
        </w:rPr>
        <w:t xml:space="preserve">Morgan, </w:t>
      </w:r>
      <w:r w:rsidRPr="003A5B06">
        <w:rPr>
          <w:rFonts w:cstheme="minorHAnsi"/>
        </w:rPr>
        <w:t>H. (2022), ‘Conducting a Qualitative Document Analysis’, The Qualitative Report, Jan 2022</w:t>
      </w:r>
    </w:p>
  </w:footnote>
  <w:footnote w:id="103">
    <w:p w:rsidR="00C62A14" w:rsidRDefault="00C62A14" w:rsidP="0060194B">
      <w:pPr>
        <w:pStyle w:val="a6"/>
      </w:pPr>
      <w:r>
        <w:rPr>
          <w:rStyle w:val="a8"/>
        </w:rPr>
        <w:footnoteRef/>
      </w:r>
      <w:r>
        <w:t xml:space="preserve"> </w:t>
      </w:r>
      <w:r w:rsidRPr="003A5B06">
        <w:rPr>
          <w:rFonts w:cstheme="minorHAnsi"/>
        </w:rPr>
        <w:t xml:space="preserve">O’Leary, </w:t>
      </w:r>
      <w:r w:rsidRPr="003A5B06">
        <w:rPr>
          <w:rFonts w:cstheme="minorHAnsi"/>
        </w:rPr>
        <w:t>Z. (2014), The Essential Guide to Doing Your Research Project, 2nd edn, SAGE, Thousand Oaks, CA</w:t>
      </w:r>
    </w:p>
  </w:footnote>
  <w:footnote w:id="104">
    <w:p w:rsidR="00C62A14" w:rsidRPr="003A5B06" w:rsidRDefault="00C62A14" w:rsidP="0060194B">
      <w:pPr>
        <w:pStyle w:val="NormalWeb"/>
        <w:rPr>
          <w:rFonts w:asciiTheme="minorHAnsi" w:hAnsiTheme="minorHAnsi" w:cstheme="minorHAnsi"/>
          <w:sz w:val="20"/>
          <w:szCs w:val="20"/>
          <w:rtl/>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Insight7 (2024), ‘Effective Document Analysis as a Qualitative Research Method’, Insight7 Research Hub.</w:t>
      </w:r>
    </w:p>
  </w:footnote>
  <w:footnote w:id="105">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Huawei White Paper</w:t>
      </w:r>
      <w:r w:rsidRPr="003A5B06">
        <w:rPr>
          <w:rStyle w:val="relative"/>
          <w:rFonts w:cstheme="minorHAnsi"/>
        </w:rPr>
        <w:t xml:space="preserve"> (2021) </w:t>
      </w:r>
      <w:r w:rsidRPr="003A5B06">
        <w:rPr>
          <w:rStyle w:val="a5"/>
          <w:rFonts w:cstheme="minorHAnsi"/>
        </w:rPr>
        <w:t>Innovation and Intellectual Property 2020</w:t>
      </w:r>
    </w:p>
  </w:footnote>
  <w:footnote w:id="106">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rPr>
        <w:footnoteRef/>
      </w:r>
      <w:r w:rsidRPr="003A5B06">
        <w:rPr>
          <w:rFonts w:asciiTheme="minorHAnsi" w:hAnsiTheme="minorHAnsi" w:cstheme="minorHAnsi"/>
        </w:rPr>
        <w:t xml:space="preserve"> </w:t>
      </w:r>
      <w:proofErr w:type="spellStart"/>
      <w:r w:rsidRPr="003A5B06">
        <w:rPr>
          <w:rFonts w:asciiTheme="minorHAnsi" w:hAnsiTheme="minorHAnsi" w:cstheme="minorHAnsi"/>
          <w:sz w:val="20"/>
          <w:szCs w:val="20"/>
        </w:rPr>
        <w:t>Nowell</w:t>
      </w:r>
      <w:proofErr w:type="spellEnd"/>
      <w:r w:rsidRPr="003A5B06">
        <w:rPr>
          <w:rFonts w:asciiTheme="minorHAnsi" w:hAnsiTheme="minorHAnsi" w:cstheme="minorHAnsi"/>
          <w:sz w:val="20"/>
          <w:szCs w:val="20"/>
        </w:rPr>
        <w:t xml:space="preserve">, L.S., Norris, J.M., White, D.E. and </w:t>
      </w:r>
      <w:proofErr w:type="spellStart"/>
      <w:r w:rsidRPr="003A5B06">
        <w:rPr>
          <w:rFonts w:asciiTheme="minorHAnsi" w:hAnsiTheme="minorHAnsi" w:cstheme="minorHAnsi"/>
          <w:sz w:val="20"/>
          <w:szCs w:val="20"/>
        </w:rPr>
        <w:t>Moules</w:t>
      </w:r>
      <w:proofErr w:type="spellEnd"/>
      <w:r w:rsidRPr="003A5B06">
        <w:rPr>
          <w:rFonts w:asciiTheme="minorHAnsi" w:hAnsiTheme="minorHAnsi" w:cstheme="minorHAnsi"/>
          <w:sz w:val="20"/>
          <w:szCs w:val="20"/>
        </w:rPr>
        <w:t xml:space="preserve">, N.J. (2017), ‘Thematic Analysis: Striving to Meet the Trustworthiness Criteria’, </w:t>
      </w:r>
      <w:r w:rsidRPr="003A5B06">
        <w:rPr>
          <w:rFonts w:asciiTheme="minorHAnsi" w:hAnsiTheme="minorHAnsi" w:cstheme="minorHAnsi"/>
          <w:i/>
          <w:iCs/>
          <w:sz w:val="20"/>
          <w:szCs w:val="20"/>
        </w:rPr>
        <w:t>International Journal of Qualitative Methods</w:t>
      </w:r>
      <w:r w:rsidRPr="003A5B06">
        <w:rPr>
          <w:rFonts w:asciiTheme="minorHAnsi" w:hAnsiTheme="minorHAnsi" w:cstheme="minorHAnsi"/>
          <w:sz w:val="20"/>
          <w:szCs w:val="20"/>
        </w:rPr>
        <w:t>.</w:t>
      </w:r>
    </w:p>
    <w:p w:rsidR="00C62A14" w:rsidRDefault="00C62A14" w:rsidP="0060194B">
      <w:pPr>
        <w:pStyle w:val="a6"/>
        <w:rPr>
          <w:rtl/>
        </w:rPr>
      </w:pPr>
    </w:p>
  </w:footnote>
  <w:footnote w:id="107">
    <w:p w:rsidR="00C62A14" w:rsidRPr="003A5B06" w:rsidRDefault="00C62A14" w:rsidP="0060194B">
      <w:pPr>
        <w:pStyle w:val="a6"/>
        <w:rPr>
          <w:rFonts w:cstheme="minorHAnsi"/>
          <w:rtl/>
        </w:rPr>
      </w:pPr>
      <w:r w:rsidRPr="003A5B06">
        <w:rPr>
          <w:rStyle w:val="a8"/>
          <w:rFonts w:cstheme="minorHAnsi"/>
        </w:rPr>
        <w:footnoteRef/>
      </w:r>
      <w:r w:rsidRPr="003A5B06">
        <w:rPr>
          <w:rFonts w:cstheme="minorHAnsi"/>
        </w:rPr>
        <w:t xml:space="preserve"> </w:t>
      </w:r>
      <w:r w:rsidRPr="003A5B06">
        <w:rPr>
          <w:rFonts w:cstheme="minorHAnsi"/>
        </w:rPr>
        <w:t>Douek, E. (2019). The Rise of Content Cartels. Columbia Law Review, 119(7), 1195-1264</w:t>
      </w:r>
    </w:p>
  </w:footnote>
  <w:footnote w:id="108">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Los </w:t>
      </w:r>
      <w:r w:rsidRPr="00ED5A0F">
        <w:rPr>
          <w:rStyle w:val="a4"/>
          <w:rFonts w:cstheme="minorHAnsi"/>
          <w:b w:val="0"/>
          <w:bCs w:val="0"/>
        </w:rPr>
        <w:t>Angeles Times (2025)</w:t>
      </w:r>
      <w:r w:rsidRPr="00ED5A0F">
        <w:rPr>
          <w:rFonts w:cstheme="minorHAnsi"/>
          <w:b/>
          <w:bCs/>
        </w:rPr>
        <w:t>,</w:t>
      </w:r>
      <w:r w:rsidRPr="003A5B06">
        <w:rPr>
          <w:rFonts w:cstheme="minorHAnsi"/>
        </w:rPr>
        <w:t xml:space="preserve"> ‘Meta says it plans to build the world’s longest undersea internet cable’, </w:t>
      </w:r>
      <w:r w:rsidRPr="003A5B06">
        <w:rPr>
          <w:rStyle w:val="a5"/>
          <w:rFonts w:cstheme="minorHAnsi"/>
        </w:rPr>
        <w:t>LA Times</w:t>
      </w:r>
      <w:r w:rsidRPr="003A5B06">
        <w:rPr>
          <w:rFonts w:cstheme="minorHAnsi"/>
        </w:rPr>
        <w:t>, Feb 18, 2025.</w:t>
      </w:r>
    </w:p>
  </w:footnote>
  <w:footnote w:id="109">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proofErr w:type="spellStart"/>
      <w:r w:rsidRPr="00ED5A0F">
        <w:rPr>
          <w:rFonts w:asciiTheme="minorHAnsi" w:hAnsiTheme="minorHAnsi" w:cstheme="minorHAnsi"/>
          <w:sz w:val="20"/>
          <w:szCs w:val="20"/>
        </w:rPr>
        <w:t>Salvadori</w:t>
      </w:r>
      <w:proofErr w:type="spellEnd"/>
      <w:r w:rsidRPr="00ED5A0F">
        <w:rPr>
          <w:rFonts w:asciiTheme="minorHAnsi" w:hAnsiTheme="minorHAnsi" w:cstheme="minorHAnsi"/>
          <w:sz w:val="20"/>
          <w:szCs w:val="20"/>
        </w:rPr>
        <w:t>, K.</w:t>
      </w:r>
      <w:r w:rsidRPr="003A5B06">
        <w:rPr>
          <w:rFonts w:asciiTheme="minorHAnsi" w:hAnsiTheme="minorHAnsi" w:cstheme="minorHAnsi"/>
          <w:sz w:val="20"/>
          <w:szCs w:val="20"/>
        </w:rPr>
        <w:t xml:space="preserve"> (2021) ‘2Africa Pearls subsea cable connects Africa, Europe and Asia’, </w:t>
      </w:r>
      <w:r w:rsidRPr="003A5B06">
        <w:rPr>
          <w:rFonts w:asciiTheme="minorHAnsi" w:hAnsiTheme="minorHAnsi" w:cstheme="minorHAnsi"/>
          <w:i/>
          <w:iCs/>
          <w:sz w:val="20"/>
          <w:szCs w:val="20"/>
        </w:rPr>
        <w:t>Meta Engineering Blog</w:t>
      </w:r>
      <w:r w:rsidRPr="003A5B06">
        <w:rPr>
          <w:rFonts w:asciiTheme="minorHAnsi" w:hAnsiTheme="minorHAnsi" w:cstheme="minorHAnsi"/>
          <w:sz w:val="20"/>
          <w:szCs w:val="20"/>
        </w:rPr>
        <w:t>, 28 September. Available at: https://engineering.fb.com/2021/09/28/connectivity/2africa-pearls/</w:t>
      </w:r>
    </w:p>
  </w:footnote>
  <w:footnote w:id="110">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Carnegie Endowment for International Peace</w:t>
      </w:r>
      <w:r w:rsidRPr="003A5B06">
        <w:rPr>
          <w:rFonts w:asciiTheme="minorHAnsi" w:hAnsiTheme="minorHAnsi" w:cstheme="minorHAnsi"/>
          <w:sz w:val="20"/>
          <w:szCs w:val="20"/>
        </w:rPr>
        <w:t xml:space="preserve"> (2025) ‘Beneath the Waves: Addressing Vulnerabilities in Africa’s Undersea Digital Infrastructure’, </w:t>
      </w:r>
      <w:r w:rsidRPr="003A5B06">
        <w:rPr>
          <w:rFonts w:asciiTheme="minorHAnsi" w:hAnsiTheme="minorHAnsi" w:cstheme="minorHAnsi"/>
          <w:i/>
          <w:iCs/>
          <w:sz w:val="20"/>
          <w:szCs w:val="20"/>
        </w:rPr>
        <w:t>Carnegie Endowment</w:t>
      </w:r>
      <w:r w:rsidRPr="003A5B06">
        <w:rPr>
          <w:rFonts w:asciiTheme="minorHAnsi" w:hAnsiTheme="minorHAnsi" w:cstheme="minorHAnsi"/>
          <w:sz w:val="20"/>
          <w:szCs w:val="20"/>
        </w:rPr>
        <w:t>, March. Available at: https://carnegieendowment.org/research/2025/03/beneath-the-waves-addressing-vulnerabilities-in-africas-undersea-digital-infrastructure.</w:t>
      </w:r>
    </w:p>
  </w:footnote>
  <w:footnote w:id="111">
    <w:p w:rsidR="00C62A14" w:rsidRPr="003A5B06" w:rsidRDefault="00C62A14" w:rsidP="0060194B">
      <w:pPr>
        <w:pStyle w:val="a6"/>
        <w:rPr>
          <w:rFonts w:cstheme="minorHAnsi"/>
          <w:rtl/>
        </w:rPr>
      </w:pPr>
      <w:r w:rsidRPr="003A5B06">
        <w:rPr>
          <w:rStyle w:val="a8"/>
          <w:rFonts w:cstheme="minorHAnsi"/>
        </w:rPr>
        <w:footnoteRef/>
      </w:r>
      <w:r w:rsidRPr="003A5B06">
        <w:rPr>
          <w:rFonts w:cstheme="minorHAnsi"/>
        </w:rPr>
        <w:t xml:space="preserve"> </w:t>
      </w:r>
      <w:r w:rsidRPr="003A5B06">
        <w:rPr>
          <w:rFonts w:cstheme="minorHAnsi"/>
        </w:rPr>
        <w:t>Gorwa, R. (2019). The Platform Governance Triangle. Internet Policy Review, 8(2).</w:t>
      </w:r>
      <w:r w:rsidRPr="003A5B06">
        <w:rPr>
          <w:rFonts w:cstheme="minorHAnsi"/>
        </w:rPr>
        <w:br/>
        <w:t>European Commission. (2020). Assessment of the Implementation of the GDPR</w:t>
      </w:r>
    </w:p>
  </w:footnote>
  <w:footnote w:id="112">
    <w:p w:rsidR="00C62A14" w:rsidRPr="003A5B06" w:rsidRDefault="00C62A14" w:rsidP="0060194B">
      <w:pPr>
        <w:pStyle w:val="a6"/>
        <w:rPr>
          <w:rFonts w:cstheme="minorHAnsi"/>
          <w:rtl/>
        </w:rPr>
      </w:pPr>
      <w:r w:rsidRPr="003A5B06">
        <w:rPr>
          <w:rStyle w:val="a8"/>
          <w:rFonts w:cstheme="minorHAnsi"/>
        </w:rPr>
        <w:footnoteRef/>
      </w:r>
      <w:r w:rsidRPr="003A5B06">
        <w:rPr>
          <w:rFonts w:cstheme="minorHAnsi"/>
        </w:rPr>
        <w:t xml:space="preserve"> </w:t>
      </w:r>
      <w:r w:rsidRPr="003A5B06">
        <w:rPr>
          <w:rFonts w:cstheme="minorHAnsi"/>
        </w:rPr>
        <w:t xml:space="preserve">Zuboff, </w:t>
      </w:r>
      <w:r w:rsidRPr="003A5B06">
        <w:rPr>
          <w:rFonts w:cstheme="minorHAnsi"/>
        </w:rPr>
        <w:t>S. (2019). The Age of Surveillance Capitalism. New York: PublicAffairs</w:t>
      </w:r>
    </w:p>
  </w:footnote>
  <w:footnote w:id="113">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proofErr w:type="spellStart"/>
      <w:r w:rsidRPr="00ED5A0F">
        <w:rPr>
          <w:rFonts w:asciiTheme="minorHAnsi" w:hAnsiTheme="minorHAnsi" w:cstheme="minorHAnsi"/>
          <w:sz w:val="20"/>
          <w:szCs w:val="20"/>
        </w:rPr>
        <w:t>Europarl</w:t>
      </w:r>
      <w:proofErr w:type="spellEnd"/>
      <w:r w:rsidRPr="00ED5A0F">
        <w:rPr>
          <w:rFonts w:asciiTheme="minorHAnsi" w:hAnsiTheme="minorHAnsi" w:cstheme="minorHAnsi"/>
          <w:sz w:val="20"/>
          <w:szCs w:val="20"/>
        </w:rPr>
        <w:t xml:space="preserve"> (</w:t>
      </w:r>
      <w:r w:rsidRPr="003A5B06">
        <w:rPr>
          <w:rFonts w:asciiTheme="minorHAnsi" w:hAnsiTheme="minorHAnsi" w:cstheme="minorHAnsi"/>
          <w:sz w:val="20"/>
          <w:szCs w:val="20"/>
        </w:rPr>
        <w:t xml:space="preserve">2023) </w:t>
      </w:r>
      <w:r w:rsidRPr="003A5B06">
        <w:rPr>
          <w:rFonts w:asciiTheme="minorHAnsi" w:hAnsiTheme="minorHAnsi" w:cstheme="minorHAnsi"/>
          <w:i/>
          <w:iCs/>
          <w:sz w:val="20"/>
          <w:szCs w:val="20"/>
        </w:rPr>
        <w:t>Social media platforms and challenges for democracy, rule of law</w:t>
      </w:r>
      <w:r w:rsidRPr="003A5B06">
        <w:rPr>
          <w:rFonts w:asciiTheme="minorHAnsi" w:hAnsiTheme="minorHAnsi" w:cstheme="minorHAnsi"/>
          <w:sz w:val="20"/>
          <w:szCs w:val="20"/>
        </w:rPr>
        <w:t>. European Parliament.</w:t>
      </w:r>
    </w:p>
  </w:footnote>
  <w:footnote w:id="114">
    <w:p w:rsidR="00C62A14" w:rsidRPr="003A5B06" w:rsidRDefault="00C62A14" w:rsidP="0060194B">
      <w:pPr>
        <w:pStyle w:val="a6"/>
        <w:rPr>
          <w:rFonts w:cstheme="minorHAnsi"/>
          <w:rtl/>
        </w:rPr>
      </w:pPr>
      <w:r w:rsidRPr="003A5B06">
        <w:rPr>
          <w:rStyle w:val="a8"/>
          <w:rFonts w:cstheme="minorHAnsi"/>
        </w:rPr>
        <w:footnoteRef/>
      </w:r>
      <w:r w:rsidRPr="003A5B06">
        <w:rPr>
          <w:rFonts w:cstheme="minorHAnsi"/>
        </w:rPr>
        <w:t xml:space="preserve"> </w:t>
      </w:r>
      <w:r w:rsidRPr="00ED5A0F">
        <w:rPr>
          <w:rStyle w:val="a4"/>
          <w:rFonts w:cstheme="minorHAnsi"/>
          <w:b w:val="0"/>
          <w:bCs w:val="0"/>
        </w:rPr>
        <w:t>Datacenters.com Development (2025)</w:t>
      </w:r>
      <w:r w:rsidRPr="00ED5A0F">
        <w:rPr>
          <w:rStyle w:val="relative"/>
          <w:rFonts w:cstheme="minorHAnsi"/>
          <w:b/>
          <w:bCs/>
        </w:rPr>
        <w:t>,</w:t>
      </w:r>
      <w:r w:rsidRPr="003A5B06">
        <w:rPr>
          <w:rStyle w:val="relative"/>
          <w:rFonts w:cstheme="minorHAnsi"/>
        </w:rPr>
        <w:t xml:space="preserve"> ‘Meta’s $800M Indiana Hyperscale Campus: Building for the AI Internet’, </w:t>
      </w:r>
      <w:r w:rsidRPr="003A5B06">
        <w:rPr>
          <w:rStyle w:val="a5"/>
          <w:rFonts w:cstheme="minorHAnsi"/>
        </w:rPr>
        <w:t>Datacenters.com</w:t>
      </w:r>
      <w:r w:rsidRPr="003A5B06">
        <w:rPr>
          <w:rStyle w:val="relative"/>
          <w:rFonts w:cstheme="minorHAnsi"/>
        </w:rPr>
        <w:t>.</w:t>
      </w:r>
    </w:p>
  </w:footnote>
  <w:footnote w:id="115">
    <w:p w:rsidR="00C62A14" w:rsidRPr="003A5B06" w:rsidRDefault="00C62A14" w:rsidP="0060194B">
      <w:pPr>
        <w:pStyle w:val="a6"/>
        <w:rPr>
          <w:rFonts w:cstheme="minorHAnsi"/>
          <w:rtl/>
        </w:rPr>
      </w:pPr>
      <w:r w:rsidRPr="003A5B06">
        <w:rPr>
          <w:rStyle w:val="a8"/>
          <w:rFonts w:cstheme="minorHAnsi"/>
        </w:rPr>
        <w:footnoteRef/>
      </w:r>
      <w:r w:rsidRPr="003A5B06">
        <w:rPr>
          <w:rFonts w:cstheme="minorHAnsi"/>
        </w:rPr>
        <w:t xml:space="preserve"> </w:t>
      </w:r>
      <w:r w:rsidRPr="00ED5A0F">
        <w:rPr>
          <w:rStyle w:val="a4"/>
          <w:rFonts w:cstheme="minorHAnsi"/>
          <w:b w:val="0"/>
          <w:bCs w:val="0"/>
        </w:rPr>
        <w:t>Tang, C. (2025)</w:t>
      </w:r>
      <w:r w:rsidRPr="00ED5A0F">
        <w:rPr>
          <w:rStyle w:val="relative"/>
          <w:rFonts w:cstheme="minorHAnsi"/>
          <w:b/>
          <w:bCs/>
        </w:rPr>
        <w:t>,</w:t>
      </w:r>
      <w:r w:rsidRPr="003A5B06">
        <w:rPr>
          <w:rStyle w:val="relative"/>
          <w:rFonts w:cstheme="minorHAnsi"/>
        </w:rPr>
        <w:t xml:space="preserve"> ‘Meta’s Hyperscale Infrastructure: Overview and Insights’, </w:t>
      </w:r>
      <w:r w:rsidRPr="003A5B06">
        <w:rPr>
          <w:rStyle w:val="a5"/>
          <w:rFonts w:cstheme="minorHAnsi"/>
        </w:rPr>
        <w:t>Communications of the ACM</w:t>
      </w:r>
      <w:r w:rsidRPr="003A5B06">
        <w:rPr>
          <w:rStyle w:val="relative"/>
          <w:rFonts w:cstheme="minorHAnsi"/>
        </w:rPr>
        <w:t>, Jan 22, 2025.</w:t>
      </w:r>
    </w:p>
  </w:footnote>
  <w:footnote w:id="116">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European Commission</w:t>
      </w:r>
      <w:r w:rsidRPr="003A5B06">
        <w:rPr>
          <w:rFonts w:asciiTheme="minorHAnsi" w:hAnsiTheme="minorHAnsi" w:cstheme="minorHAnsi"/>
          <w:sz w:val="20"/>
          <w:szCs w:val="20"/>
        </w:rPr>
        <w:t xml:space="preserve"> (2023) </w:t>
      </w:r>
      <w:r w:rsidRPr="003A5B06">
        <w:rPr>
          <w:rFonts w:asciiTheme="minorHAnsi" w:hAnsiTheme="minorHAnsi" w:cstheme="minorHAnsi"/>
          <w:i/>
          <w:iCs/>
          <w:sz w:val="20"/>
          <w:szCs w:val="20"/>
        </w:rPr>
        <w:t>General Data Protection Regulation (GDPR)</w:t>
      </w:r>
      <w:r w:rsidRPr="003A5B06">
        <w:rPr>
          <w:rFonts w:asciiTheme="minorHAnsi" w:hAnsiTheme="minorHAnsi" w:cstheme="minorHAnsi"/>
          <w:sz w:val="20"/>
          <w:szCs w:val="20"/>
        </w:rPr>
        <w:t>, Brussels: European Commission.</w:t>
      </w:r>
      <w:r w:rsidRPr="003A5B06">
        <w:rPr>
          <w:rFonts w:asciiTheme="minorHAnsi" w:hAnsiTheme="minorHAnsi" w:cstheme="minorHAnsi"/>
          <w:sz w:val="20"/>
          <w:szCs w:val="20"/>
        </w:rPr>
        <w:br/>
        <w:t xml:space="preserve">Available at: </w:t>
      </w:r>
      <w:hyperlink r:id="rId5" w:tgtFrame="_new" w:history="1">
        <w:r w:rsidRPr="003A5B06">
          <w:rPr>
            <w:rFonts w:asciiTheme="minorHAnsi" w:hAnsiTheme="minorHAnsi" w:cstheme="minorHAnsi"/>
            <w:color w:val="0000FF"/>
            <w:sz w:val="20"/>
            <w:szCs w:val="20"/>
            <w:u w:val="single"/>
          </w:rPr>
          <w:t>https://ec.europa.eu/info/law/law-topic/data-protection_en</w:t>
        </w:r>
      </w:hyperlink>
    </w:p>
  </w:footnote>
  <w:footnote w:id="117">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Meta Transparency Center</w:t>
      </w:r>
      <w:r w:rsidRPr="003A5B06">
        <w:rPr>
          <w:rFonts w:asciiTheme="minorHAnsi" w:hAnsiTheme="minorHAnsi" w:cstheme="minorHAnsi"/>
          <w:sz w:val="20"/>
          <w:szCs w:val="20"/>
        </w:rPr>
        <w:t xml:space="preserve"> (2025) ‘Content Restrictions Based on Local Law – Germany’, </w:t>
      </w:r>
      <w:r w:rsidRPr="003A5B06">
        <w:rPr>
          <w:rFonts w:asciiTheme="minorHAnsi" w:hAnsiTheme="minorHAnsi" w:cstheme="minorHAnsi"/>
          <w:i/>
          <w:iCs/>
          <w:sz w:val="20"/>
          <w:szCs w:val="20"/>
        </w:rPr>
        <w:t>Meta Transparency Center</w:t>
      </w:r>
      <w:r w:rsidRPr="003A5B06">
        <w:rPr>
          <w:rFonts w:asciiTheme="minorHAnsi" w:hAnsiTheme="minorHAnsi" w:cstheme="minorHAnsi"/>
          <w:sz w:val="20"/>
          <w:szCs w:val="20"/>
        </w:rPr>
        <w:t>.</w:t>
      </w:r>
    </w:p>
  </w:footnote>
  <w:footnote w:id="118">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 xml:space="preserve">Bertelsmann </w:t>
      </w:r>
      <w:proofErr w:type="spellStart"/>
      <w:r w:rsidRPr="00ED5A0F">
        <w:rPr>
          <w:rFonts w:asciiTheme="minorHAnsi" w:hAnsiTheme="minorHAnsi" w:cstheme="minorHAnsi"/>
          <w:sz w:val="20"/>
          <w:szCs w:val="20"/>
        </w:rPr>
        <w:t>Stiftung</w:t>
      </w:r>
      <w:proofErr w:type="spellEnd"/>
      <w:r w:rsidRPr="003A5B06">
        <w:rPr>
          <w:rFonts w:asciiTheme="minorHAnsi" w:hAnsiTheme="minorHAnsi" w:cstheme="minorHAnsi"/>
          <w:sz w:val="20"/>
          <w:szCs w:val="20"/>
        </w:rPr>
        <w:t xml:space="preserve"> (2020) </w:t>
      </w:r>
      <w:r w:rsidRPr="003A5B06">
        <w:rPr>
          <w:rFonts w:asciiTheme="minorHAnsi" w:hAnsiTheme="minorHAnsi" w:cstheme="minorHAnsi"/>
          <w:i/>
          <w:iCs/>
          <w:sz w:val="20"/>
          <w:szCs w:val="20"/>
        </w:rPr>
        <w:t>Governance of Digitalization in Europe – A Contribution to the Exploration Shaping Digital Policy</w:t>
      </w:r>
      <w:r w:rsidRPr="003A5B06">
        <w:rPr>
          <w:rFonts w:asciiTheme="minorHAnsi" w:hAnsiTheme="minorHAnsi" w:cstheme="minorHAnsi"/>
          <w:sz w:val="20"/>
          <w:szCs w:val="20"/>
        </w:rPr>
        <w:t xml:space="preserve">. </w:t>
      </w:r>
      <w:proofErr w:type="spellStart"/>
      <w:r w:rsidRPr="003A5B06">
        <w:rPr>
          <w:rFonts w:asciiTheme="minorHAnsi" w:hAnsiTheme="minorHAnsi" w:cstheme="minorHAnsi"/>
          <w:sz w:val="20"/>
          <w:szCs w:val="20"/>
        </w:rPr>
        <w:t>Gütersloh</w:t>
      </w:r>
      <w:proofErr w:type="spellEnd"/>
      <w:r w:rsidRPr="003A5B06">
        <w:rPr>
          <w:rFonts w:asciiTheme="minorHAnsi" w:hAnsiTheme="minorHAnsi" w:cstheme="minorHAnsi"/>
          <w:sz w:val="20"/>
          <w:szCs w:val="20"/>
        </w:rPr>
        <w:t xml:space="preserve">: Bertelsmann </w:t>
      </w:r>
      <w:proofErr w:type="spellStart"/>
      <w:r w:rsidRPr="003A5B06">
        <w:rPr>
          <w:rFonts w:asciiTheme="minorHAnsi" w:hAnsiTheme="minorHAnsi" w:cstheme="minorHAnsi"/>
          <w:sz w:val="20"/>
          <w:szCs w:val="20"/>
        </w:rPr>
        <w:t>Stiftung</w:t>
      </w:r>
      <w:proofErr w:type="spellEnd"/>
      <w:r w:rsidRPr="003A5B06">
        <w:rPr>
          <w:rFonts w:asciiTheme="minorHAnsi" w:hAnsiTheme="minorHAnsi" w:cstheme="minorHAnsi"/>
          <w:sz w:val="20"/>
          <w:szCs w:val="20"/>
        </w:rPr>
        <w:t>.</w:t>
      </w:r>
    </w:p>
  </w:footnote>
  <w:footnote w:id="119">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International Tax Review</w:t>
      </w:r>
      <w:r w:rsidRPr="003A5B06">
        <w:rPr>
          <w:rFonts w:asciiTheme="minorHAnsi" w:hAnsiTheme="minorHAnsi" w:cstheme="minorHAnsi"/>
          <w:sz w:val="20"/>
          <w:szCs w:val="20"/>
        </w:rPr>
        <w:t xml:space="preserve"> (2020) ‘The IRS takes Facebook to court over its Irish tax structure’, </w:t>
      </w:r>
      <w:r w:rsidRPr="003A5B06">
        <w:rPr>
          <w:rFonts w:asciiTheme="minorHAnsi" w:hAnsiTheme="minorHAnsi" w:cstheme="minorHAnsi"/>
          <w:i/>
          <w:iCs/>
          <w:sz w:val="20"/>
          <w:szCs w:val="20"/>
        </w:rPr>
        <w:t>International Tax Review</w:t>
      </w:r>
      <w:r w:rsidRPr="003A5B06">
        <w:rPr>
          <w:rFonts w:asciiTheme="minorHAnsi" w:hAnsiTheme="minorHAnsi" w:cstheme="minorHAnsi"/>
          <w:sz w:val="20"/>
          <w:szCs w:val="20"/>
        </w:rPr>
        <w:t>, 5 Apr.</w:t>
      </w:r>
    </w:p>
  </w:footnote>
  <w:footnote w:id="120">
    <w:p w:rsidR="00C62A14" w:rsidRPr="003A5B06" w:rsidRDefault="00C62A14" w:rsidP="0060194B">
      <w:pPr>
        <w:pStyle w:val="NormalWeb"/>
        <w:rPr>
          <w:rFonts w:asciiTheme="minorHAnsi" w:hAnsiTheme="minorHAnsi" w:cstheme="minorHAnsi"/>
          <w:sz w:val="20"/>
          <w:szCs w:val="20"/>
        </w:rPr>
      </w:pPr>
      <w:r w:rsidRPr="00ED5A0F">
        <w:rPr>
          <w:rStyle w:val="a8"/>
          <w:rFonts w:asciiTheme="minorHAnsi" w:hAnsiTheme="minorHAnsi" w:cstheme="minorHAnsi"/>
          <w:sz w:val="20"/>
          <w:szCs w:val="20"/>
        </w:rPr>
        <w:footnoteRef/>
      </w:r>
      <w:r w:rsidRPr="00ED5A0F">
        <w:rPr>
          <w:rFonts w:asciiTheme="minorHAnsi" w:hAnsiTheme="minorHAnsi" w:cstheme="minorHAnsi"/>
          <w:sz w:val="20"/>
          <w:szCs w:val="20"/>
        </w:rPr>
        <w:t xml:space="preserve"> Institute on Taxation and Economic Policy (ITEP)</w:t>
      </w:r>
      <w:r w:rsidRPr="003A5B06">
        <w:rPr>
          <w:rFonts w:asciiTheme="minorHAnsi" w:hAnsiTheme="minorHAnsi" w:cstheme="minorHAnsi"/>
          <w:sz w:val="20"/>
          <w:szCs w:val="20"/>
        </w:rPr>
        <w:t xml:space="preserve"> (2017) </w:t>
      </w:r>
      <w:r w:rsidRPr="003A5B06">
        <w:rPr>
          <w:rFonts w:asciiTheme="minorHAnsi" w:hAnsiTheme="minorHAnsi" w:cstheme="minorHAnsi"/>
          <w:i/>
          <w:iCs/>
          <w:sz w:val="20"/>
          <w:szCs w:val="20"/>
        </w:rPr>
        <w:t>Fact Sheet: Facebook and Tax Avoidance</w:t>
      </w:r>
      <w:r w:rsidRPr="003A5B06">
        <w:rPr>
          <w:rFonts w:asciiTheme="minorHAnsi" w:hAnsiTheme="minorHAnsi" w:cstheme="minorHAnsi"/>
          <w:sz w:val="20"/>
          <w:szCs w:val="20"/>
        </w:rPr>
        <w:t>.</w:t>
      </w:r>
    </w:p>
  </w:footnote>
  <w:footnote w:id="121">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proofErr w:type="spellStart"/>
      <w:r w:rsidRPr="00ED5A0F">
        <w:rPr>
          <w:rFonts w:asciiTheme="minorHAnsi" w:hAnsiTheme="minorHAnsi" w:cstheme="minorHAnsi"/>
          <w:sz w:val="20"/>
          <w:szCs w:val="20"/>
        </w:rPr>
        <w:t>TechRepublic</w:t>
      </w:r>
      <w:proofErr w:type="spellEnd"/>
      <w:r w:rsidRPr="003A5B06">
        <w:rPr>
          <w:rFonts w:asciiTheme="minorHAnsi" w:hAnsiTheme="minorHAnsi" w:cstheme="minorHAnsi"/>
          <w:sz w:val="20"/>
          <w:szCs w:val="20"/>
        </w:rPr>
        <w:t xml:space="preserve"> (2018) ‘Facebook data privacy scandal: A cheat sheet’, </w:t>
      </w:r>
      <w:proofErr w:type="spellStart"/>
      <w:r w:rsidRPr="003A5B06">
        <w:rPr>
          <w:rFonts w:asciiTheme="minorHAnsi" w:hAnsiTheme="minorHAnsi" w:cstheme="minorHAnsi"/>
          <w:i/>
          <w:iCs/>
          <w:sz w:val="20"/>
          <w:szCs w:val="20"/>
        </w:rPr>
        <w:t>TechRepublic</w:t>
      </w:r>
      <w:proofErr w:type="spellEnd"/>
      <w:r w:rsidRPr="003A5B06">
        <w:rPr>
          <w:rFonts w:asciiTheme="minorHAnsi" w:hAnsiTheme="minorHAnsi" w:cstheme="minorHAnsi"/>
          <w:sz w:val="20"/>
          <w:szCs w:val="20"/>
        </w:rPr>
        <w:t xml:space="preserve">, May. Available at: https://www.techrepublic.com/article/facebook-data-privacy-scandal-a-cheat-sheet/ </w:t>
      </w:r>
    </w:p>
  </w:footnote>
  <w:footnote w:id="122">
    <w:p w:rsidR="00C62A14" w:rsidRPr="00ED5A0F" w:rsidRDefault="00C62A14" w:rsidP="00ED5A0F">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proofErr w:type="spellStart"/>
      <w:r w:rsidRPr="00ED5A0F">
        <w:rPr>
          <w:rFonts w:asciiTheme="minorHAnsi" w:hAnsiTheme="minorHAnsi" w:cstheme="minorHAnsi"/>
          <w:sz w:val="20"/>
          <w:szCs w:val="20"/>
        </w:rPr>
        <w:t>Douek</w:t>
      </w:r>
      <w:proofErr w:type="spellEnd"/>
      <w:r w:rsidRPr="00ED5A0F">
        <w:rPr>
          <w:rFonts w:asciiTheme="minorHAnsi" w:hAnsiTheme="minorHAnsi" w:cstheme="minorHAnsi"/>
          <w:sz w:val="20"/>
          <w:szCs w:val="20"/>
        </w:rPr>
        <w:t>, E.</w:t>
      </w:r>
      <w:r w:rsidRPr="003A5B06">
        <w:rPr>
          <w:rFonts w:asciiTheme="minorHAnsi" w:hAnsiTheme="minorHAnsi" w:cstheme="minorHAnsi"/>
          <w:sz w:val="20"/>
          <w:szCs w:val="20"/>
        </w:rPr>
        <w:t xml:space="preserve"> (2024) ‘The Meta Oversight Board and the Empty Promise of Legitimacy’, </w:t>
      </w:r>
      <w:r w:rsidRPr="003A5B06">
        <w:rPr>
          <w:rFonts w:asciiTheme="minorHAnsi" w:hAnsiTheme="minorHAnsi" w:cstheme="minorHAnsi"/>
          <w:i/>
          <w:iCs/>
          <w:sz w:val="20"/>
          <w:szCs w:val="20"/>
        </w:rPr>
        <w:t>Harvard Journal of Law &amp; Technology</w:t>
      </w:r>
      <w:r>
        <w:rPr>
          <w:rFonts w:asciiTheme="minorHAnsi" w:hAnsiTheme="minorHAnsi" w:cstheme="minorHAnsi"/>
          <w:sz w:val="20"/>
          <w:szCs w:val="20"/>
        </w:rPr>
        <w:t xml:space="preserve">, 37(2); </w:t>
      </w:r>
      <w:r w:rsidRPr="00ED5A0F">
        <w:rPr>
          <w:rFonts w:cstheme="minorHAnsi"/>
          <w:sz w:val="20"/>
          <w:szCs w:val="20"/>
          <w:lang w:eastAsia="en-IL"/>
        </w:rPr>
        <w:t>O'Kane, R.</w:t>
      </w:r>
      <w:r w:rsidRPr="003A5B06">
        <w:rPr>
          <w:rFonts w:cstheme="minorHAnsi"/>
          <w:sz w:val="20"/>
          <w:szCs w:val="20"/>
          <w:lang w:eastAsia="en-IL"/>
        </w:rPr>
        <w:t xml:space="preserve"> (2022) ‘Meta’s Private Speech Governance and the Role of the Oversight Board: Lessons from the Board’s First Decisions’, </w:t>
      </w:r>
      <w:r w:rsidRPr="003A5B06">
        <w:rPr>
          <w:rFonts w:cstheme="minorHAnsi"/>
          <w:i/>
          <w:iCs/>
          <w:sz w:val="20"/>
          <w:szCs w:val="20"/>
          <w:lang w:eastAsia="en-IL"/>
        </w:rPr>
        <w:t>Stanford Technology Law Review</w:t>
      </w:r>
      <w:r>
        <w:rPr>
          <w:rFonts w:cstheme="minorHAnsi"/>
          <w:sz w:val="20"/>
          <w:szCs w:val="20"/>
          <w:lang w:eastAsia="en-IL"/>
        </w:rPr>
        <w:t xml:space="preserve">, 25 STLR 167; </w:t>
      </w:r>
      <w:r w:rsidRPr="00ED5A0F">
        <w:rPr>
          <w:rFonts w:cstheme="minorHAnsi"/>
          <w:sz w:val="20"/>
          <w:szCs w:val="20"/>
          <w:lang w:eastAsia="en-IL"/>
        </w:rPr>
        <w:t>Oversight Board</w:t>
      </w:r>
      <w:r w:rsidRPr="003A5B06">
        <w:rPr>
          <w:rFonts w:cstheme="minorHAnsi"/>
          <w:sz w:val="20"/>
          <w:szCs w:val="20"/>
          <w:lang w:eastAsia="en-IL"/>
        </w:rPr>
        <w:t xml:space="preserve"> (2021) ‘Former President Trump’s suspension’, </w:t>
      </w:r>
      <w:r w:rsidRPr="003A5B06">
        <w:rPr>
          <w:rFonts w:cstheme="minorHAnsi"/>
          <w:i/>
          <w:iCs/>
          <w:sz w:val="20"/>
          <w:szCs w:val="20"/>
          <w:lang w:eastAsia="en-IL"/>
        </w:rPr>
        <w:t>Oversight Board Decision</w:t>
      </w:r>
      <w:r w:rsidRPr="003A5B06">
        <w:rPr>
          <w:rFonts w:cstheme="minorHAnsi"/>
          <w:sz w:val="20"/>
          <w:szCs w:val="20"/>
          <w:lang w:eastAsia="en-IL"/>
        </w:rPr>
        <w:t xml:space="preserve">, 5 May. Available at: </w:t>
      </w:r>
      <w:hyperlink r:id="rId6" w:history="1">
        <w:r w:rsidRPr="00F81EA6">
          <w:rPr>
            <w:rStyle w:val="Hyperlink"/>
            <w:rFonts w:cstheme="minorHAnsi"/>
            <w:sz w:val="20"/>
            <w:szCs w:val="20"/>
            <w:lang w:eastAsia="en-IL"/>
          </w:rPr>
          <w:t>https://oversightboard.com/decision/fb-691qamhj</w:t>
        </w:r>
      </w:hyperlink>
      <w:r>
        <w:rPr>
          <w:rFonts w:cstheme="minorHAnsi"/>
          <w:sz w:val="20"/>
          <w:szCs w:val="20"/>
          <w:lang w:eastAsia="en-IL"/>
        </w:rPr>
        <w:t xml:space="preserve">; </w:t>
      </w:r>
      <w:r w:rsidRPr="00ED5A0F">
        <w:rPr>
          <w:rFonts w:cstheme="minorHAnsi"/>
          <w:sz w:val="20"/>
          <w:szCs w:val="20"/>
          <w:lang w:eastAsia="en-IL"/>
        </w:rPr>
        <w:t>Wired</w:t>
      </w:r>
      <w:r w:rsidRPr="003A5B06">
        <w:rPr>
          <w:rFonts w:cstheme="minorHAnsi"/>
          <w:sz w:val="20"/>
          <w:szCs w:val="20"/>
          <w:lang w:eastAsia="en-IL"/>
        </w:rPr>
        <w:t xml:space="preserve"> (2022) ‘Inside Meta’s Oversight Board: 2 Years of Pushing Limits’, </w:t>
      </w:r>
      <w:r w:rsidRPr="003A5B06">
        <w:rPr>
          <w:rFonts w:cstheme="minorHAnsi"/>
          <w:i/>
          <w:iCs/>
          <w:sz w:val="20"/>
          <w:szCs w:val="20"/>
          <w:lang w:eastAsia="en-IL"/>
        </w:rPr>
        <w:t>Wired</w:t>
      </w:r>
      <w:r w:rsidRPr="003A5B06">
        <w:rPr>
          <w:rFonts w:cstheme="minorHAnsi"/>
          <w:sz w:val="20"/>
          <w:szCs w:val="20"/>
          <w:lang w:eastAsia="en-IL"/>
        </w:rPr>
        <w:t xml:space="preserve">, 8 November. </w:t>
      </w:r>
    </w:p>
    <w:p w:rsidR="00C62A14" w:rsidRPr="00F57556" w:rsidRDefault="00C62A14" w:rsidP="0060194B">
      <w:pPr>
        <w:pStyle w:val="NormalWeb"/>
      </w:pPr>
    </w:p>
    <w:p w:rsidR="00C62A14" w:rsidRPr="00F57556" w:rsidRDefault="00C62A14" w:rsidP="0060194B">
      <w:pPr>
        <w:pStyle w:val="a6"/>
      </w:pPr>
    </w:p>
  </w:footnote>
  <w:footnote w:id="123">
    <w:p w:rsidR="00C62A14" w:rsidRPr="003A5B06" w:rsidRDefault="00C62A14" w:rsidP="0060194B">
      <w:pPr>
        <w:pStyle w:val="a6"/>
        <w:rPr>
          <w:rFonts w:ascii="Times New Roman" w:hAnsi="Times New Roman" w:cstheme="minorHAnsi"/>
          <w:rtl/>
        </w:rPr>
      </w:pPr>
      <w:r w:rsidRPr="003A5B06">
        <w:rPr>
          <w:rStyle w:val="a8"/>
          <w:rFonts w:cstheme="minorHAnsi"/>
        </w:rPr>
        <w:footnoteRef/>
      </w:r>
      <w:r w:rsidRPr="003A5B06">
        <w:rPr>
          <w:rFonts w:cstheme="minorHAnsi"/>
        </w:rPr>
        <w:t xml:space="preserve"> </w:t>
      </w:r>
      <w:r w:rsidRPr="003A5B06">
        <w:rPr>
          <w:rFonts w:cstheme="minorHAnsi"/>
        </w:rPr>
        <w:t>Klonick, K. (2018). The New Governors: The People, Rules, and Processes Governing Online Speech. Harvard Law Review, 131(6), 1598</w:t>
      </w:r>
      <w:r w:rsidRPr="003A5B06">
        <w:rPr>
          <w:rFonts w:cstheme="minorHAnsi"/>
          <w:rtl/>
        </w:rPr>
        <w:t>-</w:t>
      </w:r>
      <w:r w:rsidRPr="003A5B06">
        <w:rPr>
          <w:rFonts w:cstheme="minorHAnsi"/>
        </w:rPr>
        <w:t>1670</w:t>
      </w:r>
    </w:p>
  </w:footnote>
  <w:footnote w:id="124">
    <w:p w:rsidR="00C62A14" w:rsidRPr="00ED5A0F" w:rsidRDefault="00C62A14" w:rsidP="00ED5A0F">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Vincent, J.</w:t>
      </w:r>
      <w:r w:rsidRPr="003A5B06">
        <w:rPr>
          <w:rFonts w:asciiTheme="minorHAnsi" w:hAnsiTheme="minorHAnsi" w:cstheme="minorHAnsi"/>
          <w:sz w:val="20"/>
          <w:szCs w:val="20"/>
        </w:rPr>
        <w:t xml:space="preserve"> (2016) ‘Facebook’s Free Basics service has been banned in India’, </w:t>
      </w:r>
      <w:r w:rsidRPr="003A5B06">
        <w:rPr>
          <w:rFonts w:asciiTheme="minorHAnsi" w:hAnsiTheme="minorHAnsi" w:cstheme="minorHAnsi"/>
          <w:i/>
          <w:iCs/>
          <w:sz w:val="20"/>
          <w:szCs w:val="20"/>
        </w:rPr>
        <w:t>The Verge</w:t>
      </w:r>
      <w:r>
        <w:rPr>
          <w:rFonts w:asciiTheme="minorHAnsi" w:hAnsiTheme="minorHAnsi" w:cstheme="minorHAnsi"/>
          <w:sz w:val="20"/>
          <w:szCs w:val="20"/>
        </w:rPr>
        <w:t xml:space="preserve">, 8 February; </w:t>
      </w:r>
      <w:r w:rsidRPr="00ED5A0F">
        <w:rPr>
          <w:rFonts w:cstheme="minorHAnsi"/>
          <w:sz w:val="20"/>
          <w:szCs w:val="20"/>
          <w:lang w:eastAsia="en-IL"/>
        </w:rPr>
        <w:t>Policy Review</w:t>
      </w:r>
      <w:r w:rsidRPr="003A5B06">
        <w:rPr>
          <w:rFonts w:cstheme="minorHAnsi"/>
          <w:sz w:val="20"/>
          <w:szCs w:val="20"/>
          <w:lang w:eastAsia="en-IL"/>
        </w:rPr>
        <w:t xml:space="preserve"> (2016) ‘Internet governance as ideology in practice, India’s Free Basics controversy’, </w:t>
      </w:r>
      <w:r w:rsidRPr="003A5B06">
        <w:rPr>
          <w:rFonts w:cstheme="minorHAnsi"/>
          <w:i/>
          <w:iCs/>
          <w:sz w:val="20"/>
          <w:szCs w:val="20"/>
          <w:lang w:eastAsia="en-IL"/>
        </w:rPr>
        <w:t>Policy Review</w:t>
      </w:r>
    </w:p>
  </w:footnote>
  <w:footnote w:id="125">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Reuters</w:t>
      </w:r>
      <w:r w:rsidRPr="003A5B06">
        <w:rPr>
          <w:rFonts w:asciiTheme="minorHAnsi" w:hAnsiTheme="minorHAnsi" w:cstheme="minorHAnsi"/>
          <w:sz w:val="20"/>
          <w:szCs w:val="20"/>
        </w:rPr>
        <w:t xml:space="preserve"> (2021) ‘Maintenance error caused Facebook’s 6</w:t>
      </w:r>
      <w:r w:rsidRPr="003A5B06">
        <w:rPr>
          <w:rFonts w:asciiTheme="minorHAnsi" w:hAnsiTheme="minorHAnsi" w:cstheme="minorHAnsi"/>
          <w:sz w:val="20"/>
          <w:szCs w:val="20"/>
        </w:rPr>
        <w:noBreakHyphen/>
        <w:t xml:space="preserve">hour outage’, </w:t>
      </w:r>
      <w:r w:rsidRPr="003A5B06">
        <w:rPr>
          <w:rFonts w:asciiTheme="minorHAnsi" w:hAnsiTheme="minorHAnsi" w:cstheme="minorHAnsi"/>
          <w:i/>
          <w:iCs/>
          <w:sz w:val="20"/>
          <w:szCs w:val="20"/>
        </w:rPr>
        <w:t>Reuters</w:t>
      </w:r>
      <w:r>
        <w:rPr>
          <w:rFonts w:asciiTheme="minorHAnsi" w:hAnsiTheme="minorHAnsi" w:cstheme="minorHAnsi"/>
          <w:sz w:val="20"/>
          <w:szCs w:val="20"/>
        </w:rPr>
        <w:t xml:space="preserve">, 5 October; </w:t>
      </w:r>
      <w:proofErr w:type="spellStart"/>
      <w:r w:rsidRPr="00ED5A0F">
        <w:rPr>
          <w:rFonts w:asciiTheme="minorHAnsi" w:hAnsiTheme="minorHAnsi" w:cstheme="minorHAnsi"/>
          <w:sz w:val="20"/>
          <w:szCs w:val="20"/>
        </w:rPr>
        <w:t>TechTarget</w:t>
      </w:r>
      <w:proofErr w:type="spellEnd"/>
      <w:r w:rsidRPr="00ED5A0F">
        <w:rPr>
          <w:rFonts w:asciiTheme="minorHAnsi" w:hAnsiTheme="minorHAnsi" w:cstheme="minorHAnsi"/>
          <w:sz w:val="20"/>
          <w:szCs w:val="20"/>
        </w:rPr>
        <w:t xml:space="preserve"> </w:t>
      </w:r>
      <w:r w:rsidRPr="003A5B06">
        <w:rPr>
          <w:rFonts w:asciiTheme="minorHAnsi" w:hAnsiTheme="minorHAnsi" w:cstheme="minorHAnsi"/>
          <w:sz w:val="20"/>
          <w:szCs w:val="20"/>
        </w:rPr>
        <w:t xml:space="preserve">(2021) ‘3 lessons from the 2021 Facebook outage for network pros’, </w:t>
      </w:r>
      <w:proofErr w:type="spellStart"/>
      <w:r w:rsidRPr="003A5B06">
        <w:rPr>
          <w:rFonts w:asciiTheme="minorHAnsi" w:hAnsiTheme="minorHAnsi" w:cstheme="minorHAnsi"/>
          <w:i/>
          <w:iCs/>
          <w:sz w:val="20"/>
          <w:szCs w:val="20"/>
        </w:rPr>
        <w:t>TechTarget</w:t>
      </w:r>
      <w:proofErr w:type="spellEnd"/>
      <w:r w:rsidRPr="003A5B06">
        <w:rPr>
          <w:rFonts w:asciiTheme="minorHAnsi" w:hAnsiTheme="minorHAnsi" w:cstheme="minorHAnsi"/>
          <w:sz w:val="20"/>
          <w:szCs w:val="20"/>
        </w:rPr>
        <w:t>, 24 November.</w:t>
      </w:r>
    </w:p>
    <w:p w:rsidR="00C62A14" w:rsidRPr="002610E8" w:rsidRDefault="00C62A14" w:rsidP="0060194B">
      <w:pPr>
        <w:pStyle w:val="NormalWeb"/>
      </w:pPr>
    </w:p>
    <w:p w:rsidR="00C62A14" w:rsidRPr="002610E8" w:rsidRDefault="00C62A14" w:rsidP="0060194B">
      <w:pPr>
        <w:pStyle w:val="a6"/>
      </w:pPr>
    </w:p>
  </w:footnote>
  <w:footnote w:id="126">
    <w:p w:rsidR="00C62A14" w:rsidRPr="003A5B06" w:rsidRDefault="00C62A14" w:rsidP="0060194B">
      <w:pPr>
        <w:pStyle w:val="a6"/>
        <w:rPr>
          <w:rFonts w:cstheme="minorHAnsi"/>
          <w:rtl/>
        </w:rPr>
      </w:pPr>
      <w:r w:rsidRPr="003A5B06">
        <w:rPr>
          <w:rStyle w:val="a8"/>
          <w:rFonts w:cstheme="minorHAnsi"/>
        </w:rPr>
        <w:footnoteRef/>
      </w:r>
      <w:r w:rsidRPr="003A5B06">
        <w:rPr>
          <w:rFonts w:cstheme="minorHAnsi"/>
        </w:rPr>
        <w:t xml:space="preserve"> </w:t>
      </w:r>
      <w:r w:rsidRPr="003A5B06">
        <w:rPr>
          <w:rFonts w:cstheme="minorHAnsi"/>
        </w:rPr>
        <w:t>Balding, C. (2019). Huawei’s Links to Chinese State Security. Report, Henry Jackson Society</w:t>
      </w:r>
    </w:p>
  </w:footnote>
  <w:footnote w:id="127">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Huawei </w:t>
      </w:r>
      <w:r w:rsidRPr="00ED5A0F">
        <w:rPr>
          <w:rStyle w:val="a4"/>
          <w:rFonts w:cstheme="minorHAnsi"/>
          <w:b w:val="0"/>
          <w:bCs w:val="0"/>
        </w:rPr>
        <w:t>Corporate Presentation</w:t>
      </w:r>
      <w:r w:rsidRPr="003A5B06">
        <w:rPr>
          <w:rStyle w:val="relative"/>
          <w:rFonts w:cstheme="minorHAnsi"/>
        </w:rPr>
        <w:t xml:space="preserve"> (2023) </w:t>
      </w:r>
      <w:r w:rsidRPr="003A5B06">
        <w:rPr>
          <w:rStyle w:val="a5"/>
          <w:rFonts w:cstheme="minorHAnsi"/>
        </w:rPr>
        <w:t>One Africa, One Rail, One Tech</w:t>
      </w:r>
      <w:r w:rsidRPr="003A5B06">
        <w:rPr>
          <w:rStyle w:val="relative"/>
          <w:rFonts w:cstheme="minorHAnsi"/>
        </w:rPr>
        <w:t>, Huawei.</w:t>
      </w:r>
    </w:p>
  </w:footnote>
  <w:footnote w:id="128">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Parola </w:t>
      </w:r>
      <w:r w:rsidRPr="00ED5A0F">
        <w:rPr>
          <w:rStyle w:val="a4"/>
          <w:rFonts w:cstheme="minorHAnsi"/>
          <w:b w:val="0"/>
          <w:bCs w:val="0"/>
        </w:rPr>
        <w:t>Analytics</w:t>
      </w:r>
      <w:r w:rsidRPr="003A5B06">
        <w:rPr>
          <w:rStyle w:val="relative"/>
          <w:rFonts w:cstheme="minorHAnsi"/>
        </w:rPr>
        <w:t xml:space="preserve"> (2025) </w:t>
      </w:r>
      <w:r w:rsidRPr="003A5B06">
        <w:rPr>
          <w:rStyle w:val="a5"/>
          <w:rFonts w:cstheme="minorHAnsi"/>
        </w:rPr>
        <w:t>5G Standard Essential Patents: Key Players and Trends</w:t>
      </w:r>
      <w:r w:rsidRPr="003A5B06">
        <w:rPr>
          <w:rStyle w:val="relative"/>
          <w:rFonts w:cstheme="minorHAnsi"/>
        </w:rPr>
        <w:t>, Parola Analytics Blog, May.</w:t>
      </w:r>
    </w:p>
  </w:footnote>
  <w:footnote w:id="129">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Bauer, </w:t>
      </w:r>
      <w:r w:rsidRPr="003A5B06">
        <w:rPr>
          <w:rFonts w:cstheme="minorHAnsi"/>
        </w:rPr>
        <w:t>J. M. &amp; Latzer, M. (2016). Governance of the Internet: The Shifting and Contested Terrain. In M. Graham &amp; W. H. Dutton (Eds.), Society and the Internet. Oxford: Oxford University Press</w:t>
      </w:r>
    </w:p>
    <w:p w:rsidR="00C62A14" w:rsidRPr="008D7AA4" w:rsidRDefault="00C62A14" w:rsidP="0060194B">
      <w:pPr>
        <w:pStyle w:val="a6"/>
      </w:pPr>
    </w:p>
  </w:footnote>
  <w:footnote w:id="130">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Shen, </w:t>
      </w:r>
      <w:r w:rsidRPr="003A5B06">
        <w:rPr>
          <w:rFonts w:cstheme="minorHAnsi"/>
        </w:rPr>
        <w:t>H. (2018). Building a Digital Silk Road? Chinese Tech Firms and the Global Internet. Journal of Contemporary China, 27(113), 51</w:t>
      </w:r>
      <w:r>
        <w:rPr>
          <w:rFonts w:cstheme="minorHAnsi"/>
        </w:rPr>
        <w:t>-</w:t>
      </w:r>
      <w:r w:rsidRPr="003A5B06">
        <w:rPr>
          <w:rFonts w:cstheme="minorHAnsi"/>
        </w:rPr>
        <w:t>65</w:t>
      </w:r>
    </w:p>
  </w:footnote>
  <w:footnote w:id="131">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Carnegie Endowment for International Peace. (2022). </w:t>
      </w:r>
      <w:r w:rsidRPr="003A5B06">
        <w:rPr>
          <w:rStyle w:val="a5"/>
          <w:rFonts w:cstheme="minorHAnsi"/>
        </w:rPr>
        <w:t>How Huawei’s Localization in North Africa Delivered Mixed Returns</w:t>
      </w:r>
    </w:p>
  </w:footnote>
  <w:footnote w:id="132">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SpringerLink. </w:t>
      </w:r>
      <w:r w:rsidRPr="003A5B06">
        <w:rPr>
          <w:rFonts w:cstheme="minorHAnsi"/>
        </w:rPr>
        <w:t xml:space="preserve">(2023). </w:t>
      </w:r>
      <w:r w:rsidRPr="003A5B06">
        <w:rPr>
          <w:rStyle w:val="a5"/>
          <w:rFonts w:cstheme="minorHAnsi"/>
        </w:rPr>
        <w:t>China's Smart Infrastructure and Huawei's Localization Strategies in Algeria</w:t>
      </w:r>
      <w:r w:rsidRPr="003A5B06">
        <w:rPr>
          <w:rFonts w:cstheme="minorHAnsi"/>
        </w:rPr>
        <w:t xml:space="preserve">. In: Chen, L. and Wang, H. (eds.) </w:t>
      </w:r>
      <w:r w:rsidRPr="003A5B06">
        <w:rPr>
          <w:rStyle w:val="a5"/>
          <w:rFonts w:cstheme="minorHAnsi"/>
        </w:rPr>
        <w:t>Digital Geopolitics in the Global South</w:t>
      </w:r>
      <w:r w:rsidRPr="003A5B06">
        <w:rPr>
          <w:rFonts w:cstheme="minorHAnsi"/>
        </w:rPr>
        <w:t>. Springer, pp. 219</w:t>
      </w:r>
      <w:r>
        <w:rPr>
          <w:rFonts w:cstheme="minorHAnsi"/>
        </w:rPr>
        <w:t xml:space="preserve">-240. </w:t>
      </w:r>
    </w:p>
  </w:footnote>
  <w:footnote w:id="133">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Council on Foreign Relations (CFR). (2025). </w:t>
      </w:r>
      <w:r w:rsidRPr="003A5B06">
        <w:rPr>
          <w:rFonts w:asciiTheme="minorHAnsi" w:hAnsiTheme="minorHAnsi" w:cstheme="minorHAnsi"/>
          <w:i/>
          <w:iCs/>
          <w:sz w:val="20"/>
          <w:szCs w:val="20"/>
        </w:rPr>
        <w:t>China’s Digital Silk Road</w:t>
      </w:r>
      <w:r w:rsidRPr="003A5B06">
        <w:rPr>
          <w:rFonts w:asciiTheme="minorHAnsi" w:hAnsiTheme="minorHAnsi" w:cstheme="minorHAnsi"/>
          <w:sz w:val="20"/>
          <w:szCs w:val="20"/>
        </w:rPr>
        <w:t>. [online] Available at: https://www.cfr.org/china-digital-silk-road/ [Accessed 2 Jul. 2025].</w:t>
      </w:r>
    </w:p>
    <w:p w:rsidR="00C62A14" w:rsidRPr="00832F7E" w:rsidRDefault="00C62A14" w:rsidP="0060194B">
      <w:pPr>
        <w:pStyle w:val="a6"/>
      </w:pPr>
    </w:p>
  </w:footnote>
  <w:footnote w:id="134">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European Commission. (2020). 5G Security Toolbox Report</w:t>
      </w:r>
    </w:p>
  </w:footnote>
  <w:footnote w:id="135">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Segal, </w:t>
      </w:r>
      <w:r w:rsidRPr="003A5B06">
        <w:rPr>
          <w:rFonts w:cstheme="minorHAnsi"/>
        </w:rPr>
        <w:t>A. (2020). Huawei, the United States, and the Global Struggle for Power. Foreign Affairs, 99(3), 28-36</w:t>
      </w:r>
    </w:p>
    <w:p w:rsidR="00C62A14" w:rsidRPr="003A5B06" w:rsidRDefault="00C62A14" w:rsidP="0060194B">
      <w:pPr>
        <w:pStyle w:val="a6"/>
        <w:rPr>
          <w:rFonts w:cstheme="minorHAnsi"/>
        </w:rPr>
      </w:pPr>
    </w:p>
  </w:footnote>
  <w:footnote w:id="136">
    <w:p w:rsidR="00C62A14" w:rsidRPr="00ED5A0F" w:rsidRDefault="00C62A14" w:rsidP="00ED5A0F">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Huawei</w:t>
      </w:r>
      <w:r w:rsidRPr="003A5B06">
        <w:rPr>
          <w:rFonts w:asciiTheme="minorHAnsi" w:hAnsiTheme="minorHAnsi" w:cstheme="minorHAnsi"/>
          <w:sz w:val="20"/>
          <w:szCs w:val="20"/>
        </w:rPr>
        <w:t xml:space="preserve"> (2019) </w:t>
      </w:r>
      <w:r w:rsidRPr="003A5B06">
        <w:rPr>
          <w:rFonts w:asciiTheme="minorHAnsi" w:hAnsiTheme="minorHAnsi" w:cstheme="minorHAnsi"/>
          <w:i/>
          <w:iCs/>
          <w:sz w:val="20"/>
          <w:szCs w:val="20"/>
        </w:rPr>
        <w:t>Cyber Security Transparency Centre Opens in Brussels</w:t>
      </w:r>
      <w:r w:rsidRPr="003A5B06">
        <w:rPr>
          <w:rFonts w:asciiTheme="minorHAnsi" w:hAnsiTheme="minorHAnsi" w:cstheme="minorHAnsi"/>
          <w:sz w:val="20"/>
          <w:szCs w:val="20"/>
        </w:rPr>
        <w:t>, Press release, 5 March. Available at: https://www.huawei.com/en/news/2019/3/huawei-cyber-security-transparency-centre-</w:t>
      </w:r>
      <w:r>
        <w:rPr>
          <w:rFonts w:asciiTheme="minorHAnsi" w:hAnsiTheme="minorHAnsi" w:cstheme="minorHAnsi"/>
          <w:sz w:val="20"/>
          <w:szCs w:val="20"/>
        </w:rPr>
        <w:t xml:space="preserve">brussels [Accessed 2 Jul. 2025]; </w:t>
      </w:r>
      <w:r w:rsidRPr="00ED5A0F">
        <w:rPr>
          <w:rFonts w:cstheme="minorHAnsi"/>
          <w:sz w:val="20"/>
          <w:szCs w:val="20"/>
          <w:lang w:eastAsia="en-IL"/>
        </w:rPr>
        <w:t>Huawei</w:t>
      </w:r>
      <w:r w:rsidRPr="003A5B06">
        <w:rPr>
          <w:rFonts w:cstheme="minorHAnsi"/>
          <w:sz w:val="20"/>
          <w:szCs w:val="20"/>
          <w:lang w:eastAsia="en-IL"/>
        </w:rPr>
        <w:t xml:space="preserve"> (2019) </w:t>
      </w:r>
      <w:r w:rsidRPr="003A5B06">
        <w:rPr>
          <w:rFonts w:cstheme="minorHAnsi"/>
          <w:i/>
          <w:iCs/>
          <w:sz w:val="20"/>
          <w:szCs w:val="20"/>
          <w:lang w:eastAsia="en-IL"/>
        </w:rPr>
        <w:t>Huawei Cyber Security Evaluation Centre Oversight Board Annual Report 2019</w:t>
      </w:r>
      <w:r w:rsidRPr="003A5B06">
        <w:rPr>
          <w:rFonts w:cstheme="minorHAnsi"/>
          <w:sz w:val="20"/>
          <w:szCs w:val="20"/>
          <w:lang w:eastAsia="en-IL"/>
        </w:rPr>
        <w:t>, HCSEC Oversight Board. Available</w:t>
      </w:r>
      <w:r>
        <w:rPr>
          <w:rFonts w:cstheme="minorHAnsi"/>
          <w:sz w:val="20"/>
          <w:szCs w:val="20"/>
          <w:lang w:eastAsia="en-IL"/>
        </w:rPr>
        <w:t xml:space="preserve"> </w:t>
      </w:r>
      <w:r w:rsidRPr="003A5B06">
        <w:rPr>
          <w:rFonts w:cstheme="minorHAnsi"/>
          <w:sz w:val="20"/>
          <w:szCs w:val="20"/>
          <w:lang w:eastAsia="en-IL"/>
        </w:rPr>
        <w:t>at:https://assets.publishing.service.gov.uk/media/5c9c8a52e5274a528752d590/HCSEC_OversightBoardReport-2019.pdf [Accessed 2 Jul. 2025].</w:t>
      </w:r>
    </w:p>
  </w:footnote>
  <w:footnote w:id="137">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Huawei</w:t>
      </w:r>
      <w:r w:rsidRPr="003A5B06">
        <w:rPr>
          <w:rFonts w:asciiTheme="minorHAnsi" w:hAnsiTheme="minorHAnsi" w:cstheme="minorHAnsi"/>
          <w:sz w:val="20"/>
          <w:szCs w:val="20"/>
        </w:rPr>
        <w:t xml:space="preserve"> (</w:t>
      </w:r>
      <w:proofErr w:type="spellStart"/>
      <w:r w:rsidRPr="003A5B06">
        <w:rPr>
          <w:rFonts w:asciiTheme="minorHAnsi" w:hAnsiTheme="minorHAnsi" w:cstheme="minorHAnsi"/>
          <w:sz w:val="20"/>
          <w:szCs w:val="20"/>
        </w:rPr>
        <w:t>n.d.</w:t>
      </w:r>
      <w:proofErr w:type="spellEnd"/>
      <w:r w:rsidRPr="003A5B06">
        <w:rPr>
          <w:rFonts w:asciiTheme="minorHAnsi" w:hAnsiTheme="minorHAnsi" w:cstheme="minorHAnsi"/>
          <w:sz w:val="20"/>
          <w:szCs w:val="20"/>
        </w:rPr>
        <w:t xml:space="preserve">) </w:t>
      </w:r>
      <w:r w:rsidRPr="003A5B06">
        <w:rPr>
          <w:rFonts w:asciiTheme="minorHAnsi" w:hAnsiTheme="minorHAnsi" w:cstheme="minorHAnsi"/>
          <w:i/>
          <w:iCs/>
          <w:sz w:val="20"/>
          <w:szCs w:val="20"/>
        </w:rPr>
        <w:t>Seeds for the Future, Cultivating ICT Talent to Stimulate Innovation</w:t>
      </w:r>
      <w:r w:rsidRPr="003A5B06">
        <w:rPr>
          <w:rFonts w:asciiTheme="minorHAnsi" w:hAnsiTheme="minorHAnsi" w:cstheme="minorHAnsi"/>
          <w:sz w:val="20"/>
          <w:szCs w:val="20"/>
        </w:rPr>
        <w:t>, Huawei Sustainability Stories. Available at: https://www.huawei.com/en/sustainability/the-latest/stories/seeds-cultivating-ict-talent-to-stimulate-innovation [Accessed 2 Jul. 2025].</w:t>
      </w:r>
    </w:p>
    <w:p w:rsidR="00C62A14" w:rsidRPr="003A5B06" w:rsidRDefault="00C62A14" w:rsidP="0060194B">
      <w:pPr>
        <w:pStyle w:val="a6"/>
        <w:rPr>
          <w:rFonts w:cstheme="minorHAnsi"/>
        </w:rPr>
      </w:pPr>
    </w:p>
  </w:footnote>
  <w:footnote w:id="138">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South China Morning Post</w:t>
      </w:r>
      <w:r w:rsidRPr="003A5B06">
        <w:rPr>
          <w:rFonts w:cstheme="minorHAnsi"/>
        </w:rPr>
        <w:t xml:space="preserve"> (2024) ‘How Huawei Technologies’ Seeds for the Future programme nurtures global talent and drives innovation’, </w:t>
      </w:r>
      <w:r w:rsidRPr="003A5B06">
        <w:rPr>
          <w:rStyle w:val="a5"/>
          <w:rFonts w:cstheme="minorHAnsi"/>
        </w:rPr>
        <w:t>SCMP</w:t>
      </w:r>
      <w:r w:rsidRPr="003A5B06">
        <w:rPr>
          <w:rFonts w:cstheme="minorHAnsi"/>
        </w:rPr>
        <w:t>, 20 Mar</w:t>
      </w:r>
    </w:p>
  </w:footnote>
  <w:footnote w:id="139">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Digitimes </w:t>
      </w:r>
      <w:r w:rsidRPr="003A5B06">
        <w:rPr>
          <w:rFonts w:cstheme="minorHAnsi"/>
        </w:rPr>
        <w:t xml:space="preserve">(2024, Apr 16). </w:t>
      </w:r>
      <w:r w:rsidRPr="003A5B06">
        <w:rPr>
          <w:rStyle w:val="a5"/>
          <w:rFonts w:cstheme="minorHAnsi"/>
        </w:rPr>
        <w:t>Huawei vs Samsung: who leads the global communication equipment market?</w:t>
      </w:r>
      <w:r w:rsidRPr="003A5B06">
        <w:rPr>
          <w:rFonts w:cstheme="minorHAnsi"/>
        </w:rPr>
        <w:t>.</w:t>
      </w:r>
    </w:p>
  </w:footnote>
  <w:footnote w:id="140">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Mobile World Live. (2024). </w:t>
      </w:r>
      <w:r w:rsidRPr="003A5B06">
        <w:rPr>
          <w:rStyle w:val="a5"/>
          <w:rFonts w:cstheme="minorHAnsi"/>
        </w:rPr>
        <w:t>Huawei tops worldwide telecom equipment revenue in 2023</w:t>
      </w:r>
    </w:p>
  </w:footnote>
  <w:footnote w:id="141">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Wall Street Journal</w:t>
      </w:r>
      <w:r w:rsidRPr="003A5B06">
        <w:rPr>
          <w:rFonts w:asciiTheme="minorHAnsi" w:hAnsiTheme="minorHAnsi" w:cstheme="minorHAnsi"/>
          <w:sz w:val="20"/>
          <w:szCs w:val="20"/>
        </w:rPr>
        <w:t xml:space="preserve"> (2020), ‘U.S. Officials Say Huawei Can Covertly Access Telecom Networks’, </w:t>
      </w:r>
      <w:r w:rsidRPr="003A5B06">
        <w:rPr>
          <w:rFonts w:asciiTheme="minorHAnsi" w:hAnsiTheme="minorHAnsi" w:cstheme="minorHAnsi"/>
          <w:i/>
          <w:iCs/>
          <w:sz w:val="20"/>
          <w:szCs w:val="20"/>
        </w:rPr>
        <w:t>WSJ</w:t>
      </w:r>
      <w:r w:rsidRPr="003A5B06">
        <w:rPr>
          <w:rFonts w:asciiTheme="minorHAnsi" w:hAnsiTheme="minorHAnsi" w:cstheme="minorHAnsi"/>
          <w:sz w:val="20"/>
          <w:szCs w:val="20"/>
        </w:rPr>
        <w:t>, 12 February.</w:t>
      </w:r>
    </w:p>
  </w:footnote>
  <w:footnote w:id="142">
    <w:p w:rsidR="00C62A14" w:rsidRPr="003A5B06" w:rsidRDefault="00C62A14" w:rsidP="0060194B">
      <w:pPr>
        <w:pStyle w:val="NormalWeb"/>
        <w:rPr>
          <w:rFonts w:asciiTheme="minorHAnsi" w:hAnsiTheme="minorHAnsi" w:cstheme="minorHAnsi"/>
          <w:sz w:val="20"/>
          <w:szCs w:val="20"/>
        </w:rPr>
      </w:pPr>
      <w:r w:rsidRPr="003A5B06">
        <w:rPr>
          <w:rStyle w:val="a8"/>
          <w:rFonts w:asciiTheme="minorHAnsi" w:hAnsiTheme="minorHAnsi" w:cstheme="minorHAnsi"/>
          <w:sz w:val="20"/>
          <w:szCs w:val="20"/>
        </w:rPr>
        <w:footnoteRef/>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The Verge</w:t>
      </w:r>
      <w:r w:rsidRPr="003A5B06">
        <w:rPr>
          <w:rFonts w:asciiTheme="minorHAnsi" w:hAnsiTheme="minorHAnsi" w:cstheme="minorHAnsi"/>
          <w:sz w:val="20"/>
          <w:szCs w:val="20"/>
        </w:rPr>
        <w:t xml:space="preserve"> (2019), ‘Is Huawei a security threat? Seven experts weigh in’, </w:t>
      </w:r>
      <w:r w:rsidRPr="003A5B06">
        <w:rPr>
          <w:rFonts w:asciiTheme="minorHAnsi" w:hAnsiTheme="minorHAnsi" w:cstheme="minorHAnsi"/>
          <w:i/>
          <w:iCs/>
          <w:sz w:val="20"/>
          <w:szCs w:val="20"/>
        </w:rPr>
        <w:t>The Verge</w:t>
      </w:r>
      <w:r w:rsidRPr="003A5B06">
        <w:rPr>
          <w:rFonts w:asciiTheme="minorHAnsi" w:hAnsiTheme="minorHAnsi" w:cstheme="minorHAnsi"/>
          <w:sz w:val="20"/>
          <w:szCs w:val="20"/>
        </w:rPr>
        <w:t>, 17 March.</w:t>
      </w:r>
    </w:p>
  </w:footnote>
  <w:footnote w:id="143">
    <w:p w:rsidR="00C62A14" w:rsidRPr="003A5B06" w:rsidRDefault="00C62A14" w:rsidP="0060194B">
      <w:pPr>
        <w:pStyle w:val="NormalWeb"/>
        <w:rPr>
          <w:rFonts w:asciiTheme="minorHAnsi" w:hAnsiTheme="minorHAnsi" w:cstheme="minorHAnsi"/>
          <w:sz w:val="20"/>
          <w:szCs w:val="20"/>
        </w:rPr>
      </w:pPr>
      <w:r w:rsidRPr="00ED5A0F">
        <w:rPr>
          <w:rStyle w:val="a8"/>
          <w:rFonts w:asciiTheme="minorHAnsi" w:hAnsiTheme="minorHAnsi" w:cstheme="minorHAnsi"/>
          <w:sz w:val="20"/>
          <w:szCs w:val="20"/>
        </w:rPr>
        <w:footnoteRef/>
      </w:r>
      <w:r w:rsidRPr="00ED5A0F">
        <w:rPr>
          <w:rFonts w:asciiTheme="minorHAnsi" w:hAnsiTheme="minorHAnsi" w:cstheme="minorHAnsi"/>
          <w:sz w:val="20"/>
          <w:szCs w:val="20"/>
        </w:rPr>
        <w:t xml:space="preserve"> Reuters</w:t>
      </w:r>
      <w:r w:rsidRPr="003A5B06">
        <w:rPr>
          <w:rFonts w:asciiTheme="minorHAnsi" w:hAnsiTheme="minorHAnsi" w:cstheme="minorHAnsi"/>
          <w:sz w:val="20"/>
          <w:szCs w:val="20"/>
        </w:rPr>
        <w:t xml:space="preserve"> (2021) ‘U.S. and China wage war beneath the waves over internet cables’, </w:t>
      </w:r>
      <w:r w:rsidRPr="003A5B06">
        <w:rPr>
          <w:rFonts w:asciiTheme="minorHAnsi" w:hAnsiTheme="minorHAnsi" w:cstheme="minorHAnsi"/>
          <w:i/>
          <w:iCs/>
          <w:sz w:val="20"/>
          <w:szCs w:val="20"/>
        </w:rPr>
        <w:t>Reuters</w:t>
      </w:r>
      <w:r w:rsidRPr="003A5B06">
        <w:rPr>
          <w:rFonts w:asciiTheme="minorHAnsi" w:hAnsiTheme="minorHAnsi" w:cstheme="minorHAnsi"/>
          <w:sz w:val="20"/>
          <w:szCs w:val="20"/>
        </w:rPr>
        <w:t>, 20 May</w:t>
      </w:r>
      <w:proofErr w:type="gramStart"/>
      <w:r w:rsidRPr="003A5B06">
        <w:rPr>
          <w:rFonts w:asciiTheme="minorHAnsi" w:hAnsiTheme="minorHAnsi" w:cstheme="minorHAnsi"/>
          <w:sz w:val="20"/>
          <w:szCs w:val="20"/>
        </w:rPr>
        <w:t>.</w:t>
      </w:r>
      <w:r>
        <w:rPr>
          <w:rFonts w:asciiTheme="minorHAnsi" w:hAnsiTheme="minorHAnsi" w:cstheme="minorHAnsi"/>
          <w:sz w:val="20"/>
          <w:szCs w:val="20"/>
        </w:rPr>
        <w:t xml:space="preserve">; </w:t>
      </w:r>
      <w:r w:rsidRPr="003A5B06">
        <w:rPr>
          <w:rFonts w:asciiTheme="minorHAnsi" w:hAnsiTheme="minorHAnsi" w:cstheme="minorHAnsi"/>
          <w:sz w:val="20"/>
          <w:szCs w:val="20"/>
        </w:rPr>
        <w:t xml:space="preserve"> </w:t>
      </w:r>
      <w:r w:rsidRPr="00ED5A0F">
        <w:rPr>
          <w:rFonts w:asciiTheme="minorHAnsi" w:hAnsiTheme="minorHAnsi" w:cstheme="minorHAnsi"/>
          <w:sz w:val="20"/>
          <w:szCs w:val="20"/>
        </w:rPr>
        <w:t>HMN</w:t>
      </w:r>
      <w:proofErr w:type="gramEnd"/>
      <w:r w:rsidRPr="00ED5A0F">
        <w:rPr>
          <w:rFonts w:asciiTheme="minorHAnsi" w:hAnsiTheme="minorHAnsi" w:cstheme="minorHAnsi"/>
          <w:sz w:val="20"/>
          <w:szCs w:val="20"/>
        </w:rPr>
        <w:t xml:space="preserve"> Tech</w:t>
      </w:r>
      <w:r w:rsidRPr="003A5B06">
        <w:rPr>
          <w:rFonts w:asciiTheme="minorHAnsi" w:hAnsiTheme="minorHAnsi" w:cstheme="minorHAnsi"/>
          <w:sz w:val="20"/>
          <w:szCs w:val="20"/>
        </w:rPr>
        <w:t xml:space="preserve"> (2020) ‘Huawei Marine Networks Rebrands as HMN Technologies’, Press Release, 3 Nov.</w:t>
      </w:r>
    </w:p>
    <w:p w:rsidR="00C62A14" w:rsidRPr="00832F7E" w:rsidRDefault="00C62A14" w:rsidP="0060194B">
      <w:pPr>
        <w:spacing w:beforeAutospacing="1" w:after="0" w:afterAutospacing="1" w:line="240" w:lineRule="auto"/>
        <w:ind w:left="720"/>
        <w:rPr>
          <w:rFonts w:ascii="Times New Roman" w:eastAsia="Times New Roman" w:hAnsi="Times New Roman" w:cs="Times New Roman"/>
          <w:sz w:val="20"/>
          <w:szCs w:val="20"/>
          <w:lang w:eastAsia="en-IL"/>
        </w:rPr>
      </w:pPr>
    </w:p>
    <w:p w:rsidR="00C62A14" w:rsidRPr="00622B72" w:rsidRDefault="00C62A14" w:rsidP="0060194B">
      <w:pPr>
        <w:spacing w:beforeAutospacing="1" w:after="0" w:afterAutospacing="1" w:line="240" w:lineRule="auto"/>
        <w:rPr>
          <w:rFonts w:ascii="Times New Roman" w:eastAsia="Times New Roman" w:hAnsi="Times New Roman" w:cs="Times New Roman"/>
          <w:sz w:val="24"/>
          <w:szCs w:val="24"/>
          <w:lang w:eastAsia="en-IL"/>
        </w:rPr>
      </w:pPr>
    </w:p>
    <w:p w:rsidR="00C62A14" w:rsidRPr="00622B72" w:rsidRDefault="00C62A14" w:rsidP="0060194B">
      <w:pPr>
        <w:pStyle w:val="a6"/>
      </w:pPr>
    </w:p>
  </w:footnote>
  <w:footnote w:id="144">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SAP SE. (2021). Integrated Report and Sustainability Factbook</w:t>
      </w:r>
    </w:p>
  </w:footnote>
  <w:footnote w:id="145">
    <w:p w:rsidR="00C62A14" w:rsidRPr="003A5B06" w:rsidRDefault="00C62A14" w:rsidP="0060194B">
      <w:pPr>
        <w:pStyle w:val="a6"/>
        <w:rPr>
          <w:rFonts w:ascii="Times New Roman" w:hAnsi="Times New Roman"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SAP</w:t>
      </w:r>
      <w:r w:rsidRPr="003A5B06">
        <w:rPr>
          <w:rFonts w:cstheme="minorHAnsi"/>
        </w:rPr>
        <w:t xml:space="preserve"> </w:t>
      </w:r>
      <w:r w:rsidRPr="003A5B06">
        <w:rPr>
          <w:rFonts w:cstheme="minorHAnsi"/>
        </w:rPr>
        <w:t xml:space="preserve">(2020) </w:t>
      </w:r>
      <w:r w:rsidRPr="003A5B06">
        <w:rPr>
          <w:rStyle w:val="a5"/>
          <w:rFonts w:cstheme="minorHAnsi"/>
        </w:rPr>
        <w:t>SAP Pre-Announces First Quarter Results, Updates 2020 Outlook</w:t>
      </w:r>
      <w:r w:rsidRPr="003A5B06">
        <w:rPr>
          <w:rFonts w:cstheme="minorHAnsi"/>
        </w:rPr>
        <w:t>, Press Release, 5 February.</w:t>
      </w:r>
    </w:p>
  </w:footnote>
  <w:footnote w:id="146">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Rolland, </w:t>
      </w:r>
      <w:r w:rsidRPr="003A5B06">
        <w:rPr>
          <w:rFonts w:cstheme="minorHAnsi"/>
        </w:rPr>
        <w:t>K. H. &amp; Loebbecke, C. (2007). Identifying and Analyzing Multiple ERP Stakeholders. Communications of the ACM, 50(8), 52</w:t>
      </w:r>
      <w:r>
        <w:rPr>
          <w:rFonts w:cstheme="minorHAnsi"/>
        </w:rPr>
        <w:t>-</w:t>
      </w:r>
      <w:r w:rsidRPr="003A5B06">
        <w:rPr>
          <w:rFonts w:cstheme="minorHAnsi"/>
        </w:rPr>
        <w:t>58</w:t>
      </w:r>
    </w:p>
    <w:p w:rsidR="00C62A14" w:rsidRPr="00832F7E" w:rsidRDefault="00C62A14" w:rsidP="0060194B">
      <w:pPr>
        <w:pStyle w:val="a6"/>
        <w:rPr>
          <w:rFonts w:asciiTheme="majorBidi" w:hAnsiTheme="majorBidi" w:cstheme="majorBidi"/>
        </w:rPr>
      </w:pPr>
    </w:p>
  </w:footnote>
  <w:footnote w:id="147">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SAP</w:t>
      </w:r>
      <w:r w:rsidRPr="003A5B06">
        <w:rPr>
          <w:rFonts w:cstheme="minorHAnsi"/>
        </w:rPr>
        <w:t xml:space="preserve"> (2012). </w:t>
      </w:r>
      <w:r w:rsidRPr="003A5B06">
        <w:rPr>
          <w:rStyle w:val="a5"/>
          <w:rFonts w:cstheme="minorHAnsi"/>
        </w:rPr>
        <w:t>SAP to Acquire Ariba to Create the Business Network of the Future</w:t>
      </w:r>
      <w:r w:rsidRPr="003A5B06">
        <w:rPr>
          <w:rFonts w:cstheme="minorHAnsi"/>
        </w:rPr>
        <w:t>, SAP News Center, 22 May.</w:t>
      </w:r>
    </w:p>
  </w:footnote>
  <w:footnote w:id="148">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SAP</w:t>
      </w:r>
      <w:r w:rsidRPr="003A5B06">
        <w:rPr>
          <w:rFonts w:cstheme="minorHAnsi"/>
        </w:rPr>
        <w:t xml:space="preserve"> </w:t>
      </w:r>
      <w:r w:rsidRPr="003A5B06">
        <w:rPr>
          <w:rFonts w:cstheme="minorHAnsi"/>
        </w:rPr>
        <w:t xml:space="preserve">(2014). </w:t>
      </w:r>
      <w:r w:rsidRPr="003A5B06">
        <w:rPr>
          <w:rStyle w:val="a5"/>
          <w:rFonts w:cstheme="minorHAnsi"/>
        </w:rPr>
        <w:t>SAP to Acquire Concur, Reinforcing Leadership in the Cloud</w:t>
      </w:r>
      <w:r w:rsidRPr="003A5B06">
        <w:rPr>
          <w:rFonts w:cstheme="minorHAnsi"/>
        </w:rPr>
        <w:t>, SAP News Center, 18 September.</w:t>
      </w:r>
    </w:p>
  </w:footnote>
  <w:footnote w:id="149">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Josh </w:t>
      </w:r>
      <w:r w:rsidRPr="00ED5A0F">
        <w:rPr>
          <w:rStyle w:val="a4"/>
          <w:rFonts w:cstheme="minorHAnsi"/>
          <w:b w:val="0"/>
          <w:bCs w:val="0"/>
        </w:rPr>
        <w:t>Bersin</w:t>
      </w:r>
      <w:r w:rsidRPr="003A5B06">
        <w:rPr>
          <w:rFonts w:cstheme="minorHAnsi"/>
        </w:rPr>
        <w:t xml:space="preserve"> (2018) ‘Why Did SAP Pay $8 Billion To Acquire Qualtrics?’, </w:t>
      </w:r>
      <w:r w:rsidRPr="003A5B06">
        <w:rPr>
          <w:rStyle w:val="a5"/>
          <w:rFonts w:cstheme="minorHAnsi"/>
        </w:rPr>
        <w:t>Josh Bersin Blog</w:t>
      </w:r>
      <w:r w:rsidRPr="003A5B06">
        <w:rPr>
          <w:rFonts w:cstheme="minorHAnsi"/>
        </w:rPr>
        <w:t>, 17 November.</w:t>
      </w:r>
    </w:p>
  </w:footnote>
  <w:footnote w:id="150">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AppsRunTheWorld</w:t>
      </w:r>
      <w:r w:rsidRPr="003A5B06">
        <w:rPr>
          <w:rFonts w:cstheme="minorHAnsi"/>
        </w:rPr>
        <w:t xml:space="preserve"> </w:t>
      </w:r>
      <w:r w:rsidRPr="003A5B06">
        <w:rPr>
          <w:rFonts w:cstheme="minorHAnsi"/>
        </w:rPr>
        <w:t xml:space="preserve">(2023) ‘Top 10 ERP Software Vendors, Market Size and Market Forecast’, </w:t>
      </w:r>
      <w:r w:rsidRPr="003A5B06">
        <w:rPr>
          <w:rStyle w:val="a5"/>
          <w:rFonts w:cstheme="minorHAnsi"/>
        </w:rPr>
        <w:t>AppsRunTheWorld</w:t>
      </w:r>
      <w:r w:rsidRPr="003A5B06">
        <w:rPr>
          <w:rFonts w:cstheme="minorHAnsi"/>
        </w:rPr>
        <w:t>.</w:t>
      </w:r>
    </w:p>
  </w:footnote>
  <w:footnote w:id="151">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Büthe, T. &amp; Mattli, W. (2011). The New Global Rulers: The Privatization of Regulation in the World Economy. Princeton: Princeton University Press</w:t>
      </w:r>
    </w:p>
  </w:footnote>
  <w:footnote w:id="152">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SAP </w:t>
      </w:r>
      <w:r w:rsidRPr="00ED5A0F">
        <w:rPr>
          <w:rStyle w:val="a4"/>
          <w:rFonts w:cstheme="minorHAnsi"/>
          <w:b w:val="0"/>
          <w:bCs w:val="0"/>
        </w:rPr>
        <w:t>Community</w:t>
      </w:r>
      <w:r w:rsidRPr="003A5B06">
        <w:rPr>
          <w:rFonts w:cstheme="minorHAnsi"/>
        </w:rPr>
        <w:t xml:space="preserve"> (2023) ‘SAP’s Banking Product </w:t>
      </w:r>
      <w:r>
        <w:rPr>
          <w:rFonts w:cstheme="minorHAnsi"/>
        </w:rPr>
        <w:t>-</w:t>
      </w:r>
      <w:r w:rsidRPr="003A5B06">
        <w:rPr>
          <w:rFonts w:cstheme="minorHAnsi"/>
        </w:rPr>
        <w:t xml:space="preserve"> SAP Financial Services Data Management and Platform’, SAP Community Blog, 2023.</w:t>
      </w:r>
    </w:p>
  </w:footnote>
  <w:footnote w:id="153">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Gaia</w:t>
      </w:r>
      <w:r w:rsidRPr="00ED5A0F">
        <w:rPr>
          <w:rStyle w:val="a4"/>
          <w:rFonts w:cstheme="minorHAnsi"/>
          <w:b w:val="0"/>
          <w:bCs w:val="0"/>
        </w:rPr>
        <w:noBreakHyphen/>
        <w:t xml:space="preserve">X </w:t>
      </w:r>
      <w:r w:rsidRPr="00ED5A0F">
        <w:rPr>
          <w:rStyle w:val="a4"/>
          <w:rFonts w:cstheme="minorHAnsi"/>
          <w:b w:val="0"/>
          <w:bCs w:val="0"/>
        </w:rPr>
        <w:t>Association AISBL</w:t>
      </w:r>
      <w:r w:rsidRPr="003A5B06">
        <w:rPr>
          <w:rStyle w:val="relative"/>
          <w:rFonts w:cstheme="minorHAnsi"/>
        </w:rPr>
        <w:t xml:space="preserve"> (n.d.) </w:t>
      </w:r>
      <w:r w:rsidRPr="003A5B06">
        <w:rPr>
          <w:rStyle w:val="a5"/>
          <w:rFonts w:cstheme="minorHAnsi"/>
        </w:rPr>
        <w:t>Members Directory</w:t>
      </w:r>
      <w:r w:rsidRPr="003A5B06">
        <w:rPr>
          <w:rStyle w:val="relative"/>
          <w:rFonts w:cstheme="minorHAnsi"/>
        </w:rPr>
        <w:t>, Gaia</w:t>
      </w:r>
      <w:r w:rsidRPr="003A5B06">
        <w:rPr>
          <w:rStyle w:val="relative"/>
          <w:rFonts w:cstheme="minorHAnsi"/>
        </w:rPr>
        <w:noBreakHyphen/>
        <w:t>X.</w:t>
      </w:r>
    </w:p>
  </w:footnote>
  <w:footnote w:id="154">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SAP </w:t>
      </w:r>
      <w:r w:rsidRPr="00ED5A0F">
        <w:rPr>
          <w:rStyle w:val="a4"/>
          <w:rFonts w:cstheme="minorHAnsi"/>
          <w:b w:val="0"/>
          <w:bCs w:val="0"/>
        </w:rPr>
        <w:t>Help Portal</w:t>
      </w:r>
      <w:r w:rsidRPr="003A5B06">
        <w:rPr>
          <w:rFonts w:cstheme="minorHAnsi"/>
        </w:rPr>
        <w:t xml:space="preserve">. (n.d.) </w:t>
      </w:r>
      <w:r w:rsidRPr="003A5B06">
        <w:rPr>
          <w:rStyle w:val="a5"/>
          <w:rFonts w:cstheme="minorHAnsi"/>
        </w:rPr>
        <w:t>About the General Data Protection Regulation (GDPR)</w:t>
      </w:r>
      <w:r w:rsidRPr="003A5B06">
        <w:rPr>
          <w:rFonts w:cstheme="minorHAnsi"/>
        </w:rPr>
        <w:t>. Available at: https://help.sap.com/docs/SAP_UPSCALE_COMMERCE/a18d58566bd046f0a5eeccd138ce18 [Accessed 2 Jul. 2025].</w:t>
      </w:r>
    </w:p>
  </w:footnote>
  <w:footnote w:id="155">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European </w:t>
      </w:r>
      <w:r w:rsidRPr="003A5B06">
        <w:rPr>
          <w:rFonts w:cstheme="minorHAnsi"/>
        </w:rPr>
        <w:t>Commission. (2020). European Data Strategy</w:t>
      </w:r>
    </w:p>
  </w:footnote>
  <w:footnote w:id="156">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SAP </w:t>
      </w:r>
      <w:r w:rsidRPr="00ED5A0F">
        <w:rPr>
          <w:rStyle w:val="a4"/>
          <w:rFonts w:cstheme="minorHAnsi"/>
          <w:b w:val="0"/>
          <w:bCs w:val="0"/>
        </w:rPr>
        <w:t>SE</w:t>
      </w:r>
      <w:r w:rsidRPr="003A5B06">
        <w:rPr>
          <w:rStyle w:val="relative"/>
          <w:rFonts w:cstheme="minorHAnsi"/>
        </w:rPr>
        <w:t xml:space="preserve"> (2025) </w:t>
      </w:r>
      <w:r w:rsidRPr="003A5B06">
        <w:rPr>
          <w:rStyle w:val="a5"/>
          <w:rFonts w:cstheme="minorHAnsi"/>
        </w:rPr>
        <w:t>Support, Services and Engagements ISO 27001 Certificate</w:t>
      </w:r>
      <w:r w:rsidRPr="003A5B06">
        <w:rPr>
          <w:rStyle w:val="relative"/>
          <w:rFonts w:cstheme="minorHAnsi"/>
        </w:rPr>
        <w:t>.</w:t>
      </w:r>
    </w:p>
  </w:footnote>
  <w:footnote w:id="157">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Reuters</w:t>
      </w:r>
      <w:r w:rsidRPr="003A5B06">
        <w:rPr>
          <w:rFonts w:cstheme="minorHAnsi"/>
        </w:rPr>
        <w:t xml:space="preserve"> (2022) ‘SAP ordered to repay $23.1 million over irregular South African contracts’, </w:t>
      </w:r>
      <w:r w:rsidRPr="003A5B06">
        <w:rPr>
          <w:rStyle w:val="a5"/>
          <w:rFonts w:cstheme="minorHAnsi"/>
        </w:rPr>
        <w:t>Reuters</w:t>
      </w:r>
      <w:r w:rsidRPr="003A5B06">
        <w:rPr>
          <w:rFonts w:cstheme="minorHAnsi"/>
        </w:rPr>
        <w:t>, 17 March.</w:t>
      </w:r>
    </w:p>
  </w:footnote>
  <w:footnote w:id="158">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ED5A0F">
        <w:rPr>
          <w:rStyle w:val="a4"/>
          <w:rFonts w:cstheme="minorHAnsi"/>
          <w:b w:val="0"/>
          <w:bCs w:val="0"/>
        </w:rPr>
        <w:t xml:space="preserve">U.S. </w:t>
      </w:r>
      <w:r w:rsidRPr="00ED5A0F">
        <w:rPr>
          <w:rStyle w:val="a4"/>
          <w:rFonts w:cstheme="minorHAnsi"/>
          <w:b w:val="0"/>
          <w:bCs w:val="0"/>
        </w:rPr>
        <w:t>Department of Justice &amp; SEC</w:t>
      </w:r>
      <w:r w:rsidRPr="003A5B06">
        <w:rPr>
          <w:rFonts w:cstheme="minorHAnsi"/>
        </w:rPr>
        <w:t xml:space="preserve"> (2024) ‘SAP Agrees to Pay Over $220 Million to Resolve Foreign Bribery Investigations’, Comsure / DOJ press release, 10 January.</w:t>
      </w:r>
    </w:p>
  </w:footnote>
  <w:footnote w:id="159">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Gorwa, </w:t>
      </w:r>
      <w:r w:rsidRPr="003A5B06">
        <w:rPr>
          <w:rFonts w:cstheme="minorHAnsi"/>
        </w:rPr>
        <w:t>R. (2019). The Platform Governance Triangle. Internet Policy Review, 8(2)</w:t>
      </w:r>
    </w:p>
  </w:footnote>
  <w:footnote w:id="160">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George, </w:t>
      </w:r>
      <w:r w:rsidRPr="003A5B06">
        <w:rPr>
          <w:rFonts w:cstheme="minorHAnsi"/>
        </w:rPr>
        <w:t>A. L. &amp; Bennett, A. (2005). Case Studies and Theory Development in the Social Sciences. Cambridge, MA: MIT Press</w:t>
      </w:r>
    </w:p>
  </w:footnote>
  <w:footnote w:id="161">
    <w:p w:rsidR="00C62A14" w:rsidRPr="003A5B06" w:rsidRDefault="00C62A14" w:rsidP="0060194B">
      <w:pPr>
        <w:pStyle w:val="a6"/>
        <w:rPr>
          <w:rFonts w:cstheme="minorHAnsi"/>
        </w:rPr>
      </w:pPr>
      <w:r w:rsidRPr="003A5B06">
        <w:rPr>
          <w:rStyle w:val="a8"/>
          <w:rFonts w:cstheme="minorHAnsi"/>
        </w:rPr>
        <w:footnoteRef/>
      </w:r>
      <w:r w:rsidRPr="003A5B06">
        <w:rPr>
          <w:rFonts w:cstheme="minorHAnsi"/>
        </w:rPr>
        <w:t xml:space="preserve"> </w:t>
      </w:r>
      <w:r w:rsidRPr="003A5B06">
        <w:rPr>
          <w:rFonts w:cstheme="minorHAnsi"/>
        </w:rPr>
        <w:t xml:space="preserve">Klonick, </w:t>
      </w:r>
      <w:r w:rsidRPr="003A5B06">
        <w:rPr>
          <w:rFonts w:cstheme="minorHAnsi"/>
        </w:rPr>
        <w:t>K. (2018). The New Governors. Harvard Law Review, 131(6), 1598</w:t>
      </w:r>
      <w:r>
        <w:rPr>
          <w:rFonts w:cstheme="minorHAnsi"/>
        </w:rPr>
        <w:t>-</w:t>
      </w:r>
      <w:r w:rsidRPr="003A5B06">
        <w:rPr>
          <w:rFonts w:cstheme="minorHAnsi"/>
        </w:rPr>
        <w:t>1670</w:t>
      </w:r>
    </w:p>
  </w:footnote>
  <w:footnote w:id="162">
    <w:p w:rsidR="00C62A14" w:rsidRPr="002113D6" w:rsidRDefault="00C62A14" w:rsidP="0060194B">
      <w:pPr>
        <w:pStyle w:val="a6"/>
        <w:rPr>
          <w:rFonts w:cstheme="minorHAnsi"/>
        </w:rPr>
      </w:pPr>
      <w:r w:rsidRPr="002113D6">
        <w:rPr>
          <w:rStyle w:val="a8"/>
          <w:rFonts w:cstheme="minorHAnsi"/>
        </w:rPr>
        <w:footnoteRef/>
      </w:r>
      <w:r w:rsidRPr="002113D6">
        <w:rPr>
          <w:rFonts w:cstheme="minorHAnsi"/>
        </w:rPr>
        <w:t xml:space="preserve"> </w:t>
      </w:r>
      <w:r w:rsidRPr="002113D6">
        <w:rPr>
          <w:rFonts w:cstheme="minorHAnsi"/>
        </w:rPr>
        <w:t>Shen, H. (2018). Building a Digital Silk Road? Chinese Tech Firms and the Global Internet. Journal</w:t>
      </w:r>
      <w:r w:rsidRPr="00832F7E">
        <w:rPr>
          <w:rFonts w:asciiTheme="majorBidi" w:hAnsiTheme="majorBidi" w:cstheme="majorBidi"/>
        </w:rPr>
        <w:t xml:space="preserve"> of </w:t>
      </w:r>
      <w:r w:rsidRPr="002113D6">
        <w:rPr>
          <w:rFonts w:cstheme="minorHAnsi"/>
        </w:rPr>
        <w:t>Contemporary China, 27(113), 51-65</w:t>
      </w:r>
    </w:p>
  </w:footnote>
  <w:footnote w:id="163">
    <w:p w:rsidR="00C62A14" w:rsidRPr="00832F7E" w:rsidRDefault="00C62A14" w:rsidP="00ED5A0F">
      <w:pPr>
        <w:pStyle w:val="a6"/>
        <w:rPr>
          <w:rFonts w:asciiTheme="majorBidi" w:hAnsiTheme="majorBidi" w:cstheme="majorBidi"/>
        </w:rPr>
      </w:pPr>
      <w:r w:rsidRPr="00832F7E">
        <w:rPr>
          <w:rStyle w:val="a8"/>
          <w:rFonts w:asciiTheme="majorBidi" w:hAnsiTheme="majorBidi" w:cstheme="majorBidi"/>
        </w:rPr>
        <w:footnoteRef/>
      </w:r>
      <w:r w:rsidRPr="00832F7E">
        <w:rPr>
          <w:rFonts w:asciiTheme="majorBidi" w:hAnsiTheme="majorBidi" w:cstheme="majorBidi"/>
        </w:rPr>
        <w:t xml:space="preserve"> </w:t>
      </w:r>
      <w:r w:rsidRPr="00ED5A0F">
        <w:rPr>
          <w:rStyle w:val="a4"/>
          <w:rFonts w:asciiTheme="majorBidi" w:hAnsiTheme="majorBidi"/>
          <w:b w:val="0"/>
          <w:bCs w:val="0"/>
        </w:rPr>
        <w:t xml:space="preserve">Zysman, </w:t>
      </w:r>
      <w:r w:rsidRPr="00ED5A0F">
        <w:rPr>
          <w:rStyle w:val="a4"/>
          <w:rFonts w:asciiTheme="majorBidi" w:hAnsiTheme="majorBidi"/>
          <w:b w:val="0"/>
          <w:bCs w:val="0"/>
        </w:rPr>
        <w:t>J. and Newman, A.</w:t>
      </w:r>
      <w:r w:rsidRPr="00832F7E">
        <w:rPr>
          <w:rFonts w:asciiTheme="majorBidi" w:hAnsiTheme="majorBidi" w:cstheme="majorBidi"/>
        </w:rPr>
        <w:t xml:space="preserve"> (2006) ‘The Market, the State, and the Institutions of Governance’, in: </w:t>
      </w:r>
      <w:r w:rsidRPr="00832F7E">
        <w:rPr>
          <w:rStyle w:val="a5"/>
          <w:rFonts w:asciiTheme="majorBidi" w:hAnsiTheme="majorBidi"/>
        </w:rPr>
        <w:t>How Revolutionary Was the Digital Revolution?</w:t>
      </w:r>
      <w:r w:rsidRPr="00832F7E">
        <w:rPr>
          <w:rFonts w:asciiTheme="majorBidi" w:hAnsiTheme="majorBidi" w:cstheme="majorBidi"/>
        </w:rPr>
        <w:t>, Stanford University Press, pp. 287</w:t>
      </w:r>
      <w:r>
        <w:rPr>
          <w:rFonts w:asciiTheme="majorBidi" w:hAnsiTheme="majorBidi" w:cstheme="majorBidi"/>
          <w:lang w:val="en-US"/>
        </w:rPr>
        <w:t>-</w:t>
      </w:r>
      <w:r w:rsidRPr="00832F7E">
        <w:rPr>
          <w:rFonts w:asciiTheme="majorBidi" w:hAnsiTheme="majorBidi" w:cstheme="majorBidi"/>
        </w:rPr>
        <w:t>311.</w:t>
      </w:r>
    </w:p>
    <w:p w:rsidR="00C62A14" w:rsidRPr="00832F7E" w:rsidRDefault="00C62A14" w:rsidP="00ED5A0F">
      <w:pPr>
        <w:pStyle w:val="a6"/>
        <w:rPr>
          <w:rFonts w:asciiTheme="majorBidi" w:hAnsiTheme="majorBidi" w:cstheme="majorBidi"/>
        </w:rPr>
      </w:pPr>
      <w:r w:rsidRPr="00ED5A0F">
        <w:rPr>
          <w:rStyle w:val="a4"/>
          <w:rFonts w:asciiTheme="majorBidi" w:hAnsiTheme="majorBidi"/>
          <w:b w:val="0"/>
          <w:bCs w:val="0"/>
        </w:rPr>
        <w:t>Farrell, H. and Newman, A.L.</w:t>
      </w:r>
      <w:r w:rsidRPr="00832F7E">
        <w:rPr>
          <w:rFonts w:asciiTheme="majorBidi" w:hAnsiTheme="majorBidi" w:cstheme="majorBidi"/>
        </w:rPr>
        <w:t xml:space="preserve"> (2019) ‘Weaponized Interdependence: How Global Economic Networks Shape State Coercion’, </w:t>
      </w:r>
      <w:r w:rsidRPr="00832F7E">
        <w:rPr>
          <w:rStyle w:val="a5"/>
          <w:rFonts w:asciiTheme="majorBidi" w:hAnsiTheme="majorBidi"/>
        </w:rPr>
        <w:t>International Security</w:t>
      </w:r>
      <w:r w:rsidRPr="00832F7E">
        <w:rPr>
          <w:rFonts w:asciiTheme="majorBidi" w:hAnsiTheme="majorBidi" w:cstheme="majorBidi"/>
        </w:rPr>
        <w:t>, 44(1), pp. 42</w:t>
      </w:r>
      <w:r>
        <w:rPr>
          <w:rFonts w:asciiTheme="majorBidi" w:hAnsiTheme="majorBidi" w:cstheme="majorBidi"/>
          <w:lang w:val="en-US"/>
        </w:rPr>
        <w:t>-</w:t>
      </w:r>
      <w:r w:rsidRPr="00832F7E">
        <w:rPr>
          <w:rFonts w:asciiTheme="majorBidi" w:hAnsiTheme="majorBidi" w:cstheme="majorBidi"/>
        </w:rPr>
        <w:t>79.</w:t>
      </w:r>
    </w:p>
  </w:footnote>
  <w:footnote w:id="164">
    <w:p w:rsidR="00C62A14" w:rsidRPr="00DC4E52" w:rsidRDefault="00C62A14" w:rsidP="00AD38FB">
      <w:pPr>
        <w:rPr>
          <w:rFonts w:asciiTheme="majorHAnsi" w:hAnsiTheme="majorHAnsi" w:cstheme="maj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r w:rsidRPr="00DE059B">
        <w:rPr>
          <w:rFonts w:cstheme="minorHAnsi"/>
          <w:sz w:val="20"/>
          <w:szCs w:val="20"/>
        </w:rPr>
        <w:t xml:space="preserve">Barrett, P.M. (2023). </w:t>
      </w:r>
      <w:r w:rsidRPr="00DE059B">
        <w:rPr>
          <w:rFonts w:cstheme="minorHAnsi"/>
          <w:i/>
          <w:iCs/>
          <w:sz w:val="20"/>
          <w:szCs w:val="20"/>
        </w:rPr>
        <w:t>Meta’s Oversight Board and the Need for a New Theory of Online Speech</w:t>
      </w:r>
      <w:r w:rsidRPr="00DE059B">
        <w:rPr>
          <w:rFonts w:cstheme="minorHAnsi"/>
          <w:sz w:val="20"/>
          <w:szCs w:val="20"/>
        </w:rPr>
        <w:t xml:space="preserve">. </w:t>
      </w:r>
      <w:proofErr w:type="spellStart"/>
      <w:r w:rsidRPr="00DE059B">
        <w:rPr>
          <w:rFonts w:cstheme="minorHAnsi"/>
          <w:sz w:val="20"/>
          <w:szCs w:val="20"/>
        </w:rPr>
        <w:t>Lawfare</w:t>
      </w:r>
      <w:proofErr w:type="spellEnd"/>
      <w:r w:rsidRPr="00DE059B">
        <w:rPr>
          <w:rFonts w:cstheme="minorHAnsi"/>
          <w:sz w:val="20"/>
          <w:szCs w:val="20"/>
        </w:rPr>
        <w:t xml:space="preserve">. Available at: </w:t>
      </w:r>
      <w:hyperlink r:id="rId7" w:history="1">
        <w:r w:rsidRPr="00DE059B">
          <w:rPr>
            <w:rStyle w:val="Hyperlink"/>
            <w:rFonts w:cstheme="minorHAnsi"/>
            <w:sz w:val="20"/>
            <w:szCs w:val="20"/>
          </w:rPr>
          <w:t>https://www.lawfareblog.com/metas-oversight-board-and-need-new-theory-online-speech</w:t>
        </w:r>
      </w:hyperlink>
      <w:r w:rsidRPr="00DE059B">
        <w:rPr>
          <w:rFonts w:cstheme="minorHAnsi"/>
          <w:sz w:val="20"/>
          <w:szCs w:val="20"/>
        </w:rPr>
        <w:t xml:space="preserve"> [Accessed 2 Jul. 2025]</w:t>
      </w:r>
    </w:p>
    <w:p w:rsidR="00C62A14" w:rsidRDefault="00C62A14" w:rsidP="00AD38FB">
      <w:pPr>
        <w:pStyle w:val="a6"/>
      </w:pPr>
    </w:p>
  </w:footnote>
  <w:footnote w:id="165">
    <w:p w:rsidR="00C62A14" w:rsidRPr="00DE059B" w:rsidRDefault="00C62A14" w:rsidP="00AD38FB">
      <w:pPr>
        <w:pStyle w:val="NormalWeb"/>
        <w:rPr>
          <w:rFonts w:asciiTheme="minorHAnsi" w:hAnsiTheme="minorHAnsi" w:cstheme="min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r w:rsidRPr="00DE059B">
        <w:rPr>
          <w:rFonts w:asciiTheme="minorHAnsi" w:hAnsiTheme="minorHAnsi" w:cstheme="minorHAnsi"/>
          <w:sz w:val="20"/>
          <w:szCs w:val="20"/>
        </w:rPr>
        <w:t xml:space="preserve">Srivastava, S. (2023). </w:t>
      </w:r>
      <w:r w:rsidRPr="00DE059B">
        <w:rPr>
          <w:rStyle w:val="a5"/>
          <w:rFonts w:asciiTheme="minorHAnsi" w:hAnsiTheme="minorHAnsi" w:cstheme="minorHAnsi"/>
          <w:sz w:val="20"/>
          <w:szCs w:val="20"/>
        </w:rPr>
        <w:t>Meta’s Mandate-Free Governance: How to Think about Facebook and the Oversight Board</w:t>
      </w:r>
      <w:r w:rsidRPr="00DE059B">
        <w:rPr>
          <w:rFonts w:asciiTheme="minorHAnsi" w:hAnsiTheme="minorHAnsi" w:cstheme="minorHAnsi"/>
          <w:sz w:val="20"/>
          <w:szCs w:val="20"/>
        </w:rPr>
        <w:t xml:space="preserve">. New </w:t>
      </w:r>
      <w:proofErr w:type="spellStart"/>
      <w:proofErr w:type="gramStart"/>
      <w:r w:rsidRPr="00DE059B">
        <w:rPr>
          <w:rFonts w:asciiTheme="minorHAnsi" w:hAnsiTheme="minorHAnsi" w:cstheme="minorHAnsi"/>
          <w:sz w:val="20"/>
          <w:szCs w:val="20"/>
        </w:rPr>
        <w:t>America,Planetary</w:t>
      </w:r>
      <w:proofErr w:type="spellEnd"/>
      <w:proofErr w:type="gramEnd"/>
      <w:r w:rsidRPr="00DE059B">
        <w:rPr>
          <w:rFonts w:asciiTheme="minorHAnsi" w:hAnsiTheme="minorHAnsi" w:cstheme="minorHAnsi"/>
          <w:sz w:val="20"/>
          <w:szCs w:val="20"/>
        </w:rPr>
        <w:t xml:space="preserve"> Politics Blog, 24 March. Available at: </w:t>
      </w:r>
      <w:hyperlink r:id="rId8" w:history="1">
        <w:r w:rsidRPr="00DE059B">
          <w:rPr>
            <w:rStyle w:val="Hyperlink"/>
            <w:rFonts w:asciiTheme="minorHAnsi" w:eastAsiaTheme="majorEastAsia" w:hAnsiTheme="minorHAnsi" w:cstheme="minorHAnsi"/>
            <w:sz w:val="20"/>
            <w:szCs w:val="20"/>
          </w:rPr>
          <w:t>https://www.newamerica.org/planetary-politics/blog/meta-mandate-free-governance</w:t>
        </w:r>
      </w:hyperlink>
      <w:r w:rsidRPr="00DE059B">
        <w:rPr>
          <w:rFonts w:asciiTheme="minorHAnsi" w:hAnsiTheme="minorHAnsi" w:cstheme="minorHAnsi"/>
          <w:sz w:val="20"/>
          <w:szCs w:val="20"/>
        </w:rPr>
        <w:t xml:space="preserve"> [Accessed 2 Jul. 2025].</w:t>
      </w:r>
    </w:p>
    <w:p w:rsidR="00C62A14" w:rsidRDefault="00C62A14" w:rsidP="00AD38FB">
      <w:pPr>
        <w:pStyle w:val="a6"/>
      </w:pPr>
    </w:p>
  </w:footnote>
  <w:footnote w:id="166">
    <w:p w:rsidR="00C62A14" w:rsidRPr="00DE059B" w:rsidRDefault="00C62A14" w:rsidP="00AD38FB">
      <w:pPr>
        <w:pStyle w:val="NormalWeb"/>
        <w:rPr>
          <w:rFonts w:asciiTheme="minorHAnsi" w:hAnsiTheme="minorHAnsi" w:cstheme="minorHAnsi"/>
          <w:sz w:val="20"/>
          <w:szCs w:val="20"/>
        </w:rPr>
      </w:pPr>
      <w:r w:rsidRPr="00DC4E52">
        <w:rPr>
          <w:rStyle w:val="a8"/>
          <w:rFonts w:asciiTheme="majorHAnsi" w:hAnsiTheme="majorHAnsi" w:cstheme="majorHAnsi"/>
        </w:rPr>
        <w:footnoteRef/>
      </w:r>
      <w:r w:rsidRPr="00DC4E52">
        <w:rPr>
          <w:rFonts w:asciiTheme="majorHAnsi" w:hAnsiTheme="majorHAnsi" w:cstheme="majorHAnsi"/>
        </w:rPr>
        <w:t xml:space="preserve"> </w:t>
      </w:r>
      <w:proofErr w:type="spellStart"/>
      <w:r w:rsidRPr="00DE059B">
        <w:rPr>
          <w:rFonts w:asciiTheme="minorHAnsi" w:hAnsiTheme="minorHAnsi" w:cstheme="minorHAnsi"/>
          <w:sz w:val="20"/>
          <w:szCs w:val="20"/>
        </w:rPr>
        <w:t>Silberling</w:t>
      </w:r>
      <w:proofErr w:type="spellEnd"/>
      <w:r w:rsidRPr="00DE059B">
        <w:rPr>
          <w:rFonts w:asciiTheme="minorHAnsi" w:hAnsiTheme="minorHAnsi" w:cstheme="minorHAnsi"/>
          <w:sz w:val="20"/>
          <w:szCs w:val="20"/>
        </w:rPr>
        <w:t xml:space="preserve">, A. (2023). </w:t>
      </w:r>
      <w:r w:rsidRPr="00DE059B">
        <w:rPr>
          <w:rStyle w:val="a5"/>
          <w:rFonts w:asciiTheme="minorHAnsi" w:hAnsiTheme="minorHAnsi" w:cstheme="minorHAnsi"/>
          <w:sz w:val="20"/>
          <w:szCs w:val="20"/>
        </w:rPr>
        <w:t>Facebook surpasses 3 billion monthly active users</w:t>
      </w:r>
      <w:r w:rsidRPr="00DE059B">
        <w:rPr>
          <w:rFonts w:asciiTheme="minorHAnsi" w:hAnsiTheme="minorHAnsi" w:cstheme="minorHAnsi"/>
          <w:sz w:val="20"/>
          <w:szCs w:val="20"/>
        </w:rPr>
        <w:t xml:space="preserve">. TechCrunch, 26 July. Available at: </w:t>
      </w:r>
      <w:hyperlink r:id="rId9" w:history="1">
        <w:r w:rsidRPr="00DE059B">
          <w:rPr>
            <w:rStyle w:val="Hyperlink"/>
            <w:rFonts w:asciiTheme="minorHAnsi" w:eastAsiaTheme="majorEastAsia" w:hAnsiTheme="minorHAnsi" w:cstheme="minorHAnsi"/>
            <w:sz w:val="20"/>
            <w:szCs w:val="20"/>
          </w:rPr>
          <w:t>https://techcrunch.com/2023/07/26/facebook-3-billion-users</w:t>
        </w:r>
      </w:hyperlink>
      <w:r w:rsidRPr="00DE059B">
        <w:rPr>
          <w:rFonts w:asciiTheme="minorHAnsi" w:hAnsiTheme="minorHAnsi" w:cstheme="minorHAnsi"/>
          <w:sz w:val="20"/>
          <w:szCs w:val="20"/>
        </w:rPr>
        <w:t xml:space="preserve"> [Accessed 2 Jul. 2025].</w:t>
      </w:r>
    </w:p>
  </w:footnote>
  <w:footnote w:id="167">
    <w:p w:rsidR="00C62A14" w:rsidRPr="00DE059B" w:rsidRDefault="00C62A14" w:rsidP="00AD38FB">
      <w:pPr>
        <w:pStyle w:val="NormalWeb"/>
        <w:rPr>
          <w:rFonts w:asciiTheme="minorHAnsi" w:hAnsiTheme="minorHAnsi" w:cstheme="min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r w:rsidRPr="00DE059B">
        <w:rPr>
          <w:rFonts w:asciiTheme="minorHAnsi" w:hAnsiTheme="minorHAnsi" w:cstheme="minorHAnsi"/>
          <w:sz w:val="20"/>
          <w:szCs w:val="20"/>
        </w:rPr>
        <w:t xml:space="preserve">Meta. (2024). </w:t>
      </w:r>
      <w:r w:rsidRPr="00DE059B">
        <w:rPr>
          <w:rStyle w:val="a5"/>
          <w:rFonts w:asciiTheme="minorHAnsi" w:hAnsiTheme="minorHAnsi" w:cstheme="minorHAnsi"/>
          <w:sz w:val="20"/>
          <w:szCs w:val="20"/>
        </w:rPr>
        <w:t xml:space="preserve">Meta’s AI Research Advances with </w:t>
      </w:r>
      <w:proofErr w:type="spellStart"/>
      <w:r w:rsidRPr="00DE059B">
        <w:rPr>
          <w:rStyle w:val="a5"/>
          <w:rFonts w:asciiTheme="minorHAnsi" w:hAnsiTheme="minorHAnsi" w:cstheme="minorHAnsi"/>
          <w:sz w:val="20"/>
          <w:szCs w:val="20"/>
        </w:rPr>
        <w:t>LLaMA</w:t>
      </w:r>
      <w:proofErr w:type="spellEnd"/>
      <w:r w:rsidRPr="00DE059B">
        <w:rPr>
          <w:rStyle w:val="a5"/>
          <w:rFonts w:asciiTheme="minorHAnsi" w:hAnsiTheme="minorHAnsi" w:cstheme="minorHAnsi"/>
          <w:sz w:val="20"/>
          <w:szCs w:val="20"/>
        </w:rPr>
        <w:t xml:space="preserve"> 3</w:t>
      </w:r>
      <w:r w:rsidRPr="00DE059B">
        <w:rPr>
          <w:rFonts w:asciiTheme="minorHAnsi" w:hAnsiTheme="minorHAnsi" w:cstheme="minorHAnsi"/>
          <w:sz w:val="20"/>
          <w:szCs w:val="20"/>
        </w:rPr>
        <w:t xml:space="preserve">. Meta AI Blog. Available at: </w:t>
      </w:r>
      <w:hyperlink r:id="rId10" w:history="1">
        <w:r w:rsidRPr="00DE059B">
          <w:rPr>
            <w:rStyle w:val="Hyperlink"/>
            <w:rFonts w:asciiTheme="minorHAnsi" w:eastAsiaTheme="majorEastAsia" w:hAnsiTheme="minorHAnsi" w:cstheme="minorHAnsi"/>
            <w:sz w:val="20"/>
            <w:szCs w:val="20"/>
          </w:rPr>
          <w:t>https://ai.meta.com/blog/llama-3-meta-generative-ai-models</w:t>
        </w:r>
      </w:hyperlink>
      <w:r w:rsidRPr="00DE059B">
        <w:rPr>
          <w:rFonts w:asciiTheme="minorHAnsi" w:hAnsiTheme="minorHAnsi" w:cstheme="minorHAnsi"/>
          <w:sz w:val="20"/>
          <w:szCs w:val="20"/>
        </w:rPr>
        <w:t xml:space="preserve"> [Accessed 2 Jul. 2025].</w:t>
      </w:r>
    </w:p>
  </w:footnote>
  <w:footnote w:id="168">
    <w:p w:rsidR="00C62A14" w:rsidRPr="00DE059B" w:rsidRDefault="00C62A14" w:rsidP="00AD38FB">
      <w:pPr>
        <w:pStyle w:val="NormalWeb"/>
        <w:rPr>
          <w:rFonts w:asciiTheme="minorHAnsi" w:hAnsiTheme="minorHAnsi" w:cstheme="min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proofErr w:type="spellStart"/>
      <w:r w:rsidRPr="00DE059B">
        <w:rPr>
          <w:rFonts w:asciiTheme="minorHAnsi" w:hAnsiTheme="minorHAnsi" w:cstheme="minorHAnsi"/>
          <w:sz w:val="20"/>
          <w:szCs w:val="20"/>
        </w:rPr>
        <w:t>Desmarais</w:t>
      </w:r>
      <w:proofErr w:type="spellEnd"/>
      <w:r w:rsidRPr="00DE059B">
        <w:rPr>
          <w:rFonts w:asciiTheme="minorHAnsi" w:hAnsiTheme="minorHAnsi" w:cstheme="minorHAnsi"/>
          <w:sz w:val="20"/>
          <w:szCs w:val="20"/>
        </w:rPr>
        <w:t xml:space="preserve">, A. (2025). </w:t>
      </w:r>
      <w:r w:rsidRPr="00DE059B">
        <w:rPr>
          <w:rStyle w:val="a5"/>
          <w:rFonts w:asciiTheme="minorHAnsi" w:hAnsiTheme="minorHAnsi" w:cstheme="minorHAnsi"/>
          <w:sz w:val="20"/>
          <w:szCs w:val="20"/>
        </w:rPr>
        <w:t>Meta to build ‘ambitious’ 50,000 km subsea cable around the world</w:t>
      </w:r>
      <w:r w:rsidRPr="00DE059B">
        <w:rPr>
          <w:rFonts w:asciiTheme="minorHAnsi" w:hAnsiTheme="minorHAnsi" w:cstheme="minorHAnsi"/>
          <w:sz w:val="20"/>
          <w:szCs w:val="20"/>
        </w:rPr>
        <w:t xml:space="preserve">. </w:t>
      </w:r>
      <w:proofErr w:type="spellStart"/>
      <w:r w:rsidRPr="00DE059B">
        <w:rPr>
          <w:rFonts w:asciiTheme="minorHAnsi" w:hAnsiTheme="minorHAnsi" w:cstheme="minorHAnsi"/>
          <w:sz w:val="20"/>
          <w:szCs w:val="20"/>
        </w:rPr>
        <w:t>Euronews</w:t>
      </w:r>
      <w:proofErr w:type="spellEnd"/>
      <w:r w:rsidRPr="00DE059B">
        <w:rPr>
          <w:rFonts w:asciiTheme="minorHAnsi" w:hAnsiTheme="minorHAnsi" w:cstheme="minorHAnsi"/>
          <w:sz w:val="20"/>
          <w:szCs w:val="20"/>
        </w:rPr>
        <w:t xml:space="preserve"> Next, 18 February. Available at: </w:t>
      </w:r>
      <w:hyperlink r:id="rId11" w:history="1">
        <w:r w:rsidRPr="00DE059B">
          <w:rPr>
            <w:rStyle w:val="Hyperlink"/>
            <w:rFonts w:asciiTheme="minorHAnsi" w:eastAsiaTheme="majorEastAsia" w:hAnsiTheme="minorHAnsi" w:cstheme="minorHAnsi"/>
            <w:sz w:val="20"/>
            <w:szCs w:val="20"/>
          </w:rPr>
          <w:t>https://www.euronews.com/next/2025/02/18/meta-50000-km-subsea-cable</w:t>
        </w:r>
      </w:hyperlink>
      <w:r w:rsidRPr="00DE059B">
        <w:rPr>
          <w:rFonts w:asciiTheme="minorHAnsi" w:hAnsiTheme="minorHAnsi" w:cstheme="minorHAnsi"/>
          <w:sz w:val="20"/>
          <w:szCs w:val="20"/>
        </w:rPr>
        <w:t xml:space="preserve"> [Accessed 2 Jul. 2025].</w:t>
      </w:r>
    </w:p>
  </w:footnote>
  <w:footnote w:id="169">
    <w:p w:rsidR="00C62A14" w:rsidRPr="00DC4E52" w:rsidRDefault="00C62A14" w:rsidP="00AD38FB">
      <w:pPr>
        <w:pStyle w:val="NormalWeb"/>
        <w:rPr>
          <w:rFonts w:asciiTheme="majorHAnsi" w:hAnsiTheme="majorHAnsi" w:cstheme="majorHAnsi"/>
          <w:sz w:val="20"/>
          <w:szCs w:val="20"/>
        </w:rPr>
      </w:pPr>
      <w:r w:rsidRPr="00DC4E52">
        <w:rPr>
          <w:rStyle w:val="a8"/>
          <w:rFonts w:asciiTheme="majorHAnsi" w:hAnsiTheme="majorHAnsi" w:cstheme="majorHAnsi"/>
        </w:rPr>
        <w:footnoteRef/>
      </w:r>
      <w:r w:rsidRPr="00DC4E52">
        <w:rPr>
          <w:rFonts w:asciiTheme="majorHAnsi" w:hAnsiTheme="majorHAnsi" w:cstheme="majorHAnsi"/>
        </w:rPr>
        <w:t xml:space="preserve"> </w:t>
      </w:r>
      <w:r w:rsidRPr="00DE059B">
        <w:rPr>
          <w:rFonts w:asciiTheme="majorHAnsi" w:hAnsiTheme="majorHAnsi" w:cstheme="majorHAnsi"/>
          <w:sz w:val="20"/>
          <w:szCs w:val="20"/>
        </w:rPr>
        <w:t xml:space="preserve">Gwyn Jones, M. (2023). </w:t>
      </w:r>
      <w:r w:rsidRPr="00DE059B">
        <w:rPr>
          <w:rStyle w:val="a5"/>
          <w:rFonts w:asciiTheme="majorHAnsi" w:hAnsiTheme="majorHAnsi" w:cstheme="majorHAnsi"/>
          <w:sz w:val="20"/>
          <w:szCs w:val="20"/>
        </w:rPr>
        <w:t>Tech companies spend more than €100 million a year on EU digital lobbying</w:t>
      </w:r>
      <w:r w:rsidRPr="00DE059B">
        <w:rPr>
          <w:rFonts w:asciiTheme="majorHAnsi" w:hAnsiTheme="majorHAnsi" w:cstheme="majorHAnsi"/>
          <w:sz w:val="20"/>
          <w:szCs w:val="20"/>
        </w:rPr>
        <w:t xml:space="preserve">. </w:t>
      </w:r>
      <w:proofErr w:type="spellStart"/>
      <w:r w:rsidRPr="00DE059B">
        <w:rPr>
          <w:rFonts w:asciiTheme="majorHAnsi" w:hAnsiTheme="majorHAnsi" w:cstheme="majorHAnsi"/>
          <w:sz w:val="20"/>
          <w:szCs w:val="20"/>
        </w:rPr>
        <w:t>Euronews</w:t>
      </w:r>
      <w:proofErr w:type="spellEnd"/>
      <w:r w:rsidRPr="00DE059B">
        <w:rPr>
          <w:rFonts w:asciiTheme="majorHAnsi" w:hAnsiTheme="majorHAnsi" w:cstheme="majorHAnsi"/>
          <w:sz w:val="20"/>
          <w:szCs w:val="20"/>
        </w:rPr>
        <w:t xml:space="preserve">, 11 September. Available at: </w:t>
      </w:r>
      <w:hyperlink r:id="rId12" w:history="1">
        <w:r w:rsidRPr="00DE059B">
          <w:rPr>
            <w:rStyle w:val="Hyperlink"/>
            <w:rFonts w:asciiTheme="majorHAnsi" w:eastAsiaTheme="majorEastAsia" w:hAnsiTheme="majorHAnsi" w:cstheme="majorHAnsi"/>
            <w:sz w:val="20"/>
            <w:szCs w:val="20"/>
          </w:rPr>
          <w:t>https://www.euronews.com/my-europe/2023/09/11</w:t>
        </w:r>
      </w:hyperlink>
      <w:r w:rsidRPr="00DE059B">
        <w:rPr>
          <w:rFonts w:asciiTheme="majorHAnsi" w:hAnsiTheme="majorHAnsi" w:cstheme="majorHAnsi"/>
          <w:sz w:val="20"/>
          <w:szCs w:val="20"/>
        </w:rPr>
        <w:t xml:space="preserve"> [Accessed 2 Jul. 2025].</w:t>
      </w:r>
    </w:p>
  </w:footnote>
  <w:footnote w:id="170">
    <w:p w:rsidR="00C62A14" w:rsidRPr="00DC4E52" w:rsidRDefault="00C62A14" w:rsidP="00AD38FB">
      <w:pPr>
        <w:pStyle w:val="NormalWeb"/>
        <w:rPr>
          <w:rFonts w:asciiTheme="majorHAnsi" w:hAnsiTheme="majorHAnsi" w:cstheme="maj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Scott, M. (2021). </w:t>
      </w:r>
      <w:r w:rsidRPr="00DC4E52">
        <w:rPr>
          <w:rStyle w:val="a5"/>
          <w:rFonts w:asciiTheme="majorHAnsi" w:hAnsiTheme="majorHAnsi" w:cstheme="majorHAnsi"/>
          <w:sz w:val="20"/>
          <w:szCs w:val="20"/>
        </w:rPr>
        <w:t>Facebook’s ‘supreme court’ struggles to set global free speech rules</w:t>
      </w:r>
      <w:r w:rsidRPr="00DC4E52">
        <w:rPr>
          <w:rFonts w:asciiTheme="majorHAnsi" w:hAnsiTheme="majorHAnsi" w:cstheme="majorHAnsi"/>
          <w:sz w:val="20"/>
          <w:szCs w:val="20"/>
        </w:rPr>
        <w:t xml:space="preserve">. Politico, 1 April. Available at: </w:t>
      </w:r>
      <w:hyperlink r:id="rId13" w:history="1">
        <w:r w:rsidRPr="00DC4E52">
          <w:rPr>
            <w:rStyle w:val="Hyperlink"/>
            <w:rFonts w:asciiTheme="majorHAnsi" w:eastAsiaTheme="majorEastAsia" w:hAnsiTheme="majorHAnsi" w:cstheme="majorHAnsi"/>
            <w:sz w:val="20"/>
            <w:szCs w:val="20"/>
          </w:rPr>
          <w:t>https://www.politico.eu/article/facebook-supreme-court-oversight-board-free-speech</w:t>
        </w:r>
      </w:hyperlink>
      <w:r w:rsidRPr="00DC4E52">
        <w:rPr>
          <w:rFonts w:asciiTheme="majorHAnsi" w:hAnsiTheme="majorHAnsi" w:cstheme="majorHAnsi"/>
          <w:sz w:val="20"/>
          <w:szCs w:val="20"/>
        </w:rPr>
        <w:t xml:space="preserve"> [Accessed 2 Jul. 2025].</w:t>
      </w:r>
    </w:p>
  </w:footnote>
  <w:footnote w:id="171">
    <w:p w:rsidR="00C62A14" w:rsidRPr="00DC4E52" w:rsidRDefault="00C62A14" w:rsidP="00AD38FB">
      <w:pPr>
        <w:pStyle w:val="NormalWeb"/>
        <w:rPr>
          <w:rFonts w:asciiTheme="majorHAnsi" w:hAnsiTheme="majorHAnsi" w:cstheme="maj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proofErr w:type="spellStart"/>
      <w:r w:rsidRPr="00DC4E52">
        <w:rPr>
          <w:rFonts w:asciiTheme="majorHAnsi" w:hAnsiTheme="majorHAnsi" w:cstheme="majorHAnsi"/>
          <w:sz w:val="20"/>
          <w:szCs w:val="20"/>
        </w:rPr>
        <w:t>Feiner</w:t>
      </w:r>
      <w:proofErr w:type="spellEnd"/>
      <w:r w:rsidRPr="00DC4E52">
        <w:rPr>
          <w:rFonts w:asciiTheme="majorHAnsi" w:hAnsiTheme="majorHAnsi" w:cstheme="majorHAnsi"/>
          <w:sz w:val="20"/>
          <w:szCs w:val="20"/>
        </w:rPr>
        <w:t xml:space="preserve">, L. (2024). </w:t>
      </w:r>
      <w:r w:rsidRPr="00DC4E52">
        <w:rPr>
          <w:rStyle w:val="a5"/>
          <w:rFonts w:asciiTheme="majorHAnsi" w:hAnsiTheme="majorHAnsi" w:cstheme="majorHAnsi"/>
          <w:sz w:val="20"/>
          <w:szCs w:val="20"/>
        </w:rPr>
        <w:t>Meta had its biggest lobbying quarter ever</w:t>
      </w:r>
      <w:r w:rsidRPr="00DC4E52">
        <w:rPr>
          <w:rFonts w:asciiTheme="majorHAnsi" w:hAnsiTheme="majorHAnsi" w:cstheme="majorHAnsi"/>
          <w:sz w:val="20"/>
          <w:szCs w:val="20"/>
        </w:rPr>
        <w:t xml:space="preserve">. The Verge, 29 April. Available at: </w:t>
      </w:r>
      <w:hyperlink r:id="rId14" w:history="1">
        <w:r w:rsidRPr="00DC4E52">
          <w:rPr>
            <w:rStyle w:val="Hyperlink"/>
            <w:rFonts w:asciiTheme="majorHAnsi" w:eastAsiaTheme="majorEastAsia" w:hAnsiTheme="majorHAnsi" w:cstheme="majorHAnsi"/>
            <w:sz w:val="20"/>
            <w:szCs w:val="20"/>
          </w:rPr>
          <w:t>https://www.theverge.com/2024/04/29/meta-lobbying-spending-q1</w:t>
        </w:r>
      </w:hyperlink>
      <w:r w:rsidRPr="00DC4E52">
        <w:rPr>
          <w:rFonts w:asciiTheme="majorHAnsi" w:hAnsiTheme="majorHAnsi" w:cstheme="majorHAnsi"/>
          <w:sz w:val="20"/>
          <w:szCs w:val="20"/>
        </w:rPr>
        <w:t xml:space="preserve"> [Accessed 2 Jul. 2025].</w:t>
      </w:r>
    </w:p>
    <w:p w:rsidR="00C62A14" w:rsidRDefault="00C62A14" w:rsidP="00AD38FB">
      <w:pPr>
        <w:pStyle w:val="a6"/>
      </w:pPr>
    </w:p>
  </w:footnote>
  <w:footnote w:id="172">
    <w:p w:rsidR="00C62A14" w:rsidRPr="00DC4E52" w:rsidRDefault="00C62A14" w:rsidP="00AD38FB">
      <w:pPr>
        <w:pStyle w:val="NormalWeb"/>
        <w:rPr>
          <w:rFonts w:asciiTheme="majorHAnsi" w:hAnsiTheme="majorHAnsi" w:cstheme="maj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r w:rsidRPr="00DC4E52">
        <w:rPr>
          <w:rStyle w:val="a4"/>
          <w:rFonts w:asciiTheme="majorHAnsi" w:hAnsiTheme="majorHAnsi" w:cstheme="majorHAnsi"/>
          <w:sz w:val="20"/>
          <w:szCs w:val="20"/>
        </w:rPr>
        <w:t>Reuters</w:t>
      </w:r>
      <w:r w:rsidRPr="00DC4E52">
        <w:rPr>
          <w:rFonts w:asciiTheme="majorHAnsi" w:hAnsiTheme="majorHAnsi" w:cstheme="majorHAnsi"/>
          <w:sz w:val="20"/>
          <w:szCs w:val="20"/>
        </w:rPr>
        <w:t xml:space="preserve"> (2021). </w:t>
      </w:r>
      <w:r w:rsidRPr="00DC4E52">
        <w:rPr>
          <w:rStyle w:val="a5"/>
          <w:rFonts w:asciiTheme="majorHAnsi" w:hAnsiTheme="majorHAnsi" w:cstheme="majorHAnsi"/>
          <w:sz w:val="20"/>
          <w:szCs w:val="20"/>
        </w:rPr>
        <w:t>Facebook, WhatsApp, Instagram suffer global outage</w:t>
      </w:r>
      <w:r w:rsidRPr="00DC4E52">
        <w:rPr>
          <w:rFonts w:asciiTheme="majorHAnsi" w:hAnsiTheme="majorHAnsi" w:cstheme="majorHAnsi"/>
          <w:sz w:val="20"/>
          <w:szCs w:val="20"/>
        </w:rPr>
        <w:t xml:space="preserve">. Reuters, 4 October. Available at: </w:t>
      </w:r>
      <w:hyperlink r:id="rId15" w:history="1">
        <w:r w:rsidRPr="00DC4E52">
          <w:rPr>
            <w:rStyle w:val="Hyperlink"/>
            <w:rFonts w:asciiTheme="majorHAnsi" w:eastAsiaTheme="majorEastAsia" w:hAnsiTheme="majorHAnsi" w:cstheme="majorHAnsi"/>
            <w:sz w:val="20"/>
            <w:szCs w:val="20"/>
          </w:rPr>
          <w:t>https://www.reuters.com/technology/facebook-whatsapp-instagram-suffer-outage-2021-10-04/</w:t>
        </w:r>
      </w:hyperlink>
      <w:r w:rsidRPr="00DC4E52">
        <w:rPr>
          <w:rFonts w:asciiTheme="majorHAnsi" w:hAnsiTheme="majorHAnsi" w:cstheme="majorHAnsi"/>
          <w:sz w:val="20"/>
          <w:szCs w:val="20"/>
        </w:rPr>
        <w:t xml:space="preserve"> [Accessed 2 Jul. 2025].</w:t>
      </w:r>
    </w:p>
  </w:footnote>
  <w:footnote w:id="173">
    <w:p w:rsidR="00C62A14" w:rsidRPr="00DC4E52" w:rsidRDefault="00C62A14" w:rsidP="00AD38FB">
      <w:pPr>
        <w:pStyle w:val="NormalWeb"/>
        <w:rPr>
          <w:rFonts w:asciiTheme="majorHAnsi" w:hAnsiTheme="majorHAnsi" w:cstheme="maj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r w:rsidRPr="00DC4E52">
        <w:rPr>
          <w:rStyle w:val="a4"/>
          <w:rFonts w:asciiTheme="majorHAnsi" w:hAnsiTheme="majorHAnsi" w:cstheme="majorHAnsi"/>
          <w:sz w:val="20"/>
          <w:szCs w:val="20"/>
        </w:rPr>
        <w:t>The Guardian</w:t>
      </w:r>
      <w:r w:rsidRPr="00DC4E52">
        <w:rPr>
          <w:rFonts w:asciiTheme="majorHAnsi" w:hAnsiTheme="majorHAnsi" w:cstheme="majorHAnsi"/>
          <w:sz w:val="20"/>
          <w:szCs w:val="20"/>
        </w:rPr>
        <w:t xml:space="preserve"> (2016). </w:t>
      </w:r>
      <w:r w:rsidRPr="00DC4E52">
        <w:rPr>
          <w:rStyle w:val="a5"/>
          <w:rFonts w:asciiTheme="majorHAnsi" w:hAnsiTheme="majorHAnsi" w:cstheme="majorHAnsi"/>
          <w:sz w:val="20"/>
          <w:szCs w:val="20"/>
        </w:rPr>
        <w:t>India blocks Facebook’s Free Basics program</w:t>
      </w:r>
      <w:r w:rsidRPr="00DC4E52">
        <w:rPr>
          <w:rFonts w:asciiTheme="majorHAnsi" w:hAnsiTheme="majorHAnsi" w:cstheme="majorHAnsi"/>
          <w:sz w:val="20"/>
          <w:szCs w:val="20"/>
        </w:rPr>
        <w:t xml:space="preserve">. The Guardian, 8 February. Available at: </w:t>
      </w:r>
      <w:hyperlink r:id="rId16" w:history="1">
        <w:r w:rsidRPr="00DC4E52">
          <w:rPr>
            <w:rStyle w:val="Hyperlink"/>
            <w:rFonts w:asciiTheme="majorHAnsi" w:eastAsiaTheme="majorEastAsia" w:hAnsiTheme="majorHAnsi" w:cstheme="majorHAnsi"/>
            <w:sz w:val="20"/>
            <w:szCs w:val="20"/>
          </w:rPr>
          <w:t>https://www.theguardian.com/technology/2016/feb/08/india-facebook-free-basics-internet-org</w:t>
        </w:r>
      </w:hyperlink>
      <w:r w:rsidRPr="00DC4E52">
        <w:rPr>
          <w:rFonts w:asciiTheme="majorHAnsi" w:hAnsiTheme="majorHAnsi" w:cstheme="majorHAnsi"/>
          <w:sz w:val="20"/>
          <w:szCs w:val="20"/>
        </w:rPr>
        <w:t xml:space="preserve"> [Accessed 2 Jul. 2025].</w:t>
      </w:r>
    </w:p>
    <w:p w:rsidR="00C62A14" w:rsidRDefault="00C62A14" w:rsidP="00AD38FB">
      <w:pPr>
        <w:pStyle w:val="a6"/>
      </w:pPr>
    </w:p>
  </w:footnote>
  <w:footnote w:id="174">
    <w:p w:rsidR="00C62A14" w:rsidRPr="00DE059B" w:rsidRDefault="00C62A14" w:rsidP="00AD38FB">
      <w:pPr>
        <w:pStyle w:val="NormalWeb"/>
        <w:rPr>
          <w:rFonts w:asciiTheme="minorHAnsi" w:hAnsiTheme="minorHAnsi" w:cstheme="minorHAnsi"/>
          <w:sz w:val="20"/>
          <w:szCs w:val="20"/>
          <w:rtl/>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r w:rsidRPr="00DE059B">
        <w:rPr>
          <w:rFonts w:asciiTheme="minorHAnsi" w:hAnsiTheme="minorHAnsi" w:cstheme="minorHAnsi"/>
          <w:sz w:val="20"/>
          <w:szCs w:val="20"/>
        </w:rPr>
        <w:t xml:space="preserve">Gillespie, T. (2018). </w:t>
      </w:r>
      <w:r w:rsidRPr="00DE059B">
        <w:rPr>
          <w:rStyle w:val="a5"/>
          <w:rFonts w:asciiTheme="minorHAnsi" w:hAnsiTheme="minorHAnsi" w:cstheme="minorHAnsi"/>
          <w:sz w:val="20"/>
          <w:szCs w:val="20"/>
        </w:rPr>
        <w:t>Custodians of the Internet: Platforms, Content Moderation, and the Hidden Decisions That Shape Social Media</w:t>
      </w:r>
      <w:r w:rsidRPr="00DE059B">
        <w:rPr>
          <w:rFonts w:asciiTheme="minorHAnsi" w:hAnsiTheme="minorHAnsi" w:cstheme="minorHAnsi"/>
          <w:sz w:val="20"/>
          <w:szCs w:val="20"/>
        </w:rPr>
        <w:t>. New Haven: Yale University Press.</w:t>
      </w:r>
    </w:p>
  </w:footnote>
  <w:footnote w:id="175">
    <w:p w:rsidR="00C62A14" w:rsidRPr="00DE059B" w:rsidRDefault="00C62A14" w:rsidP="00AD38FB">
      <w:pPr>
        <w:pStyle w:val="a6"/>
        <w:rPr>
          <w:rFonts w:cstheme="minorHAnsi"/>
          <w:rtl/>
        </w:rPr>
      </w:pPr>
      <w:r w:rsidRPr="00DE059B">
        <w:rPr>
          <w:rStyle w:val="a8"/>
          <w:rFonts w:cstheme="minorHAnsi"/>
        </w:rPr>
        <w:footnoteRef/>
      </w:r>
      <w:r w:rsidRPr="00DE059B">
        <w:rPr>
          <w:rFonts w:cstheme="minorHAnsi"/>
        </w:rPr>
        <w:t xml:space="preserve"> </w:t>
      </w:r>
      <w:r w:rsidRPr="00DE059B">
        <w:rPr>
          <w:rFonts w:cstheme="minorHAnsi"/>
        </w:rPr>
        <w:t xml:space="preserve">Zuboff, S. (2019). </w:t>
      </w:r>
      <w:r w:rsidRPr="00DE059B">
        <w:rPr>
          <w:rStyle w:val="a5"/>
          <w:rFonts w:cstheme="minorHAnsi"/>
        </w:rPr>
        <w:t>The Age of Surveillance Capitalism</w:t>
      </w:r>
      <w:r w:rsidRPr="00DE059B">
        <w:rPr>
          <w:rFonts w:cstheme="minorHAnsi"/>
        </w:rPr>
        <w:t>. London: Profile Books</w:t>
      </w:r>
    </w:p>
  </w:footnote>
  <w:footnote w:id="176">
    <w:p w:rsidR="00C62A14" w:rsidRPr="00DC4E52" w:rsidRDefault="00C62A14" w:rsidP="00AD38FB">
      <w:pPr>
        <w:pStyle w:val="NormalWeb"/>
        <w:rPr>
          <w:rFonts w:asciiTheme="majorHAnsi" w:hAnsiTheme="majorHAnsi" w:cstheme="majorHAnsi"/>
          <w:sz w:val="20"/>
          <w:szCs w:val="20"/>
          <w:rtl/>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Edelman Trust Barometer (2023). </w:t>
      </w:r>
      <w:r w:rsidRPr="00DC4E52">
        <w:rPr>
          <w:rStyle w:val="a5"/>
          <w:rFonts w:asciiTheme="majorHAnsi" w:hAnsiTheme="majorHAnsi" w:cstheme="majorHAnsi"/>
          <w:sz w:val="20"/>
          <w:szCs w:val="20"/>
        </w:rPr>
        <w:t>Trust in Technology Report</w:t>
      </w:r>
      <w:r w:rsidRPr="00DC4E52">
        <w:rPr>
          <w:rFonts w:asciiTheme="majorHAnsi" w:hAnsiTheme="majorHAnsi" w:cstheme="majorHAnsi"/>
          <w:sz w:val="20"/>
          <w:szCs w:val="20"/>
        </w:rPr>
        <w:t xml:space="preserve">. Available at: </w:t>
      </w:r>
      <w:hyperlink r:id="rId17" w:history="1">
        <w:r w:rsidRPr="00DC4E52">
          <w:rPr>
            <w:rStyle w:val="Hyperlink"/>
            <w:rFonts w:asciiTheme="majorHAnsi" w:eastAsiaTheme="majorEastAsia" w:hAnsiTheme="majorHAnsi" w:cstheme="majorHAnsi"/>
            <w:sz w:val="20"/>
            <w:szCs w:val="20"/>
          </w:rPr>
          <w:t>https://www.edelman.com/trust/2023/trust-in-technology</w:t>
        </w:r>
      </w:hyperlink>
      <w:r w:rsidRPr="00DC4E52">
        <w:rPr>
          <w:rFonts w:asciiTheme="majorHAnsi" w:hAnsiTheme="majorHAnsi" w:cstheme="majorHAnsi"/>
          <w:sz w:val="20"/>
          <w:szCs w:val="20"/>
        </w:rPr>
        <w:t xml:space="preserve"> (Accessed: 6 August 2025).</w:t>
      </w:r>
    </w:p>
  </w:footnote>
  <w:footnote w:id="177">
    <w:p w:rsidR="00C62A14" w:rsidRDefault="00C62A14" w:rsidP="00AD38FB">
      <w:pPr>
        <w:pStyle w:val="a6"/>
      </w:pPr>
      <w:r>
        <w:rPr>
          <w:rStyle w:val="a8"/>
        </w:rPr>
        <w:footnoteRef/>
      </w:r>
      <w:r>
        <w:t xml:space="preserve"> </w:t>
      </w:r>
      <w:r w:rsidRPr="00DC4E52">
        <w:rPr>
          <w:rFonts w:asciiTheme="majorHAnsi" w:hAnsiTheme="majorHAnsi" w:cstheme="majorHAnsi"/>
        </w:rPr>
        <w:t>Klonick</w:t>
      </w:r>
      <w:r w:rsidRPr="00AD38FB">
        <w:rPr>
          <w:rFonts w:asciiTheme="majorHAnsi" w:hAnsiTheme="majorHAnsi" w:cstheme="majorHAnsi"/>
        </w:rPr>
        <w:t xml:space="preserve">, K. (2018). ‘The New Governors: The People, Rules, and Processes Governing Online Speech’, </w:t>
      </w:r>
      <w:r w:rsidRPr="00AD38FB">
        <w:rPr>
          <w:rStyle w:val="a5"/>
          <w:rFonts w:asciiTheme="majorHAnsi" w:hAnsiTheme="majorHAnsi" w:cstheme="majorHAnsi"/>
        </w:rPr>
        <w:t>Harvard Law Review</w:t>
      </w:r>
      <w:r w:rsidRPr="00AD38FB">
        <w:rPr>
          <w:rFonts w:asciiTheme="majorHAnsi" w:hAnsiTheme="majorHAnsi" w:cstheme="majorHAnsi"/>
        </w:rPr>
        <w:t>, 131(6), pp. 1598</w:t>
      </w:r>
      <w:r w:rsidRPr="00DC4E52">
        <w:rPr>
          <w:rFonts w:asciiTheme="majorHAnsi" w:hAnsiTheme="majorHAnsi" w:cstheme="majorHAnsi"/>
          <w:rtl/>
        </w:rPr>
        <w:t>-</w:t>
      </w:r>
      <w:r w:rsidRPr="00DC4E52">
        <w:rPr>
          <w:rFonts w:asciiTheme="majorHAnsi" w:hAnsiTheme="majorHAnsi" w:cstheme="majorHAnsi"/>
        </w:rPr>
        <w:t>1670</w:t>
      </w:r>
    </w:p>
  </w:footnote>
  <w:footnote w:id="178">
    <w:p w:rsidR="00C62A14" w:rsidRDefault="00C62A14" w:rsidP="00AD38FB">
      <w:pPr>
        <w:pStyle w:val="a6"/>
        <w:rPr>
          <w:rtl/>
        </w:rPr>
      </w:pPr>
      <w:r w:rsidRPr="00DE059B">
        <w:rPr>
          <w:rStyle w:val="a8"/>
        </w:rPr>
        <w:footnoteRef/>
      </w:r>
      <w:r w:rsidRPr="00DE059B">
        <w:t xml:space="preserve"> </w:t>
      </w:r>
      <w:r w:rsidRPr="00DE059B">
        <w:t xml:space="preserve">Srivastava, </w:t>
      </w:r>
      <w:r w:rsidRPr="00DE059B">
        <w:t xml:space="preserve">S. (2023). </w:t>
      </w:r>
      <w:r w:rsidRPr="00DE059B">
        <w:rPr>
          <w:rStyle w:val="a5"/>
        </w:rPr>
        <w:t>Meta’s Mandate-Free Governance: How to Think about Facebook and the Oversight Board</w:t>
      </w:r>
      <w:r w:rsidRPr="00DE059B">
        <w:t>. New America, Planetary Politics Blog, 24 March. Available at</w:t>
      </w:r>
      <w:r w:rsidRPr="009C6883">
        <w:rPr>
          <w:i/>
          <w:iCs/>
        </w:rPr>
        <w:t xml:space="preserve">: </w:t>
      </w:r>
      <w:hyperlink r:id="rId18" w:tgtFrame="_new" w:history="1">
        <w:r w:rsidRPr="009C6883">
          <w:rPr>
            <w:rStyle w:val="Hyperlink"/>
            <w:i/>
            <w:iCs/>
          </w:rPr>
          <w:t>https://www.newamerica.org/planetary-politics/blog/meta-mandate-free-governance</w:t>
        </w:r>
      </w:hyperlink>
    </w:p>
  </w:footnote>
  <w:footnote w:id="179">
    <w:p w:rsidR="00C62A14" w:rsidRPr="00DC4E52" w:rsidRDefault="00C62A14" w:rsidP="00AD38FB">
      <w:pPr>
        <w:pStyle w:val="NormalWeb"/>
        <w:rPr>
          <w:rFonts w:asciiTheme="majorHAnsi" w:hAnsiTheme="majorHAnsi" w:cstheme="maj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proofErr w:type="spellStart"/>
      <w:r w:rsidRPr="00DC4E52">
        <w:rPr>
          <w:rFonts w:asciiTheme="majorHAnsi" w:hAnsiTheme="majorHAnsi" w:cstheme="majorHAnsi"/>
          <w:sz w:val="20"/>
          <w:szCs w:val="20"/>
        </w:rPr>
        <w:t>Feiner</w:t>
      </w:r>
      <w:proofErr w:type="spellEnd"/>
      <w:r w:rsidRPr="00DC4E52">
        <w:rPr>
          <w:rFonts w:asciiTheme="majorHAnsi" w:hAnsiTheme="majorHAnsi" w:cstheme="majorHAnsi"/>
          <w:sz w:val="20"/>
          <w:szCs w:val="20"/>
        </w:rPr>
        <w:t xml:space="preserve">, L. (2024). ‘Meta tops tech lobbying spend in 2024 Q1, targeting AI and platform laws’. </w:t>
      </w:r>
      <w:r w:rsidRPr="00DC4E52">
        <w:rPr>
          <w:rStyle w:val="a5"/>
          <w:rFonts w:asciiTheme="majorHAnsi" w:hAnsiTheme="majorHAnsi" w:cstheme="majorHAnsi"/>
          <w:sz w:val="20"/>
          <w:szCs w:val="20"/>
        </w:rPr>
        <w:t>CNBC</w:t>
      </w:r>
      <w:r w:rsidRPr="00DC4E52">
        <w:rPr>
          <w:rFonts w:asciiTheme="majorHAnsi" w:hAnsiTheme="majorHAnsi" w:cstheme="majorHAnsi"/>
          <w:sz w:val="20"/>
          <w:szCs w:val="20"/>
        </w:rPr>
        <w:t xml:space="preserve">. Available at: </w:t>
      </w:r>
      <w:hyperlink r:id="rId19" w:history="1">
        <w:r w:rsidRPr="00DC4E52">
          <w:rPr>
            <w:rStyle w:val="Hyperlink"/>
            <w:rFonts w:asciiTheme="majorHAnsi" w:eastAsiaTheme="majorEastAsia" w:hAnsiTheme="majorHAnsi" w:cstheme="majorHAnsi"/>
            <w:sz w:val="20"/>
            <w:szCs w:val="20"/>
          </w:rPr>
          <w:t>https://www.cnbc.com/2024/04/12/meta-tops-tech-lobbying-spend-q1-2024.html</w:t>
        </w:r>
      </w:hyperlink>
      <w:r w:rsidRPr="00DC4E52">
        <w:rPr>
          <w:rFonts w:asciiTheme="majorHAnsi" w:hAnsiTheme="majorHAnsi" w:cstheme="majorHAnsi"/>
          <w:sz w:val="20"/>
          <w:szCs w:val="20"/>
        </w:rPr>
        <w:t xml:space="preserve"> (Accessed: 6 August 2025).</w:t>
      </w:r>
    </w:p>
  </w:footnote>
  <w:footnote w:id="180">
    <w:p w:rsidR="00C62A14" w:rsidRPr="00DC4E52" w:rsidRDefault="00C62A14" w:rsidP="00AD38FB">
      <w:pPr>
        <w:pStyle w:val="a6"/>
        <w:rPr>
          <w:rFonts w:asciiTheme="majorHAnsi" w:hAnsiTheme="majorHAnsi" w:cstheme="majorHAnsi"/>
        </w:rPr>
      </w:pPr>
      <w:r w:rsidRPr="00DC4E52">
        <w:rPr>
          <w:rStyle w:val="a8"/>
          <w:rFonts w:asciiTheme="majorHAnsi" w:hAnsiTheme="majorHAnsi" w:cstheme="majorHAnsi"/>
        </w:rPr>
        <w:footnoteRef/>
      </w:r>
      <w:r w:rsidRPr="00DC4E52">
        <w:rPr>
          <w:rFonts w:asciiTheme="majorHAnsi" w:hAnsiTheme="majorHAnsi" w:cstheme="majorHAnsi"/>
        </w:rPr>
        <w:t xml:space="preserve"> </w:t>
      </w:r>
      <w:r w:rsidRPr="00DC4E52">
        <w:rPr>
          <w:rFonts w:asciiTheme="majorHAnsi" w:hAnsiTheme="majorHAnsi" w:cstheme="majorHAnsi"/>
        </w:rPr>
        <w:t xml:space="preserve">Jones, G. (2023). ‘Lobbying in the Digital Age: Tech Giants and EU Regulation’. </w:t>
      </w:r>
      <w:r w:rsidRPr="00DC4E52">
        <w:rPr>
          <w:rStyle w:val="a5"/>
          <w:rFonts w:asciiTheme="majorHAnsi" w:hAnsiTheme="majorHAnsi" w:cstheme="majorHAnsi"/>
        </w:rPr>
        <w:t>European Policy Journal</w:t>
      </w:r>
      <w:r w:rsidRPr="00DC4E52">
        <w:rPr>
          <w:rFonts w:asciiTheme="majorHAnsi" w:hAnsiTheme="majorHAnsi" w:cstheme="majorHAnsi"/>
        </w:rPr>
        <w:t>, 11(3), pp. 45</w:t>
      </w:r>
      <w:r w:rsidRPr="00DC4E52">
        <w:rPr>
          <w:rFonts w:asciiTheme="majorHAnsi" w:hAnsiTheme="majorHAnsi" w:cstheme="majorHAnsi"/>
          <w:rtl/>
        </w:rPr>
        <w:t>-</w:t>
      </w:r>
      <w:r w:rsidRPr="00DC4E52">
        <w:rPr>
          <w:rFonts w:asciiTheme="majorHAnsi" w:hAnsiTheme="majorHAnsi" w:cstheme="majorHAnsi"/>
        </w:rPr>
        <w:t>58</w:t>
      </w:r>
    </w:p>
  </w:footnote>
  <w:footnote w:id="181">
    <w:p w:rsidR="00C62A14" w:rsidRPr="00DC4E52" w:rsidRDefault="00C62A14" w:rsidP="00AD38FB">
      <w:pPr>
        <w:pStyle w:val="NormalWeb"/>
        <w:rPr>
          <w:rFonts w:asciiTheme="majorHAnsi" w:hAnsiTheme="majorHAnsi" w:cstheme="majorHAnsi"/>
          <w:sz w:val="20"/>
          <w:szCs w:val="20"/>
        </w:rPr>
      </w:pPr>
      <w:r w:rsidRPr="00DC4E52">
        <w:rPr>
          <w:rStyle w:val="a8"/>
          <w:rFonts w:asciiTheme="majorHAnsi" w:hAnsiTheme="majorHAnsi" w:cstheme="majorHAnsi"/>
          <w:sz w:val="20"/>
          <w:szCs w:val="20"/>
        </w:rPr>
        <w:footnoteRef/>
      </w:r>
      <w:r w:rsidRPr="00DC4E52">
        <w:rPr>
          <w:rFonts w:asciiTheme="majorHAnsi" w:hAnsiTheme="majorHAnsi" w:cstheme="majorHAnsi"/>
          <w:sz w:val="20"/>
          <w:szCs w:val="20"/>
        </w:rPr>
        <w:t xml:space="preserve"> </w:t>
      </w:r>
      <w:r w:rsidRPr="00DC4E52">
        <w:rPr>
          <w:rStyle w:val="a4"/>
          <w:rFonts w:asciiTheme="majorHAnsi" w:hAnsiTheme="majorHAnsi" w:cstheme="majorHAnsi"/>
          <w:sz w:val="20"/>
          <w:szCs w:val="20"/>
        </w:rPr>
        <w:t>Politico</w:t>
      </w:r>
      <w:r w:rsidRPr="00DC4E52">
        <w:rPr>
          <w:rFonts w:asciiTheme="majorHAnsi" w:hAnsiTheme="majorHAnsi" w:cstheme="majorHAnsi"/>
          <w:sz w:val="20"/>
          <w:szCs w:val="20"/>
        </w:rPr>
        <w:t xml:space="preserve"> (2023). </w:t>
      </w:r>
      <w:r w:rsidRPr="00DC4E52">
        <w:rPr>
          <w:rStyle w:val="a5"/>
          <w:rFonts w:asciiTheme="majorHAnsi" w:hAnsiTheme="majorHAnsi" w:cstheme="majorHAnsi"/>
          <w:sz w:val="20"/>
          <w:szCs w:val="20"/>
        </w:rPr>
        <w:t>Inside Nick Clegg’s Role as Meta’s Foreign Minister</w:t>
      </w:r>
      <w:r w:rsidRPr="00DC4E52">
        <w:rPr>
          <w:rFonts w:asciiTheme="majorHAnsi" w:hAnsiTheme="majorHAnsi" w:cstheme="majorHAnsi"/>
          <w:sz w:val="20"/>
          <w:szCs w:val="20"/>
        </w:rPr>
        <w:t xml:space="preserve">. Politico EU, 20 October. Available at: </w:t>
      </w:r>
      <w:hyperlink r:id="rId20" w:history="1">
        <w:r w:rsidRPr="00DC4E52">
          <w:rPr>
            <w:rStyle w:val="Hyperlink"/>
            <w:rFonts w:asciiTheme="majorHAnsi" w:eastAsiaTheme="majorEastAsia" w:hAnsiTheme="majorHAnsi" w:cstheme="majorHAnsi"/>
            <w:sz w:val="20"/>
            <w:szCs w:val="20"/>
          </w:rPr>
          <w:t>https://www.politico.eu/article/meta-nick-clegg-digital-diplomacy/</w:t>
        </w:r>
      </w:hyperlink>
      <w:r w:rsidRPr="00DC4E52">
        <w:rPr>
          <w:rFonts w:asciiTheme="majorHAnsi" w:hAnsiTheme="majorHAnsi" w:cstheme="majorHAnsi"/>
          <w:sz w:val="20"/>
          <w:szCs w:val="20"/>
        </w:rPr>
        <w:t xml:space="preserve"> [Accessed 2 Jul. 2025].</w:t>
      </w:r>
    </w:p>
  </w:footnote>
  <w:footnote w:id="182">
    <w:p w:rsidR="00C62A14" w:rsidRPr="00DC4E52" w:rsidRDefault="00C62A14" w:rsidP="00AD38FB">
      <w:pPr>
        <w:pStyle w:val="a6"/>
        <w:rPr>
          <w:rFonts w:asciiTheme="majorHAnsi" w:hAnsiTheme="majorHAnsi" w:cstheme="majorHAnsi"/>
        </w:rPr>
      </w:pPr>
      <w:r w:rsidRPr="00DC4E52">
        <w:rPr>
          <w:rStyle w:val="a8"/>
          <w:rFonts w:asciiTheme="majorHAnsi" w:hAnsiTheme="majorHAnsi" w:cstheme="majorHAnsi"/>
        </w:rPr>
        <w:footnoteRef/>
      </w:r>
      <w:r w:rsidRPr="00DC4E52">
        <w:rPr>
          <w:rFonts w:asciiTheme="majorHAnsi" w:hAnsiTheme="majorHAnsi" w:cstheme="majorHAnsi"/>
        </w:rPr>
        <w:t xml:space="preserve"> </w:t>
      </w:r>
      <w:r w:rsidRPr="00DC4E52">
        <w:rPr>
          <w:rStyle w:val="a4"/>
          <w:rFonts w:asciiTheme="majorHAnsi" w:hAnsiTheme="majorHAnsi" w:cstheme="majorHAnsi"/>
        </w:rPr>
        <w:t>Meta</w:t>
      </w:r>
      <w:r w:rsidRPr="00DC4E52">
        <w:rPr>
          <w:rFonts w:asciiTheme="majorHAnsi" w:hAnsiTheme="majorHAnsi" w:cstheme="majorHAnsi"/>
        </w:rPr>
        <w:t xml:space="preserve"> (2023). </w:t>
      </w:r>
      <w:r w:rsidRPr="00DC4E52">
        <w:rPr>
          <w:rStyle w:val="a5"/>
          <w:rFonts w:asciiTheme="majorHAnsi" w:hAnsiTheme="majorHAnsi" w:cstheme="majorHAnsi"/>
        </w:rPr>
        <w:t>Meta’s Participation in the Christchurch Call and GIFCT</w:t>
      </w:r>
      <w:r w:rsidRPr="00DC4E52">
        <w:rPr>
          <w:rFonts w:asciiTheme="majorHAnsi" w:hAnsiTheme="majorHAnsi" w:cstheme="majorHAnsi"/>
        </w:rPr>
        <w:t xml:space="preserve">. Meta Newsroom. Available at: </w:t>
      </w:r>
      <w:r>
        <w:fldChar w:fldCharType="begin"/>
      </w:r>
      <w:r>
        <w:instrText xml:space="preserve"> HYPERLINK "https://about.meta.com/news/2023/10/meta-global-internet-governance/" </w:instrText>
      </w:r>
      <w:r>
        <w:fldChar w:fldCharType="separate"/>
      </w:r>
      <w:r w:rsidRPr="00DC4E52">
        <w:rPr>
          <w:rStyle w:val="Hyperlink"/>
          <w:rFonts w:asciiTheme="majorHAnsi" w:eastAsiaTheme="majorEastAsia" w:hAnsiTheme="majorHAnsi" w:cstheme="majorHAnsi"/>
        </w:rPr>
        <w:t>https://about.meta.com/news/2023/10/meta-global-internet-governance/</w:t>
      </w:r>
      <w:r>
        <w:rPr>
          <w:rStyle w:val="Hyperlink"/>
          <w:rFonts w:asciiTheme="majorHAnsi" w:eastAsiaTheme="majorEastAsia" w:hAnsiTheme="majorHAnsi" w:cstheme="majorHAnsi"/>
        </w:rPr>
        <w:fldChar w:fldCharType="end"/>
      </w:r>
      <w:r w:rsidRPr="00DC4E52">
        <w:rPr>
          <w:rFonts w:asciiTheme="majorHAnsi" w:hAnsiTheme="majorHAnsi" w:cstheme="majorHAnsi"/>
        </w:rPr>
        <w:t xml:space="preserve"> [Accessed 2 Jul. 2025].</w:t>
      </w:r>
    </w:p>
  </w:footnote>
  <w:footnote w:id="183">
    <w:p w:rsidR="00C62A14" w:rsidRPr="00DC4E52" w:rsidRDefault="00C62A14" w:rsidP="00AD38FB">
      <w:pPr>
        <w:pStyle w:val="a6"/>
        <w:rPr>
          <w:rFonts w:asciiTheme="majorHAnsi" w:hAnsiTheme="majorHAnsi" w:cstheme="majorHAnsi"/>
        </w:rPr>
      </w:pPr>
      <w:r w:rsidRPr="00DC4E52">
        <w:rPr>
          <w:rStyle w:val="a8"/>
          <w:rFonts w:asciiTheme="majorHAnsi" w:hAnsiTheme="majorHAnsi" w:cstheme="majorHAnsi"/>
        </w:rPr>
        <w:footnoteRef/>
      </w:r>
      <w:r w:rsidRPr="00DC4E52">
        <w:rPr>
          <w:rFonts w:asciiTheme="majorHAnsi" w:hAnsiTheme="majorHAnsi" w:cstheme="majorHAnsi"/>
        </w:rPr>
        <w:t xml:space="preserve"> </w:t>
      </w:r>
      <w:r w:rsidRPr="00DC4E52">
        <w:rPr>
          <w:rFonts w:asciiTheme="majorHAnsi" w:hAnsiTheme="majorHAnsi" w:cstheme="majorHAnsi"/>
        </w:rPr>
        <w:t xml:space="preserve">Nairobi </w:t>
      </w:r>
      <w:r w:rsidRPr="00DC4E52">
        <w:rPr>
          <w:rFonts w:asciiTheme="majorHAnsi" w:hAnsiTheme="majorHAnsi" w:cstheme="majorHAnsi"/>
        </w:rPr>
        <w:t xml:space="preserve">Bureau (2025). ‘Kenyan Court Accepts Jurisdiction in Case Against Meta’. </w:t>
      </w:r>
      <w:r w:rsidRPr="00DC4E52">
        <w:rPr>
          <w:rStyle w:val="a5"/>
          <w:rFonts w:asciiTheme="majorHAnsi" w:hAnsiTheme="majorHAnsi" w:cstheme="majorHAnsi"/>
        </w:rPr>
        <w:t>The East African</w:t>
      </w:r>
      <w:r w:rsidRPr="00DC4E52">
        <w:rPr>
          <w:rFonts w:asciiTheme="majorHAnsi" w:hAnsiTheme="majorHAnsi" w:cstheme="majorHAnsi"/>
        </w:rPr>
        <w:t xml:space="preserve">, 22 January. Available at: </w:t>
      </w:r>
      <w:r>
        <w:fldChar w:fldCharType="begin"/>
      </w:r>
      <w:r>
        <w:instrText xml:space="preserve"> HYPERLINK "https://www.theeastafrican.co.ke/kenya/news/meta-lawsuit-kenya-2025" </w:instrText>
      </w:r>
      <w:r>
        <w:fldChar w:fldCharType="separate"/>
      </w:r>
      <w:r w:rsidRPr="00DC4E52">
        <w:rPr>
          <w:rStyle w:val="Hyperlink"/>
          <w:rFonts w:asciiTheme="majorHAnsi" w:hAnsiTheme="majorHAnsi" w:cstheme="majorHAnsi"/>
        </w:rPr>
        <w:t>https://www.theeastafrican.co.ke/kenya/news/meta-lawsuit-kenya-2025</w:t>
      </w:r>
      <w:r>
        <w:rPr>
          <w:rStyle w:val="Hyperlink"/>
          <w:rFonts w:asciiTheme="majorHAnsi" w:hAnsiTheme="majorHAnsi" w:cstheme="majorHAnsi"/>
        </w:rPr>
        <w:fldChar w:fldCharType="end"/>
      </w:r>
      <w:r w:rsidRPr="00DC4E52">
        <w:rPr>
          <w:rFonts w:asciiTheme="majorHAnsi" w:hAnsiTheme="majorHAnsi" w:cstheme="majorHAnsi"/>
        </w:rPr>
        <w:t xml:space="preserve"> (Accessed: 6 August 2025)</w:t>
      </w:r>
    </w:p>
  </w:footnote>
  <w:footnote w:id="184">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Council </w:t>
      </w:r>
      <w:r w:rsidRPr="00650E4E">
        <w:rPr>
          <w:rFonts w:eastAsia="Times New Roman" w:cstheme="minorHAnsi"/>
        </w:rPr>
        <w:t xml:space="preserve">on Foreign Relations (Berman, N., Maizland, L. and Chatzky, A.) (2023) ‘Is China’s Huawei a Threat to U.S. National Security?’, </w:t>
      </w:r>
      <w:r w:rsidRPr="00650E4E">
        <w:rPr>
          <w:rFonts w:eastAsia="Times New Roman" w:cstheme="minorHAnsi"/>
          <w:i/>
          <w:iCs/>
        </w:rPr>
        <w:t>CFR Backgrounder</w:t>
      </w:r>
      <w:r w:rsidRPr="00650E4E">
        <w:rPr>
          <w:rFonts w:eastAsia="Times New Roman" w:cstheme="minorHAnsi"/>
        </w:rPr>
        <w:t xml:space="preserve">, 8 February. Available at: </w:t>
      </w:r>
      <w:r>
        <w:fldChar w:fldCharType="begin"/>
      </w:r>
      <w:r>
        <w:instrText xml:space="preserve"> HYPERLINK "https://www.cfr.org/backgrounder/chinas-huawei-threat-us-national-security" </w:instrText>
      </w:r>
      <w:r>
        <w:fldChar w:fldCharType="separate"/>
      </w:r>
      <w:r w:rsidRPr="00650E4E">
        <w:rPr>
          <w:rFonts w:eastAsia="Times New Roman" w:cstheme="minorHAnsi"/>
          <w:color w:val="0000FF"/>
          <w:u w:val="single"/>
        </w:rPr>
        <w:t>https://www.cfr.org/backgrounder/chinas-huawei-threat-us-national-security</w:t>
      </w:r>
      <w:r>
        <w:rPr>
          <w:rFonts w:eastAsia="Times New Roman" w:cstheme="minorHAnsi"/>
          <w:color w:val="0000FF"/>
          <w:u w:val="single"/>
        </w:rPr>
        <w:fldChar w:fldCharType="end"/>
      </w:r>
      <w:r w:rsidRPr="00650E4E">
        <w:rPr>
          <w:rFonts w:eastAsia="Times New Roman" w:cstheme="minorHAnsi"/>
        </w:rPr>
        <w:t xml:space="preserve"> (Accessed: 31 August 2025). (</w:t>
      </w:r>
      <w:r>
        <w:fldChar w:fldCharType="begin"/>
      </w:r>
      <w:r>
        <w:instrText xml:space="preserve"> HYPERLINK "https://www.cfr.org/backgrounder/chinas-huawei-threat-us-national-security" \o "Is China’s Huawei a Threat to U.S. National Security? | Council on Foreign Relations" </w:instrText>
      </w:r>
      <w:r>
        <w:fldChar w:fldCharType="separate"/>
      </w:r>
      <w:r w:rsidRPr="00650E4E">
        <w:rPr>
          <w:rFonts w:eastAsia="Times New Roman" w:cstheme="minorHAnsi"/>
          <w:color w:val="0000FF"/>
          <w:u w:val="single"/>
        </w:rPr>
        <w:t>Council on Foreign Relations</w:t>
      </w:r>
      <w:r>
        <w:rPr>
          <w:rFonts w:eastAsia="Times New Roman" w:cstheme="minorHAnsi"/>
          <w:color w:val="0000FF"/>
          <w:u w:val="single"/>
        </w:rPr>
        <w:fldChar w:fldCharType="end"/>
      </w:r>
      <w:r w:rsidRPr="00650E4E">
        <w:rPr>
          <w:rFonts w:eastAsia="Times New Roman" w:cstheme="minorHAnsi"/>
        </w:rPr>
        <w:t>)</w:t>
      </w:r>
    </w:p>
  </w:footnote>
  <w:footnote w:id="185">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650E4E">
        <w:rPr>
          <w:rFonts w:eastAsia="Times New Roman" w:cstheme="minorHAnsi"/>
          <w:sz w:val="20"/>
          <w:szCs w:val="20"/>
        </w:rPr>
        <w:t xml:space="preserve">Pearson, M., </w:t>
      </w:r>
      <w:proofErr w:type="spellStart"/>
      <w:r w:rsidRPr="00650E4E">
        <w:rPr>
          <w:rFonts w:eastAsia="Times New Roman" w:cstheme="minorHAnsi"/>
          <w:sz w:val="20"/>
          <w:szCs w:val="20"/>
        </w:rPr>
        <w:t>Rithmire</w:t>
      </w:r>
      <w:proofErr w:type="spellEnd"/>
      <w:r w:rsidRPr="00650E4E">
        <w:rPr>
          <w:rFonts w:eastAsia="Times New Roman" w:cstheme="minorHAnsi"/>
          <w:sz w:val="20"/>
          <w:szCs w:val="20"/>
        </w:rPr>
        <w:t>, M. and Tsai, K.S. (2021) ‘Party</w:t>
      </w:r>
      <w:r w:rsidRPr="00650E4E">
        <w:rPr>
          <w:rFonts w:eastAsia="Times New Roman" w:cstheme="minorHAnsi"/>
          <w:sz w:val="20"/>
          <w:szCs w:val="20"/>
        </w:rPr>
        <w:noBreakHyphen/>
        <w:t xml:space="preserve">State Capitalism in China’, </w:t>
      </w:r>
      <w:r w:rsidRPr="00650E4E">
        <w:rPr>
          <w:rFonts w:eastAsia="Times New Roman" w:cstheme="minorHAnsi"/>
          <w:i/>
          <w:iCs/>
          <w:sz w:val="20"/>
          <w:szCs w:val="20"/>
        </w:rPr>
        <w:t>Current History</w:t>
      </w:r>
      <w:r w:rsidRPr="00650E4E">
        <w:rPr>
          <w:rFonts w:eastAsia="Times New Roman" w:cstheme="minorHAnsi"/>
          <w:sz w:val="20"/>
          <w:szCs w:val="20"/>
        </w:rPr>
        <w:t>, 120(827), pp. 207</w:t>
      </w:r>
      <w:r w:rsidRPr="00650E4E">
        <w:rPr>
          <w:rFonts w:eastAsia="Times New Roman" w:cstheme="minorHAnsi"/>
          <w:sz w:val="20"/>
          <w:szCs w:val="20"/>
          <w:rtl/>
        </w:rPr>
        <w:t>-</w:t>
      </w:r>
      <w:r w:rsidRPr="00650E4E">
        <w:rPr>
          <w:rFonts w:eastAsia="Times New Roman" w:cstheme="minorHAnsi"/>
          <w:sz w:val="20"/>
          <w:szCs w:val="20"/>
        </w:rPr>
        <w:t xml:space="preserve">213. Available at: </w:t>
      </w:r>
      <w:hyperlink r:id="rId21" w:history="1">
        <w:r w:rsidRPr="00650E4E">
          <w:rPr>
            <w:rFonts w:eastAsia="Times New Roman" w:cstheme="minorHAnsi"/>
            <w:color w:val="0000FF"/>
            <w:sz w:val="20"/>
            <w:szCs w:val="20"/>
            <w:u w:val="single"/>
          </w:rPr>
          <w:t>https://www.hbs.edu/ris/Publication%20Files/CURH120827_01_Pearson_4ea34a0b-21d5-45af-a51a-c938eeeb6380.pdf</w:t>
        </w:r>
      </w:hyperlink>
      <w:r w:rsidRPr="00650E4E">
        <w:rPr>
          <w:rFonts w:eastAsia="Times New Roman" w:cstheme="minorHAnsi"/>
          <w:sz w:val="20"/>
          <w:szCs w:val="20"/>
        </w:rPr>
        <w:t xml:space="preserve"> (Accessed: 31 August 2025). (</w:t>
      </w:r>
      <w:hyperlink r:id="rId22" w:tooltip="CURH120827_01_Pearson 207..213" w:history="1">
        <w:r w:rsidRPr="00650E4E">
          <w:rPr>
            <w:rFonts w:eastAsia="Times New Roman" w:cstheme="minorHAnsi"/>
            <w:color w:val="0000FF"/>
            <w:sz w:val="20"/>
            <w:szCs w:val="20"/>
            <w:u w:val="single"/>
          </w:rPr>
          <w:t>Harvard Business School</w:t>
        </w:r>
      </w:hyperlink>
      <w:r w:rsidRPr="00650E4E">
        <w:rPr>
          <w:rFonts w:eastAsia="Times New Roman" w:cstheme="minorHAnsi"/>
          <w:sz w:val="20"/>
          <w:szCs w:val="20"/>
        </w:rPr>
        <w:t>), Association for Asian Studies (</w:t>
      </w:r>
      <w:proofErr w:type="spellStart"/>
      <w:r w:rsidRPr="00650E4E">
        <w:rPr>
          <w:rFonts w:eastAsia="Times New Roman" w:cstheme="minorHAnsi"/>
          <w:sz w:val="20"/>
          <w:szCs w:val="20"/>
        </w:rPr>
        <w:t>n.d.</w:t>
      </w:r>
      <w:proofErr w:type="spellEnd"/>
      <w:r w:rsidRPr="00650E4E">
        <w:rPr>
          <w:rFonts w:eastAsia="Times New Roman" w:cstheme="minorHAnsi"/>
          <w:sz w:val="20"/>
          <w:szCs w:val="20"/>
        </w:rPr>
        <w:t xml:space="preserve">) ‘China’s “National Champions”: Alibaba, </w:t>
      </w:r>
      <w:proofErr w:type="spellStart"/>
      <w:r w:rsidRPr="00650E4E">
        <w:rPr>
          <w:rFonts w:eastAsia="Times New Roman" w:cstheme="minorHAnsi"/>
          <w:sz w:val="20"/>
          <w:szCs w:val="20"/>
        </w:rPr>
        <w:t>Tencent</w:t>
      </w:r>
      <w:proofErr w:type="spellEnd"/>
      <w:r w:rsidRPr="00650E4E">
        <w:rPr>
          <w:rFonts w:eastAsia="Times New Roman" w:cstheme="minorHAnsi"/>
          <w:sz w:val="20"/>
          <w:szCs w:val="20"/>
        </w:rPr>
        <w:t xml:space="preserve">, and Huawei’, </w:t>
      </w:r>
      <w:r w:rsidRPr="00650E4E">
        <w:rPr>
          <w:rFonts w:eastAsia="Times New Roman" w:cstheme="minorHAnsi"/>
          <w:i/>
          <w:iCs/>
          <w:sz w:val="20"/>
          <w:szCs w:val="20"/>
        </w:rPr>
        <w:t>Education About Asia</w:t>
      </w:r>
      <w:r w:rsidRPr="00650E4E">
        <w:rPr>
          <w:rFonts w:eastAsia="Times New Roman" w:cstheme="minorHAnsi"/>
          <w:sz w:val="20"/>
          <w:szCs w:val="20"/>
        </w:rPr>
        <w:t xml:space="preserve">. Available at: </w:t>
      </w:r>
      <w:hyperlink r:id="rId23" w:history="1">
        <w:r w:rsidRPr="00650E4E">
          <w:rPr>
            <w:rFonts w:eastAsia="Times New Roman" w:cstheme="minorHAnsi"/>
            <w:color w:val="0000FF"/>
            <w:sz w:val="20"/>
            <w:szCs w:val="20"/>
            <w:u w:val="single"/>
          </w:rPr>
          <w:t>https://www.asianstudies.org/publications/eaa/archives/chinas-national-champions-alibaba-tencent-and-huawei/</w:t>
        </w:r>
      </w:hyperlink>
      <w:r w:rsidRPr="00650E4E">
        <w:rPr>
          <w:rFonts w:eastAsia="Times New Roman" w:cstheme="minorHAnsi"/>
          <w:sz w:val="20"/>
          <w:szCs w:val="20"/>
        </w:rPr>
        <w:t xml:space="preserve"> (Accessed: 31 August 2025). (</w:t>
      </w:r>
      <w:hyperlink r:id="rId24" w:tooltip="China's &quot;National Champions&quot;: Alibaba, Tencent, and Huawei - Association for Asian Studies" w:history="1">
        <w:r w:rsidRPr="00650E4E">
          <w:rPr>
            <w:rFonts w:eastAsia="Times New Roman" w:cstheme="minorHAnsi"/>
            <w:color w:val="0000FF"/>
            <w:sz w:val="20"/>
            <w:szCs w:val="20"/>
            <w:u w:val="single"/>
          </w:rPr>
          <w:t>Association for Asian Studies</w:t>
        </w:r>
      </w:hyperlink>
      <w:r w:rsidRPr="00650E4E">
        <w:rPr>
          <w:rFonts w:eastAsia="Times New Roman" w:cstheme="minorHAnsi"/>
          <w:sz w:val="20"/>
          <w:szCs w:val="20"/>
        </w:rPr>
        <w:t>)</w:t>
      </w:r>
    </w:p>
    <w:p w:rsidR="00C62A14" w:rsidRPr="00B23C99" w:rsidRDefault="00C62A14" w:rsidP="008F42CF">
      <w:pPr>
        <w:spacing w:before="100" w:beforeAutospacing="1" w:after="100" w:afterAutospacing="1" w:line="240" w:lineRule="auto"/>
        <w:rPr>
          <w:rFonts w:ascii="Times New Roman" w:eastAsia="Times New Roman" w:hAnsi="Times New Roman" w:cs="Times New Roman"/>
          <w:sz w:val="20"/>
          <w:szCs w:val="20"/>
        </w:rPr>
      </w:pPr>
    </w:p>
    <w:p w:rsidR="00C62A14" w:rsidRPr="00B23C99" w:rsidRDefault="00C62A14" w:rsidP="008F42CF">
      <w:pPr>
        <w:pStyle w:val="a6"/>
        <w:rPr>
          <w:rtl/>
        </w:rPr>
      </w:pPr>
    </w:p>
  </w:footnote>
  <w:footnote w:id="186">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DE059B">
        <w:rPr>
          <w:rStyle w:val="a4"/>
          <w:rFonts w:cstheme="minorHAnsi"/>
          <w:b w:val="0"/>
          <w:bCs w:val="0"/>
        </w:rPr>
        <w:t>Porter, M.E. (1979)</w:t>
      </w:r>
      <w:r w:rsidRPr="00DE059B">
        <w:rPr>
          <w:rFonts w:cstheme="minorHAnsi"/>
          <w:b/>
          <w:bCs/>
        </w:rPr>
        <w:t>,</w:t>
      </w:r>
      <w:r w:rsidRPr="00650E4E">
        <w:rPr>
          <w:rFonts w:cstheme="minorHAnsi"/>
        </w:rPr>
        <w:t xml:space="preserve"> </w:t>
      </w:r>
      <w:r w:rsidRPr="00650E4E">
        <w:rPr>
          <w:rStyle w:val="a5"/>
          <w:rFonts w:cstheme="minorHAnsi"/>
        </w:rPr>
        <w:t xml:space="preserve">How Competitive Forces Shape Strategy, </w:t>
      </w:r>
      <w:r w:rsidRPr="00650E4E">
        <w:rPr>
          <w:rFonts w:cstheme="minorHAnsi"/>
        </w:rPr>
        <w:t>Harvard Business Review, 57(2), pp.137-145</w:t>
      </w:r>
      <w:r w:rsidRPr="00650E4E">
        <w:rPr>
          <w:rFonts w:cstheme="minorHAnsi"/>
          <w:lang w:val="en-US"/>
        </w:rPr>
        <w:t xml:space="preserve">; </w:t>
      </w:r>
      <w:r w:rsidRPr="00DE059B">
        <w:rPr>
          <w:rStyle w:val="a4"/>
          <w:rFonts w:cstheme="minorHAnsi"/>
          <w:b w:val="0"/>
          <w:bCs w:val="0"/>
        </w:rPr>
        <w:t>Porter, M.E. (2008)</w:t>
      </w:r>
      <w:r w:rsidRPr="00DE059B">
        <w:rPr>
          <w:rFonts w:cstheme="minorHAnsi"/>
          <w:b/>
          <w:bCs/>
        </w:rPr>
        <w:t>,</w:t>
      </w:r>
      <w:r w:rsidRPr="00650E4E">
        <w:rPr>
          <w:rFonts w:cstheme="minorHAnsi"/>
        </w:rPr>
        <w:t xml:space="preserve"> </w:t>
      </w:r>
      <w:r w:rsidRPr="00650E4E">
        <w:rPr>
          <w:rStyle w:val="a5"/>
          <w:rFonts w:cstheme="minorHAnsi"/>
        </w:rPr>
        <w:t xml:space="preserve">The Five Competitive Forces That Shape Strategy, </w:t>
      </w:r>
      <w:r w:rsidRPr="00650E4E">
        <w:rPr>
          <w:rFonts w:cstheme="minorHAnsi"/>
        </w:rPr>
        <w:t>Harvard Business Review, 86(1), pp.78-93</w:t>
      </w:r>
      <w:r w:rsidRPr="00650E4E">
        <w:rPr>
          <w:rFonts w:cstheme="minorHAnsi"/>
          <w:lang w:val="en-US"/>
        </w:rPr>
        <w:t xml:space="preserve">; </w:t>
      </w:r>
      <w:r w:rsidRPr="00DE059B">
        <w:rPr>
          <w:rStyle w:val="a4"/>
          <w:rFonts w:cstheme="minorHAnsi"/>
          <w:b w:val="0"/>
          <w:bCs w:val="0"/>
        </w:rPr>
        <w:t>Hill, C.W.L., Jones, G.R. and Schilling, M.A. (2020)</w:t>
      </w:r>
      <w:r w:rsidRPr="00DE059B">
        <w:rPr>
          <w:rFonts w:cstheme="minorHAnsi"/>
          <w:b/>
          <w:bCs/>
        </w:rPr>
        <w:t>,</w:t>
      </w:r>
      <w:r w:rsidRPr="00650E4E">
        <w:rPr>
          <w:rFonts w:cstheme="minorHAnsi"/>
        </w:rPr>
        <w:t xml:space="preserve"> </w:t>
      </w:r>
      <w:r w:rsidRPr="00650E4E">
        <w:rPr>
          <w:rStyle w:val="a5"/>
          <w:rFonts w:cstheme="minorHAnsi"/>
        </w:rPr>
        <w:t xml:space="preserve">Strategic Management: Theory &amp; Cases, </w:t>
      </w:r>
      <w:r w:rsidRPr="00650E4E">
        <w:rPr>
          <w:rFonts w:cstheme="minorHAnsi"/>
        </w:rPr>
        <w:t>13th ed. Boston: Cengage Learning</w:t>
      </w:r>
      <w:r w:rsidRPr="00650E4E">
        <w:rPr>
          <w:rFonts w:cstheme="minorHAnsi"/>
          <w:lang w:val="en-US"/>
        </w:rPr>
        <w:t>.</w:t>
      </w:r>
    </w:p>
  </w:footnote>
  <w:footnote w:id="187">
    <w:p w:rsidR="00C62A14" w:rsidRPr="00650E4E" w:rsidRDefault="00C62A14" w:rsidP="008F42CF">
      <w:pPr>
        <w:pStyle w:val="a6"/>
        <w:rPr>
          <w:rFonts w:cstheme="minorHAnsi"/>
        </w:rPr>
      </w:pPr>
      <w:r w:rsidRPr="00650E4E">
        <w:rPr>
          <w:rStyle w:val="a8"/>
          <w:rFonts w:cstheme="minorHAnsi"/>
        </w:rPr>
        <w:footnoteRef/>
      </w:r>
      <w:r w:rsidRPr="00650E4E">
        <w:rPr>
          <w:rFonts w:cstheme="minorHAnsi"/>
        </w:rPr>
        <w:t xml:space="preserve"> </w:t>
      </w:r>
      <w:r w:rsidRPr="00DE059B">
        <w:rPr>
          <w:rStyle w:val="a4"/>
          <w:rFonts w:cstheme="minorHAnsi"/>
          <w:b w:val="0"/>
          <w:bCs w:val="0"/>
        </w:rPr>
        <w:t>Grant, R.M. (2021)</w:t>
      </w:r>
      <w:r w:rsidRPr="00DE059B">
        <w:rPr>
          <w:rFonts w:cstheme="minorHAnsi"/>
          <w:b/>
          <w:bCs/>
        </w:rPr>
        <w:t>,</w:t>
      </w:r>
      <w:r w:rsidRPr="00650E4E">
        <w:rPr>
          <w:rFonts w:cstheme="minorHAnsi"/>
        </w:rPr>
        <w:t xml:space="preserve"> </w:t>
      </w:r>
      <w:r w:rsidRPr="00650E4E">
        <w:rPr>
          <w:rStyle w:val="a5"/>
          <w:rFonts w:cstheme="minorHAnsi"/>
        </w:rPr>
        <w:t xml:space="preserve">Contemporary Strategy Analysis, </w:t>
      </w:r>
      <w:r w:rsidRPr="00650E4E">
        <w:rPr>
          <w:rFonts w:cstheme="minorHAnsi"/>
        </w:rPr>
        <w:t>11th ed. Chichester: Wiley.</w:t>
      </w:r>
      <w:r w:rsidRPr="00650E4E">
        <w:rPr>
          <w:rFonts w:cstheme="minorHAnsi"/>
        </w:rPr>
        <w:br/>
      </w:r>
    </w:p>
  </w:footnote>
  <w:footnote w:id="188">
    <w:p w:rsidR="00C62A14" w:rsidRPr="00F867DC" w:rsidRDefault="00C62A14" w:rsidP="008F42CF">
      <w:pPr>
        <w:pStyle w:val="a6"/>
        <w:rPr>
          <w:lang w:val="en-US"/>
        </w:rPr>
      </w:pPr>
      <w:r>
        <w:rPr>
          <w:rStyle w:val="a8"/>
        </w:rPr>
        <w:footnoteRef/>
      </w:r>
      <w:r>
        <w:t xml:space="preserve"> </w:t>
      </w:r>
      <w:r w:rsidRPr="00DE059B">
        <w:rPr>
          <w:rStyle w:val="a4"/>
          <w:b w:val="0"/>
          <w:bCs w:val="0"/>
        </w:rPr>
        <w:t xml:space="preserve">Babic, </w:t>
      </w:r>
      <w:r w:rsidRPr="00DE059B">
        <w:rPr>
          <w:rStyle w:val="a4"/>
          <w:b w:val="0"/>
          <w:bCs w:val="0"/>
        </w:rPr>
        <w:t>M., Fichtner, J. and Heemskerk, E.M. (2017)</w:t>
      </w:r>
      <w:r w:rsidRPr="00DE059B">
        <w:rPr>
          <w:b/>
          <w:bCs/>
        </w:rPr>
        <w:t>,</w:t>
      </w:r>
      <w:r>
        <w:t xml:space="preserve"> </w:t>
      </w:r>
      <w:r w:rsidRPr="003727ED">
        <w:rPr>
          <w:rStyle w:val="a5"/>
        </w:rPr>
        <w:t>States versus Corporations</w:t>
      </w:r>
      <w:r>
        <w:rPr>
          <w:rStyle w:val="a5"/>
        </w:rPr>
        <w:t xml:space="preserve">, </w:t>
      </w:r>
      <w:r w:rsidRPr="003727ED">
        <w:t>International Studies Quarterly, 61(1), pp.20</w:t>
      </w:r>
      <w:r>
        <w:t>-</w:t>
      </w:r>
      <w:r w:rsidRPr="003727ED">
        <w:t>43</w:t>
      </w:r>
      <w:r>
        <w:rPr>
          <w:lang w:val="en-US"/>
        </w:rPr>
        <w:t xml:space="preserve">; </w:t>
      </w:r>
      <w:r w:rsidRPr="00DE059B">
        <w:rPr>
          <w:rStyle w:val="a4"/>
          <w:b w:val="0"/>
          <w:bCs w:val="0"/>
        </w:rPr>
        <w:t>Ruggie, J.G. (2014)</w:t>
      </w:r>
      <w:r w:rsidRPr="00DE059B">
        <w:rPr>
          <w:b/>
          <w:bCs/>
        </w:rPr>
        <w:t>,</w:t>
      </w:r>
      <w:r>
        <w:t xml:space="preserve"> </w:t>
      </w:r>
      <w:r w:rsidRPr="003727ED">
        <w:rPr>
          <w:rStyle w:val="a5"/>
        </w:rPr>
        <w:t>Global Governance and “New Governance Theory”</w:t>
      </w:r>
      <w:r>
        <w:rPr>
          <w:rStyle w:val="a5"/>
        </w:rPr>
        <w:t xml:space="preserve">, </w:t>
      </w:r>
      <w:r w:rsidRPr="003727ED">
        <w:t>Global Governance, 20(1), pp.5</w:t>
      </w:r>
      <w:r>
        <w:t>-</w:t>
      </w:r>
      <w:r w:rsidRPr="003727ED">
        <w:t>17</w:t>
      </w:r>
    </w:p>
  </w:footnote>
  <w:footnote w:id="189">
    <w:p w:rsidR="00C62A14" w:rsidRPr="009476B6" w:rsidRDefault="00C62A14" w:rsidP="008F42CF">
      <w:pPr>
        <w:pStyle w:val="a6"/>
        <w:rPr>
          <w:rtl/>
          <w:lang w:val="en-US"/>
        </w:rPr>
      </w:pPr>
      <w:r>
        <w:rPr>
          <w:rStyle w:val="a8"/>
        </w:rPr>
        <w:footnoteRef/>
      </w:r>
      <w:r>
        <w:t xml:space="preserve"> </w:t>
      </w:r>
      <w:r w:rsidRPr="00DE059B">
        <w:rPr>
          <w:rStyle w:val="a4"/>
          <w:b w:val="0"/>
          <w:bCs w:val="0"/>
        </w:rPr>
        <w:t>Babic, M., Fichtner, J. and Heemskerk, E.M. (2017)</w:t>
      </w:r>
      <w:r w:rsidRPr="00DE059B">
        <w:rPr>
          <w:b/>
          <w:bCs/>
        </w:rPr>
        <w:t>,</w:t>
      </w:r>
      <w:r>
        <w:t xml:space="preserve"> </w:t>
      </w:r>
      <w:r w:rsidRPr="003727ED">
        <w:rPr>
          <w:rStyle w:val="a5"/>
        </w:rPr>
        <w:t>States versus Corporations</w:t>
      </w:r>
      <w:r>
        <w:rPr>
          <w:rStyle w:val="a5"/>
        </w:rPr>
        <w:t xml:space="preserve">, </w:t>
      </w:r>
      <w:r w:rsidRPr="003727ED">
        <w:t>International Studies Quarterly, 61(1), pp.20</w:t>
      </w:r>
      <w:r>
        <w:t>-</w:t>
      </w:r>
      <w:r w:rsidRPr="003727ED">
        <w:t>43</w:t>
      </w:r>
      <w:r>
        <w:rPr>
          <w:lang w:val="en-US"/>
        </w:rPr>
        <w:t xml:space="preserve">; </w:t>
      </w:r>
      <w:r w:rsidRPr="00DE059B">
        <w:rPr>
          <w:rStyle w:val="a4"/>
          <w:b w:val="0"/>
          <w:bCs w:val="0"/>
        </w:rPr>
        <w:t>Strange, S. (1996)</w:t>
      </w:r>
      <w:r w:rsidRPr="00DE059B">
        <w:rPr>
          <w:b/>
          <w:bCs/>
        </w:rPr>
        <w:t>,</w:t>
      </w:r>
      <w:r>
        <w:t xml:space="preserve"> </w:t>
      </w:r>
      <w:r w:rsidRPr="003727ED">
        <w:rPr>
          <w:rStyle w:val="a5"/>
        </w:rPr>
        <w:t>The Retreat of the State.</w:t>
      </w:r>
      <w:r>
        <w:rPr>
          <w:i/>
          <w:iCs/>
        </w:rPr>
        <w:t xml:space="preserve">, </w:t>
      </w:r>
      <w:r w:rsidRPr="003727ED">
        <w:t>Cambridge: Cambridge University Press</w:t>
      </w:r>
    </w:p>
  </w:footnote>
  <w:footnote w:id="190">
    <w:p w:rsidR="00C62A14" w:rsidRPr="00650E4E" w:rsidRDefault="00C62A14" w:rsidP="008F42CF">
      <w:pPr>
        <w:spacing w:before="100" w:beforeAutospacing="1" w:after="100" w:afterAutospacing="1" w:line="240" w:lineRule="auto"/>
        <w:rPr>
          <w:rFonts w:eastAsia="Times New Roman" w:cstheme="minorHAnsi"/>
          <w:sz w:val="20"/>
          <w:szCs w:val="20"/>
          <w:rtl/>
        </w:rPr>
      </w:pPr>
      <w:r w:rsidRPr="00650E4E">
        <w:rPr>
          <w:rStyle w:val="a8"/>
          <w:rFonts w:cstheme="minorHAnsi"/>
        </w:rPr>
        <w:footnoteRef/>
      </w:r>
      <w:r w:rsidRPr="00650E4E">
        <w:rPr>
          <w:rFonts w:cstheme="minorHAnsi"/>
        </w:rPr>
        <w:t xml:space="preserve"> </w:t>
      </w:r>
      <w:r w:rsidRPr="00650E4E">
        <w:rPr>
          <w:rFonts w:eastAsia="Times New Roman" w:cstheme="minorHAnsi"/>
          <w:sz w:val="20"/>
          <w:szCs w:val="20"/>
        </w:rPr>
        <w:t xml:space="preserve">LexisNexis </w:t>
      </w:r>
      <w:proofErr w:type="spellStart"/>
      <w:r w:rsidRPr="00650E4E">
        <w:rPr>
          <w:rFonts w:eastAsia="Times New Roman" w:cstheme="minorHAnsi"/>
          <w:sz w:val="20"/>
          <w:szCs w:val="20"/>
        </w:rPr>
        <w:t>IPlytics</w:t>
      </w:r>
      <w:proofErr w:type="spellEnd"/>
      <w:r w:rsidRPr="00650E4E">
        <w:rPr>
          <w:rFonts w:eastAsia="Times New Roman" w:cstheme="minorHAnsi"/>
          <w:sz w:val="20"/>
          <w:szCs w:val="20"/>
        </w:rPr>
        <w:t xml:space="preserve"> (</w:t>
      </w:r>
      <w:proofErr w:type="spellStart"/>
      <w:r w:rsidRPr="00650E4E">
        <w:rPr>
          <w:rFonts w:eastAsia="Times New Roman" w:cstheme="minorHAnsi"/>
          <w:sz w:val="20"/>
          <w:szCs w:val="20"/>
        </w:rPr>
        <w:t>Pohlmann</w:t>
      </w:r>
      <w:proofErr w:type="spellEnd"/>
      <w:r w:rsidRPr="00650E4E">
        <w:rPr>
          <w:rFonts w:eastAsia="Times New Roman" w:cstheme="minorHAnsi"/>
          <w:sz w:val="20"/>
          <w:szCs w:val="20"/>
        </w:rPr>
        <w:t xml:space="preserve">, T.) (2023) </w:t>
      </w:r>
      <w:r w:rsidRPr="00650E4E">
        <w:rPr>
          <w:rFonts w:eastAsia="Times New Roman" w:cstheme="minorHAnsi"/>
          <w:i/>
          <w:iCs/>
          <w:sz w:val="20"/>
          <w:szCs w:val="20"/>
        </w:rPr>
        <w:t>Who is Leading the 5G Patent Race?</w:t>
      </w:r>
      <w:r w:rsidRPr="00650E4E">
        <w:rPr>
          <w:rFonts w:eastAsia="Times New Roman" w:cstheme="minorHAnsi"/>
          <w:sz w:val="20"/>
          <w:szCs w:val="20"/>
        </w:rPr>
        <w:t xml:space="preserve"> August 2023. Available at: </w:t>
      </w:r>
      <w:hyperlink r:id="rId25" w:history="1">
        <w:r w:rsidRPr="00650E4E">
          <w:rPr>
            <w:rFonts w:eastAsia="Times New Roman" w:cstheme="minorHAnsi"/>
            <w:color w:val="0000FF"/>
            <w:sz w:val="20"/>
            <w:szCs w:val="20"/>
            <w:u w:val="single"/>
          </w:rPr>
          <w:t>https://www.lexisnexisip.com/wp-content/uploads/2023/10/Who-is-Leading-the-5G-Patent-Race.-IPlytics-August-2023.pdf</w:t>
        </w:r>
      </w:hyperlink>
      <w:r w:rsidRPr="00650E4E">
        <w:rPr>
          <w:rFonts w:eastAsia="Times New Roman" w:cstheme="minorHAnsi"/>
          <w:sz w:val="20"/>
          <w:szCs w:val="20"/>
        </w:rPr>
        <w:t xml:space="preserve"> (Accessed: 31 August 2025). (</w:t>
      </w:r>
      <w:hyperlink r:id="rId26" w:tooltip="Who is Leading the 5G Patent Race?" w:history="1">
        <w:r w:rsidRPr="00650E4E">
          <w:rPr>
            <w:rFonts w:eastAsia="Times New Roman" w:cstheme="minorHAnsi"/>
            <w:color w:val="0000FF"/>
            <w:sz w:val="20"/>
            <w:szCs w:val="20"/>
            <w:u w:val="single"/>
          </w:rPr>
          <w:t>LexisNexis IP Solutions</w:t>
        </w:r>
      </w:hyperlink>
      <w:r>
        <w:rPr>
          <w:rFonts w:eastAsia="Times New Roman" w:cstheme="minorHAnsi"/>
          <w:sz w:val="20"/>
          <w:szCs w:val="20"/>
        </w:rPr>
        <w:t xml:space="preserve">); </w:t>
      </w:r>
      <w:r w:rsidRPr="00650E4E">
        <w:rPr>
          <w:rFonts w:eastAsia="Times New Roman" w:cstheme="minorHAnsi"/>
          <w:sz w:val="20"/>
          <w:szCs w:val="20"/>
        </w:rPr>
        <w:t xml:space="preserve">see also </w:t>
      </w:r>
      <w:r w:rsidRPr="00104D9D">
        <w:rPr>
          <w:rFonts w:eastAsia="Times New Roman" w:cstheme="minorHAnsi"/>
          <w:sz w:val="20"/>
          <w:szCs w:val="20"/>
        </w:rPr>
        <w:t>Xinhua / Beijing Review (2023).</w:t>
      </w:r>
      <w:r w:rsidRPr="00650E4E">
        <w:rPr>
          <w:rFonts w:eastAsia="Times New Roman" w:cstheme="minorHAnsi"/>
          <w:sz w:val="20"/>
          <w:szCs w:val="20"/>
        </w:rPr>
        <w:t xml:space="preserve"> </w:t>
      </w:r>
      <w:r w:rsidRPr="00650E4E">
        <w:rPr>
          <w:rFonts w:eastAsia="Times New Roman" w:cstheme="minorHAnsi"/>
          <w:i/>
          <w:iCs/>
          <w:sz w:val="20"/>
          <w:szCs w:val="20"/>
        </w:rPr>
        <w:t>Huawei reveals ownership of 120,000 patents worldwide.</w:t>
      </w:r>
      <w:r w:rsidRPr="00650E4E">
        <w:rPr>
          <w:rFonts w:eastAsia="Times New Roman" w:cstheme="minorHAnsi"/>
          <w:sz w:val="20"/>
          <w:szCs w:val="20"/>
        </w:rPr>
        <w:t xml:space="preserve"> 20 September. Available at: </w:t>
      </w:r>
      <w:hyperlink r:id="rId27" w:history="1">
        <w:r w:rsidRPr="00650E4E">
          <w:rPr>
            <w:rFonts w:eastAsia="Times New Roman" w:cstheme="minorHAnsi"/>
            <w:color w:val="0000FF"/>
            <w:sz w:val="20"/>
            <w:szCs w:val="20"/>
            <w:u w:val="single"/>
          </w:rPr>
          <w:t>https://www.bjreview.com/Latest_Headlines/202309/t20230920_800342618.html</w:t>
        </w:r>
      </w:hyperlink>
      <w:r w:rsidRPr="00650E4E">
        <w:rPr>
          <w:rFonts w:eastAsia="Times New Roman" w:cstheme="minorHAnsi"/>
          <w:sz w:val="20"/>
          <w:szCs w:val="20"/>
        </w:rPr>
        <w:t xml:space="preserve"> (Accessed 31 August 2025). (</w:t>
      </w:r>
      <w:hyperlink r:id="rId28" w:tooltip="Huawei reveals ownership of 120000 patents worldwide" w:history="1">
        <w:r w:rsidRPr="00650E4E">
          <w:rPr>
            <w:rFonts w:eastAsia="Times New Roman" w:cstheme="minorHAnsi"/>
            <w:color w:val="0000FF"/>
            <w:sz w:val="20"/>
            <w:szCs w:val="20"/>
            <w:u w:val="single"/>
          </w:rPr>
          <w:t>Beijing Review</w:t>
        </w:r>
      </w:hyperlink>
      <w:r w:rsidRPr="00650E4E">
        <w:rPr>
          <w:rFonts w:eastAsia="Times New Roman" w:cstheme="minorHAnsi"/>
          <w:sz w:val="20"/>
          <w:szCs w:val="20"/>
          <w:rtl/>
        </w:rPr>
        <w:t>(</w:t>
      </w:r>
    </w:p>
  </w:footnote>
  <w:footnote w:id="191">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104D9D">
        <w:rPr>
          <w:rFonts w:eastAsia="Times New Roman" w:cstheme="minorHAnsi"/>
          <w:sz w:val="20"/>
          <w:szCs w:val="20"/>
        </w:rPr>
        <w:t xml:space="preserve">ITIF </w:t>
      </w:r>
      <w:r w:rsidRPr="00104D9D">
        <w:rPr>
          <w:rFonts w:eastAsia="Times New Roman" w:cstheme="minorHAnsi"/>
          <w:sz w:val="20"/>
          <w:szCs w:val="20"/>
          <w:rtl/>
        </w:rPr>
        <w:t>-</w:t>
      </w:r>
      <w:r w:rsidRPr="00104D9D">
        <w:rPr>
          <w:rFonts w:eastAsia="Times New Roman" w:cstheme="minorHAnsi"/>
          <w:sz w:val="20"/>
          <w:szCs w:val="20"/>
        </w:rPr>
        <w:t xml:space="preserve"> Information Technology &amp; Innovation Foundation (</w:t>
      </w:r>
      <w:proofErr w:type="spellStart"/>
      <w:r w:rsidRPr="00104D9D">
        <w:rPr>
          <w:rFonts w:eastAsia="Times New Roman" w:cstheme="minorHAnsi"/>
          <w:sz w:val="20"/>
          <w:szCs w:val="20"/>
        </w:rPr>
        <w:t>Bruer</w:t>
      </w:r>
      <w:proofErr w:type="spellEnd"/>
      <w:r w:rsidRPr="00104D9D">
        <w:rPr>
          <w:rFonts w:eastAsia="Times New Roman" w:cstheme="minorHAnsi"/>
          <w:sz w:val="20"/>
          <w:szCs w:val="20"/>
        </w:rPr>
        <w:t>, A. and Brake, D.) (2021).</w:t>
      </w:r>
      <w:r w:rsidRPr="00650E4E">
        <w:rPr>
          <w:rFonts w:eastAsia="Times New Roman" w:cstheme="minorHAnsi"/>
          <w:sz w:val="20"/>
          <w:szCs w:val="20"/>
        </w:rPr>
        <w:t xml:space="preserve"> </w:t>
      </w:r>
      <w:r w:rsidRPr="00650E4E">
        <w:rPr>
          <w:rFonts w:eastAsia="Times New Roman" w:cstheme="minorHAnsi"/>
          <w:i/>
          <w:iCs/>
          <w:sz w:val="20"/>
          <w:szCs w:val="20"/>
        </w:rPr>
        <w:t>Mapping the International 5G Standards Landscape and How It Impacts U.S. Strategy and Policy.</w:t>
      </w:r>
      <w:r w:rsidRPr="00650E4E">
        <w:rPr>
          <w:rFonts w:eastAsia="Times New Roman" w:cstheme="minorHAnsi"/>
          <w:sz w:val="20"/>
          <w:szCs w:val="20"/>
        </w:rPr>
        <w:t xml:space="preserve"> 8 November. Available at: </w:t>
      </w:r>
      <w:hyperlink r:id="rId29" w:history="1">
        <w:r w:rsidRPr="00650E4E">
          <w:rPr>
            <w:rFonts w:eastAsia="Times New Roman" w:cstheme="minorHAnsi"/>
            <w:color w:val="0000FF"/>
            <w:sz w:val="20"/>
            <w:szCs w:val="20"/>
            <w:u w:val="single"/>
          </w:rPr>
          <w:t>https://itif.org/publications/2021/11/08/mapping-international-5g-standards-landscape-and-how-it-impacts-us-strategy/</w:t>
        </w:r>
      </w:hyperlink>
      <w:r w:rsidRPr="00650E4E">
        <w:rPr>
          <w:rFonts w:eastAsia="Times New Roman" w:cstheme="minorHAnsi"/>
          <w:sz w:val="20"/>
          <w:szCs w:val="20"/>
        </w:rPr>
        <w:t xml:space="preserve"> (Accessed 31 August 2025). (</w:t>
      </w:r>
      <w:hyperlink r:id="rId30" w:tooltip="Mapping the International 5G Standards Landscape and How It Impacts U.S. Strategy and Policy | ITIF" w:history="1">
        <w:r w:rsidRPr="00650E4E">
          <w:rPr>
            <w:rFonts w:eastAsia="Times New Roman" w:cstheme="minorHAnsi"/>
            <w:color w:val="0000FF"/>
            <w:sz w:val="20"/>
            <w:szCs w:val="20"/>
            <w:u w:val="single"/>
          </w:rPr>
          <w:t>ITIF</w:t>
        </w:r>
      </w:hyperlink>
      <w:r w:rsidRPr="00650E4E">
        <w:rPr>
          <w:rFonts w:eastAsia="Times New Roman" w:cstheme="minorHAnsi"/>
          <w:sz w:val="20"/>
          <w:szCs w:val="20"/>
        </w:rPr>
        <w:t>)</w:t>
      </w:r>
    </w:p>
  </w:footnote>
  <w:footnote w:id="192">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lang w:eastAsia="en-IL"/>
        </w:rPr>
        <w:t xml:space="preserve">Strange, S. (1996). </w:t>
      </w:r>
      <w:r w:rsidRPr="00650E4E">
        <w:rPr>
          <w:rFonts w:eastAsia="Times New Roman" w:cstheme="minorHAnsi"/>
          <w:i/>
          <w:iCs/>
          <w:lang w:eastAsia="en-IL"/>
        </w:rPr>
        <w:t>The Retreat of the State: The Diffusion of Power in the World Economy</w:t>
      </w:r>
      <w:r w:rsidRPr="00650E4E">
        <w:rPr>
          <w:rFonts w:eastAsia="Times New Roman" w:cstheme="minorHAnsi"/>
          <w:lang w:eastAsia="en-IL"/>
        </w:rPr>
        <w:t>. Cambridge: Cambridge University Press</w:t>
      </w:r>
    </w:p>
  </w:footnote>
  <w:footnote w:id="193">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sz w:val="20"/>
          <w:szCs w:val="20"/>
        </w:rPr>
        <w:footnoteRef/>
      </w:r>
      <w:r w:rsidRPr="00650E4E">
        <w:rPr>
          <w:rFonts w:cstheme="minorHAnsi"/>
          <w:sz w:val="20"/>
          <w:szCs w:val="20"/>
        </w:rPr>
        <w:t xml:space="preserve"> </w:t>
      </w:r>
      <w:r w:rsidRPr="00DE059B">
        <w:rPr>
          <w:rFonts w:eastAsia="Times New Roman" w:cstheme="minorHAnsi"/>
          <w:sz w:val="20"/>
          <w:szCs w:val="20"/>
        </w:rPr>
        <w:t>Nikkei / Reuters (2020).</w:t>
      </w:r>
      <w:r w:rsidRPr="00650E4E">
        <w:rPr>
          <w:rFonts w:eastAsia="Times New Roman" w:cstheme="minorHAnsi"/>
          <w:sz w:val="20"/>
          <w:szCs w:val="20"/>
        </w:rPr>
        <w:t xml:space="preserve"> </w:t>
      </w:r>
      <w:r w:rsidRPr="00650E4E">
        <w:rPr>
          <w:rFonts w:eastAsia="Times New Roman" w:cstheme="minorHAnsi"/>
          <w:i/>
          <w:iCs/>
          <w:sz w:val="20"/>
          <w:szCs w:val="20"/>
        </w:rPr>
        <w:t>TSMC stops taking new orders from Huawei after U.S. export control move; Huawei suppliers to complete shipments by September 15, 2020.</w:t>
      </w:r>
      <w:r w:rsidRPr="00650E4E">
        <w:rPr>
          <w:rFonts w:eastAsia="Times New Roman" w:cstheme="minorHAnsi"/>
          <w:sz w:val="20"/>
          <w:szCs w:val="20"/>
        </w:rPr>
        <w:t xml:space="preserve"> 18 May and related updates. (Representative coverage: Reuters, 18 May 2020; Reuters, 16 Sept 2020). Available at: </w:t>
      </w:r>
      <w:hyperlink r:id="rId31" w:history="1">
        <w:r w:rsidRPr="00650E4E">
          <w:rPr>
            <w:rFonts w:eastAsia="Times New Roman" w:cstheme="minorHAnsi"/>
            <w:color w:val="0000FF"/>
            <w:sz w:val="20"/>
            <w:szCs w:val="20"/>
            <w:u w:val="single"/>
          </w:rPr>
          <w:t>https://www.reuters.com</w:t>
        </w:r>
      </w:hyperlink>
      <w:r w:rsidRPr="00650E4E">
        <w:rPr>
          <w:rFonts w:eastAsia="Times New Roman" w:cstheme="minorHAnsi"/>
          <w:sz w:val="20"/>
          <w:szCs w:val="20"/>
        </w:rPr>
        <w:t xml:space="preserve"> (Accessed 31 August 2025). (</w:t>
      </w:r>
      <w:proofErr w:type="spellStart"/>
      <w:r>
        <w:fldChar w:fldCharType="begin"/>
      </w:r>
      <w:r>
        <w:instrText xml:space="preserve"> HYPERLINK "https://www.huawei.com/uz/events/seeds-for-the-future-2025?utm_source=chatgpt.com" \o "Seeds for the Future 2025" </w:instrText>
      </w:r>
      <w:r>
        <w:fldChar w:fldCharType="separate"/>
      </w:r>
      <w:r w:rsidRPr="00650E4E">
        <w:rPr>
          <w:rFonts w:eastAsia="Times New Roman" w:cstheme="minorHAnsi"/>
          <w:color w:val="0000FF"/>
          <w:sz w:val="20"/>
          <w:szCs w:val="20"/>
          <w:u w:val="single"/>
        </w:rPr>
        <w:t>huawei</w:t>
      </w:r>
      <w:proofErr w:type="spellEnd"/>
      <w:r>
        <w:rPr>
          <w:rFonts w:eastAsia="Times New Roman" w:cstheme="minorHAnsi"/>
          <w:color w:val="0000FF"/>
          <w:sz w:val="20"/>
          <w:szCs w:val="20"/>
          <w:u w:val="single"/>
        </w:rPr>
        <w:fldChar w:fldCharType="end"/>
      </w:r>
      <w:r w:rsidRPr="00650E4E">
        <w:rPr>
          <w:rFonts w:eastAsia="Times New Roman" w:cstheme="minorHAnsi"/>
          <w:sz w:val="20"/>
          <w:szCs w:val="20"/>
        </w:rPr>
        <w:t xml:space="preserve">, </w:t>
      </w:r>
      <w:hyperlink r:id="rId32" w:tooltip="Partnering with universities for a new era of research" w:history="1">
        <w:r w:rsidRPr="00650E4E">
          <w:rPr>
            <w:rFonts w:eastAsia="Times New Roman" w:cstheme="minorHAnsi"/>
            <w:color w:val="0000FF"/>
            <w:sz w:val="20"/>
            <w:szCs w:val="20"/>
            <w:u w:val="single"/>
          </w:rPr>
          <w:t>Times Higher Education (THE)</w:t>
        </w:r>
      </w:hyperlink>
      <w:r w:rsidRPr="00650E4E">
        <w:rPr>
          <w:rFonts w:eastAsia="Times New Roman" w:cstheme="minorHAnsi"/>
          <w:sz w:val="20"/>
          <w:szCs w:val="20"/>
        </w:rPr>
        <w:t>)</w:t>
      </w:r>
    </w:p>
  </w:footnote>
  <w:footnote w:id="194">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American Progress (2020).</w:t>
      </w:r>
      <w:r w:rsidRPr="00650E4E">
        <w:rPr>
          <w:rFonts w:eastAsia="Times New Roman" w:cstheme="minorHAnsi"/>
          <w:sz w:val="20"/>
          <w:szCs w:val="20"/>
        </w:rPr>
        <w:t xml:space="preserve"> </w:t>
      </w:r>
      <w:r w:rsidRPr="00650E4E">
        <w:rPr>
          <w:rFonts w:eastAsia="Times New Roman" w:cstheme="minorHAnsi"/>
          <w:i/>
          <w:iCs/>
          <w:sz w:val="20"/>
          <w:szCs w:val="20"/>
        </w:rPr>
        <w:t>There Is a Solution to the Huawei Challenge.</w:t>
      </w:r>
      <w:r w:rsidRPr="00650E4E">
        <w:rPr>
          <w:rFonts w:eastAsia="Times New Roman" w:cstheme="minorHAnsi"/>
          <w:sz w:val="20"/>
          <w:szCs w:val="20"/>
        </w:rPr>
        <w:t xml:space="preserve"> Washington, DC: Center for American Progress, 14 October. Available at: </w:t>
      </w:r>
      <w:hyperlink r:id="rId33" w:history="1">
        <w:r w:rsidRPr="00650E4E">
          <w:rPr>
            <w:rFonts w:eastAsia="Times New Roman" w:cstheme="minorHAnsi"/>
            <w:color w:val="0000FF"/>
            <w:sz w:val="20"/>
            <w:szCs w:val="20"/>
            <w:u w:val="single"/>
          </w:rPr>
          <w:t>https://www.americanprogress.org/article/solution-huawei-challenge/</w:t>
        </w:r>
      </w:hyperlink>
      <w:r w:rsidRPr="00650E4E">
        <w:rPr>
          <w:rFonts w:eastAsia="Times New Roman" w:cstheme="minorHAnsi"/>
          <w:sz w:val="20"/>
          <w:szCs w:val="20"/>
        </w:rPr>
        <w:t xml:space="preserve"> (Accessed 31 August 2025). (</w:t>
      </w:r>
      <w:hyperlink r:id="rId34" w:tooltip="There Is a Solution to the Huawei Challenge - Center for American Progress" w:history="1">
        <w:r w:rsidRPr="00650E4E">
          <w:rPr>
            <w:rFonts w:eastAsia="Times New Roman" w:cstheme="minorHAnsi"/>
            <w:color w:val="0000FF"/>
            <w:sz w:val="20"/>
            <w:szCs w:val="20"/>
            <w:u w:val="single"/>
          </w:rPr>
          <w:t>Center for American Progress</w:t>
        </w:r>
      </w:hyperlink>
      <w:r w:rsidRPr="00650E4E">
        <w:rPr>
          <w:rFonts w:eastAsia="Times New Roman" w:cstheme="minorHAnsi"/>
          <w:sz w:val="20"/>
          <w:szCs w:val="20"/>
        </w:rPr>
        <w:t>)</w:t>
      </w:r>
    </w:p>
  </w:footnote>
  <w:footnote w:id="195">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Bloomberg (2011).</w:t>
      </w:r>
      <w:r w:rsidRPr="00650E4E">
        <w:rPr>
          <w:rFonts w:eastAsia="Times New Roman" w:cstheme="minorHAnsi"/>
          <w:sz w:val="20"/>
          <w:szCs w:val="20"/>
        </w:rPr>
        <w:t xml:space="preserve"> </w:t>
      </w:r>
      <w:r w:rsidRPr="00650E4E">
        <w:rPr>
          <w:rFonts w:eastAsia="Times New Roman" w:cstheme="minorHAnsi"/>
          <w:i/>
          <w:iCs/>
          <w:sz w:val="20"/>
          <w:szCs w:val="20"/>
        </w:rPr>
        <w:t>Huawei Counts on $30 Billion China Credit to Open Doors in Brazil, Mexico.</w:t>
      </w:r>
      <w:r w:rsidRPr="00650E4E">
        <w:rPr>
          <w:rFonts w:eastAsia="Times New Roman" w:cstheme="minorHAnsi"/>
          <w:sz w:val="20"/>
          <w:szCs w:val="20"/>
        </w:rPr>
        <w:t xml:space="preserve"> 25 April. Available at: </w:t>
      </w:r>
      <w:hyperlink r:id="rId35" w:history="1">
        <w:r w:rsidRPr="00650E4E">
          <w:rPr>
            <w:rFonts w:eastAsia="Times New Roman" w:cstheme="minorHAnsi"/>
            <w:color w:val="0000FF"/>
            <w:sz w:val="20"/>
            <w:szCs w:val="20"/>
            <w:u w:val="single"/>
          </w:rPr>
          <w:t>https://www.bloomberg.com/news/articles/2011-04-25/huawei-counts-on-30-billion-china-credit-to-open-doors-in-brazil-mexico</w:t>
        </w:r>
      </w:hyperlink>
      <w:r w:rsidRPr="00650E4E">
        <w:rPr>
          <w:rFonts w:eastAsia="Times New Roman" w:cstheme="minorHAnsi"/>
          <w:sz w:val="20"/>
          <w:szCs w:val="20"/>
        </w:rPr>
        <w:t xml:space="preserve"> (Accessed 31 August 2025). (</w:t>
      </w:r>
      <w:hyperlink r:id="rId36" w:tooltip="Huawei's $30 Billion China Credit Opens Doors in Brazil, ..." w:history="1">
        <w:r w:rsidRPr="00650E4E">
          <w:rPr>
            <w:rFonts w:eastAsia="Times New Roman" w:cstheme="minorHAnsi"/>
            <w:color w:val="0000FF"/>
            <w:sz w:val="20"/>
            <w:szCs w:val="20"/>
            <w:u w:val="single"/>
          </w:rPr>
          <w:t>Bloomberg.com</w:t>
        </w:r>
      </w:hyperlink>
      <w:r w:rsidRPr="00650E4E">
        <w:rPr>
          <w:rFonts w:eastAsia="Times New Roman" w:cstheme="minorHAnsi"/>
          <w:sz w:val="20"/>
          <w:szCs w:val="20"/>
        </w:rPr>
        <w:t>)</w:t>
      </w:r>
    </w:p>
  </w:footnote>
  <w:footnote w:id="196">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Reuters (2019b).</w:t>
      </w:r>
      <w:r w:rsidRPr="00650E4E">
        <w:rPr>
          <w:rFonts w:eastAsia="Times New Roman" w:cstheme="minorHAnsi"/>
          <w:sz w:val="20"/>
          <w:szCs w:val="20"/>
        </w:rPr>
        <w:t xml:space="preserve"> </w:t>
      </w:r>
      <w:r w:rsidRPr="00650E4E">
        <w:rPr>
          <w:rFonts w:eastAsia="Times New Roman" w:cstheme="minorHAnsi"/>
          <w:i/>
          <w:iCs/>
          <w:sz w:val="20"/>
          <w:szCs w:val="20"/>
        </w:rPr>
        <w:t>Despite political headwinds, Huawei wins 5G customers in Europe.</w:t>
      </w:r>
      <w:r w:rsidRPr="00650E4E">
        <w:rPr>
          <w:rFonts w:eastAsia="Times New Roman" w:cstheme="minorHAnsi"/>
          <w:sz w:val="20"/>
          <w:szCs w:val="20"/>
        </w:rPr>
        <w:t xml:space="preserve"> 18 October. Available at: </w:t>
      </w:r>
      <w:hyperlink r:id="rId37" w:history="1">
        <w:r w:rsidRPr="00650E4E">
          <w:rPr>
            <w:rFonts w:eastAsia="Times New Roman" w:cstheme="minorHAnsi"/>
            <w:color w:val="0000FF"/>
            <w:sz w:val="20"/>
            <w:szCs w:val="20"/>
            <w:u w:val="single"/>
          </w:rPr>
          <w:t>https://www.reuters.com/article/technology/despite-political-headwinds-huawei-wins-5g-customers-in-europe-idUSKBN1WU2G2/</w:t>
        </w:r>
      </w:hyperlink>
      <w:r w:rsidRPr="00650E4E">
        <w:rPr>
          <w:rFonts w:eastAsia="Times New Roman" w:cstheme="minorHAnsi"/>
          <w:sz w:val="20"/>
          <w:szCs w:val="20"/>
        </w:rPr>
        <w:t xml:space="preserve"> (Accessed 31 August 2025). (</w:t>
      </w:r>
      <w:hyperlink r:id="rId38" w:tooltip="Despite political headwinds, Huawei wins 5G customers in Europe" w:history="1">
        <w:r w:rsidRPr="00650E4E">
          <w:rPr>
            <w:rFonts w:eastAsia="Times New Roman" w:cstheme="minorHAnsi"/>
            <w:color w:val="0000FF"/>
            <w:sz w:val="20"/>
            <w:szCs w:val="20"/>
            <w:u w:val="single"/>
          </w:rPr>
          <w:t>Reuters</w:t>
        </w:r>
      </w:hyperlink>
      <w:r w:rsidRPr="00650E4E">
        <w:rPr>
          <w:rFonts w:eastAsia="Times New Roman" w:cstheme="minorHAnsi"/>
          <w:sz w:val="20"/>
          <w:szCs w:val="20"/>
        </w:rPr>
        <w:t>)</w:t>
      </w:r>
    </w:p>
  </w:footnote>
  <w:footnote w:id="197">
    <w:p w:rsidR="00C62A14" w:rsidRPr="00650E4E" w:rsidRDefault="00C62A14" w:rsidP="008F42CF">
      <w:pPr>
        <w:spacing w:before="100" w:beforeAutospacing="1" w:after="100" w:afterAutospacing="1" w:line="240" w:lineRule="auto"/>
        <w:rPr>
          <w:rFonts w:eastAsia="Times New Roman" w:cstheme="minorHAnsi"/>
          <w:sz w:val="20"/>
          <w:szCs w:val="20"/>
        </w:rPr>
      </w:pPr>
      <w:r w:rsidRPr="00DE059B">
        <w:rPr>
          <w:rStyle w:val="a8"/>
          <w:rFonts w:cstheme="minorHAnsi"/>
        </w:rPr>
        <w:footnoteRef/>
      </w:r>
      <w:r w:rsidRPr="00DE059B">
        <w:rPr>
          <w:rFonts w:cstheme="minorHAnsi"/>
        </w:rPr>
        <w:t xml:space="preserve"> </w:t>
      </w:r>
      <w:r w:rsidRPr="00DE059B">
        <w:rPr>
          <w:rFonts w:eastAsia="Times New Roman" w:cstheme="minorHAnsi"/>
          <w:sz w:val="20"/>
          <w:szCs w:val="20"/>
        </w:rPr>
        <w:t>Congressional Research Service (2022).</w:t>
      </w:r>
      <w:r w:rsidRPr="00650E4E">
        <w:rPr>
          <w:rFonts w:eastAsia="Times New Roman" w:cstheme="minorHAnsi"/>
          <w:sz w:val="20"/>
          <w:szCs w:val="20"/>
        </w:rPr>
        <w:t xml:space="preserve"> </w:t>
      </w:r>
      <w:r w:rsidRPr="00650E4E">
        <w:rPr>
          <w:rFonts w:eastAsia="Times New Roman" w:cstheme="minorHAnsi"/>
          <w:i/>
          <w:iCs/>
          <w:sz w:val="20"/>
          <w:szCs w:val="20"/>
        </w:rPr>
        <w:t>U.S. Restrictions on Huawei Technologies: National Security, Foreign Policy, and Economic Interests</w:t>
      </w:r>
      <w:r w:rsidRPr="00650E4E">
        <w:rPr>
          <w:rFonts w:eastAsia="Times New Roman" w:cstheme="minorHAnsi"/>
          <w:sz w:val="20"/>
          <w:szCs w:val="20"/>
        </w:rPr>
        <w:t xml:space="preserve"> (R47012), 5 January. Washington, DC: CRS. Available at: </w:t>
      </w:r>
      <w:hyperlink r:id="rId39" w:history="1">
        <w:r w:rsidRPr="00650E4E">
          <w:rPr>
            <w:rFonts w:eastAsia="Times New Roman" w:cstheme="minorHAnsi"/>
            <w:color w:val="0000FF"/>
            <w:sz w:val="20"/>
            <w:szCs w:val="20"/>
            <w:u w:val="single"/>
          </w:rPr>
          <w:t>https://www.congress.gov/crs-product/R47012</w:t>
        </w:r>
      </w:hyperlink>
      <w:r w:rsidRPr="00650E4E">
        <w:rPr>
          <w:rFonts w:eastAsia="Times New Roman" w:cstheme="minorHAnsi"/>
          <w:sz w:val="20"/>
          <w:szCs w:val="20"/>
        </w:rPr>
        <w:t xml:space="preserve"> (Accessed 31 August 2025). (</w:t>
      </w:r>
      <w:hyperlink r:id="rId40" w:tooltip="U.S. Restrictions on Huawei Technologies: National ..." w:history="1">
        <w:r w:rsidRPr="00650E4E">
          <w:rPr>
            <w:rFonts w:eastAsia="Times New Roman" w:cstheme="minorHAnsi"/>
            <w:color w:val="0000FF"/>
            <w:sz w:val="20"/>
            <w:szCs w:val="20"/>
            <w:u w:val="single"/>
          </w:rPr>
          <w:t>Congress.gov</w:t>
        </w:r>
      </w:hyperlink>
      <w:r w:rsidRPr="00650E4E">
        <w:rPr>
          <w:rFonts w:eastAsia="Times New Roman" w:cstheme="minorHAnsi"/>
          <w:sz w:val="20"/>
          <w:szCs w:val="20"/>
        </w:rPr>
        <w:t>)</w:t>
      </w:r>
    </w:p>
  </w:footnote>
  <w:footnote w:id="198">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Washington Post (Nakashima, E.) (2019).</w:t>
      </w:r>
      <w:r w:rsidRPr="00650E4E">
        <w:rPr>
          <w:rFonts w:eastAsia="Times New Roman" w:cstheme="minorHAnsi"/>
          <w:sz w:val="20"/>
          <w:szCs w:val="20"/>
        </w:rPr>
        <w:t xml:space="preserve"> </w:t>
      </w:r>
      <w:r w:rsidRPr="00650E4E">
        <w:rPr>
          <w:rFonts w:eastAsia="Times New Roman" w:cstheme="minorHAnsi"/>
          <w:i/>
          <w:iCs/>
          <w:sz w:val="20"/>
          <w:szCs w:val="20"/>
        </w:rPr>
        <w:t>U.S. pushes hard for a ban on Huawei in Europe, but the firm’s 5G prices are nearly irresistible.</w:t>
      </w:r>
      <w:r w:rsidRPr="00650E4E">
        <w:rPr>
          <w:rFonts w:eastAsia="Times New Roman" w:cstheme="minorHAnsi"/>
          <w:sz w:val="20"/>
          <w:szCs w:val="20"/>
        </w:rPr>
        <w:t xml:space="preserve"> 29 May. Available at: </w:t>
      </w:r>
      <w:hyperlink r:id="rId41" w:history="1">
        <w:r w:rsidRPr="00650E4E">
          <w:rPr>
            <w:rFonts w:eastAsia="Times New Roman" w:cstheme="minorHAnsi"/>
            <w:color w:val="0000FF"/>
            <w:sz w:val="20"/>
            <w:szCs w:val="20"/>
            <w:u w:val="single"/>
          </w:rPr>
          <w:t>https://www.washingtonpost.com/world/national-security/for-huawei-the-5g-play-is-in-europe--and-the-us-is-pushing-hard-for-a-ban-there/2019/05/28/582a8ff6-78d4-11e9-b7ae-390de4259661_story.html</w:t>
        </w:r>
      </w:hyperlink>
      <w:r w:rsidRPr="00650E4E">
        <w:rPr>
          <w:rFonts w:eastAsia="Times New Roman" w:cstheme="minorHAnsi"/>
          <w:sz w:val="20"/>
          <w:szCs w:val="20"/>
        </w:rPr>
        <w:t xml:space="preserve"> (Accessed 31 August 2025). (</w:t>
      </w:r>
      <w:hyperlink r:id="rId42" w:tooltip="U.S. pushes hard for a ban on Huawei in Europe, but ..." w:history="1">
        <w:r w:rsidRPr="00650E4E">
          <w:rPr>
            <w:rFonts w:eastAsia="Times New Roman" w:cstheme="minorHAnsi"/>
            <w:color w:val="0000FF"/>
            <w:sz w:val="20"/>
            <w:szCs w:val="20"/>
            <w:u w:val="single"/>
          </w:rPr>
          <w:t>The Washington Post</w:t>
        </w:r>
      </w:hyperlink>
      <w:r w:rsidRPr="00650E4E">
        <w:rPr>
          <w:rFonts w:eastAsia="Times New Roman" w:cstheme="minorHAnsi"/>
          <w:sz w:val="20"/>
          <w:szCs w:val="20"/>
        </w:rPr>
        <w:t>)</w:t>
      </w:r>
    </w:p>
  </w:footnote>
  <w:footnote w:id="199">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 xml:space="preserve">ECIPE </w:t>
      </w:r>
      <w:r w:rsidRPr="00DE059B">
        <w:rPr>
          <w:rFonts w:eastAsia="Times New Roman" w:cstheme="minorHAnsi"/>
          <w:sz w:val="20"/>
          <w:szCs w:val="20"/>
          <w:rtl/>
        </w:rPr>
        <w:t>-</w:t>
      </w:r>
      <w:r w:rsidRPr="00DE059B">
        <w:rPr>
          <w:rFonts w:eastAsia="Times New Roman" w:cstheme="minorHAnsi"/>
          <w:sz w:val="20"/>
          <w:szCs w:val="20"/>
        </w:rPr>
        <w:t xml:space="preserve"> European Centre for International Political Economy (Lee</w:t>
      </w:r>
      <w:r w:rsidRPr="00DE059B">
        <w:rPr>
          <w:rFonts w:eastAsia="Times New Roman" w:cstheme="minorHAnsi"/>
          <w:sz w:val="20"/>
          <w:szCs w:val="20"/>
        </w:rPr>
        <w:noBreakHyphen/>
      </w:r>
      <w:proofErr w:type="spellStart"/>
      <w:r w:rsidRPr="00DE059B">
        <w:rPr>
          <w:rFonts w:eastAsia="Times New Roman" w:cstheme="minorHAnsi"/>
          <w:sz w:val="20"/>
          <w:szCs w:val="20"/>
        </w:rPr>
        <w:t>Makiyama</w:t>
      </w:r>
      <w:proofErr w:type="spellEnd"/>
      <w:r w:rsidRPr="00DE059B">
        <w:rPr>
          <w:rFonts w:eastAsia="Times New Roman" w:cstheme="minorHAnsi"/>
          <w:sz w:val="20"/>
          <w:szCs w:val="20"/>
        </w:rPr>
        <w:t>, H. and Baker, R.) (2024).</w:t>
      </w:r>
      <w:r w:rsidRPr="00650E4E">
        <w:rPr>
          <w:rFonts w:eastAsia="Times New Roman" w:cstheme="minorHAnsi"/>
          <w:sz w:val="20"/>
          <w:szCs w:val="20"/>
        </w:rPr>
        <w:t xml:space="preserve"> </w:t>
      </w:r>
      <w:r w:rsidRPr="00650E4E">
        <w:rPr>
          <w:rFonts w:eastAsia="Times New Roman" w:cstheme="minorHAnsi"/>
          <w:i/>
          <w:iCs/>
          <w:sz w:val="20"/>
          <w:szCs w:val="20"/>
        </w:rPr>
        <w:t>How Huawei Weathered the Storm: Resilience, Market Conditions or Failed Sanctions?</w:t>
      </w:r>
      <w:r w:rsidRPr="00650E4E">
        <w:rPr>
          <w:rFonts w:eastAsia="Times New Roman" w:cstheme="minorHAnsi"/>
          <w:sz w:val="20"/>
          <w:szCs w:val="20"/>
        </w:rPr>
        <w:t xml:space="preserve"> Brussels: ECIPE, February. Available at: </w:t>
      </w:r>
      <w:hyperlink r:id="rId43" w:history="1">
        <w:r w:rsidRPr="00650E4E">
          <w:rPr>
            <w:rFonts w:eastAsia="Times New Roman" w:cstheme="minorHAnsi"/>
            <w:color w:val="0000FF"/>
            <w:sz w:val="20"/>
            <w:szCs w:val="20"/>
            <w:u w:val="single"/>
          </w:rPr>
          <w:t>https://ecipe.org/publications/how-huawei-weathered-the-storm-resilience-market-conditions-or-failed-sanctions/</w:t>
        </w:r>
      </w:hyperlink>
      <w:r w:rsidRPr="00650E4E">
        <w:rPr>
          <w:rFonts w:eastAsia="Times New Roman" w:cstheme="minorHAnsi"/>
          <w:sz w:val="20"/>
          <w:szCs w:val="20"/>
        </w:rPr>
        <w:t xml:space="preserve"> (Accessed 31 August 2025). (</w:t>
      </w:r>
      <w:proofErr w:type="spellStart"/>
      <w:r>
        <w:fldChar w:fldCharType="begin"/>
      </w:r>
      <w:r>
        <w:instrText xml:space="preserve"> HYPERLINK "https://ecipe.org/publications/how-huawei-weathered-the-storm-resilience-market-conditions-or-failed-sanctions/" \o "How Huawei Weathered the Storm: Resilience, Market Conditions or Failed Sanctions? | " </w:instrText>
      </w:r>
      <w:r>
        <w:fldChar w:fldCharType="separate"/>
      </w:r>
      <w:r w:rsidRPr="00650E4E">
        <w:rPr>
          <w:rFonts w:eastAsia="Times New Roman" w:cstheme="minorHAnsi"/>
          <w:color w:val="0000FF"/>
          <w:sz w:val="20"/>
          <w:szCs w:val="20"/>
          <w:u w:val="single"/>
        </w:rPr>
        <w:t>Ecipe</w:t>
      </w:r>
      <w:proofErr w:type="spellEnd"/>
      <w:r>
        <w:rPr>
          <w:rFonts w:eastAsia="Times New Roman" w:cstheme="minorHAnsi"/>
          <w:color w:val="0000FF"/>
          <w:sz w:val="20"/>
          <w:szCs w:val="20"/>
          <w:u w:val="single"/>
        </w:rPr>
        <w:fldChar w:fldCharType="end"/>
      </w:r>
      <w:r w:rsidRPr="00650E4E">
        <w:rPr>
          <w:rFonts w:eastAsia="Times New Roman" w:cstheme="minorHAnsi"/>
          <w:sz w:val="20"/>
          <w:szCs w:val="20"/>
        </w:rPr>
        <w:t>)</w:t>
      </w:r>
    </w:p>
    <w:p w:rsidR="00C62A14" w:rsidRPr="008762A9" w:rsidRDefault="00C62A14" w:rsidP="008F42CF">
      <w:pPr>
        <w:pStyle w:val="a6"/>
        <w:rPr>
          <w:lang w:val="en-US"/>
        </w:rPr>
      </w:pPr>
    </w:p>
  </w:footnote>
  <w:footnote w:id="200">
    <w:p w:rsidR="00C62A14" w:rsidRPr="00650E4E" w:rsidRDefault="00C62A14" w:rsidP="008F42CF">
      <w:pPr>
        <w:pStyle w:val="a6"/>
        <w:rPr>
          <w:rFonts w:cstheme="minorHAnsi"/>
          <w:rtl/>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Suchman, M.C. (1995) ‘Managing legitimacy: Strategic and institutional approaches’, </w:t>
      </w:r>
      <w:r w:rsidRPr="00650E4E">
        <w:rPr>
          <w:rFonts w:eastAsia="Times New Roman" w:cstheme="minorHAnsi"/>
          <w:i/>
          <w:iCs/>
        </w:rPr>
        <w:t>Academy of Management Review</w:t>
      </w:r>
      <w:r w:rsidRPr="00650E4E">
        <w:rPr>
          <w:rFonts w:eastAsia="Times New Roman" w:cstheme="minorHAnsi"/>
        </w:rPr>
        <w:t>, 20(3), pp. 571</w:t>
      </w:r>
      <w:r w:rsidRPr="00650E4E">
        <w:rPr>
          <w:rFonts w:eastAsia="Times New Roman" w:cstheme="minorHAnsi"/>
          <w:lang w:val="en-US"/>
        </w:rPr>
        <w:t>-</w:t>
      </w:r>
      <w:r w:rsidRPr="00650E4E">
        <w:rPr>
          <w:rFonts w:eastAsia="Times New Roman" w:cstheme="minorHAnsi"/>
        </w:rPr>
        <w:t>610</w:t>
      </w:r>
    </w:p>
  </w:footnote>
  <w:footnote w:id="201">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lang w:eastAsia="en-IL"/>
        </w:rPr>
        <w:t xml:space="preserve">Zhang, </w:t>
      </w:r>
      <w:r w:rsidRPr="00650E4E">
        <w:rPr>
          <w:rFonts w:eastAsia="Times New Roman" w:cstheme="minorHAnsi"/>
          <w:lang w:eastAsia="en-IL"/>
        </w:rPr>
        <w:t xml:space="preserve">Anlan et al. (2023): </w:t>
      </w:r>
      <w:r w:rsidRPr="00650E4E">
        <w:rPr>
          <w:rFonts w:eastAsia="Times New Roman" w:cstheme="minorHAnsi"/>
          <w:i/>
          <w:iCs/>
          <w:lang w:eastAsia="en-IL"/>
        </w:rPr>
        <w:t>“The legitimacy defeat of Huawei in the media: Cause, context, and process,”</w:t>
      </w:r>
      <w:r w:rsidRPr="00650E4E">
        <w:rPr>
          <w:rFonts w:eastAsia="Times New Roman" w:cstheme="minorHAnsi"/>
          <w:lang w:eastAsia="en-IL"/>
        </w:rPr>
        <w:t xml:space="preserve"> </w:t>
      </w:r>
      <w:r w:rsidRPr="00104D9D">
        <w:rPr>
          <w:rFonts w:eastAsia="Times New Roman" w:cstheme="minorHAnsi"/>
          <w:lang w:eastAsia="en-IL"/>
        </w:rPr>
        <w:t>International Business Review, 32</w:t>
      </w:r>
      <w:r w:rsidRPr="00650E4E">
        <w:rPr>
          <w:rFonts w:eastAsia="Times New Roman" w:cstheme="minorHAnsi"/>
          <w:lang w:eastAsia="en-IL"/>
        </w:rPr>
        <w:t>(6)</w:t>
      </w:r>
    </w:p>
  </w:footnote>
  <w:footnote w:id="202">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Jiang, X. (2019) ‘Who owns Huawei?An employee</w:t>
      </w:r>
      <w:r w:rsidRPr="00650E4E">
        <w:rPr>
          <w:rFonts w:eastAsia="Times New Roman" w:cstheme="minorHAnsi"/>
        </w:rPr>
        <w:noBreakHyphen/>
        <w:t>owned company’, Huawei. Available at: https://www.huawei.com/en/facts/voices-of-huawei/who-owns-huawei (Accessed 31 August 2025). (</w:t>
      </w:r>
      <w:r>
        <w:fldChar w:fldCharType="begin"/>
      </w:r>
      <w:r>
        <w:instrText xml:space="preserve"> HYPERLINK "https://www.huawei.com/jp/facts/voices-of-huawei/jiang-xisheng-no-one-owns-huawei-but-its-employees?utm_source=chatgpt.com" \o "Jiang-Xisheng-No-one-owns-Huawei-but-its-employees" </w:instrText>
      </w:r>
      <w:r>
        <w:fldChar w:fldCharType="separate"/>
      </w:r>
      <w:r w:rsidRPr="00650E4E">
        <w:rPr>
          <w:rFonts w:eastAsia="Times New Roman" w:cstheme="minorHAnsi"/>
          <w:color w:val="0000FF"/>
          <w:u w:val="single"/>
        </w:rPr>
        <w:t>huawei</w:t>
      </w:r>
      <w:r>
        <w:rPr>
          <w:rFonts w:eastAsia="Times New Roman" w:cstheme="minorHAnsi"/>
          <w:color w:val="0000FF"/>
          <w:u w:val="single"/>
        </w:rPr>
        <w:fldChar w:fldCharType="end"/>
      </w:r>
      <w:r w:rsidRPr="00650E4E">
        <w:rPr>
          <w:rFonts w:eastAsia="Times New Roman" w:cstheme="minorHAnsi"/>
        </w:rPr>
        <w:t>)</w:t>
      </w:r>
      <w:r>
        <w:rPr>
          <w:rFonts w:eastAsia="Times New Roman" w:cstheme="minorHAnsi"/>
          <w:lang w:val="en-US"/>
        </w:rPr>
        <w:t>;</w:t>
      </w:r>
      <w:r w:rsidRPr="00650E4E">
        <w:rPr>
          <w:rFonts w:eastAsia="Times New Roman" w:cstheme="minorHAnsi"/>
          <w:lang w:val="en-US"/>
        </w:rPr>
        <w:t xml:space="preserve"> see also </w:t>
      </w:r>
      <w:r w:rsidRPr="00650E4E">
        <w:rPr>
          <w:rFonts w:eastAsia="Times New Roman" w:cstheme="minorHAnsi"/>
        </w:rPr>
        <w:t>Balding, C. and Clarke, D. (2019) ‘Who owns Huawei?’, SSRN Working Paper. Available at: https://papers.ssrn.com/sol3/papers.cfm?abstract_id=3372669 (Accessed 31 August 2025). (</w:t>
      </w:r>
      <w:r>
        <w:fldChar w:fldCharType="begin"/>
      </w:r>
      <w:r>
        <w:instrText xml:space="preserve"> HYPERLINK "https://www.ssrn.com/abstract%3D3372669.?utm_source=chatgpt.com" \o "Who Owns Huawei?" </w:instrText>
      </w:r>
      <w:r>
        <w:fldChar w:fldCharType="separate"/>
      </w:r>
      <w:r w:rsidRPr="00650E4E">
        <w:rPr>
          <w:rFonts w:eastAsia="Times New Roman" w:cstheme="minorHAnsi"/>
          <w:color w:val="0000FF"/>
          <w:u w:val="single"/>
        </w:rPr>
        <w:t>SSRN</w:t>
      </w:r>
      <w:r>
        <w:rPr>
          <w:rFonts w:eastAsia="Times New Roman" w:cstheme="minorHAnsi"/>
          <w:color w:val="0000FF"/>
          <w:u w:val="single"/>
        </w:rPr>
        <w:fldChar w:fldCharType="end"/>
      </w:r>
      <w:r w:rsidRPr="00650E4E">
        <w:rPr>
          <w:rFonts w:eastAsia="Times New Roman" w:cstheme="minorHAnsi"/>
        </w:rPr>
        <w:t>)</w:t>
      </w:r>
    </w:p>
  </w:footnote>
  <w:footnote w:id="203">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Huawei (2019) ‘Ren Zhengfei interview: “We would rather shut Huawei down than harm customers’ interests”’, Huawei Voices. Available at: https://www.huawei.com/fr/facts/voices-of-huawei/interview-with-ren-zhengfei (Accessed 31 August 2025). (</w:t>
      </w:r>
      <w:r>
        <w:fldChar w:fldCharType="begin"/>
      </w:r>
      <w:r>
        <w:instrText xml:space="preserve"> HYPERLINK "https://www.huawei.com/fr/facts/voices-of-huawei/interview-with-ren-zhengfei?utm_source=chatgpt.com" \o "Huawei's Founder Ren Zhengfei" </w:instrText>
      </w:r>
      <w:r>
        <w:fldChar w:fldCharType="separate"/>
      </w:r>
      <w:r w:rsidRPr="00650E4E">
        <w:rPr>
          <w:rFonts w:eastAsia="Times New Roman" w:cstheme="minorHAnsi"/>
          <w:color w:val="0000FF"/>
          <w:u w:val="single"/>
        </w:rPr>
        <w:t>huawei</w:t>
      </w:r>
      <w:r>
        <w:rPr>
          <w:rFonts w:eastAsia="Times New Roman" w:cstheme="minorHAnsi"/>
          <w:color w:val="0000FF"/>
          <w:u w:val="single"/>
        </w:rPr>
        <w:fldChar w:fldCharType="end"/>
      </w:r>
      <w:r w:rsidRPr="00650E4E">
        <w:rPr>
          <w:rFonts w:eastAsia="Times New Roman" w:cstheme="minorHAnsi"/>
        </w:rPr>
        <w:t>)</w:t>
      </w:r>
    </w:p>
  </w:footnote>
  <w:footnote w:id="204">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Fortune (2019) ‘Huawei opens Brussels Cyber Security Transparency Centre’, </w:t>
      </w:r>
      <w:r w:rsidRPr="00650E4E">
        <w:rPr>
          <w:rFonts w:eastAsia="Times New Roman" w:cstheme="minorHAnsi"/>
          <w:i/>
          <w:iCs/>
        </w:rPr>
        <w:t>Fortune</w:t>
      </w:r>
      <w:r w:rsidRPr="00650E4E">
        <w:rPr>
          <w:rFonts w:eastAsia="Times New Roman" w:cstheme="minorHAnsi"/>
        </w:rPr>
        <w:t>, 5 March. Available at: https://fortune.com/2019/03/05/huawei-brussels-cyber-security-center-spying/ (Accessed 31 August 2025). (</w:t>
      </w:r>
      <w:r>
        <w:fldChar w:fldCharType="begin"/>
      </w:r>
      <w:r>
        <w:instrText xml:space="preserve"> HYPERLINK "https://fortune.com/2019/03/05/huawei-brussels-cyber-security-center-spying/?utm_source=chatgpt.com" \o "Huawei Opens Brussels Cyber Security Lab After U.S. ..." </w:instrText>
      </w:r>
      <w:r>
        <w:fldChar w:fldCharType="separate"/>
      </w:r>
      <w:r w:rsidRPr="00650E4E">
        <w:rPr>
          <w:rFonts w:eastAsia="Times New Roman" w:cstheme="minorHAnsi"/>
          <w:color w:val="0000FF"/>
          <w:u w:val="single"/>
        </w:rPr>
        <w:t>Fortune</w:t>
      </w:r>
      <w:r>
        <w:rPr>
          <w:rFonts w:eastAsia="Times New Roman" w:cstheme="minorHAnsi"/>
          <w:color w:val="0000FF"/>
          <w:u w:val="single"/>
        </w:rPr>
        <w:fldChar w:fldCharType="end"/>
      </w:r>
      <w:r w:rsidRPr="00650E4E">
        <w:rPr>
          <w:rFonts w:eastAsia="Times New Roman" w:cstheme="minorHAnsi"/>
        </w:rPr>
        <w:t>)</w:t>
      </w:r>
      <w:r>
        <w:rPr>
          <w:rFonts w:eastAsia="Times New Roman" w:cstheme="minorHAnsi"/>
          <w:lang w:val="en-US"/>
        </w:rPr>
        <w:t>;</w:t>
      </w:r>
      <w:r w:rsidRPr="00650E4E">
        <w:rPr>
          <w:rFonts w:eastAsia="Times New Roman" w:cstheme="minorHAnsi"/>
          <w:lang w:val="en-US"/>
        </w:rPr>
        <w:t xml:space="preserve"> see also </w:t>
      </w:r>
      <w:r w:rsidRPr="00650E4E">
        <w:rPr>
          <w:rFonts w:eastAsia="Times New Roman" w:cstheme="minorHAnsi"/>
        </w:rPr>
        <w:t>Science|Business (2018) ‘Huawei’s Security Innovation Lab opens in Bonn’, 26 June. Available at: https://sciencebusiness.net/network-updates/huaweis-security-innovation-lab-opens-bonn (Accessed 31 August 2025). (</w:t>
      </w:r>
      <w:r>
        <w:fldChar w:fldCharType="begin"/>
      </w:r>
      <w:r>
        <w:instrText xml:space="preserve"> HYPERLINK "https://sciencebusiness.net/network-updates/huawei-opens-security-innovation-lab-bonn?utm_source=chatgpt.com" \o "Huawei opens Security Innovation Lab in Bonn" </w:instrText>
      </w:r>
      <w:r>
        <w:fldChar w:fldCharType="separate"/>
      </w:r>
      <w:r w:rsidRPr="00650E4E">
        <w:rPr>
          <w:rFonts w:eastAsia="Times New Roman" w:cstheme="minorHAnsi"/>
          <w:color w:val="0000FF"/>
          <w:u w:val="single"/>
        </w:rPr>
        <w:t>Science|Business</w:t>
      </w:r>
      <w:r>
        <w:rPr>
          <w:rFonts w:eastAsia="Times New Roman" w:cstheme="minorHAnsi"/>
          <w:color w:val="0000FF"/>
          <w:u w:val="single"/>
        </w:rPr>
        <w:fldChar w:fldCharType="end"/>
      </w:r>
      <w:r w:rsidRPr="00650E4E">
        <w:rPr>
          <w:rFonts w:eastAsia="Times New Roman" w:cstheme="minorHAnsi"/>
        </w:rPr>
        <w:t>)</w:t>
      </w:r>
    </w:p>
  </w:footnote>
  <w:footnote w:id="205">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Reuters (2019) ‘Huawei willing to sign “no</w:t>
      </w:r>
      <w:r w:rsidRPr="00650E4E">
        <w:rPr>
          <w:rFonts w:eastAsia="Times New Roman" w:cstheme="minorHAnsi"/>
        </w:rPr>
        <w:noBreakHyphen/>
        <w:t>spy” pacts with governments-chairman’, 14 May. Available at: https://www.reuters.com/article/world/huawei-willing-to-sign-no-spy-pacts-with-governments-chairman-idUSKCN1SK1HH/ (Accessed 31 August 2025). (</w:t>
      </w:r>
      <w:r>
        <w:fldChar w:fldCharType="begin"/>
      </w:r>
      <w:r>
        <w:instrText xml:space="preserve"> HYPERLINK "https://www.reuters.com/article/world/huawei-willing-to-sign-no-spy-pacts-with-governments-chairman-idUSKCN1SK1HH/?utm_source=chatgpt.com" \o "Huawei willing to sign 'no-spy' pacts with governments" </w:instrText>
      </w:r>
      <w:r>
        <w:fldChar w:fldCharType="separate"/>
      </w:r>
      <w:r w:rsidRPr="00650E4E">
        <w:rPr>
          <w:rFonts w:eastAsia="Times New Roman" w:cstheme="minorHAnsi"/>
          <w:color w:val="0000FF"/>
          <w:u w:val="single"/>
        </w:rPr>
        <w:t>Reuters</w:t>
      </w:r>
      <w:r>
        <w:rPr>
          <w:rFonts w:eastAsia="Times New Roman" w:cstheme="minorHAnsi"/>
          <w:color w:val="0000FF"/>
          <w:u w:val="single"/>
        </w:rPr>
        <w:fldChar w:fldCharType="end"/>
      </w:r>
      <w:r w:rsidRPr="00650E4E">
        <w:rPr>
          <w:rFonts w:eastAsia="Times New Roman" w:cstheme="minorHAnsi"/>
        </w:rPr>
        <w:t>)</w:t>
      </w:r>
    </w:p>
  </w:footnote>
  <w:footnote w:id="206">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UNESCO (2023) ‘Huawei ICT Academy and ICT Competition</w:t>
      </w:r>
      <w:r w:rsidRPr="00650E4E">
        <w:rPr>
          <w:rFonts w:eastAsia="Times New Roman" w:cstheme="minorHAnsi"/>
          <w:lang w:val="en-US"/>
        </w:rPr>
        <w:t>-</w:t>
      </w:r>
      <w:r w:rsidRPr="00650E4E">
        <w:rPr>
          <w:rFonts w:eastAsia="Times New Roman" w:cstheme="minorHAnsi"/>
        </w:rPr>
        <w:t>Global Skills Academy partner page’. Available at: https://www.unesco.org/en/global-education-coalition/skills-academy/huawei (Accessed 31 August 2025). (</w:t>
      </w:r>
      <w:r>
        <w:fldChar w:fldCharType="begin"/>
      </w:r>
      <w:r>
        <w:instrText xml:space="preserve"> HYPERLINK "https://www.unesco.org/en/global-education-coalition/skills-academy/huawei?utm_source=chatgpt.com" \o "Huawei" </w:instrText>
      </w:r>
      <w:r>
        <w:fldChar w:fldCharType="separate"/>
      </w:r>
      <w:r w:rsidRPr="00650E4E">
        <w:rPr>
          <w:rFonts w:eastAsia="Times New Roman" w:cstheme="minorHAnsi"/>
          <w:color w:val="0000FF"/>
          <w:u w:val="single"/>
        </w:rPr>
        <w:t>UNESCO</w:t>
      </w:r>
      <w:r>
        <w:rPr>
          <w:rFonts w:eastAsia="Times New Roman" w:cstheme="minorHAnsi"/>
          <w:color w:val="0000FF"/>
          <w:u w:val="single"/>
        </w:rPr>
        <w:fldChar w:fldCharType="end"/>
      </w:r>
      <w:r w:rsidRPr="00650E4E">
        <w:rPr>
          <w:rFonts w:eastAsia="Times New Roman" w:cstheme="minorHAnsi"/>
        </w:rPr>
        <w:t>)</w:t>
      </w:r>
    </w:p>
  </w:footnote>
  <w:footnote w:id="207">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Axios (2020) ‘Huawei CEO at Davos: We’re better prepared for U.S. attacks’, 21 January. Available at: https://www.axios.com/2020/01/21/huawei-ceo-at-davos-were-better-prepared-for-us-attacks (Accessed 31 August 2025)</w:t>
      </w:r>
      <w:r>
        <w:rPr>
          <w:rFonts w:eastAsia="Times New Roman" w:cstheme="minorHAnsi"/>
          <w:lang w:val="en-US"/>
        </w:rPr>
        <w:t xml:space="preserve">; </w:t>
      </w:r>
      <w:r w:rsidRPr="00650E4E">
        <w:rPr>
          <w:rFonts w:eastAsia="Times New Roman" w:cstheme="minorHAnsi"/>
          <w:lang w:val="en-US"/>
        </w:rPr>
        <w:t xml:space="preserve">see also </w:t>
      </w:r>
      <w:r w:rsidRPr="00650E4E">
        <w:rPr>
          <w:rFonts w:eastAsia="Times New Roman" w:cstheme="minorHAnsi"/>
        </w:rPr>
        <w:t>Mobile Europe (2019) ‘Opening ceremony included representatives from the EU, GSMA and the World Economic Forum’, 6 March. Available at: https://www.mobileeurope.co.uk/huawei-opens-cyber-security-transparency-centre-in-brussels/ (Accessed 31 August 2025).</w:t>
      </w:r>
    </w:p>
  </w:footnote>
  <w:footnote w:id="208">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Ramachandran, </w:t>
      </w:r>
      <w:r w:rsidRPr="00650E4E">
        <w:rPr>
          <w:rFonts w:eastAsia="Times New Roman" w:cstheme="minorHAnsi"/>
        </w:rPr>
        <w:t xml:space="preserve">J. and Pant, A. (2010) ‘The liabilities of origin: An emerging economy perspective on the costs of doing business’, </w:t>
      </w:r>
      <w:r w:rsidRPr="00650E4E">
        <w:rPr>
          <w:rFonts w:eastAsia="Times New Roman" w:cstheme="minorHAnsi"/>
          <w:i/>
          <w:iCs/>
        </w:rPr>
        <w:t>Asia Pacific Journal of Management</w:t>
      </w:r>
      <w:r w:rsidRPr="00650E4E">
        <w:rPr>
          <w:rFonts w:eastAsia="Times New Roman" w:cstheme="minorHAnsi"/>
        </w:rPr>
        <w:t>, 27(2), pp. 291</w:t>
      </w:r>
      <w:r>
        <w:rPr>
          <w:rFonts w:eastAsia="Times New Roman" w:cstheme="minorHAnsi" w:hint="cs"/>
          <w:rtl/>
        </w:rPr>
        <w:t>-</w:t>
      </w:r>
      <w:r w:rsidRPr="00650E4E">
        <w:rPr>
          <w:rFonts w:eastAsia="Times New Roman" w:cstheme="minorHAnsi"/>
        </w:rPr>
        <w:t>310.</w:t>
      </w:r>
    </w:p>
  </w:footnote>
  <w:footnote w:id="209">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Zhang, </w:t>
      </w:r>
      <w:r w:rsidRPr="00650E4E">
        <w:rPr>
          <w:rFonts w:eastAsia="Times New Roman" w:cstheme="minorHAnsi"/>
        </w:rPr>
        <w:t xml:space="preserve">Y., Fu, J., Peng, Y. and Ge, Y. (2023) ‘Huawei’s “legitimacy defeat” in Western media’, in </w:t>
      </w:r>
      <w:r w:rsidRPr="00650E4E">
        <w:rPr>
          <w:rFonts w:eastAsia="Times New Roman" w:cstheme="minorHAnsi"/>
          <w:i/>
          <w:iCs/>
        </w:rPr>
        <w:t>Journal of Language and Communication in Greater China</w:t>
      </w:r>
      <w:r w:rsidRPr="00650E4E">
        <w:rPr>
          <w:rFonts w:eastAsia="Times New Roman" w:cstheme="minorHAnsi"/>
        </w:rPr>
        <w:t>, 1(1), pp. 22</w:t>
      </w:r>
      <w:r>
        <w:rPr>
          <w:rFonts w:eastAsia="Times New Roman" w:cstheme="minorHAnsi" w:hint="cs"/>
          <w:rtl/>
        </w:rPr>
        <w:t>-</w:t>
      </w:r>
      <w:r w:rsidRPr="00650E4E">
        <w:rPr>
          <w:rFonts w:eastAsia="Times New Roman" w:cstheme="minorHAnsi"/>
        </w:rPr>
        <w:t>50. (Preprint version). Available at: https://philarchive.org/rec/ZHATLD (Accessed 31 August 2025).</w:t>
      </w:r>
    </w:p>
  </w:footnote>
  <w:footnote w:id="210">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Kurlantzick, </w:t>
      </w:r>
      <w:r w:rsidRPr="00650E4E">
        <w:rPr>
          <w:rFonts w:eastAsia="Times New Roman" w:cstheme="minorHAnsi"/>
        </w:rPr>
        <w:t>J. (2024 update) ‘Is China’s Huawei a threat to U.S. national security?’, Council on Foreign Relations Backgrounder. Available at: https://www.cfr.org/backgrounder/chinas-huawei-threat-us-national-security (Accessed 31 August 2025).</w:t>
      </w:r>
    </w:p>
  </w:footnote>
  <w:footnote w:id="211">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Cisco </w:t>
      </w:r>
      <w:r w:rsidRPr="00650E4E">
        <w:rPr>
          <w:rFonts w:eastAsia="Times New Roman" w:cstheme="minorHAnsi"/>
        </w:rPr>
        <w:t>Systems (2003) ‘Cisco files lawsuit against Huawei for IP infringement’ (press release); and Cisco (2010) ‘Let’s set the record straight about Cisco v. Huawei’ (corporate blog). Available at: https://newsroom.cisco.com/c/r/newsroom/en/us/a/y2010/m03/lets-set-the-record-straight-about-cisco-v-huawei.html (Accessed 31 August 2025). (</w:t>
      </w:r>
      <w:r>
        <w:fldChar w:fldCharType="begin"/>
      </w:r>
      <w:r>
        <w:instrText xml:space="preserve"> HYPERLINK "https://blogs.cisco.com/news/huawei-and-ciscos-source-code-correcting-the-record?utm_source=chatgpt.com" \o "Huawei and Cisco's Source Code: Correcting the Record" </w:instrText>
      </w:r>
      <w:r>
        <w:fldChar w:fldCharType="separate"/>
      </w:r>
      <w:r w:rsidRPr="00650E4E">
        <w:rPr>
          <w:rFonts w:eastAsia="Times New Roman" w:cstheme="minorHAnsi"/>
          <w:color w:val="0000FF"/>
          <w:u w:val="single"/>
        </w:rPr>
        <w:t>Cisco Blogs</w:t>
      </w:r>
      <w:r>
        <w:rPr>
          <w:rFonts w:eastAsia="Times New Roman" w:cstheme="minorHAnsi"/>
          <w:color w:val="0000FF"/>
          <w:u w:val="single"/>
        </w:rPr>
        <w:fldChar w:fldCharType="end"/>
      </w:r>
      <w:r w:rsidRPr="00650E4E">
        <w:rPr>
          <w:rFonts w:eastAsia="Times New Roman" w:cstheme="minorHAnsi"/>
        </w:rPr>
        <w:t>)</w:t>
      </w:r>
    </w:p>
  </w:footnote>
  <w:footnote w:id="212">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Lerman, R. (2017) ‘Jury awards T</w:t>
      </w:r>
      <w:r w:rsidRPr="00650E4E">
        <w:rPr>
          <w:rFonts w:eastAsia="Times New Roman" w:cstheme="minorHAnsi"/>
        </w:rPr>
        <w:noBreakHyphen/>
        <w:t>Mobile $4.8M in trade</w:t>
      </w:r>
      <w:r w:rsidRPr="00650E4E">
        <w:rPr>
          <w:rFonts w:eastAsia="Times New Roman" w:cstheme="minorHAnsi"/>
        </w:rPr>
        <w:noBreakHyphen/>
        <w:t xml:space="preserve">secrets case against Huawei’, </w:t>
      </w:r>
      <w:r w:rsidRPr="00650E4E">
        <w:rPr>
          <w:rFonts w:eastAsia="Times New Roman" w:cstheme="minorHAnsi"/>
          <w:i/>
          <w:iCs/>
        </w:rPr>
        <w:t>GeekWire</w:t>
      </w:r>
      <w:r w:rsidRPr="00650E4E">
        <w:rPr>
          <w:rFonts w:eastAsia="Times New Roman" w:cstheme="minorHAnsi"/>
        </w:rPr>
        <w:t>, 18 May. Available at: https://www.geekwire.com/2017/jury-awards-t-mobile-4-8m-trade-secrets-case-huawei/ (Accessed 31 August 2025). (</w:t>
      </w:r>
      <w:r>
        <w:fldChar w:fldCharType="begin"/>
      </w:r>
      <w:r>
        <w:instrText xml:space="preserve"> HYPERLINK "https://www.geekwire.com/2017/jury-sides-with-t-mobile-in-case-of-alleged-theft-of-tappy-robot-technology-by-huawei/?utm_source=chatgpt.com" \o "Jury sides with T-Mobile in federal lawsuit over theft of ' ..." </w:instrText>
      </w:r>
      <w:r>
        <w:fldChar w:fldCharType="separate"/>
      </w:r>
      <w:r w:rsidRPr="00650E4E">
        <w:rPr>
          <w:rFonts w:eastAsia="Times New Roman" w:cstheme="minorHAnsi"/>
          <w:color w:val="0000FF"/>
          <w:u w:val="single"/>
        </w:rPr>
        <w:t>GeekWire</w:t>
      </w:r>
      <w:r>
        <w:rPr>
          <w:rFonts w:eastAsia="Times New Roman" w:cstheme="minorHAnsi"/>
          <w:color w:val="0000FF"/>
          <w:u w:val="single"/>
        </w:rPr>
        <w:fldChar w:fldCharType="end"/>
      </w:r>
      <w:r w:rsidRPr="00650E4E">
        <w:rPr>
          <w:rFonts w:eastAsia="Times New Roman" w:cstheme="minorHAnsi"/>
        </w:rPr>
        <w:t>)</w:t>
      </w:r>
    </w:p>
  </w:footnote>
  <w:footnote w:id="213">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U.S. Department of Justice (2020) ‘Huawei and subsidiaries charged in racketeering conspiracy and conspiracy to steal trade secrets’ (press release), 13 February. Available at: https://www.justice.gov/archives/opa/pr/chinese-telecommunications-conglomerate-huawei-and-subsidiaries-charged-racketeering (Accessed 31 August 2025). (</w:t>
      </w:r>
      <w:r>
        <w:fldChar w:fldCharType="begin"/>
      </w:r>
      <w:r>
        <w:instrText xml:space="preserve"> HYPERLINK "https://www.justice.gov/archives/opa/pr/chinese-telecommunications-conglomerate-huawei-and-subsidiaries-charged-racketeering?utm_source=chatgpt.com" \o "Chinese Telecommunications Conglomerate Huawei and ..." </w:instrText>
      </w:r>
      <w:r>
        <w:fldChar w:fldCharType="separate"/>
      </w:r>
      <w:r w:rsidRPr="00650E4E">
        <w:rPr>
          <w:rFonts w:eastAsia="Times New Roman" w:cstheme="minorHAnsi"/>
          <w:color w:val="0000FF"/>
          <w:u w:val="single"/>
        </w:rPr>
        <w:t>Department of Justice</w:t>
      </w:r>
      <w:r>
        <w:rPr>
          <w:rFonts w:eastAsia="Times New Roman" w:cstheme="minorHAnsi"/>
          <w:color w:val="0000FF"/>
          <w:u w:val="single"/>
        </w:rPr>
        <w:fldChar w:fldCharType="end"/>
      </w:r>
      <w:r w:rsidRPr="00650E4E">
        <w:rPr>
          <w:rFonts w:eastAsia="Times New Roman" w:cstheme="minorHAnsi"/>
        </w:rPr>
        <w:t>)</w:t>
      </w:r>
    </w:p>
  </w:footnote>
  <w:footnote w:id="214">
    <w:p w:rsidR="00C62A14" w:rsidRPr="00650E4E" w:rsidRDefault="00C62A14" w:rsidP="008F42CF">
      <w:pPr>
        <w:pStyle w:val="a6"/>
        <w:rPr>
          <w:rFonts w:cstheme="minorHAnsi"/>
        </w:rPr>
      </w:pPr>
      <w:r w:rsidRPr="00650E4E">
        <w:rPr>
          <w:rStyle w:val="a8"/>
          <w:rFonts w:cstheme="minorHAnsi"/>
        </w:rPr>
        <w:footnoteRef/>
      </w:r>
      <w:r w:rsidRPr="00650E4E">
        <w:rPr>
          <w:rFonts w:cstheme="minorHAnsi"/>
        </w:rPr>
        <w:t xml:space="preserve"> </w:t>
      </w:r>
      <w:r w:rsidRPr="00650E4E">
        <w:rPr>
          <w:rFonts w:eastAsia="Times New Roman" w:cstheme="minorHAnsi"/>
        </w:rPr>
        <w:t>Reuters (2020) ‘U.S. judge rejects Huawei challenge to federal law restricting its business’, 18 February. Available at: https://www.reuters.com/article/us-usa-china-huawei-tech/us-judge-rejects-huawei-challenge-to-federal-law-restricting-its-business-idUSKBN20C2M9 (Accessed 31 August 2025).</w:t>
      </w:r>
    </w:p>
  </w:footnote>
  <w:footnote w:id="215">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Reuters </w:t>
      </w:r>
      <w:r w:rsidRPr="00650E4E">
        <w:rPr>
          <w:rFonts w:eastAsia="Times New Roman" w:cstheme="minorHAnsi"/>
        </w:rPr>
        <w:t>(2022) ‘Swedish court upholds ban on Huawei sale of 5G gear’, 22 June. Available at: https://www.reuters.com/business/media-telecom/swedish-court-upholds-ban-huawei-sale-5g-gear-2022-06-22/ (Accessed 31 August 2025).</w:t>
      </w:r>
    </w:p>
  </w:footnote>
  <w:footnote w:id="216">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Carnegie </w:t>
      </w:r>
      <w:r w:rsidRPr="00650E4E">
        <w:rPr>
          <w:rFonts w:eastAsia="Times New Roman" w:cstheme="minorHAnsi"/>
        </w:rPr>
        <w:t>Endowment (2022) ‘How Huawei’s localization in North Africa delivered mixed returns’, 14 April. Available at: https://carnegieendowment.org/research/2022/04/how-huaweis-localization-in-north-africa-delivered-mixed-returns?lang=en (Accessed 31 August 2025). (</w:t>
      </w:r>
      <w:r>
        <w:fldChar w:fldCharType="begin"/>
      </w:r>
      <w:r>
        <w:instrText xml:space="preserve"> HYPERLINK "https://carnegieendowment.org/research/2022/04/how-huaweis-localization-in-north-africa-delivered-mixed-returns?lang=en&amp;utm_source=chatgpt.com" \o "How Huawei's Localization in North Africa Delivered Mixed ..." </w:instrText>
      </w:r>
      <w:r>
        <w:fldChar w:fldCharType="separate"/>
      </w:r>
      <w:r w:rsidRPr="00650E4E">
        <w:rPr>
          <w:rFonts w:eastAsia="Times New Roman" w:cstheme="minorHAnsi"/>
          <w:color w:val="0000FF"/>
          <w:u w:val="single"/>
        </w:rPr>
        <w:t>Carnegie Endowment</w:t>
      </w:r>
      <w:r>
        <w:rPr>
          <w:rFonts w:eastAsia="Times New Roman" w:cstheme="minorHAnsi"/>
          <w:color w:val="0000FF"/>
          <w:u w:val="single"/>
        </w:rPr>
        <w:fldChar w:fldCharType="end"/>
      </w:r>
      <w:r w:rsidRPr="00650E4E">
        <w:rPr>
          <w:rFonts w:eastAsia="Times New Roman" w:cstheme="minorHAnsi"/>
        </w:rPr>
        <w:t>)</w:t>
      </w:r>
    </w:p>
  </w:footnote>
  <w:footnote w:id="217">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 xml:space="preserve">Heeks, R. (2024) ‘China’s digital expansion in the Global South’, </w:t>
      </w:r>
      <w:r w:rsidRPr="00650E4E">
        <w:rPr>
          <w:rFonts w:eastAsia="Times New Roman" w:cstheme="minorHAnsi"/>
          <w:i/>
          <w:iCs/>
        </w:rPr>
        <w:t>The Information Society</w:t>
      </w:r>
      <w:r w:rsidRPr="00650E4E">
        <w:rPr>
          <w:rFonts w:eastAsia="Times New Roman" w:cstheme="minorHAnsi"/>
        </w:rPr>
        <w:t>, 40(2), pp. 89</w:t>
      </w:r>
      <w:r>
        <w:rPr>
          <w:rFonts w:eastAsia="Times New Roman" w:cstheme="minorHAnsi" w:hint="cs"/>
          <w:rtl/>
        </w:rPr>
        <w:t>-</w:t>
      </w:r>
      <w:r w:rsidRPr="00650E4E">
        <w:rPr>
          <w:rFonts w:eastAsia="Times New Roman" w:cstheme="minorHAnsi"/>
        </w:rPr>
        <w:t>104. Available at: https://www.tandfonline.com/doi/full/10.1080/01972243.2024.2315875 (Accessed 31 August 2025). (</w:t>
      </w:r>
      <w:r>
        <w:fldChar w:fldCharType="begin"/>
      </w:r>
      <w:r>
        <w:instrText xml:space="preserve"> HYPERLINK "https://www.tandfonline.com/doi/full/10.1080/01972243.2024.2315875?utm_source=chatgpt.com" \o "Full article: China's digital expansion in the Global South" </w:instrText>
      </w:r>
      <w:r>
        <w:fldChar w:fldCharType="separate"/>
      </w:r>
      <w:r w:rsidRPr="00650E4E">
        <w:rPr>
          <w:rFonts w:eastAsia="Times New Roman" w:cstheme="minorHAnsi"/>
          <w:color w:val="0000FF"/>
          <w:u w:val="single"/>
        </w:rPr>
        <w:t>Taylor &amp; Francis Online</w:t>
      </w:r>
      <w:r>
        <w:rPr>
          <w:rFonts w:eastAsia="Times New Roman" w:cstheme="minorHAnsi"/>
          <w:color w:val="0000FF"/>
          <w:u w:val="single"/>
        </w:rPr>
        <w:fldChar w:fldCharType="end"/>
      </w:r>
      <w:r w:rsidRPr="00650E4E">
        <w:rPr>
          <w:rFonts w:eastAsia="Times New Roman" w:cstheme="minorHAnsi"/>
        </w:rPr>
        <w:t>)</w:t>
      </w:r>
    </w:p>
  </w:footnote>
  <w:footnote w:id="218">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ITIF (Bruer, A.) (2021) ‘Mapping the international 5G standards landscape and how it impacts U.S. strategy’, 8 November. Available at: https://itif.org/publications/2021/11/08/mapping-international-5g-standards-landscape-and-how-it-impacts-us-strategy/ (Accessed 31 August 2025). (</w:t>
      </w:r>
      <w:r>
        <w:fldChar w:fldCharType="begin"/>
      </w:r>
      <w:r>
        <w:instrText xml:space="preserve"> HYPERLINK "https://itif.org/publications/2021/11/08/mapping-international-5g-standards-landscape-and-how-it-impacts-us-strategy/?utm_source=chatgpt.com" \o "Mapping the International 5G Standards Landscape and ..." </w:instrText>
      </w:r>
      <w:r>
        <w:fldChar w:fldCharType="separate"/>
      </w:r>
      <w:r w:rsidRPr="00650E4E">
        <w:rPr>
          <w:rFonts w:eastAsia="Times New Roman" w:cstheme="minorHAnsi"/>
          <w:color w:val="0000FF"/>
          <w:u w:val="single"/>
        </w:rPr>
        <w:t>ITIF</w:t>
      </w:r>
      <w:r>
        <w:rPr>
          <w:rFonts w:eastAsia="Times New Roman" w:cstheme="minorHAnsi"/>
          <w:color w:val="0000FF"/>
          <w:u w:val="single"/>
        </w:rPr>
        <w:fldChar w:fldCharType="end"/>
      </w:r>
      <w:r w:rsidRPr="00650E4E">
        <w:rPr>
          <w:rFonts w:eastAsia="Times New Roman" w:cstheme="minorHAnsi"/>
        </w:rPr>
        <w:t>)</w:t>
      </w:r>
    </w:p>
  </w:footnote>
  <w:footnote w:id="219">
    <w:p w:rsidR="00C62A14" w:rsidRPr="00650E4E" w:rsidRDefault="00C62A14" w:rsidP="008F42CF">
      <w:pPr>
        <w:pStyle w:val="a6"/>
        <w:rPr>
          <w:rFonts w:cstheme="minorHAnsi"/>
          <w:lang w:val="en-US"/>
        </w:rPr>
      </w:pPr>
      <w:r w:rsidRPr="00650E4E">
        <w:rPr>
          <w:rStyle w:val="a8"/>
          <w:rFonts w:cstheme="minorHAnsi"/>
        </w:rPr>
        <w:footnoteRef/>
      </w:r>
      <w:r w:rsidRPr="00650E4E">
        <w:rPr>
          <w:rFonts w:cstheme="minorHAnsi"/>
        </w:rPr>
        <w:t xml:space="preserve"> </w:t>
      </w:r>
      <w:r w:rsidRPr="00650E4E">
        <w:rPr>
          <w:rFonts w:eastAsia="Times New Roman" w:cstheme="minorHAnsi"/>
        </w:rPr>
        <w:t>MITRE (2021) ‘Securing Western leadership in global 5G standards and patents’ (Report PR</w:t>
      </w:r>
      <w:r w:rsidRPr="00650E4E">
        <w:rPr>
          <w:rFonts w:eastAsia="Times New Roman" w:cstheme="minorHAnsi"/>
        </w:rPr>
        <w:noBreakHyphen/>
        <w:t>21</w:t>
      </w:r>
      <w:r w:rsidRPr="00650E4E">
        <w:rPr>
          <w:rFonts w:eastAsia="Times New Roman" w:cstheme="minorHAnsi"/>
        </w:rPr>
        <w:noBreakHyphen/>
        <w:t>0045), 12 February. Available at: https://www.mitre.org/sites/default/files/2021-08/pr-21-0045-securing-western-leadership-in-global-5g-standards-and-patents.pdf (Accessed 31 August 2025). (</w:t>
      </w:r>
      <w:r>
        <w:fldChar w:fldCharType="begin"/>
      </w:r>
      <w:r>
        <w:instrText xml:space="preserve"> HYPERLINK "https://www.mitre.org/sites/default/files/2021-08/pr-21-0045-securing-western-leadership-in-global-5g-standards-and-patents.pdf?utm_source=chatgpt.com" \o "Securing Western Leadership in Global 5G Standards and ..." </w:instrText>
      </w:r>
      <w:r>
        <w:fldChar w:fldCharType="separate"/>
      </w:r>
      <w:r w:rsidRPr="00650E4E">
        <w:rPr>
          <w:rFonts w:eastAsia="Times New Roman" w:cstheme="minorHAnsi"/>
          <w:color w:val="0000FF"/>
          <w:u w:val="single"/>
        </w:rPr>
        <w:t>MITRE</w:t>
      </w:r>
      <w:r>
        <w:rPr>
          <w:rFonts w:eastAsia="Times New Roman" w:cstheme="minorHAnsi"/>
          <w:color w:val="0000FF"/>
          <w:u w:val="single"/>
        </w:rPr>
        <w:fldChar w:fldCharType="end"/>
      </w:r>
      <w:r w:rsidRPr="00650E4E">
        <w:rPr>
          <w:rFonts w:eastAsia="Times New Roman" w:cstheme="minorHAnsi"/>
        </w:rPr>
        <w:t>)</w:t>
      </w:r>
    </w:p>
  </w:footnote>
  <w:footnote w:id="220">
    <w:p w:rsidR="00C62A14" w:rsidRPr="00650E4E" w:rsidRDefault="00C62A14" w:rsidP="00DE059B">
      <w:pPr>
        <w:pStyle w:val="a6"/>
        <w:rPr>
          <w:rFonts w:cstheme="minorHAnsi"/>
          <w:rtl/>
        </w:rPr>
      </w:pPr>
      <w:r w:rsidRPr="00650E4E">
        <w:rPr>
          <w:rStyle w:val="a8"/>
          <w:rFonts w:cstheme="minorHAnsi"/>
        </w:rPr>
        <w:footnoteRef/>
      </w:r>
      <w:r w:rsidRPr="00650E4E">
        <w:rPr>
          <w:rFonts w:cstheme="minorHAnsi"/>
        </w:rPr>
        <w:t xml:space="preserve"> </w:t>
      </w:r>
      <w:r w:rsidRPr="00DE059B">
        <w:rPr>
          <w:rFonts w:eastAsia="Times New Roman" w:cstheme="minorHAnsi"/>
        </w:rPr>
        <w:t>Mann, M. (1984)</w:t>
      </w:r>
      <w:r w:rsidRPr="00650E4E">
        <w:rPr>
          <w:rFonts w:eastAsia="Times New Roman" w:cstheme="minorHAnsi"/>
        </w:rPr>
        <w:t xml:space="preserve"> ‘The autonomous power of the state: its origins, mechanisms and results’, </w:t>
      </w:r>
      <w:r w:rsidRPr="00650E4E">
        <w:rPr>
          <w:rFonts w:eastAsia="Times New Roman" w:cstheme="minorHAnsi"/>
          <w:i/>
          <w:iCs/>
        </w:rPr>
        <w:t>European Journal of Sociology</w:t>
      </w:r>
      <w:r w:rsidRPr="00650E4E">
        <w:rPr>
          <w:rFonts w:eastAsia="Times New Roman" w:cstheme="minorHAnsi"/>
        </w:rPr>
        <w:t>, 25(2), pp. 185</w:t>
      </w:r>
      <w:r>
        <w:rPr>
          <w:rFonts w:eastAsia="Times New Roman" w:cstheme="minorHAnsi"/>
          <w:lang w:val="en-US"/>
        </w:rPr>
        <w:t>-</w:t>
      </w:r>
      <w:r w:rsidRPr="00650E4E">
        <w:rPr>
          <w:rFonts w:eastAsia="Times New Roman" w:cstheme="minorHAnsi"/>
        </w:rPr>
        <w:t>213.</w:t>
      </w:r>
    </w:p>
  </w:footnote>
  <w:footnote w:id="221">
    <w:p w:rsidR="00C62A14" w:rsidRPr="00650E4E" w:rsidRDefault="00C62A14" w:rsidP="008F42CF">
      <w:pPr>
        <w:pStyle w:val="a6"/>
        <w:rPr>
          <w:rFonts w:cstheme="minorHAnsi"/>
          <w:rtl/>
        </w:rPr>
      </w:pPr>
      <w:r w:rsidRPr="00650E4E">
        <w:rPr>
          <w:rStyle w:val="a8"/>
          <w:rFonts w:cstheme="minorHAnsi"/>
        </w:rPr>
        <w:footnoteRef/>
      </w:r>
      <w:r w:rsidRPr="00650E4E">
        <w:rPr>
          <w:rFonts w:cstheme="minorHAnsi"/>
        </w:rPr>
        <w:t xml:space="preserve"> </w:t>
      </w:r>
      <w:r w:rsidRPr="00DE059B">
        <w:rPr>
          <w:rFonts w:eastAsia="Times New Roman" w:cstheme="minorHAnsi"/>
        </w:rPr>
        <w:t xml:space="preserve">International </w:t>
      </w:r>
      <w:r w:rsidRPr="00DE059B">
        <w:rPr>
          <w:rFonts w:eastAsia="Times New Roman" w:cstheme="minorHAnsi"/>
        </w:rPr>
        <w:t>Telecommunication Union (ITU</w:t>
      </w:r>
      <w:r w:rsidRPr="00DE059B">
        <w:rPr>
          <w:rFonts w:eastAsia="Times New Roman" w:cstheme="minorHAnsi"/>
        </w:rPr>
        <w:noBreakHyphen/>
        <w:t>R) (2017)</w:t>
      </w:r>
      <w:r w:rsidRPr="00650E4E">
        <w:rPr>
          <w:rFonts w:eastAsia="Times New Roman" w:cstheme="minorHAnsi"/>
        </w:rPr>
        <w:t xml:space="preserve"> </w:t>
      </w:r>
      <w:r w:rsidRPr="00650E4E">
        <w:rPr>
          <w:rFonts w:eastAsia="Times New Roman" w:cstheme="minorHAnsi"/>
          <w:i/>
          <w:iCs/>
        </w:rPr>
        <w:t>Report ITU</w:t>
      </w:r>
      <w:r w:rsidRPr="00650E4E">
        <w:rPr>
          <w:rFonts w:eastAsia="Times New Roman" w:cstheme="minorHAnsi"/>
          <w:i/>
          <w:iCs/>
        </w:rPr>
        <w:noBreakHyphen/>
        <w:t>R M.2410</w:t>
      </w:r>
      <w:r w:rsidRPr="00650E4E">
        <w:rPr>
          <w:rFonts w:eastAsia="Times New Roman" w:cstheme="minorHAnsi"/>
          <w:i/>
          <w:iCs/>
        </w:rPr>
        <w:noBreakHyphen/>
        <w:t>0: Minimum requirements related to technical performance for IMT</w:t>
      </w:r>
      <w:r w:rsidRPr="00650E4E">
        <w:rPr>
          <w:rFonts w:eastAsia="Times New Roman" w:cstheme="minorHAnsi"/>
          <w:i/>
          <w:iCs/>
        </w:rPr>
        <w:noBreakHyphen/>
        <w:t>2020 radio interface(s)</w:t>
      </w:r>
      <w:r w:rsidRPr="00650E4E">
        <w:rPr>
          <w:rFonts w:eastAsia="Times New Roman" w:cstheme="minorHAnsi"/>
        </w:rPr>
        <w:t>. Geneva: ITU.</w:t>
      </w:r>
    </w:p>
  </w:footnote>
  <w:footnote w:id="222">
    <w:p w:rsidR="00C62A14" w:rsidRPr="00650E4E" w:rsidRDefault="00C62A14" w:rsidP="008F42CF">
      <w:pPr>
        <w:pStyle w:val="a6"/>
        <w:rPr>
          <w:rFonts w:cstheme="minorHAnsi"/>
          <w:rtl/>
        </w:rPr>
      </w:pPr>
      <w:r w:rsidRPr="00650E4E">
        <w:rPr>
          <w:rStyle w:val="a8"/>
          <w:rFonts w:cstheme="minorHAnsi"/>
        </w:rPr>
        <w:footnoteRef/>
      </w:r>
      <w:r w:rsidRPr="00650E4E">
        <w:rPr>
          <w:rFonts w:cstheme="minorHAnsi"/>
        </w:rPr>
        <w:t xml:space="preserve"> </w:t>
      </w:r>
      <w:r w:rsidRPr="00DE059B">
        <w:rPr>
          <w:rFonts w:eastAsia="Times New Roman" w:cstheme="minorHAnsi"/>
        </w:rPr>
        <w:t xml:space="preserve">European </w:t>
      </w:r>
      <w:r w:rsidRPr="00DE059B">
        <w:rPr>
          <w:rFonts w:eastAsia="Times New Roman" w:cstheme="minorHAnsi"/>
        </w:rPr>
        <w:t>Commission (2019)</w:t>
      </w:r>
      <w:r w:rsidRPr="00650E4E">
        <w:rPr>
          <w:rFonts w:eastAsia="Times New Roman" w:cstheme="minorHAnsi"/>
        </w:rPr>
        <w:t xml:space="preserve"> </w:t>
      </w:r>
      <w:r w:rsidRPr="00650E4E">
        <w:rPr>
          <w:rFonts w:eastAsia="Times New Roman" w:cstheme="minorHAnsi"/>
          <w:i/>
          <w:iCs/>
        </w:rPr>
        <w:t>EU Coordinated Risk Assessment of 5G Networks (press release &amp; summary)</w:t>
      </w:r>
      <w:r w:rsidRPr="00650E4E">
        <w:rPr>
          <w:rFonts w:eastAsia="Times New Roman" w:cstheme="minorHAnsi"/>
        </w:rPr>
        <w:t>. Brussels: European Commission.</w:t>
      </w:r>
    </w:p>
  </w:footnote>
  <w:footnote w:id="223">
    <w:p w:rsidR="00C62A14" w:rsidRPr="00650E4E" w:rsidRDefault="00C62A14" w:rsidP="008F42CF">
      <w:pPr>
        <w:pStyle w:val="a6"/>
        <w:rPr>
          <w:rFonts w:cstheme="minorHAnsi"/>
          <w:rtl/>
        </w:rPr>
      </w:pPr>
      <w:r w:rsidRPr="00650E4E">
        <w:rPr>
          <w:rStyle w:val="a8"/>
          <w:rFonts w:cstheme="minorHAnsi"/>
        </w:rPr>
        <w:footnoteRef/>
      </w:r>
      <w:r w:rsidRPr="00650E4E">
        <w:rPr>
          <w:rFonts w:cstheme="minorHAnsi"/>
        </w:rPr>
        <w:t xml:space="preserve"> </w:t>
      </w:r>
      <w:r w:rsidRPr="00DE059B">
        <w:rPr>
          <w:rFonts w:eastAsia="Times New Roman" w:cstheme="minorHAnsi"/>
        </w:rPr>
        <w:t xml:space="preserve">Carnegie </w:t>
      </w:r>
      <w:r w:rsidRPr="00DE059B">
        <w:rPr>
          <w:rFonts w:eastAsia="Times New Roman" w:cstheme="minorHAnsi"/>
        </w:rPr>
        <w:t>Endowment (2019)</w:t>
      </w:r>
      <w:r w:rsidRPr="00650E4E">
        <w:rPr>
          <w:rFonts w:eastAsia="Times New Roman" w:cstheme="minorHAnsi"/>
        </w:rPr>
        <w:t xml:space="preserve"> </w:t>
      </w:r>
      <w:r w:rsidRPr="00650E4E">
        <w:rPr>
          <w:rFonts w:eastAsia="Times New Roman" w:cstheme="minorHAnsi"/>
          <w:i/>
          <w:iCs/>
        </w:rPr>
        <w:t>AI Global Surveillance (AIGS) Index</w:t>
      </w:r>
      <w:r w:rsidRPr="00650E4E">
        <w:rPr>
          <w:rFonts w:eastAsia="Times New Roman" w:cstheme="minorHAnsi"/>
        </w:rPr>
        <w:t>. Washington, DC: Feldstein, S.</w:t>
      </w:r>
    </w:p>
  </w:footnote>
  <w:footnote w:id="224">
    <w:p w:rsidR="00C62A14" w:rsidRPr="00650E4E" w:rsidRDefault="00C62A14" w:rsidP="008F42CF">
      <w:pPr>
        <w:pStyle w:val="a6"/>
        <w:rPr>
          <w:rFonts w:cstheme="minorHAnsi"/>
          <w:rtl/>
        </w:rPr>
      </w:pPr>
      <w:r w:rsidRPr="00650E4E">
        <w:rPr>
          <w:rStyle w:val="a8"/>
          <w:rFonts w:cstheme="minorHAnsi"/>
        </w:rPr>
        <w:footnoteRef/>
      </w:r>
      <w:r w:rsidRPr="00650E4E">
        <w:rPr>
          <w:rFonts w:cstheme="minorHAnsi"/>
        </w:rPr>
        <w:t xml:space="preserve"> </w:t>
      </w:r>
      <w:r w:rsidRPr="00DE059B">
        <w:rPr>
          <w:rFonts w:eastAsia="Times New Roman" w:cstheme="minorHAnsi"/>
        </w:rPr>
        <w:t xml:space="preserve">The </w:t>
      </w:r>
      <w:r w:rsidRPr="00DE059B">
        <w:rPr>
          <w:rFonts w:eastAsia="Times New Roman" w:cstheme="minorHAnsi"/>
        </w:rPr>
        <w:t>Wall Street Journal (2019)</w:t>
      </w:r>
      <w:r w:rsidRPr="00650E4E">
        <w:rPr>
          <w:rFonts w:eastAsia="Times New Roman" w:cstheme="minorHAnsi"/>
        </w:rPr>
        <w:t xml:space="preserve"> ‘Huawei Technicians Helped African Governments Spy on Political Opponents’, 15 Aug.</w:t>
      </w:r>
    </w:p>
  </w:footnote>
  <w:footnote w:id="225">
    <w:p w:rsidR="00C62A14" w:rsidRPr="00650E4E" w:rsidRDefault="00C62A14" w:rsidP="008F42CF">
      <w:pPr>
        <w:spacing w:before="100" w:beforeAutospacing="1" w:after="100" w:afterAutospacing="1" w:line="240" w:lineRule="auto"/>
        <w:rPr>
          <w:rFonts w:eastAsia="Times New Roman" w:cstheme="minorHAnsi"/>
          <w:sz w:val="20"/>
          <w:szCs w:val="20"/>
          <w:rtl/>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Financial Times (2020) ‘</w:t>
      </w:r>
      <w:r w:rsidRPr="00650E4E">
        <w:rPr>
          <w:rFonts w:eastAsia="Times New Roman" w:cstheme="minorHAnsi"/>
          <w:sz w:val="20"/>
          <w:szCs w:val="20"/>
        </w:rPr>
        <w:t>China-backed “New IP” proposal to the ITU sparks row’. (</w:t>
      </w:r>
      <w:hyperlink r:id="rId44" w:tooltip="Watching Huawei's &quot;Safe Cities&quot;" w:history="1">
        <w:r w:rsidRPr="00650E4E">
          <w:rPr>
            <w:rFonts w:eastAsia="Times New Roman" w:cstheme="minorHAnsi"/>
            <w:color w:val="0000FF"/>
            <w:sz w:val="20"/>
            <w:szCs w:val="20"/>
            <w:u w:val="single"/>
          </w:rPr>
          <w:t>U.S.-ASEAN Smart Cities Partnership</w:t>
        </w:r>
      </w:hyperlink>
      <w:r w:rsidRPr="00650E4E">
        <w:rPr>
          <w:rFonts w:eastAsia="Times New Roman" w:cstheme="minorHAnsi"/>
          <w:sz w:val="20"/>
          <w:szCs w:val="20"/>
        </w:rPr>
        <w:t>)</w:t>
      </w:r>
    </w:p>
  </w:footnote>
  <w:footnote w:id="226">
    <w:p w:rsidR="00C62A14" w:rsidRPr="00650E4E" w:rsidRDefault="00C62A14" w:rsidP="008F42CF">
      <w:pPr>
        <w:spacing w:before="100" w:beforeAutospacing="1" w:after="100" w:afterAutospacing="1" w:line="240" w:lineRule="auto"/>
        <w:rPr>
          <w:rFonts w:eastAsia="Times New Roman" w:cstheme="minorHAnsi"/>
          <w:sz w:val="20"/>
          <w:szCs w:val="20"/>
          <w:rtl/>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Reuters (2021)</w:t>
      </w:r>
      <w:r w:rsidRPr="00650E4E">
        <w:rPr>
          <w:rFonts w:eastAsia="Times New Roman" w:cstheme="minorHAnsi"/>
          <w:sz w:val="20"/>
          <w:szCs w:val="20"/>
        </w:rPr>
        <w:t xml:space="preserve"> ‘Huawei announces royalty rates for 5G phone technology’, 16 Mar. (</w:t>
      </w:r>
      <w:hyperlink r:id="rId45" w:tooltip="Huawei announces royalty rates for 5G phone technology" w:history="1">
        <w:r w:rsidRPr="00650E4E">
          <w:rPr>
            <w:rFonts w:eastAsia="Times New Roman" w:cstheme="minorHAnsi"/>
            <w:color w:val="0000FF"/>
            <w:sz w:val="20"/>
            <w:szCs w:val="20"/>
            <w:u w:val="single"/>
          </w:rPr>
          <w:t>Reuters</w:t>
        </w:r>
      </w:hyperlink>
      <w:r w:rsidRPr="00650E4E">
        <w:rPr>
          <w:rFonts w:eastAsia="Times New Roman" w:cstheme="minorHAnsi"/>
          <w:sz w:val="20"/>
          <w:szCs w:val="20"/>
        </w:rPr>
        <w:t>)</w:t>
      </w:r>
    </w:p>
  </w:footnote>
  <w:footnote w:id="227">
    <w:p w:rsidR="00C62A14" w:rsidRPr="00650E4E" w:rsidRDefault="00C62A14" w:rsidP="008F42CF">
      <w:pPr>
        <w:pStyle w:val="a6"/>
        <w:rPr>
          <w:rFonts w:cstheme="minorHAnsi"/>
          <w:rtl/>
        </w:rPr>
      </w:pPr>
      <w:r w:rsidRPr="00650E4E">
        <w:rPr>
          <w:rStyle w:val="a8"/>
          <w:rFonts w:cstheme="minorHAnsi"/>
        </w:rPr>
        <w:footnoteRef/>
      </w:r>
      <w:r w:rsidRPr="00650E4E">
        <w:rPr>
          <w:rFonts w:cstheme="minorHAnsi"/>
        </w:rPr>
        <w:t xml:space="preserve"> </w:t>
      </w:r>
      <w:r w:rsidRPr="00DE059B">
        <w:rPr>
          <w:rFonts w:eastAsia="Times New Roman" w:cstheme="minorHAnsi"/>
        </w:rPr>
        <w:t>Federal Communications Commission (2019)</w:t>
      </w:r>
      <w:r w:rsidRPr="00650E4E">
        <w:rPr>
          <w:rFonts w:eastAsia="Times New Roman" w:cstheme="minorHAnsi"/>
        </w:rPr>
        <w:t xml:space="preserve"> </w:t>
      </w:r>
      <w:r w:rsidRPr="00650E4E">
        <w:rPr>
          <w:rFonts w:eastAsia="Times New Roman" w:cstheme="minorHAnsi"/>
          <w:i/>
          <w:iCs/>
        </w:rPr>
        <w:t>Report and Order, WC Docket No. 18</w:t>
      </w:r>
      <w:r w:rsidRPr="00650E4E">
        <w:rPr>
          <w:rFonts w:eastAsia="Times New Roman" w:cstheme="minorHAnsi"/>
          <w:i/>
          <w:iCs/>
        </w:rPr>
        <w:noBreakHyphen/>
        <w:t>89 (FCC 19</w:t>
      </w:r>
      <w:r w:rsidRPr="00650E4E">
        <w:rPr>
          <w:rFonts w:eastAsia="Times New Roman" w:cstheme="minorHAnsi"/>
          <w:i/>
          <w:iCs/>
        </w:rPr>
        <w:noBreakHyphen/>
        <w:t>121): Protecting Against National Security Threats to the Communications Supply Chain</w:t>
      </w:r>
      <w:r w:rsidRPr="00650E4E">
        <w:rPr>
          <w:rFonts w:eastAsia="Times New Roman" w:cstheme="minorHAnsi"/>
        </w:rPr>
        <w:t>. Washington, DC: FCC.</w:t>
      </w:r>
    </w:p>
  </w:footnote>
  <w:footnote w:id="228">
    <w:p w:rsidR="00C62A14" w:rsidRPr="00650E4E" w:rsidRDefault="00C62A14" w:rsidP="008F42CF">
      <w:pPr>
        <w:spacing w:before="100" w:beforeAutospacing="1" w:after="100" w:afterAutospacing="1" w:line="240" w:lineRule="auto"/>
        <w:rPr>
          <w:rFonts w:eastAsia="Times New Roman" w:cstheme="minorHAnsi"/>
          <w:sz w:val="20"/>
          <w:szCs w:val="20"/>
        </w:rPr>
      </w:pPr>
      <w:r w:rsidRPr="00650E4E">
        <w:rPr>
          <w:rStyle w:val="a8"/>
          <w:rFonts w:cstheme="minorHAnsi"/>
        </w:rPr>
        <w:footnoteRef/>
      </w:r>
      <w:r w:rsidRPr="00650E4E">
        <w:rPr>
          <w:rFonts w:cstheme="minorHAnsi"/>
        </w:rPr>
        <w:t xml:space="preserve"> </w:t>
      </w:r>
      <w:r w:rsidRPr="00DE059B">
        <w:rPr>
          <w:rFonts w:eastAsia="Times New Roman" w:cstheme="minorHAnsi"/>
          <w:sz w:val="20"/>
          <w:szCs w:val="20"/>
        </w:rPr>
        <w:t>The Guardian (2019)</w:t>
      </w:r>
      <w:r w:rsidRPr="00650E4E">
        <w:rPr>
          <w:rFonts w:eastAsia="Times New Roman" w:cstheme="minorHAnsi"/>
          <w:sz w:val="20"/>
          <w:szCs w:val="20"/>
        </w:rPr>
        <w:t xml:space="preserve"> ‘U.S. national emergency on telecoms threats (EO 13873)’</w:t>
      </w:r>
      <w:r w:rsidRPr="00650E4E">
        <w:rPr>
          <w:rFonts w:eastAsia="Times New Roman" w:cstheme="minorHAnsi"/>
          <w:i/>
          <w:iCs/>
          <w:sz w:val="20"/>
          <w:szCs w:val="20"/>
        </w:rPr>
        <w:t>.</w:t>
      </w:r>
      <w:r w:rsidRPr="00650E4E">
        <w:rPr>
          <w:rFonts w:eastAsia="Times New Roman" w:cstheme="minorHAnsi"/>
          <w:sz w:val="20"/>
          <w:szCs w:val="20"/>
        </w:rPr>
        <w:t xml:space="preserve"> (</w:t>
      </w:r>
      <w:hyperlink r:id="rId46" w:tooltip="Huawei hits back over Trump's national emergency on telecoms 'threat'" w:history="1">
        <w:r w:rsidRPr="00650E4E">
          <w:rPr>
            <w:rFonts w:eastAsia="Times New Roman" w:cstheme="minorHAnsi"/>
            <w:color w:val="0000FF"/>
            <w:sz w:val="20"/>
            <w:szCs w:val="20"/>
            <w:u w:val="single"/>
          </w:rPr>
          <w:t>The Guardian</w:t>
        </w:r>
      </w:hyperlink>
      <w:r w:rsidRPr="00650E4E">
        <w:rPr>
          <w:rFonts w:eastAsia="Times New Roman" w:cstheme="minorHAnsi"/>
          <w:sz w:val="20"/>
          <w:szCs w:val="20"/>
        </w:rPr>
        <w:t>)</w:t>
      </w:r>
    </w:p>
    <w:p w:rsidR="00C62A14" w:rsidRDefault="00C62A14" w:rsidP="008F42CF">
      <w:pPr>
        <w:pStyle w:val="a6"/>
        <w:rPr>
          <w:rtl/>
        </w:rPr>
      </w:pPr>
    </w:p>
  </w:footnote>
  <w:footnote w:id="229">
    <w:p w:rsidR="00C62A14" w:rsidRPr="00650E4E" w:rsidRDefault="00C62A14" w:rsidP="008F42CF">
      <w:pPr>
        <w:pStyle w:val="a6"/>
        <w:rPr>
          <w:rFonts w:cstheme="minorHAnsi"/>
          <w:rtl/>
        </w:rPr>
      </w:pPr>
      <w:r w:rsidRPr="00650E4E">
        <w:rPr>
          <w:rStyle w:val="a8"/>
          <w:rFonts w:cstheme="minorHAnsi"/>
        </w:rPr>
        <w:footnoteRef/>
      </w:r>
      <w:r w:rsidRPr="00650E4E">
        <w:rPr>
          <w:rFonts w:cstheme="minorHAnsi"/>
        </w:rPr>
        <w:t xml:space="preserve"> </w:t>
      </w:r>
      <w:r w:rsidRPr="00DE059B">
        <w:rPr>
          <w:rFonts w:eastAsia="Times New Roman" w:cstheme="minorHAnsi"/>
        </w:rPr>
        <w:t>Mann, M. (1984)</w:t>
      </w:r>
      <w:r w:rsidRPr="00650E4E">
        <w:rPr>
          <w:rFonts w:eastAsia="Times New Roman" w:cstheme="minorHAnsi"/>
        </w:rPr>
        <w:t xml:space="preserve"> ‘The autonomous power of the state’, </w:t>
      </w:r>
      <w:r w:rsidRPr="00650E4E">
        <w:rPr>
          <w:rFonts w:eastAsia="Times New Roman" w:cstheme="minorHAnsi"/>
          <w:i/>
          <w:iCs/>
        </w:rPr>
        <w:t>European Journal of Sociology</w:t>
      </w:r>
      <w:r w:rsidRPr="00650E4E">
        <w:rPr>
          <w:rFonts w:eastAsia="Times New Roman" w:cstheme="minorHAnsi"/>
        </w:rPr>
        <w:t>, 25(2), pp. 185</w:t>
      </w:r>
      <w:r w:rsidRPr="00650E4E">
        <w:rPr>
          <w:rFonts w:eastAsia="Times New Roman" w:cstheme="minorHAnsi"/>
          <w:lang w:val="en-US"/>
        </w:rPr>
        <w:t>-</w:t>
      </w:r>
      <w:r w:rsidRPr="00650E4E">
        <w:rPr>
          <w:rFonts w:eastAsia="Times New Roman" w:cstheme="minorHAnsi"/>
        </w:rPr>
        <w:t>213.</w:t>
      </w:r>
    </w:p>
  </w:footnote>
  <w:footnote w:id="230">
    <w:p w:rsidR="00C62A14" w:rsidRPr="00EA7E45" w:rsidRDefault="00C62A14" w:rsidP="00D33237">
      <w:pPr>
        <w:pStyle w:val="a6"/>
      </w:pPr>
      <w:r>
        <w:rPr>
          <w:rStyle w:val="a8"/>
        </w:rPr>
        <w:footnoteRef/>
      </w:r>
      <w:r>
        <w:t xml:space="preserve"> </w:t>
      </w:r>
      <w:r>
        <w:rPr>
          <w:rStyle w:val="a5"/>
        </w:rPr>
        <w:t xml:space="preserve">SAP: </w:t>
      </w:r>
      <w:r>
        <w:rPr>
          <w:rStyle w:val="a5"/>
        </w:rPr>
        <w:t>The World’s Largest Provider of Enterprise Application Software</w:t>
      </w:r>
      <w:r>
        <w:t xml:space="preserve"> (corporate fact sheet). Available at: https://www.sap.com/documents/2017/04/4666ecdd-b67c-0010-82c7-eda71af511fa.html (Accessed: 5 October 2025).</w:t>
      </w:r>
    </w:p>
  </w:footnote>
  <w:footnote w:id="231">
    <w:p w:rsidR="00C62A14" w:rsidRPr="00421771" w:rsidRDefault="00C62A14" w:rsidP="00D33237">
      <w:pPr>
        <w:pStyle w:val="a6"/>
        <w:rPr>
          <w:rFonts w:cstheme="minorHAnsi"/>
          <w:rtl/>
          <w:lang w:val="en-US"/>
        </w:rPr>
      </w:pPr>
      <w:r w:rsidRPr="00421771">
        <w:rPr>
          <w:rStyle w:val="a8"/>
          <w:rFonts w:cstheme="minorHAnsi"/>
        </w:rPr>
        <w:footnoteRef/>
      </w:r>
      <w:r w:rsidRPr="00421771">
        <w:rPr>
          <w:rFonts w:cstheme="minorHAnsi"/>
        </w:rPr>
        <w:t xml:space="preserve"> </w:t>
      </w:r>
      <w:r w:rsidRPr="00DE059B">
        <w:rPr>
          <w:rStyle w:val="a4"/>
          <w:rFonts w:cstheme="minorHAnsi"/>
          <w:b w:val="0"/>
          <w:bCs w:val="0"/>
        </w:rPr>
        <w:t>Computerworld</w:t>
      </w:r>
      <w:r w:rsidRPr="00421771">
        <w:rPr>
          <w:rFonts w:cstheme="minorHAnsi"/>
        </w:rPr>
        <w:t xml:space="preserve"> </w:t>
      </w:r>
      <w:r w:rsidRPr="00421771">
        <w:rPr>
          <w:rFonts w:cstheme="minorHAnsi"/>
        </w:rPr>
        <w:t>(2007) ‘German army recruits SAP’, 25 January. Available at: https://www.computerworld.com/article/1679237/german-army-recruits-sap.html (Accessed: 5 October 2025).</w:t>
      </w:r>
      <w:r w:rsidRPr="00421771">
        <w:rPr>
          <w:rFonts w:cstheme="minorHAnsi"/>
          <w:lang w:val="en-US"/>
        </w:rPr>
        <w:t xml:space="preserve"> </w:t>
      </w:r>
      <w:r w:rsidRPr="00DE059B">
        <w:rPr>
          <w:rStyle w:val="a4"/>
          <w:rFonts w:cstheme="minorHAnsi"/>
          <w:b w:val="0"/>
          <w:bCs w:val="0"/>
        </w:rPr>
        <w:t>SAP</w:t>
      </w:r>
      <w:r w:rsidRPr="00421771">
        <w:rPr>
          <w:rFonts w:cstheme="minorHAnsi"/>
        </w:rPr>
        <w:t xml:space="preserve"> ‘Company information</w:t>
      </w:r>
      <w:r w:rsidRPr="00421771">
        <w:rPr>
          <w:rFonts w:cstheme="minorHAnsi"/>
          <w:rtl/>
        </w:rPr>
        <w:t>-</w:t>
      </w:r>
      <w:r w:rsidRPr="00421771">
        <w:rPr>
          <w:rFonts w:cstheme="minorHAnsi"/>
        </w:rPr>
        <w:t>History (1972 foundation; product evolution)’. Available at: https://www.sap.com/about/company/history.html (Accessed: 5 October 2025)</w:t>
      </w:r>
    </w:p>
  </w:footnote>
  <w:footnote w:id="232">
    <w:p w:rsidR="00C62A14" w:rsidRPr="00421771" w:rsidRDefault="00C62A14" w:rsidP="00D33237">
      <w:pPr>
        <w:pStyle w:val="a6"/>
        <w:rPr>
          <w:rFonts w:cstheme="minorHAnsi"/>
        </w:rPr>
      </w:pPr>
      <w:r w:rsidRPr="00421771">
        <w:rPr>
          <w:rStyle w:val="a8"/>
          <w:rFonts w:cstheme="minorHAnsi"/>
        </w:rPr>
        <w:footnoteRef/>
      </w:r>
      <w:r w:rsidRPr="00421771">
        <w:rPr>
          <w:rFonts w:cstheme="minorHAnsi"/>
        </w:rPr>
        <w:t xml:space="preserve"> </w:t>
      </w:r>
      <w:r w:rsidRPr="00DE059B">
        <w:rPr>
          <w:rStyle w:val="a4"/>
          <w:rFonts w:cstheme="minorHAnsi"/>
          <w:b w:val="0"/>
          <w:bCs w:val="0"/>
        </w:rPr>
        <w:t xml:space="preserve">Office </w:t>
      </w:r>
      <w:r w:rsidRPr="00DE059B">
        <w:rPr>
          <w:rStyle w:val="a4"/>
          <w:rFonts w:cstheme="minorHAnsi"/>
          <w:b w:val="0"/>
          <w:bCs w:val="0"/>
        </w:rPr>
        <w:t>of the Director, Operational Test and Evaluation (DoD)</w:t>
      </w:r>
      <w:r w:rsidRPr="00421771">
        <w:rPr>
          <w:rFonts w:cstheme="minorHAnsi"/>
        </w:rPr>
        <w:t xml:space="preserve"> (2013) </w:t>
      </w:r>
      <w:r w:rsidRPr="00421771">
        <w:rPr>
          <w:rStyle w:val="a5"/>
          <w:rFonts w:cstheme="minorHAnsi"/>
        </w:rPr>
        <w:t>Navy Enterprise Resource Planning (ERP), FY2013 Annual Report</w:t>
      </w:r>
      <w:r w:rsidRPr="00421771">
        <w:rPr>
          <w:rFonts w:cstheme="minorHAnsi"/>
        </w:rPr>
        <w:t>. Washington, DC: U.S. DoD. Available at: https://www.dote.osd.mil/Portals/97/pub/reports/FY2013/navy/2013nerp.pdf (Accessed: 5 October 2025)</w:t>
      </w:r>
    </w:p>
  </w:footnote>
  <w:footnote w:id="233">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DE059B">
        <w:rPr>
          <w:rStyle w:val="a4"/>
          <w:rFonts w:cstheme="minorHAnsi"/>
          <w:b w:val="0"/>
          <w:bCs w:val="0"/>
        </w:rPr>
        <w:t xml:space="preserve">European </w:t>
      </w:r>
      <w:r w:rsidRPr="00DE059B">
        <w:rPr>
          <w:rStyle w:val="a4"/>
          <w:rFonts w:cstheme="minorHAnsi"/>
          <w:b w:val="0"/>
          <w:bCs w:val="0"/>
        </w:rPr>
        <w:t>Security &amp; Technology (ESUT)</w:t>
      </w:r>
      <w:r w:rsidRPr="00421771">
        <w:rPr>
          <w:rFonts w:cstheme="minorHAnsi"/>
        </w:rPr>
        <w:t xml:space="preserve"> (2023) ‘Bundeswehr relies on S/4HANA as the key to innovation’, 27 July. Available at: https://esut.de/en/2023/07/fachbeitraege/42953/bundeswehr-setzt-auf-s-4hana-als-schluessel-fuer-innovationen/ (Accessed: 5 October 2025).</w:t>
      </w:r>
    </w:p>
  </w:footnote>
  <w:footnote w:id="234">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eastAsia="Times New Roman" w:cstheme="minorHAnsi"/>
        </w:rPr>
        <w:t xml:space="preserve">Reuters </w:t>
      </w:r>
      <w:r w:rsidRPr="00421771">
        <w:rPr>
          <w:rFonts w:eastAsia="Times New Roman" w:cstheme="minorHAnsi"/>
        </w:rPr>
        <w:t>(2022) ‘SAP winds down Russia activities further, ending cloud services’. 24 March. Accessed 21 October 2025.</w:t>
      </w:r>
    </w:p>
  </w:footnote>
  <w:footnote w:id="235">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DE059B">
        <w:rPr>
          <w:rStyle w:val="a4"/>
          <w:rFonts w:cstheme="minorHAnsi"/>
          <w:b w:val="0"/>
          <w:bCs w:val="0"/>
        </w:rPr>
        <w:t>Reuters</w:t>
      </w:r>
      <w:r w:rsidRPr="00DE059B">
        <w:rPr>
          <w:rFonts w:cstheme="minorHAnsi"/>
          <w:b/>
          <w:bCs/>
        </w:rPr>
        <w:t xml:space="preserve"> </w:t>
      </w:r>
      <w:r w:rsidRPr="00421771">
        <w:rPr>
          <w:rFonts w:cstheme="minorHAnsi"/>
        </w:rPr>
        <w:t>(2025) ‘Russian billionaire says replacement of SAP software is costly but essential’, 3 June. Available at: https://www.reuters.com/technology/russian-billionaire-says-replacement-sap-software-is-costly-essential-2025-06-03/ (Accessed: 5 October 2025)</w:t>
      </w:r>
      <w:r w:rsidRPr="00421771">
        <w:rPr>
          <w:rFonts w:cstheme="minorHAnsi"/>
          <w:lang w:val="en-US"/>
        </w:rPr>
        <w:t xml:space="preserve">; </w:t>
      </w:r>
      <w:r w:rsidRPr="00DE059B">
        <w:rPr>
          <w:rStyle w:val="a4"/>
          <w:rFonts w:cstheme="minorHAnsi"/>
          <w:b w:val="0"/>
          <w:bCs w:val="0"/>
        </w:rPr>
        <w:t>Reuters</w:t>
      </w:r>
      <w:r w:rsidRPr="00DE059B">
        <w:rPr>
          <w:rFonts w:cstheme="minorHAnsi"/>
          <w:b/>
          <w:bCs/>
        </w:rPr>
        <w:t xml:space="preserve"> </w:t>
      </w:r>
      <w:r w:rsidRPr="00421771">
        <w:rPr>
          <w:rFonts w:cstheme="minorHAnsi"/>
        </w:rPr>
        <w:t>(2024) ‘Billionaire urges Russian firms to build alternative to SAP software’, 21 May. Available at: https://www.reuters.com/technology/billionaire-urges-russian-firms-build-alternative-sap-software-2024-05-21/ (Accessed: 5 October 2025).</w:t>
      </w:r>
    </w:p>
  </w:footnote>
  <w:footnote w:id="236">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DE059B">
        <w:rPr>
          <w:rStyle w:val="a4"/>
          <w:rFonts w:cstheme="minorHAnsi"/>
          <w:b w:val="0"/>
          <w:bCs w:val="0"/>
        </w:rPr>
        <w:t xml:space="preserve">U.S. </w:t>
      </w:r>
      <w:r w:rsidRPr="00DE059B">
        <w:rPr>
          <w:rStyle w:val="a4"/>
          <w:rFonts w:cstheme="minorHAnsi"/>
          <w:b w:val="0"/>
          <w:bCs w:val="0"/>
        </w:rPr>
        <w:t>Army</w:t>
      </w:r>
      <w:r w:rsidRPr="00421771">
        <w:rPr>
          <w:rFonts w:cstheme="minorHAnsi"/>
        </w:rPr>
        <w:t xml:space="preserve"> (2010) ‘General Fund Enterprise Business System (GFEBS) is an ERP built on SAP’, </w:t>
      </w:r>
      <w:r w:rsidRPr="00421771">
        <w:rPr>
          <w:rStyle w:val="a5"/>
          <w:rFonts w:cstheme="minorHAnsi"/>
        </w:rPr>
        <w:t>Army.mil</w:t>
      </w:r>
      <w:r w:rsidRPr="00421771">
        <w:rPr>
          <w:rFonts w:cstheme="minorHAnsi"/>
        </w:rPr>
        <w:t>. Available at: https://www.army.mil/article/46682/general_fund_enterprise_business_system (Accessed: 5 October 2025).</w:t>
      </w:r>
    </w:p>
  </w:footnote>
  <w:footnote w:id="237">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Abbott, K.W. and Snidal, D. (2009) ‘The Governance Triangle: Regulatory Standards Institutions and the Shadow of the State’, in </w:t>
      </w:r>
      <w:proofErr w:type="spellStart"/>
      <w:r w:rsidRPr="00421771">
        <w:rPr>
          <w:rFonts w:asciiTheme="minorHAnsi" w:hAnsiTheme="minorHAnsi" w:cstheme="minorHAnsi"/>
          <w:sz w:val="20"/>
          <w:szCs w:val="20"/>
        </w:rPr>
        <w:t>Mattli</w:t>
      </w:r>
      <w:proofErr w:type="spellEnd"/>
      <w:r w:rsidRPr="00421771">
        <w:rPr>
          <w:rFonts w:asciiTheme="minorHAnsi" w:hAnsiTheme="minorHAnsi" w:cstheme="minorHAnsi"/>
          <w:sz w:val="20"/>
          <w:szCs w:val="20"/>
        </w:rPr>
        <w:t>, W. and Woods, N. (</w:t>
      </w:r>
      <w:proofErr w:type="spellStart"/>
      <w:r w:rsidRPr="00421771">
        <w:rPr>
          <w:rFonts w:asciiTheme="minorHAnsi" w:hAnsiTheme="minorHAnsi" w:cstheme="minorHAnsi"/>
          <w:sz w:val="20"/>
          <w:szCs w:val="20"/>
        </w:rPr>
        <w:t>eds</w:t>
      </w:r>
      <w:proofErr w:type="spellEnd"/>
      <w:r w:rsidRPr="00421771">
        <w:rPr>
          <w:rFonts w:asciiTheme="minorHAnsi" w:hAnsiTheme="minorHAnsi" w:cstheme="minorHAnsi"/>
          <w:sz w:val="20"/>
          <w:szCs w:val="20"/>
        </w:rPr>
        <w:t xml:space="preserve">) </w:t>
      </w:r>
      <w:r w:rsidRPr="00421771">
        <w:rPr>
          <w:rFonts w:asciiTheme="minorHAnsi" w:hAnsiTheme="minorHAnsi" w:cstheme="minorHAnsi"/>
          <w:i/>
          <w:iCs/>
          <w:sz w:val="20"/>
          <w:szCs w:val="20"/>
        </w:rPr>
        <w:t>The Politics of Global Regulation</w:t>
      </w:r>
      <w:r w:rsidRPr="00421771">
        <w:rPr>
          <w:rFonts w:asciiTheme="minorHAnsi" w:hAnsiTheme="minorHAnsi" w:cstheme="minorHAnsi"/>
          <w:sz w:val="20"/>
          <w:szCs w:val="20"/>
        </w:rPr>
        <w:t>.</w:t>
      </w:r>
      <w:r w:rsidRPr="00F6293A">
        <w:rPr>
          <w:rFonts w:asciiTheme="majorBidi" w:hAnsiTheme="majorBidi" w:cstheme="majorBidi"/>
          <w:sz w:val="20"/>
          <w:szCs w:val="20"/>
        </w:rPr>
        <w:t xml:space="preserve"> </w:t>
      </w:r>
      <w:r w:rsidRPr="00421771">
        <w:rPr>
          <w:rFonts w:asciiTheme="minorHAnsi" w:hAnsiTheme="minorHAnsi" w:cstheme="minorHAnsi"/>
          <w:sz w:val="20"/>
          <w:szCs w:val="20"/>
        </w:rPr>
        <w:t>Princeton, NJ: Princeton University Press, pp. 44</w:t>
      </w:r>
      <w:r>
        <w:rPr>
          <w:rFonts w:asciiTheme="minorHAnsi" w:hAnsiTheme="minorHAnsi" w:cstheme="minorHAnsi" w:hint="cs"/>
          <w:sz w:val="20"/>
          <w:szCs w:val="20"/>
          <w:rtl/>
        </w:rPr>
        <w:t>-</w:t>
      </w:r>
      <w:r w:rsidRPr="00421771">
        <w:rPr>
          <w:rFonts w:asciiTheme="minorHAnsi" w:hAnsiTheme="minorHAnsi" w:cstheme="minorHAnsi"/>
          <w:sz w:val="20"/>
          <w:szCs w:val="20"/>
        </w:rPr>
        <w:t>88.</w:t>
      </w:r>
      <w:r w:rsidRPr="00421771">
        <w:rPr>
          <w:rFonts w:asciiTheme="minorHAnsi" w:hAnsiTheme="minorHAnsi" w:cstheme="minorHAnsi"/>
          <w:sz w:val="20"/>
          <w:szCs w:val="20"/>
          <w:rtl/>
        </w:rPr>
        <w:t xml:space="preserve"> </w:t>
      </w:r>
      <w:proofErr w:type="spellStart"/>
      <w:r w:rsidRPr="00421771">
        <w:rPr>
          <w:rFonts w:asciiTheme="minorHAnsi" w:hAnsiTheme="minorHAnsi" w:cstheme="minorHAnsi"/>
          <w:sz w:val="20"/>
          <w:szCs w:val="20"/>
        </w:rPr>
        <w:t>Büthe</w:t>
      </w:r>
      <w:proofErr w:type="spellEnd"/>
      <w:r w:rsidRPr="00421771">
        <w:rPr>
          <w:rFonts w:asciiTheme="minorHAnsi" w:hAnsiTheme="minorHAnsi" w:cstheme="minorHAnsi"/>
          <w:sz w:val="20"/>
          <w:szCs w:val="20"/>
        </w:rPr>
        <w:t xml:space="preserve">, T. and </w:t>
      </w:r>
      <w:proofErr w:type="spellStart"/>
      <w:r w:rsidRPr="00421771">
        <w:rPr>
          <w:rFonts w:asciiTheme="minorHAnsi" w:hAnsiTheme="minorHAnsi" w:cstheme="minorHAnsi"/>
          <w:sz w:val="20"/>
          <w:szCs w:val="20"/>
        </w:rPr>
        <w:t>Mattli</w:t>
      </w:r>
      <w:proofErr w:type="spellEnd"/>
      <w:r w:rsidRPr="00421771">
        <w:rPr>
          <w:rFonts w:asciiTheme="minorHAnsi" w:hAnsiTheme="minorHAnsi" w:cstheme="minorHAnsi"/>
          <w:sz w:val="20"/>
          <w:szCs w:val="20"/>
        </w:rPr>
        <w:t xml:space="preserve">, W. (2011) </w:t>
      </w:r>
      <w:r w:rsidRPr="00421771">
        <w:rPr>
          <w:rFonts w:asciiTheme="minorHAnsi" w:hAnsiTheme="minorHAnsi" w:cstheme="minorHAnsi"/>
          <w:i/>
          <w:iCs/>
          <w:sz w:val="20"/>
          <w:szCs w:val="20"/>
        </w:rPr>
        <w:t>The New Global Rulers: The Privatization of Regulation in the World Economy</w:t>
      </w:r>
      <w:r w:rsidRPr="00421771">
        <w:rPr>
          <w:rFonts w:asciiTheme="minorHAnsi" w:hAnsiTheme="minorHAnsi" w:cstheme="minorHAnsi"/>
          <w:sz w:val="20"/>
          <w:szCs w:val="20"/>
        </w:rPr>
        <w:t>. Princeton, NJ: Princeton University Press.</w:t>
      </w:r>
    </w:p>
  </w:footnote>
  <w:footnote w:id="238">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Bradford, A. (2020) </w:t>
      </w:r>
      <w:r w:rsidRPr="00421771">
        <w:rPr>
          <w:rFonts w:asciiTheme="minorHAnsi" w:hAnsiTheme="minorHAnsi" w:cstheme="minorHAnsi"/>
          <w:i/>
          <w:iCs/>
          <w:sz w:val="20"/>
          <w:szCs w:val="20"/>
        </w:rPr>
        <w:t>The Brussels Effect: How the European Union Rules the World</w:t>
      </w:r>
      <w:r w:rsidRPr="00421771">
        <w:rPr>
          <w:rFonts w:asciiTheme="minorHAnsi" w:hAnsiTheme="minorHAnsi" w:cstheme="minorHAnsi"/>
          <w:sz w:val="20"/>
          <w:szCs w:val="20"/>
        </w:rPr>
        <w:t>. Oxford: Oxford University Press.</w:t>
      </w:r>
    </w:p>
  </w:footnote>
  <w:footnote w:id="239">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w:t>
      </w:r>
      <w:proofErr w:type="spellStart"/>
      <w:r w:rsidRPr="00421771">
        <w:rPr>
          <w:rFonts w:asciiTheme="minorHAnsi" w:hAnsiTheme="minorHAnsi" w:cstheme="minorHAnsi"/>
          <w:sz w:val="20"/>
          <w:szCs w:val="20"/>
        </w:rPr>
        <w:t>Gawer</w:t>
      </w:r>
      <w:proofErr w:type="spellEnd"/>
      <w:r w:rsidRPr="00421771">
        <w:rPr>
          <w:rFonts w:asciiTheme="minorHAnsi" w:hAnsiTheme="minorHAnsi" w:cstheme="minorHAnsi"/>
          <w:sz w:val="20"/>
          <w:szCs w:val="20"/>
        </w:rPr>
        <w:t xml:space="preserve">, A. (2014) ‘Bridging differing perspectives on technological platforms: Toward an integrative framework’, </w:t>
      </w:r>
      <w:r w:rsidRPr="00421771">
        <w:rPr>
          <w:rFonts w:asciiTheme="minorHAnsi" w:hAnsiTheme="minorHAnsi" w:cstheme="minorHAnsi"/>
          <w:i/>
          <w:iCs/>
          <w:sz w:val="20"/>
          <w:szCs w:val="20"/>
        </w:rPr>
        <w:t>Research Policy</w:t>
      </w:r>
      <w:r w:rsidRPr="00421771">
        <w:rPr>
          <w:rFonts w:asciiTheme="minorHAnsi" w:hAnsiTheme="minorHAnsi" w:cstheme="minorHAnsi"/>
          <w:sz w:val="20"/>
          <w:szCs w:val="20"/>
        </w:rPr>
        <w:t>, 43(7</w:t>
      </w:r>
      <w:r>
        <w:rPr>
          <w:rFonts w:asciiTheme="minorHAnsi" w:hAnsiTheme="minorHAnsi" w:cstheme="minorHAnsi" w:hint="cs"/>
          <w:sz w:val="20"/>
          <w:szCs w:val="20"/>
          <w:rtl/>
        </w:rPr>
        <w:t>-</w:t>
      </w:r>
      <w:r w:rsidRPr="00421771">
        <w:rPr>
          <w:rFonts w:asciiTheme="minorHAnsi" w:hAnsiTheme="minorHAnsi" w:cstheme="minorHAnsi"/>
          <w:sz w:val="20"/>
          <w:szCs w:val="20"/>
        </w:rPr>
        <w:t>8), pp. 1239</w:t>
      </w:r>
      <w:r>
        <w:rPr>
          <w:rFonts w:asciiTheme="minorHAnsi" w:hAnsiTheme="minorHAnsi" w:cstheme="minorHAnsi" w:hint="cs"/>
          <w:sz w:val="20"/>
          <w:szCs w:val="20"/>
          <w:rtl/>
        </w:rPr>
        <w:t>-</w:t>
      </w:r>
      <w:r w:rsidRPr="00421771">
        <w:rPr>
          <w:rFonts w:asciiTheme="minorHAnsi" w:hAnsiTheme="minorHAnsi" w:cstheme="minorHAnsi"/>
          <w:sz w:val="20"/>
          <w:szCs w:val="20"/>
        </w:rPr>
        <w:t>1249. https://doi.org/10.1016/j.respol.2014.03.006</w:t>
      </w:r>
    </w:p>
  </w:footnote>
  <w:footnote w:id="240">
    <w:p w:rsidR="00C62A14" w:rsidRPr="00421771" w:rsidRDefault="00C62A14" w:rsidP="00D33237">
      <w:pPr>
        <w:pStyle w:val="a6"/>
        <w:rPr>
          <w:rFonts w:cstheme="minorHAnsi"/>
          <w:rtl/>
          <w:lang w:val="en-US"/>
        </w:rPr>
      </w:pPr>
      <w:r w:rsidRPr="00421771">
        <w:rPr>
          <w:rStyle w:val="a8"/>
          <w:rFonts w:cstheme="minorHAnsi"/>
        </w:rPr>
        <w:footnoteRef/>
      </w:r>
      <w:r w:rsidRPr="00421771">
        <w:rPr>
          <w:rFonts w:cstheme="minorHAnsi"/>
        </w:rPr>
        <w:t xml:space="preserve"> </w:t>
      </w:r>
      <w:r w:rsidRPr="00421771">
        <w:rPr>
          <w:rFonts w:cstheme="minorHAnsi"/>
        </w:rPr>
        <w:t>D’Adderio, L. (2003) ‘Configuring software, reconfiguring memories: The influence of integrated systems on the reproduction of knowledge and routines’, Organization Science, 14(2), pp. 321</w:t>
      </w:r>
      <w:r w:rsidRPr="00421771">
        <w:rPr>
          <w:rFonts w:cstheme="minorHAnsi"/>
          <w:lang w:val="en-US"/>
        </w:rPr>
        <w:t>-</w:t>
      </w:r>
      <w:r w:rsidRPr="00421771">
        <w:rPr>
          <w:rFonts w:cstheme="minorHAnsi"/>
        </w:rPr>
        <w:t>341</w:t>
      </w:r>
      <w:r w:rsidRPr="00421771">
        <w:rPr>
          <w:rFonts w:cstheme="minorHAnsi"/>
          <w:lang w:val="en-US"/>
        </w:rPr>
        <w:t xml:space="preserve">. </w:t>
      </w:r>
      <w:r w:rsidRPr="00421771">
        <w:rPr>
          <w:rFonts w:cstheme="minorHAnsi"/>
        </w:rPr>
        <w:t>Gawer, A. (2014) ‘Bridging differing perspectives on technological platforms: Toward an integrative framework’, Research Policy, 43(7</w:t>
      </w:r>
      <w:r w:rsidRPr="00421771">
        <w:rPr>
          <w:rFonts w:cstheme="minorHAnsi"/>
          <w:lang w:val="en-US"/>
        </w:rPr>
        <w:t>-</w:t>
      </w:r>
      <w:r w:rsidRPr="00421771">
        <w:rPr>
          <w:rFonts w:cstheme="minorHAnsi"/>
        </w:rPr>
        <w:t>8), pp. 1239</w:t>
      </w:r>
      <w:r w:rsidRPr="00421771">
        <w:rPr>
          <w:rFonts w:cstheme="minorHAnsi"/>
          <w:lang w:val="en-US"/>
        </w:rPr>
        <w:t>-</w:t>
      </w:r>
      <w:r w:rsidRPr="00421771">
        <w:rPr>
          <w:rFonts w:cstheme="minorHAnsi"/>
        </w:rPr>
        <w:t>1249</w:t>
      </w:r>
    </w:p>
  </w:footnote>
  <w:footnote w:id="241">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Pollock, </w:t>
      </w:r>
      <w:r w:rsidRPr="00421771">
        <w:rPr>
          <w:rFonts w:cstheme="minorHAnsi"/>
        </w:rPr>
        <w:t>N. and Williams, R. (2009) Software and Organisations: The Biography of the Enterprise</w:t>
      </w:r>
      <w:r w:rsidRPr="00421771">
        <w:rPr>
          <w:rFonts w:cstheme="minorHAnsi"/>
        </w:rPr>
        <w:noBreakHyphen/>
        <w:t>Wide System or How SAP Conquered the World. London: Routledge</w:t>
      </w:r>
    </w:p>
  </w:footnote>
  <w:footnote w:id="242">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Rasche, </w:t>
      </w:r>
      <w:r w:rsidRPr="00421771">
        <w:rPr>
          <w:rFonts w:cstheme="minorHAnsi"/>
        </w:rPr>
        <w:t>A. (2009) ‘“A necessary supplement”: What the United Nations Global Compact is and is not’, Business and Society, 48(4), pp. 511</w:t>
      </w:r>
      <w:r w:rsidRPr="00421771">
        <w:rPr>
          <w:rFonts w:cstheme="minorHAnsi"/>
          <w:lang w:val="en-US"/>
        </w:rPr>
        <w:t>-</w:t>
      </w:r>
      <w:r w:rsidRPr="00421771">
        <w:rPr>
          <w:rFonts w:cstheme="minorHAnsi"/>
        </w:rPr>
        <w:t>537.</w:t>
      </w:r>
    </w:p>
  </w:footnote>
  <w:footnote w:id="243">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Schembera, </w:t>
      </w:r>
      <w:r w:rsidRPr="00421771">
        <w:rPr>
          <w:rFonts w:cstheme="minorHAnsi"/>
        </w:rPr>
        <w:t>S. (2018) ‘Implementing corporate social responsibility: Empirical insights on the impact of the UN Global Compact’, Business and Society, 57(5), pp. 783</w:t>
      </w:r>
      <w:r>
        <w:rPr>
          <w:rFonts w:cstheme="minorHAnsi" w:hint="cs"/>
          <w:rtl/>
        </w:rPr>
        <w:t>-</w:t>
      </w:r>
      <w:r w:rsidRPr="00421771">
        <w:rPr>
          <w:rFonts w:cstheme="minorHAnsi"/>
        </w:rPr>
        <w:t>825</w:t>
      </w:r>
    </w:p>
  </w:footnote>
  <w:footnote w:id="244">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421771">
        <w:rPr>
          <w:rFonts w:cstheme="minorHAnsi"/>
        </w:rPr>
        <w:t xml:space="preserve">Davenport, </w:t>
      </w:r>
      <w:r w:rsidRPr="00421771">
        <w:rPr>
          <w:rFonts w:cstheme="minorHAnsi"/>
        </w:rPr>
        <w:t>T.H. (1998) ‘Putting the enterprise into the enterprise system’, Harvard Business Review, 76(4), pp. 121</w:t>
      </w:r>
      <w:r w:rsidRPr="00421771">
        <w:rPr>
          <w:rFonts w:cstheme="minorHAnsi"/>
          <w:lang w:val="en-US"/>
        </w:rPr>
        <w:t>-</w:t>
      </w:r>
      <w:r w:rsidRPr="00421771">
        <w:rPr>
          <w:rFonts w:cstheme="minorHAnsi"/>
        </w:rPr>
        <w:t>131</w:t>
      </w:r>
      <w:r w:rsidRPr="00421771">
        <w:rPr>
          <w:rFonts w:cstheme="minorHAnsi"/>
          <w:lang w:val="en-US"/>
        </w:rPr>
        <w:t xml:space="preserve">. </w:t>
      </w:r>
      <w:r w:rsidRPr="00421771">
        <w:rPr>
          <w:rFonts w:cstheme="minorHAnsi"/>
        </w:rPr>
        <w:t>Pollock, N. and Williams, R. (2009) Software and Organisations: The Biography of the Enterprise</w:t>
      </w:r>
      <w:r w:rsidRPr="00421771">
        <w:rPr>
          <w:rFonts w:cstheme="minorHAnsi"/>
        </w:rPr>
        <w:noBreakHyphen/>
        <w:t>Wide System or How SAP Conquered the World. London: Routledge</w:t>
      </w:r>
      <w:r w:rsidRPr="00421771">
        <w:rPr>
          <w:rFonts w:cstheme="minorHAnsi"/>
          <w:lang w:val="en-US"/>
        </w:rPr>
        <w:t>.</w:t>
      </w:r>
    </w:p>
  </w:footnote>
  <w:footnote w:id="245">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421771">
        <w:rPr>
          <w:rFonts w:cstheme="minorHAnsi"/>
        </w:rPr>
        <w:t>Lessig, L. (1999) Code and Other Laws of Cyberspace. New York: Basic Books</w:t>
      </w:r>
      <w:r w:rsidRPr="00421771">
        <w:rPr>
          <w:rFonts w:cstheme="minorHAnsi"/>
          <w:lang w:val="en-US"/>
        </w:rPr>
        <w:t>.</w:t>
      </w:r>
    </w:p>
  </w:footnote>
  <w:footnote w:id="246">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421771">
        <w:rPr>
          <w:rFonts w:cstheme="minorHAnsi"/>
        </w:rPr>
        <w:t>DeNardis, L. (2014) The Global War for Internet Governance. New Haven, CT: Yale University Press</w:t>
      </w:r>
      <w:r w:rsidRPr="00421771">
        <w:rPr>
          <w:rFonts w:cstheme="minorHAnsi"/>
          <w:lang w:val="en-US"/>
        </w:rPr>
        <w:t>.</w:t>
      </w:r>
      <w:r w:rsidRPr="00421771">
        <w:rPr>
          <w:rFonts w:cstheme="minorHAnsi"/>
        </w:rPr>
        <w:t xml:space="preserve"> Leonardi, P.M. (2011) ‘When flexible routines meet flexible technologies: Affordance, constraint, and the imbrication of human and material agencies’, Organization Science, 22(2), pp. 400</w:t>
      </w:r>
      <w:r w:rsidRPr="00421771">
        <w:rPr>
          <w:rFonts w:cstheme="minorHAnsi"/>
          <w:lang w:val="en-US"/>
        </w:rPr>
        <w:t>-</w:t>
      </w:r>
      <w:r w:rsidRPr="00421771">
        <w:rPr>
          <w:rFonts w:cstheme="minorHAnsi"/>
        </w:rPr>
        <w:t>417</w:t>
      </w:r>
    </w:p>
  </w:footnote>
  <w:footnote w:id="247">
    <w:p w:rsidR="00C62A14" w:rsidRPr="00421771" w:rsidRDefault="00C62A14" w:rsidP="00D33237">
      <w:pPr>
        <w:pStyle w:val="NormalWeb"/>
        <w:rPr>
          <w:rFonts w:asciiTheme="minorHAnsi" w:hAnsiTheme="minorHAnsi" w:cstheme="minorHAnsi"/>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w:t>
      </w:r>
      <w:proofErr w:type="spellStart"/>
      <w:r w:rsidRPr="00421771">
        <w:rPr>
          <w:rFonts w:asciiTheme="minorHAnsi" w:hAnsiTheme="minorHAnsi" w:cstheme="minorHAnsi"/>
          <w:sz w:val="20"/>
          <w:szCs w:val="20"/>
        </w:rPr>
        <w:t>Pohle</w:t>
      </w:r>
      <w:proofErr w:type="spellEnd"/>
      <w:r w:rsidRPr="00421771">
        <w:rPr>
          <w:rFonts w:asciiTheme="minorHAnsi" w:hAnsiTheme="minorHAnsi" w:cstheme="minorHAnsi"/>
          <w:sz w:val="20"/>
          <w:szCs w:val="20"/>
        </w:rPr>
        <w:t xml:space="preserve">, J. and Thiel, T. (2020) ‘Digital sovereignty’, </w:t>
      </w:r>
      <w:r w:rsidRPr="00421771">
        <w:rPr>
          <w:rFonts w:asciiTheme="minorHAnsi" w:hAnsiTheme="minorHAnsi" w:cstheme="minorHAnsi"/>
          <w:i/>
          <w:iCs/>
          <w:sz w:val="20"/>
          <w:szCs w:val="20"/>
        </w:rPr>
        <w:t>Internet Policy Review</w:t>
      </w:r>
      <w:r w:rsidRPr="00421771">
        <w:rPr>
          <w:rFonts w:asciiTheme="minorHAnsi" w:hAnsiTheme="minorHAnsi" w:cstheme="minorHAnsi"/>
          <w:sz w:val="20"/>
          <w:szCs w:val="20"/>
        </w:rPr>
        <w:t>, 9(4), pp. 1-20. https://doi.org/10.14763/2020.4.153</w:t>
      </w:r>
      <w:r w:rsidRPr="00421771">
        <w:rPr>
          <w:rFonts w:asciiTheme="minorHAnsi" w:hAnsiTheme="minorHAnsi" w:cstheme="minorHAnsi"/>
          <w:sz w:val="20"/>
          <w:szCs w:val="20"/>
          <w:rtl/>
        </w:rPr>
        <w:t>2</w:t>
      </w:r>
    </w:p>
  </w:footnote>
  <w:footnote w:id="248">
    <w:p w:rsidR="00C62A14" w:rsidRPr="00421771" w:rsidRDefault="00C62A14" w:rsidP="00D33237">
      <w:pPr>
        <w:pStyle w:val="a6"/>
        <w:rPr>
          <w:rFonts w:cstheme="minorHAnsi"/>
        </w:rPr>
      </w:pPr>
      <w:r w:rsidRPr="00421771">
        <w:rPr>
          <w:rStyle w:val="a8"/>
          <w:rFonts w:cstheme="minorHAnsi"/>
        </w:rPr>
        <w:footnoteRef/>
      </w:r>
      <w:r w:rsidRPr="00421771">
        <w:rPr>
          <w:rFonts w:cstheme="minorHAnsi"/>
        </w:rPr>
        <w:t xml:space="preserve"> </w:t>
      </w:r>
      <w:r w:rsidRPr="00421771">
        <w:rPr>
          <w:rFonts w:cstheme="minorHAnsi"/>
        </w:rPr>
        <w:t>Pohle, J. and Thiel, T. (2020) ‘Digital sovereignty’, Internet Policy Review, 9(4), pp. 1</w:t>
      </w:r>
      <w:r w:rsidRPr="00421771">
        <w:rPr>
          <w:rFonts w:cstheme="minorHAnsi"/>
          <w:lang w:val="en-US"/>
        </w:rPr>
        <w:t>-</w:t>
      </w:r>
      <w:r w:rsidRPr="00421771">
        <w:rPr>
          <w:rFonts w:cstheme="minorHAnsi"/>
        </w:rPr>
        <w:t>20</w:t>
      </w:r>
    </w:p>
  </w:footnote>
  <w:footnote w:id="249">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Pollock, N. and Williams, R. (2009) </w:t>
      </w:r>
      <w:r w:rsidRPr="00421771">
        <w:rPr>
          <w:rFonts w:asciiTheme="minorHAnsi" w:hAnsiTheme="minorHAnsi" w:cstheme="minorHAnsi"/>
          <w:i/>
          <w:iCs/>
          <w:sz w:val="20"/>
          <w:szCs w:val="20"/>
        </w:rPr>
        <w:t xml:space="preserve">Software and </w:t>
      </w:r>
      <w:proofErr w:type="spellStart"/>
      <w:r w:rsidRPr="00421771">
        <w:rPr>
          <w:rFonts w:asciiTheme="minorHAnsi" w:hAnsiTheme="minorHAnsi" w:cstheme="minorHAnsi"/>
          <w:i/>
          <w:iCs/>
          <w:sz w:val="20"/>
          <w:szCs w:val="20"/>
        </w:rPr>
        <w:t>Organisations</w:t>
      </w:r>
      <w:proofErr w:type="spellEnd"/>
      <w:r w:rsidRPr="00421771">
        <w:rPr>
          <w:rFonts w:asciiTheme="minorHAnsi" w:hAnsiTheme="minorHAnsi" w:cstheme="minorHAnsi"/>
          <w:i/>
          <w:iCs/>
          <w:sz w:val="20"/>
          <w:szCs w:val="20"/>
        </w:rPr>
        <w:t>: The Biography of the Enterprise</w:t>
      </w:r>
      <w:r w:rsidRPr="00421771">
        <w:rPr>
          <w:rFonts w:asciiTheme="minorHAnsi" w:hAnsiTheme="minorHAnsi" w:cstheme="minorHAnsi"/>
          <w:i/>
          <w:iCs/>
          <w:sz w:val="20"/>
          <w:szCs w:val="20"/>
        </w:rPr>
        <w:noBreakHyphen/>
        <w:t>Wide System or How SAP Conquered the World</w:t>
      </w:r>
      <w:r w:rsidRPr="00421771">
        <w:rPr>
          <w:rFonts w:asciiTheme="minorHAnsi" w:hAnsiTheme="minorHAnsi" w:cstheme="minorHAnsi"/>
          <w:sz w:val="20"/>
          <w:szCs w:val="20"/>
        </w:rPr>
        <w:t xml:space="preserve">. London: Routledge. Abbott, K.W. and Snidal, D. (2009) ‘The Governance Triangle: Regulatory Standards Institutions and the Shadow of the State’, in </w:t>
      </w:r>
      <w:proofErr w:type="spellStart"/>
      <w:r w:rsidRPr="00421771">
        <w:rPr>
          <w:rFonts w:asciiTheme="minorHAnsi" w:hAnsiTheme="minorHAnsi" w:cstheme="minorHAnsi"/>
          <w:sz w:val="20"/>
          <w:szCs w:val="20"/>
        </w:rPr>
        <w:t>Mattli</w:t>
      </w:r>
      <w:proofErr w:type="spellEnd"/>
      <w:r w:rsidRPr="00421771">
        <w:rPr>
          <w:rFonts w:asciiTheme="minorHAnsi" w:hAnsiTheme="minorHAnsi" w:cstheme="minorHAnsi"/>
          <w:sz w:val="20"/>
          <w:szCs w:val="20"/>
        </w:rPr>
        <w:t>, W. and Woods, N. (</w:t>
      </w:r>
      <w:proofErr w:type="spellStart"/>
      <w:r w:rsidRPr="00421771">
        <w:rPr>
          <w:rFonts w:asciiTheme="minorHAnsi" w:hAnsiTheme="minorHAnsi" w:cstheme="minorHAnsi"/>
          <w:sz w:val="20"/>
          <w:szCs w:val="20"/>
        </w:rPr>
        <w:t>eds</w:t>
      </w:r>
      <w:proofErr w:type="spellEnd"/>
      <w:r w:rsidRPr="00421771">
        <w:rPr>
          <w:rFonts w:asciiTheme="minorHAnsi" w:hAnsiTheme="minorHAnsi" w:cstheme="minorHAnsi"/>
          <w:sz w:val="20"/>
          <w:szCs w:val="20"/>
        </w:rPr>
        <w:t>) The Politics of Global Regulation. Princeton, NJ: Princeton University Press, pp. 44-88</w:t>
      </w:r>
    </w:p>
  </w:footnote>
  <w:footnote w:id="250">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Abbott, K.W. and Snidal, D. (2009) ‘The governance triangle: regulatory standards institutions and the shadow of the state’, in </w:t>
      </w:r>
      <w:proofErr w:type="spellStart"/>
      <w:r w:rsidRPr="00421771">
        <w:rPr>
          <w:rFonts w:asciiTheme="minorHAnsi" w:hAnsiTheme="minorHAnsi" w:cstheme="minorHAnsi"/>
          <w:sz w:val="20"/>
          <w:szCs w:val="20"/>
        </w:rPr>
        <w:t>Mattli</w:t>
      </w:r>
      <w:proofErr w:type="spellEnd"/>
      <w:r w:rsidRPr="00421771">
        <w:rPr>
          <w:rFonts w:asciiTheme="minorHAnsi" w:hAnsiTheme="minorHAnsi" w:cstheme="minorHAnsi"/>
          <w:sz w:val="20"/>
          <w:szCs w:val="20"/>
        </w:rPr>
        <w:t>, W. and Woods, N. (</w:t>
      </w:r>
      <w:proofErr w:type="spellStart"/>
      <w:r w:rsidRPr="00421771">
        <w:rPr>
          <w:rFonts w:asciiTheme="minorHAnsi" w:hAnsiTheme="minorHAnsi" w:cstheme="minorHAnsi"/>
          <w:sz w:val="20"/>
          <w:szCs w:val="20"/>
        </w:rPr>
        <w:t>eds</w:t>
      </w:r>
      <w:proofErr w:type="spellEnd"/>
      <w:r w:rsidRPr="00421771">
        <w:rPr>
          <w:rFonts w:asciiTheme="minorHAnsi" w:hAnsiTheme="minorHAnsi" w:cstheme="minorHAnsi"/>
          <w:sz w:val="20"/>
          <w:szCs w:val="20"/>
        </w:rPr>
        <w:t xml:space="preserve">) </w:t>
      </w:r>
      <w:r w:rsidRPr="00421771">
        <w:rPr>
          <w:rStyle w:val="a5"/>
          <w:rFonts w:asciiTheme="minorHAnsi" w:eastAsiaTheme="majorEastAsia" w:hAnsiTheme="minorHAnsi" w:cstheme="minorHAnsi"/>
          <w:sz w:val="20"/>
          <w:szCs w:val="20"/>
        </w:rPr>
        <w:t>The Politics of Global Regulation</w:t>
      </w:r>
      <w:r w:rsidRPr="00421771">
        <w:rPr>
          <w:rFonts w:asciiTheme="minorHAnsi" w:hAnsiTheme="minorHAnsi" w:cstheme="minorHAnsi"/>
          <w:sz w:val="20"/>
          <w:szCs w:val="20"/>
        </w:rPr>
        <w:t>. Princeton, NJ: Princeton University Press, pp. 44-88.</w:t>
      </w:r>
    </w:p>
  </w:footnote>
  <w:footnote w:id="251">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rPr>
        <w:t xml:space="preserve"> </w:t>
      </w:r>
      <w:proofErr w:type="spellStart"/>
      <w:r w:rsidRPr="00421771">
        <w:rPr>
          <w:rFonts w:asciiTheme="minorHAnsi" w:hAnsiTheme="minorHAnsi" w:cstheme="minorHAnsi"/>
          <w:sz w:val="20"/>
          <w:szCs w:val="20"/>
        </w:rPr>
        <w:t>Civitas</w:t>
      </w:r>
      <w:proofErr w:type="spellEnd"/>
      <w:r w:rsidRPr="00421771">
        <w:rPr>
          <w:rFonts w:asciiTheme="minorHAnsi" w:hAnsiTheme="minorHAnsi" w:cstheme="minorHAnsi"/>
          <w:sz w:val="20"/>
          <w:szCs w:val="20"/>
        </w:rPr>
        <w:t xml:space="preserve"> (2022) </w:t>
      </w:r>
      <w:r w:rsidRPr="00421771">
        <w:rPr>
          <w:rStyle w:val="a5"/>
          <w:rFonts w:asciiTheme="minorHAnsi" w:eastAsiaTheme="majorEastAsia" w:hAnsiTheme="minorHAnsi" w:cstheme="minorHAnsi"/>
          <w:sz w:val="20"/>
          <w:szCs w:val="20"/>
        </w:rPr>
        <w:t>Trade Champions: The role of trade missions in supporting future exports</w:t>
      </w:r>
      <w:r w:rsidRPr="00421771">
        <w:rPr>
          <w:rFonts w:asciiTheme="minorHAnsi" w:hAnsiTheme="minorHAnsi" w:cstheme="minorHAnsi"/>
          <w:sz w:val="20"/>
          <w:szCs w:val="20"/>
        </w:rPr>
        <w:t xml:space="preserve">. London: </w:t>
      </w:r>
      <w:proofErr w:type="spellStart"/>
      <w:r w:rsidRPr="00421771">
        <w:rPr>
          <w:rFonts w:asciiTheme="minorHAnsi" w:hAnsiTheme="minorHAnsi" w:cstheme="minorHAnsi"/>
          <w:sz w:val="20"/>
          <w:szCs w:val="20"/>
        </w:rPr>
        <w:t>Civitas</w:t>
      </w:r>
      <w:proofErr w:type="spellEnd"/>
      <w:r w:rsidRPr="00421771">
        <w:rPr>
          <w:rFonts w:asciiTheme="minorHAnsi" w:hAnsiTheme="minorHAnsi" w:cstheme="minorHAnsi"/>
          <w:sz w:val="20"/>
          <w:szCs w:val="20"/>
        </w:rPr>
        <w:t>. (Accessed 5 October 2025).</w:t>
      </w:r>
    </w:p>
  </w:footnote>
  <w:footnote w:id="252">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DE059B">
        <w:rPr>
          <w:rStyle w:val="a4"/>
          <w:rFonts w:cstheme="minorHAnsi"/>
          <w:b w:val="0"/>
          <w:bCs w:val="0"/>
        </w:rPr>
        <w:t>BMWi/BMWK (Federal Ministry for Economic Affairs and Climate Action, Germany)</w:t>
      </w:r>
      <w:r w:rsidRPr="00421771">
        <w:rPr>
          <w:rFonts w:cstheme="minorHAnsi"/>
        </w:rPr>
        <w:t xml:space="preserve"> (n.d.) ‘GAIA</w:t>
      </w:r>
      <w:r w:rsidRPr="00421771">
        <w:rPr>
          <w:rFonts w:cstheme="minorHAnsi"/>
        </w:rPr>
        <w:noBreakHyphen/>
        <w:t>X The ecosystem dossier / GAIA</w:t>
      </w:r>
      <w:r w:rsidRPr="00421771">
        <w:rPr>
          <w:rFonts w:cstheme="minorHAnsi"/>
        </w:rPr>
        <w:noBreakHyphen/>
        <w:t>X project materials’. Berlin: BMWK. [Accessed 5 October 2025].</w:t>
      </w:r>
    </w:p>
  </w:footnote>
  <w:footnote w:id="253">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The Economist (Klein, C.) (2025) ‘The boss of SAP on Europe’s botched approach to digital sovereignty’, </w:t>
      </w:r>
      <w:r w:rsidRPr="00421771">
        <w:rPr>
          <w:rFonts w:asciiTheme="minorHAnsi" w:hAnsiTheme="minorHAnsi" w:cstheme="minorHAnsi"/>
          <w:i/>
          <w:iCs/>
          <w:sz w:val="20"/>
          <w:szCs w:val="20"/>
        </w:rPr>
        <w:t>By</w:t>
      </w:r>
      <w:r w:rsidRPr="00421771">
        <w:rPr>
          <w:rFonts w:asciiTheme="minorHAnsi" w:hAnsiTheme="minorHAnsi" w:cstheme="minorHAnsi"/>
          <w:i/>
          <w:iCs/>
          <w:sz w:val="20"/>
          <w:szCs w:val="20"/>
        </w:rPr>
        <w:noBreakHyphen/>
        <w:t>Invitation</w:t>
      </w:r>
      <w:r w:rsidRPr="00421771">
        <w:rPr>
          <w:rFonts w:asciiTheme="minorHAnsi" w:hAnsiTheme="minorHAnsi" w:cstheme="minorHAnsi"/>
          <w:sz w:val="20"/>
          <w:szCs w:val="20"/>
        </w:rPr>
        <w:t xml:space="preserve">, 25 </w:t>
      </w:r>
      <w:proofErr w:type="spellStart"/>
      <w:r w:rsidRPr="00421771">
        <w:rPr>
          <w:rFonts w:asciiTheme="minorHAnsi" w:hAnsiTheme="minorHAnsi" w:cstheme="minorHAnsi"/>
          <w:sz w:val="20"/>
          <w:szCs w:val="20"/>
        </w:rPr>
        <w:t>Augustcyt</w:t>
      </w:r>
      <w:proofErr w:type="spellEnd"/>
      <w:r w:rsidRPr="00421771">
        <w:rPr>
          <w:rFonts w:asciiTheme="minorHAnsi" w:hAnsiTheme="minorHAnsi" w:cstheme="minorHAnsi"/>
          <w:sz w:val="20"/>
          <w:szCs w:val="20"/>
        </w:rPr>
        <w:t>. London: The Economist. (Accessed 5 October 2025).</w:t>
      </w:r>
    </w:p>
  </w:footnote>
  <w:footnote w:id="254">
    <w:p w:rsidR="00C62A14" w:rsidRPr="00421771" w:rsidRDefault="00C62A14" w:rsidP="00D33237">
      <w:pPr>
        <w:pStyle w:val="NormalWeb"/>
        <w:rPr>
          <w:rFonts w:asciiTheme="minorHAnsi" w:hAnsiTheme="minorHAnsi" w:cstheme="minorHAnsi"/>
          <w:sz w:val="20"/>
          <w:szCs w:val="20"/>
          <w:rtl/>
        </w:rPr>
      </w:pPr>
      <w:r w:rsidRPr="00421771">
        <w:rPr>
          <w:rStyle w:val="a8"/>
          <w:rFonts w:asciiTheme="minorHAnsi" w:hAnsiTheme="minorHAnsi" w:cstheme="minorHAnsi"/>
        </w:rPr>
        <w:footnoteRef/>
      </w:r>
      <w:r w:rsidRPr="00421771">
        <w:rPr>
          <w:rFonts w:asciiTheme="minorHAnsi" w:hAnsiTheme="minorHAnsi" w:cstheme="minorHAnsi"/>
          <w:sz w:val="20"/>
          <w:szCs w:val="20"/>
        </w:rPr>
        <w:t xml:space="preserve"> </w:t>
      </w:r>
      <w:proofErr w:type="spellStart"/>
      <w:r w:rsidRPr="00421771">
        <w:rPr>
          <w:rFonts w:asciiTheme="minorHAnsi" w:hAnsiTheme="minorHAnsi" w:cstheme="minorHAnsi"/>
          <w:sz w:val="20"/>
          <w:szCs w:val="20"/>
        </w:rPr>
        <w:t>Houlihan</w:t>
      </w:r>
      <w:proofErr w:type="spellEnd"/>
      <w:r w:rsidRPr="00421771">
        <w:rPr>
          <w:rFonts w:asciiTheme="minorHAnsi" w:hAnsiTheme="minorHAnsi" w:cstheme="minorHAnsi"/>
          <w:sz w:val="20"/>
          <w:szCs w:val="20"/>
        </w:rPr>
        <w:t xml:space="preserve"> </w:t>
      </w:r>
      <w:proofErr w:type="spellStart"/>
      <w:r w:rsidRPr="00421771">
        <w:rPr>
          <w:rFonts w:asciiTheme="minorHAnsi" w:hAnsiTheme="minorHAnsi" w:cstheme="minorHAnsi"/>
          <w:sz w:val="20"/>
          <w:szCs w:val="20"/>
        </w:rPr>
        <w:t>Lokey</w:t>
      </w:r>
      <w:proofErr w:type="spellEnd"/>
      <w:r w:rsidRPr="00421771">
        <w:rPr>
          <w:rFonts w:asciiTheme="minorHAnsi" w:hAnsiTheme="minorHAnsi" w:cstheme="minorHAnsi"/>
          <w:sz w:val="20"/>
          <w:szCs w:val="20"/>
        </w:rPr>
        <w:t xml:space="preserve"> (2024) </w:t>
      </w:r>
      <w:r w:rsidRPr="00421771">
        <w:rPr>
          <w:rStyle w:val="a5"/>
          <w:rFonts w:asciiTheme="minorHAnsi" w:eastAsiaTheme="majorEastAsia" w:hAnsiTheme="minorHAnsi" w:cstheme="minorHAnsi"/>
          <w:sz w:val="20"/>
          <w:szCs w:val="20"/>
        </w:rPr>
        <w:t>SAP Industry Overview</w:t>
      </w:r>
      <w:r w:rsidRPr="00421771">
        <w:rPr>
          <w:rStyle w:val="a5"/>
          <w:rFonts w:asciiTheme="minorHAnsi" w:eastAsiaTheme="majorEastAsia" w:hAnsiTheme="minorHAnsi" w:cstheme="minorHAnsi"/>
          <w:sz w:val="20"/>
          <w:szCs w:val="20"/>
          <w:rtl/>
        </w:rPr>
        <w:t>-</w:t>
      </w:r>
      <w:r w:rsidRPr="00421771">
        <w:rPr>
          <w:rStyle w:val="a5"/>
          <w:rFonts w:asciiTheme="minorHAnsi" w:eastAsiaTheme="majorEastAsia" w:hAnsiTheme="minorHAnsi" w:cstheme="minorHAnsi"/>
          <w:sz w:val="20"/>
          <w:szCs w:val="20"/>
        </w:rPr>
        <w:t>October 2024</w:t>
      </w:r>
      <w:r w:rsidRPr="00421771">
        <w:rPr>
          <w:rFonts w:asciiTheme="minorHAnsi" w:hAnsiTheme="minorHAnsi" w:cstheme="minorHAnsi"/>
          <w:sz w:val="20"/>
          <w:szCs w:val="20"/>
        </w:rPr>
        <w:t xml:space="preserve">. Los Angeles: </w:t>
      </w:r>
      <w:proofErr w:type="spellStart"/>
      <w:r w:rsidRPr="00421771">
        <w:rPr>
          <w:rFonts w:asciiTheme="minorHAnsi" w:hAnsiTheme="minorHAnsi" w:cstheme="minorHAnsi"/>
          <w:sz w:val="20"/>
          <w:szCs w:val="20"/>
        </w:rPr>
        <w:t>Houlihan</w:t>
      </w:r>
      <w:proofErr w:type="spellEnd"/>
      <w:r w:rsidRPr="00421771">
        <w:rPr>
          <w:rFonts w:asciiTheme="minorHAnsi" w:hAnsiTheme="minorHAnsi" w:cstheme="minorHAnsi"/>
          <w:sz w:val="20"/>
          <w:szCs w:val="20"/>
        </w:rPr>
        <w:t xml:space="preserve"> </w:t>
      </w:r>
      <w:proofErr w:type="spellStart"/>
      <w:r w:rsidRPr="00421771">
        <w:rPr>
          <w:rFonts w:asciiTheme="minorHAnsi" w:hAnsiTheme="minorHAnsi" w:cstheme="minorHAnsi"/>
          <w:sz w:val="20"/>
          <w:szCs w:val="20"/>
        </w:rPr>
        <w:t>Lokey</w:t>
      </w:r>
      <w:proofErr w:type="spellEnd"/>
      <w:r w:rsidRPr="00421771">
        <w:rPr>
          <w:rFonts w:asciiTheme="minorHAnsi" w:hAnsiTheme="minorHAnsi" w:cstheme="minorHAnsi"/>
          <w:sz w:val="20"/>
          <w:szCs w:val="20"/>
        </w:rPr>
        <w:t>. (Accessed 5 October 2025).</w:t>
      </w:r>
    </w:p>
  </w:footnote>
  <w:footnote w:id="255">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DE059B">
        <w:rPr>
          <w:rStyle w:val="a4"/>
          <w:rFonts w:cstheme="minorHAnsi"/>
          <w:b w:val="0"/>
          <w:bCs w:val="0"/>
        </w:rPr>
        <w:t>SAP SE (2017)</w:t>
      </w:r>
      <w:r w:rsidRPr="00421771">
        <w:rPr>
          <w:rFonts w:cstheme="minorHAnsi"/>
        </w:rPr>
        <w:t xml:space="preserve"> ‘SAP Provides Update on Ongoing Investigation into Its South Africa Business’, </w:t>
      </w:r>
      <w:r w:rsidRPr="00421771">
        <w:rPr>
          <w:rStyle w:val="a5"/>
          <w:rFonts w:cstheme="minorHAnsi"/>
        </w:rPr>
        <w:t>PR Newswire</w:t>
      </w:r>
      <w:r w:rsidRPr="00421771">
        <w:rPr>
          <w:rFonts w:cstheme="minorHAnsi"/>
        </w:rPr>
        <w:t>, 26 October. Available at: https://www.prnewswire.com/news-releases/sap-provides-update-on-ongoing-investigation-into-its-south-africa-business-300543754.html (Accessed: 5 October 2025)</w:t>
      </w:r>
      <w:r w:rsidRPr="00421771">
        <w:rPr>
          <w:rFonts w:cstheme="minorHAnsi"/>
          <w:lang w:val="en-US"/>
        </w:rPr>
        <w:t xml:space="preserve">; </w:t>
      </w:r>
      <w:r w:rsidRPr="00DE059B">
        <w:rPr>
          <w:rStyle w:val="a4"/>
          <w:rFonts w:cstheme="minorHAnsi"/>
          <w:b w:val="0"/>
          <w:bCs w:val="0"/>
        </w:rPr>
        <w:t>Brock, J. (2018)</w:t>
      </w:r>
      <w:r w:rsidRPr="00421771">
        <w:rPr>
          <w:rFonts w:cstheme="minorHAnsi"/>
        </w:rPr>
        <w:t xml:space="preserve"> ‘Germany’s SAP admits misconduct in South Africa Gupta deals’, </w:t>
      </w:r>
      <w:r w:rsidRPr="00421771">
        <w:rPr>
          <w:rStyle w:val="a5"/>
          <w:rFonts w:cstheme="minorHAnsi"/>
        </w:rPr>
        <w:t>Reuters</w:t>
      </w:r>
      <w:r w:rsidRPr="00421771">
        <w:rPr>
          <w:rFonts w:cstheme="minorHAnsi"/>
        </w:rPr>
        <w:t>, 8 March. Available at: https://www.reuters.com/world/germanys-sap-admits-misconduct-in-south-africa-gupta-deals-idUSKCN1GK1AI/ (Accessed: 5 October 2025)</w:t>
      </w:r>
      <w:r w:rsidRPr="00421771">
        <w:rPr>
          <w:rFonts w:cstheme="minorHAnsi"/>
          <w:lang w:val="en-US"/>
        </w:rPr>
        <w:t xml:space="preserve">; </w:t>
      </w:r>
      <w:r w:rsidRPr="00DE059B">
        <w:rPr>
          <w:rStyle w:val="a4"/>
          <w:rFonts w:cstheme="minorHAnsi"/>
          <w:b w:val="0"/>
          <w:bCs w:val="0"/>
        </w:rPr>
        <w:t>Special Investigating Unit (South Africa) (2024)</w:t>
      </w:r>
      <w:r w:rsidRPr="00421771">
        <w:rPr>
          <w:rFonts w:cstheme="minorHAnsi"/>
        </w:rPr>
        <w:t xml:space="preserve"> ‘SAP ordered to pay back R500 million earned from invalid Eskom contracts’, 20 March. Available at: </w:t>
      </w:r>
      <w:r>
        <w:fldChar w:fldCharType="begin"/>
      </w:r>
      <w:r>
        <w:instrText xml:space="preserve"> HYPERLINK "https://www.siu.org.za/sap-ordered-to-pay-back-r500-million-earned-from-invalid-eskom-contracts/?utm_source=chatgpt.com" \t "_new" </w:instrText>
      </w:r>
      <w:r>
        <w:fldChar w:fldCharType="separate"/>
      </w:r>
      <w:r w:rsidRPr="00421771">
        <w:rPr>
          <w:rStyle w:val="Hyperlink"/>
          <w:rFonts w:cstheme="minorHAnsi"/>
        </w:rPr>
        <w:t>https://www.siu.org.za/sap-ordered-to-pay-back-r500-million-earned-from-invalid-eskom-contracts/</w:t>
      </w:r>
      <w:r>
        <w:rPr>
          <w:rStyle w:val="Hyperlink"/>
          <w:rFonts w:cstheme="minorHAnsi"/>
        </w:rPr>
        <w:fldChar w:fldCharType="end"/>
      </w:r>
      <w:r w:rsidRPr="00421771">
        <w:rPr>
          <w:rFonts w:cstheme="minorHAnsi"/>
        </w:rPr>
        <w:t xml:space="preserve"> (Accessed: 5 October 2025).</w:t>
      </w:r>
    </w:p>
  </w:footnote>
  <w:footnote w:id="256">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421771">
        <w:rPr>
          <w:rFonts w:cstheme="minorHAnsi"/>
        </w:rPr>
        <w:t xml:space="preserve">Arnold </w:t>
      </w:r>
      <w:r w:rsidRPr="00421771">
        <w:rPr>
          <w:rFonts w:cstheme="minorHAnsi"/>
        </w:rPr>
        <w:t>&amp; Porter (2021) ‘Sanctions</w:t>
      </w:r>
      <w:r w:rsidRPr="00421771">
        <w:rPr>
          <w:rFonts w:cstheme="minorHAnsi"/>
        </w:rPr>
        <w:noBreakHyphen/>
        <w:t>as</w:t>
      </w:r>
      <w:r w:rsidRPr="00421771">
        <w:rPr>
          <w:rFonts w:cstheme="minorHAnsi"/>
        </w:rPr>
        <w:noBreakHyphen/>
        <w:t>a</w:t>
      </w:r>
      <w:r w:rsidRPr="00421771">
        <w:rPr>
          <w:rFonts w:cstheme="minorHAnsi"/>
        </w:rPr>
        <w:noBreakHyphen/>
        <w:t>Service: U.S. Regulators Escalate Sanctions Enforcement’, Client Advisory, 7 May. Available at: arnoldporter.com</w:t>
      </w:r>
      <w:r w:rsidRPr="00421771">
        <w:rPr>
          <w:rFonts w:cstheme="minorHAnsi"/>
          <w:rtl/>
          <w:lang w:val="en-US"/>
        </w:rPr>
        <w:t>;</w:t>
      </w:r>
      <w:r w:rsidRPr="00421771">
        <w:rPr>
          <w:rFonts w:cstheme="minorHAnsi"/>
          <w:lang w:val="en-US"/>
        </w:rPr>
        <w:t xml:space="preserve"> </w:t>
      </w:r>
      <w:r w:rsidRPr="00421771">
        <w:rPr>
          <w:rFonts w:cstheme="minorHAnsi"/>
        </w:rPr>
        <w:t>Dechert (2021) ‘U.S. Government Targets Foreign Cloud and Software Service Providers for Sanctions and Export Control Violations’, OnPoint, 4 May. Available at: dechert.com (Accessed: 5 October 2025).</w:t>
      </w:r>
    </w:p>
    <w:p w:rsidR="00C62A14" w:rsidRPr="00421771" w:rsidRDefault="00C62A14" w:rsidP="00D33237">
      <w:pPr>
        <w:pStyle w:val="a6"/>
        <w:rPr>
          <w:rFonts w:cstheme="minorHAnsi"/>
        </w:rPr>
      </w:pPr>
    </w:p>
  </w:footnote>
  <w:footnote w:id="257">
    <w:p w:rsidR="00C62A14" w:rsidRPr="00421771" w:rsidRDefault="00C62A14" w:rsidP="00D33237">
      <w:pPr>
        <w:pStyle w:val="a6"/>
        <w:rPr>
          <w:rFonts w:cstheme="minorHAnsi"/>
          <w:lang w:val="en-US"/>
        </w:rPr>
      </w:pPr>
      <w:r w:rsidRPr="00421771">
        <w:rPr>
          <w:rStyle w:val="a8"/>
          <w:rFonts w:cstheme="minorHAnsi"/>
        </w:rPr>
        <w:footnoteRef/>
      </w:r>
      <w:r w:rsidRPr="00421771">
        <w:rPr>
          <w:rFonts w:cstheme="minorHAnsi"/>
        </w:rPr>
        <w:t xml:space="preserve"> </w:t>
      </w:r>
      <w:r w:rsidRPr="00DE059B">
        <w:rPr>
          <w:rStyle w:val="a4"/>
          <w:rFonts w:cstheme="minorHAnsi"/>
          <w:b w:val="0"/>
          <w:bCs w:val="0"/>
        </w:rPr>
        <w:t xml:space="preserve">U.S. </w:t>
      </w:r>
      <w:r w:rsidRPr="00DE059B">
        <w:rPr>
          <w:rStyle w:val="a4"/>
          <w:rFonts w:cstheme="minorHAnsi"/>
          <w:b w:val="0"/>
          <w:bCs w:val="0"/>
        </w:rPr>
        <w:t>Department of Justice, Office of Public Affairs (2024)</w:t>
      </w:r>
      <w:r w:rsidRPr="00DE059B">
        <w:rPr>
          <w:rFonts w:cstheme="minorHAnsi"/>
          <w:b/>
          <w:bCs/>
        </w:rPr>
        <w:t xml:space="preserve"> ‘</w:t>
      </w:r>
      <w:r w:rsidRPr="00421771">
        <w:rPr>
          <w:rFonts w:cstheme="minorHAnsi"/>
        </w:rPr>
        <w:t xml:space="preserve">SAP to Pay Over $220M to Resolve Foreign Bribery Investigations’, 10 January. Available at: </w:t>
      </w:r>
      <w:r>
        <w:fldChar w:fldCharType="begin"/>
      </w:r>
      <w:r>
        <w:instrText xml:space="preserve"> HYPERLINK "https://www.justice.gov/archives/opa/pr/sap-pay-over-220m-resolve-foreign-bribery-investigations?utm_source=chatgpt.com" \t "_new" </w:instrText>
      </w:r>
      <w:r>
        <w:fldChar w:fldCharType="separate"/>
      </w:r>
      <w:r w:rsidRPr="00421771">
        <w:rPr>
          <w:rStyle w:val="Hyperlink"/>
          <w:rFonts w:cstheme="minorHAnsi"/>
        </w:rPr>
        <w:t>https://www.justice.gov/archives/opa/pr/sap-pay-over-220m-resolve-foreign-bribery-investigations</w:t>
      </w:r>
      <w:r>
        <w:rPr>
          <w:rStyle w:val="Hyperlink"/>
          <w:rFonts w:cstheme="minorHAnsi"/>
        </w:rPr>
        <w:fldChar w:fldCharType="end"/>
      </w:r>
      <w:r w:rsidRPr="00421771">
        <w:rPr>
          <w:rFonts w:cstheme="minorHAnsi"/>
        </w:rPr>
        <w:t xml:space="preserve"> (Accessed: 5 October 2025)</w:t>
      </w:r>
      <w:r w:rsidRPr="00421771">
        <w:rPr>
          <w:rFonts w:cstheme="minorHAnsi"/>
          <w:lang w:val="en-US"/>
        </w:rPr>
        <w:t xml:space="preserve">. </w:t>
      </w:r>
      <w:r w:rsidRPr="00DE059B">
        <w:rPr>
          <w:rStyle w:val="a4"/>
          <w:rFonts w:cstheme="minorHAnsi"/>
          <w:b w:val="0"/>
          <w:bCs w:val="0"/>
        </w:rPr>
        <w:t>U.S. Securities and Exchange Commission (2024a)</w:t>
      </w:r>
      <w:r w:rsidRPr="00421771">
        <w:rPr>
          <w:rFonts w:cstheme="minorHAnsi"/>
        </w:rPr>
        <w:t xml:space="preserve"> ‘SEC Charges Global Software Company SAP for FCPA Violations’, </w:t>
      </w:r>
      <w:r w:rsidRPr="00421771">
        <w:rPr>
          <w:rStyle w:val="a5"/>
          <w:rFonts w:cstheme="minorHAnsi"/>
        </w:rPr>
        <w:t>Press Release</w:t>
      </w:r>
      <w:r w:rsidRPr="00421771">
        <w:rPr>
          <w:rFonts w:cstheme="minorHAnsi"/>
        </w:rPr>
        <w:t xml:space="preserve"> No. 2024</w:t>
      </w:r>
      <w:r w:rsidRPr="00421771">
        <w:rPr>
          <w:rFonts w:cstheme="minorHAnsi"/>
        </w:rPr>
        <w:noBreakHyphen/>
        <w:t xml:space="preserve">4, 10 January. Available at: </w:t>
      </w:r>
      <w:r>
        <w:fldChar w:fldCharType="begin"/>
      </w:r>
      <w:r>
        <w:instrText xml:space="preserve"> HYPERLINK "https://www.sec.gov/newsroom/press-releases/2024-4?utm_source=chatgpt.com" \t "_new" </w:instrText>
      </w:r>
      <w:r>
        <w:fldChar w:fldCharType="separate"/>
      </w:r>
      <w:r w:rsidRPr="00421771">
        <w:rPr>
          <w:rStyle w:val="Hyperlink"/>
          <w:rFonts w:cstheme="minorHAnsi"/>
        </w:rPr>
        <w:t>https://www.sec.gov/newsroom/press-releases/2024-4</w:t>
      </w:r>
      <w:r>
        <w:rPr>
          <w:rStyle w:val="Hyperlink"/>
          <w:rFonts w:cstheme="minorHAnsi"/>
        </w:rPr>
        <w:fldChar w:fldCharType="end"/>
      </w:r>
      <w:r w:rsidRPr="00421771">
        <w:rPr>
          <w:rFonts w:cstheme="minorHAnsi"/>
        </w:rPr>
        <w:t xml:space="preserve"> (Accessed: 5 October 2025).</w:t>
      </w:r>
    </w:p>
    <w:p w:rsidR="00C62A14" w:rsidRPr="00421771" w:rsidRDefault="00C62A14" w:rsidP="00D33237">
      <w:pPr>
        <w:pStyle w:val="a6"/>
        <w:rPr>
          <w:rFonts w:cstheme="minorHAnsi"/>
          <w:lang w:val="en-US"/>
        </w:rPr>
      </w:pPr>
    </w:p>
  </w:footnote>
  <w:footnote w:id="258">
    <w:p w:rsidR="00C62A14" w:rsidRPr="00421771" w:rsidRDefault="00C62A14" w:rsidP="00D33237">
      <w:pPr>
        <w:pStyle w:val="a6"/>
        <w:rPr>
          <w:rFonts w:cstheme="minorHAnsi"/>
        </w:rPr>
      </w:pPr>
      <w:r w:rsidRPr="00421771">
        <w:rPr>
          <w:rStyle w:val="a8"/>
          <w:rFonts w:cstheme="minorHAnsi"/>
        </w:rPr>
        <w:footnoteRef/>
      </w:r>
      <w:r w:rsidRPr="00421771">
        <w:rPr>
          <w:rFonts w:cstheme="minorHAnsi"/>
        </w:rPr>
        <w:t xml:space="preserve"> </w:t>
      </w:r>
      <w:r w:rsidRPr="00421771">
        <w:rPr>
          <w:rFonts w:cstheme="minorHAnsi"/>
        </w:rPr>
        <w:t xml:space="preserve">Reuters </w:t>
      </w:r>
      <w:r w:rsidRPr="00421771">
        <w:rPr>
          <w:rFonts w:cstheme="minorHAnsi"/>
        </w:rPr>
        <w:t>(2021) ‘Software company SAP to pay $8 mln to resolve case involving exports to Iran’, 29 April (updated 28 May). Washington, DC: Reuters.</w:t>
      </w:r>
    </w:p>
  </w:footnote>
  <w:footnote w:id="259">
    <w:p w:rsidR="00C62A14" w:rsidRPr="00AA6CD3" w:rsidRDefault="00C62A14" w:rsidP="00D33237">
      <w:pPr>
        <w:pStyle w:val="a6"/>
        <w:rPr>
          <w:lang w:val="en-US"/>
        </w:rPr>
      </w:pPr>
      <w:r>
        <w:rPr>
          <w:rStyle w:val="a8"/>
        </w:rPr>
        <w:footnoteRef/>
      </w:r>
      <w:r>
        <w:t xml:space="preserve"> </w:t>
      </w:r>
      <w:r>
        <w:rPr>
          <w:rFonts w:hint="cs"/>
        </w:rPr>
        <w:t>R</w:t>
      </w:r>
      <w:r>
        <w:t xml:space="preserve">euters </w:t>
      </w:r>
      <w:r>
        <w:t>(2021) ‘Ten takeaways from SAP’s recent export controls and economic sanctions settlement’, 14 June. Available at: reuters.com</w:t>
      </w:r>
    </w:p>
  </w:footnote>
  <w:footnote w:id="260">
    <w:p w:rsidR="00C62A14" w:rsidRDefault="00C62A14" w:rsidP="00D33237">
      <w:pPr>
        <w:pStyle w:val="a6"/>
        <w:rPr>
          <w:rtl/>
        </w:rPr>
      </w:pPr>
      <w:r>
        <w:rPr>
          <w:rStyle w:val="a8"/>
        </w:rPr>
        <w:footnoteRef/>
      </w:r>
      <w:r>
        <w:t xml:space="preserve"> </w:t>
      </w:r>
      <w:r>
        <w:t xml:space="preserve">Reuters </w:t>
      </w:r>
      <w:r>
        <w:t>(2021) ‘Software company SAP to pay $8 mln to resolve case involving exports to Iran’, 29 April (updated 28 May). Washington, DC: Reuters.</w:t>
      </w:r>
    </w:p>
  </w:footnote>
  <w:footnote w:id="261">
    <w:p w:rsidR="00C62A14" w:rsidRDefault="00C62A14" w:rsidP="00D33237">
      <w:pPr>
        <w:pStyle w:val="a6"/>
        <w:rPr>
          <w:rtl/>
        </w:rPr>
      </w:pPr>
      <w:r>
        <w:rPr>
          <w:rStyle w:val="a8"/>
        </w:rPr>
        <w:footnoteRef/>
      </w:r>
      <w:r>
        <w:t xml:space="preserve"> </w:t>
      </w:r>
      <w:r>
        <w:t xml:space="preserve">Reuters </w:t>
      </w:r>
      <w:r>
        <w:t>(2020) ‘U.S. judge rejects Huawei challenge to federal law restricting its business’, 18 February. Washington, DC: Reuters.</w:t>
      </w:r>
    </w:p>
  </w:footnote>
  <w:footnote w:id="262">
    <w:p w:rsidR="00C62A14" w:rsidRDefault="00C62A14" w:rsidP="00D33237">
      <w:pPr>
        <w:pStyle w:val="a6"/>
        <w:rPr>
          <w:rtl/>
        </w:rPr>
      </w:pPr>
      <w:r>
        <w:rPr>
          <w:rStyle w:val="a8"/>
        </w:rPr>
        <w:footnoteRef/>
      </w:r>
      <w:r>
        <w:t xml:space="preserve"> </w:t>
      </w:r>
      <w:r>
        <w:t>Gaia</w:t>
      </w:r>
      <w:r>
        <w:noBreakHyphen/>
        <w:t xml:space="preserve">X </w:t>
      </w:r>
      <w:r>
        <w:t>AISBL (2025) ‘Members directory (listing SAP as Founding Member)’. Brussels: Gaia</w:t>
      </w:r>
      <w:r>
        <w:noBreakHyphen/>
        <w:t>X Association for Data and Cloud.</w:t>
      </w:r>
    </w:p>
  </w:footnote>
  <w:footnote w:id="263">
    <w:p w:rsidR="00C62A14" w:rsidRDefault="00C62A14" w:rsidP="00D33237">
      <w:pPr>
        <w:pStyle w:val="a6"/>
        <w:rPr>
          <w:rtl/>
        </w:rPr>
      </w:pPr>
      <w:r>
        <w:rPr>
          <w:rStyle w:val="a8"/>
        </w:rPr>
        <w:footnoteRef/>
      </w:r>
      <w:r>
        <w:t xml:space="preserve"> </w:t>
      </w:r>
      <w:r w:rsidRPr="00DE059B">
        <w:rPr>
          <w:rStyle w:val="a4"/>
          <w:rFonts w:cstheme="minorHAnsi"/>
          <w:b w:val="0"/>
          <w:bCs w:val="0"/>
        </w:rPr>
        <w:t xml:space="preserve">Business </w:t>
      </w:r>
      <w:r w:rsidRPr="00DE059B">
        <w:rPr>
          <w:rStyle w:val="a4"/>
          <w:rFonts w:cstheme="minorHAnsi"/>
          <w:b w:val="0"/>
          <w:bCs w:val="0"/>
        </w:rPr>
        <w:t>&amp; Finance / Banking Info Security</w:t>
      </w:r>
      <w:r w:rsidRPr="00A50C8E">
        <w:rPr>
          <w:rFonts w:cstheme="minorHAnsi"/>
        </w:rPr>
        <w:t xml:space="preserve"> (2025) ‘The slow march to SAP S/4HANA’, 2 April. Available at: </w:t>
      </w:r>
      <w:r>
        <w:fldChar w:fldCharType="begin"/>
      </w:r>
      <w:r>
        <w:instrText xml:space="preserve"> HYPERLINK "https://www.bankinfosecurity.com/slow-march-to-sap-s4hana-a-27900" </w:instrText>
      </w:r>
      <w:r>
        <w:fldChar w:fldCharType="separate"/>
      </w:r>
      <w:r w:rsidRPr="00A50C8E">
        <w:rPr>
          <w:rStyle w:val="Hyperlink"/>
          <w:rFonts w:cstheme="minorHAnsi"/>
        </w:rPr>
        <w:t>https://www.bankinfosecurity.com/slow-march-to-sap-s4hana-a-27900</w:t>
      </w:r>
      <w:r>
        <w:rPr>
          <w:rStyle w:val="Hyperlink"/>
          <w:rFonts w:cstheme="minorHAnsi"/>
        </w:rPr>
        <w:fldChar w:fldCharType="end"/>
      </w:r>
      <w:r w:rsidRPr="00A50C8E">
        <w:rPr>
          <w:rFonts w:cstheme="minorHAnsi"/>
        </w:rPr>
        <w:t xml:space="preserve"> (Accessed: 21 October 2025). (</w:t>
      </w:r>
      <w:r>
        <w:fldChar w:fldCharType="begin"/>
      </w:r>
      <w:r>
        <w:instrText xml:space="preserve"> HYPERLINK "https://www.bankinfosecurity.com/slow-march-to-sap-s4hana-a-27900?utm_source=chatgpt.com" \o "The Slow March to SAP S/4HANA" </w:instrText>
      </w:r>
      <w:r>
        <w:fldChar w:fldCharType="separate"/>
      </w:r>
      <w:r w:rsidRPr="00A50C8E">
        <w:rPr>
          <w:rStyle w:val="Hyperlink"/>
          <w:rFonts w:cstheme="minorHAnsi"/>
        </w:rPr>
        <w:t>BankInfoSecurity</w:t>
      </w:r>
      <w:r>
        <w:rPr>
          <w:rStyle w:val="Hyperlink"/>
          <w:rFonts w:cstheme="minorHAnsi"/>
        </w:rPr>
        <w:fldChar w:fldCharType="end"/>
      </w:r>
      <w:r w:rsidRPr="00A50C8E">
        <w:rPr>
          <w:rFonts w:cstheme="minorHAnsi"/>
        </w:rPr>
        <w:t>)</w:t>
      </w:r>
    </w:p>
  </w:footnote>
  <w:footnote w:id="264">
    <w:p w:rsidR="00C62A14" w:rsidRDefault="00C62A14" w:rsidP="00D33237">
      <w:pPr>
        <w:pStyle w:val="a6"/>
        <w:rPr>
          <w:rtl/>
        </w:rPr>
      </w:pPr>
      <w:r>
        <w:rPr>
          <w:rStyle w:val="a8"/>
        </w:rPr>
        <w:footnoteRef/>
      </w:r>
      <w:r>
        <w:t xml:space="preserve"> </w:t>
      </w:r>
      <w:r w:rsidRPr="00DE059B">
        <w:rPr>
          <w:rStyle w:val="a4"/>
          <w:rFonts w:cstheme="minorHAnsi"/>
          <w:b w:val="0"/>
          <w:bCs w:val="0"/>
        </w:rPr>
        <w:t>Computing</w:t>
      </w:r>
      <w:r w:rsidRPr="00DE059B">
        <w:rPr>
          <w:rFonts w:cstheme="minorHAnsi"/>
          <w:b/>
          <w:bCs/>
        </w:rPr>
        <w:t xml:space="preserve"> </w:t>
      </w:r>
      <w:r w:rsidRPr="00A50C8E">
        <w:rPr>
          <w:rFonts w:cstheme="minorHAnsi"/>
        </w:rPr>
        <w:t>(2023) ‘SAP customers “feel misled” by cloud</w:t>
      </w:r>
      <w:r w:rsidRPr="00A50C8E">
        <w:rPr>
          <w:rFonts w:cstheme="minorHAnsi"/>
        </w:rPr>
        <w:noBreakHyphen/>
        <w:t xml:space="preserve">first push’, 29 November. Available at: </w:t>
      </w:r>
      <w:r>
        <w:fldChar w:fldCharType="begin"/>
      </w:r>
      <w:r>
        <w:instrText xml:space="preserve"> HYPERLINK "https://www.computing.co.uk/analysis/4151284/sap-customers-feel-misled-cloud-push" </w:instrText>
      </w:r>
      <w:r>
        <w:fldChar w:fldCharType="separate"/>
      </w:r>
      <w:r w:rsidRPr="00A50C8E">
        <w:rPr>
          <w:rStyle w:val="Hyperlink"/>
          <w:rFonts w:cstheme="minorHAnsi"/>
        </w:rPr>
        <w:t>https://www.computing.co.uk/analysis/4151284/sap-customers-feel-misled-cloud-push</w:t>
      </w:r>
      <w:r>
        <w:rPr>
          <w:rStyle w:val="Hyperlink"/>
          <w:rFonts w:cstheme="minorHAnsi"/>
        </w:rPr>
        <w:fldChar w:fldCharType="end"/>
      </w:r>
      <w:r w:rsidRPr="00A50C8E">
        <w:rPr>
          <w:rFonts w:cstheme="minorHAnsi"/>
        </w:rPr>
        <w:t xml:space="preserve"> (Accessed: 21 October 2025).</w:t>
      </w:r>
    </w:p>
  </w:footnote>
  <w:footnote w:id="265">
    <w:p w:rsidR="00C62A14" w:rsidRDefault="00C62A14" w:rsidP="00D33237">
      <w:pPr>
        <w:pStyle w:val="a6"/>
        <w:rPr>
          <w:rtl/>
        </w:rPr>
      </w:pPr>
      <w:r>
        <w:rPr>
          <w:rStyle w:val="a8"/>
        </w:rPr>
        <w:footnoteRef/>
      </w:r>
      <w:r>
        <w:t xml:space="preserve"> </w:t>
      </w:r>
      <w:r w:rsidRPr="00DE059B">
        <w:rPr>
          <w:rStyle w:val="a4"/>
          <w:rFonts w:cstheme="minorHAnsi"/>
          <w:b w:val="0"/>
          <w:bCs w:val="0"/>
        </w:rPr>
        <w:t xml:space="preserve">Diginomica </w:t>
      </w:r>
      <w:r w:rsidRPr="00DE059B">
        <w:rPr>
          <w:rStyle w:val="a4"/>
          <w:rFonts w:cstheme="minorHAnsi"/>
          <w:b w:val="0"/>
          <w:bCs w:val="0"/>
        </w:rPr>
        <w:t>(du Preez, D.)</w:t>
      </w:r>
      <w:r w:rsidRPr="00A50C8E">
        <w:rPr>
          <w:rFonts w:cstheme="minorHAnsi"/>
        </w:rPr>
        <w:t xml:space="preserve"> (2023) ‘UKISUG urges clarity from SAP over access to S/4HANA innovation for on</w:t>
      </w:r>
      <w:r w:rsidRPr="00A50C8E">
        <w:rPr>
          <w:rFonts w:cstheme="minorHAnsi"/>
        </w:rPr>
        <w:noBreakHyphen/>
        <w:t xml:space="preserve">premise and hosted customers’, 29 November. Available at: </w:t>
      </w:r>
      <w:r>
        <w:fldChar w:fldCharType="begin"/>
      </w:r>
      <w:r>
        <w:instrText xml:space="preserve"> HYPERLINK "https://diginomica.com/ukisug-urges-clarity-sap-over-access-s4hana-innovation-premise-and-hosted-customers" </w:instrText>
      </w:r>
      <w:r>
        <w:fldChar w:fldCharType="separate"/>
      </w:r>
      <w:r w:rsidRPr="00A50C8E">
        <w:rPr>
          <w:rStyle w:val="Hyperlink"/>
          <w:rFonts w:cstheme="minorHAnsi"/>
        </w:rPr>
        <w:t>https://diginomica.com/ukisug-urges-clarity-sap-over-access-s4hana-innovation-premise-and-hosted-customers</w:t>
      </w:r>
      <w:r>
        <w:rPr>
          <w:rStyle w:val="Hyperlink"/>
          <w:rFonts w:cstheme="minorHAnsi"/>
        </w:rPr>
        <w:fldChar w:fldCharType="end"/>
      </w:r>
      <w:r w:rsidRPr="00A50C8E">
        <w:rPr>
          <w:rFonts w:cstheme="minorHAnsi"/>
        </w:rPr>
        <w:t xml:space="preserve"> (Accessed: 21 October 2025).</w:t>
      </w:r>
    </w:p>
  </w:footnote>
  <w:footnote w:id="266">
    <w:p w:rsidR="00C62A14" w:rsidRDefault="00C62A14" w:rsidP="00D33237">
      <w:pPr>
        <w:pStyle w:val="a6"/>
        <w:rPr>
          <w:rtl/>
        </w:rPr>
      </w:pPr>
      <w:r>
        <w:rPr>
          <w:rStyle w:val="a8"/>
        </w:rPr>
        <w:footnoteRef/>
      </w:r>
      <w:r w:rsidRPr="00DE4429">
        <w:t xml:space="preserve"> </w:t>
      </w:r>
      <w:r w:rsidRPr="00DE059B">
        <w:rPr>
          <w:rStyle w:val="a4"/>
          <w:rFonts w:cstheme="minorHAnsi"/>
          <w:b w:val="0"/>
          <w:bCs w:val="0"/>
        </w:rPr>
        <w:t xml:space="preserve">DSAG </w:t>
      </w:r>
      <w:r w:rsidRPr="00DE059B">
        <w:rPr>
          <w:rStyle w:val="a4"/>
          <w:rFonts w:cstheme="minorHAnsi" w:hint="cs"/>
          <w:b w:val="0"/>
          <w:bCs w:val="0"/>
          <w:rtl/>
        </w:rPr>
        <w:t>-</w:t>
      </w:r>
      <w:r w:rsidRPr="00DE059B">
        <w:rPr>
          <w:rStyle w:val="a4"/>
          <w:rFonts w:cstheme="minorHAnsi"/>
          <w:b w:val="0"/>
          <w:bCs w:val="0"/>
        </w:rPr>
        <w:t xml:space="preserve"> </w:t>
      </w:r>
      <w:r w:rsidRPr="00DE059B">
        <w:rPr>
          <w:rStyle w:val="a4"/>
          <w:rFonts w:cstheme="minorHAnsi"/>
          <w:b w:val="0"/>
          <w:bCs w:val="0"/>
        </w:rPr>
        <w:t>Deutschsprachige SAP</w:t>
      </w:r>
      <w:r w:rsidRPr="00DE059B">
        <w:rPr>
          <w:rStyle w:val="a4"/>
          <w:rFonts w:cstheme="minorHAnsi"/>
          <w:b w:val="0"/>
          <w:bCs w:val="0"/>
        </w:rPr>
        <w:noBreakHyphen/>
        <w:t>Anwendergruppe</w:t>
      </w:r>
      <w:r w:rsidRPr="00DE059B">
        <w:rPr>
          <w:rFonts w:cstheme="minorHAnsi"/>
          <w:b/>
          <w:bCs/>
        </w:rPr>
        <w:t xml:space="preserve"> </w:t>
      </w:r>
      <w:r w:rsidRPr="00A50C8E">
        <w:rPr>
          <w:rFonts w:cstheme="minorHAnsi"/>
        </w:rPr>
        <w:t>(2025) ‘Willingness to invest in future</w:t>
      </w:r>
      <w:r w:rsidRPr="00A50C8E">
        <w:rPr>
          <w:rFonts w:cstheme="minorHAnsi"/>
        </w:rPr>
        <w:noBreakHyphen/>
        <w:t xml:space="preserve">oriented technologies is growing (Investment Report 2025)’, 20 March. Available at: </w:t>
      </w:r>
      <w:r>
        <w:fldChar w:fldCharType="begin"/>
      </w:r>
      <w:r>
        <w:instrText xml:space="preserve"> HYPERLINK "https://dsag.de/presse/willingness-to-invest-in-future-oriented-technologies-is-growing/" </w:instrText>
      </w:r>
      <w:r>
        <w:fldChar w:fldCharType="separate"/>
      </w:r>
      <w:r w:rsidRPr="00A50C8E">
        <w:rPr>
          <w:rStyle w:val="Hyperlink"/>
          <w:rFonts w:cstheme="minorHAnsi"/>
        </w:rPr>
        <w:t>https://dsag.de/presse/willingness-to-invest-in-future-oriented-technologies-is-growing/</w:t>
      </w:r>
      <w:r>
        <w:rPr>
          <w:rStyle w:val="Hyperlink"/>
          <w:rFonts w:cstheme="minorHAnsi"/>
        </w:rPr>
        <w:fldChar w:fldCharType="end"/>
      </w:r>
      <w:r w:rsidRPr="00A50C8E">
        <w:rPr>
          <w:rFonts w:cstheme="minorHAnsi"/>
        </w:rPr>
        <w:t xml:space="preserve"> (Accessed: 21 October 2025).</w:t>
      </w:r>
    </w:p>
  </w:footnote>
  <w:footnote w:id="267">
    <w:p w:rsidR="00C62A14" w:rsidRDefault="00C62A14" w:rsidP="00D33237">
      <w:pPr>
        <w:pStyle w:val="a6"/>
        <w:rPr>
          <w:rtl/>
        </w:rPr>
      </w:pPr>
      <w:r>
        <w:rPr>
          <w:rStyle w:val="a8"/>
        </w:rPr>
        <w:footnoteRef/>
      </w:r>
      <w:r>
        <w:t xml:space="preserve"> </w:t>
      </w:r>
      <w:r w:rsidRPr="00DE059B">
        <w:rPr>
          <w:rStyle w:val="a4"/>
          <w:rFonts w:cstheme="minorHAnsi"/>
          <w:b w:val="0"/>
          <w:bCs w:val="0"/>
        </w:rPr>
        <w:t xml:space="preserve">EDPB </w:t>
      </w:r>
      <w:r w:rsidRPr="00DE059B">
        <w:rPr>
          <w:rStyle w:val="a4"/>
          <w:rFonts w:cstheme="minorHAnsi" w:hint="cs"/>
          <w:b w:val="0"/>
          <w:bCs w:val="0"/>
          <w:rtl/>
        </w:rPr>
        <w:t>-</w:t>
      </w:r>
      <w:r w:rsidRPr="00DE059B">
        <w:rPr>
          <w:rStyle w:val="a4"/>
          <w:rFonts w:cstheme="minorHAnsi"/>
          <w:b w:val="0"/>
          <w:bCs w:val="0"/>
        </w:rPr>
        <w:t xml:space="preserve"> </w:t>
      </w:r>
      <w:r w:rsidRPr="00DE059B">
        <w:rPr>
          <w:rStyle w:val="a4"/>
          <w:rFonts w:cstheme="minorHAnsi"/>
          <w:b w:val="0"/>
          <w:bCs w:val="0"/>
        </w:rPr>
        <w:t>European Data Protection Board</w:t>
      </w:r>
      <w:r w:rsidRPr="00A50C8E">
        <w:rPr>
          <w:rFonts w:cstheme="minorHAnsi"/>
        </w:rPr>
        <w:t xml:space="preserve"> (2023) ‘1.2 billion euro fine for Facebook as a result of EDPB binding decision’, 22 May. Available at: </w:t>
      </w:r>
      <w:r>
        <w:fldChar w:fldCharType="begin"/>
      </w:r>
      <w:r>
        <w:instrText xml:space="preserve"> HYPERLINK "https://www.edpb.europa.eu/news/news/2023/12-billion-euro-fine-facebook-result-edpb-binding-decision_en" </w:instrText>
      </w:r>
      <w:r>
        <w:fldChar w:fldCharType="separate"/>
      </w:r>
      <w:r w:rsidRPr="00A50C8E">
        <w:rPr>
          <w:rStyle w:val="Hyperlink"/>
          <w:rFonts w:cstheme="minorHAnsi"/>
        </w:rPr>
        <w:t>https://www.edpb.europa.eu/news/news/2023/12-billion-euro-fine-facebook-result-edpb-binding-decision_en</w:t>
      </w:r>
      <w:r>
        <w:rPr>
          <w:rStyle w:val="Hyperlink"/>
          <w:rFonts w:cstheme="minorHAnsi"/>
        </w:rPr>
        <w:fldChar w:fldCharType="end"/>
      </w:r>
      <w:r w:rsidRPr="00A50C8E">
        <w:rPr>
          <w:rFonts w:cstheme="minorHAnsi"/>
        </w:rPr>
        <w:t xml:space="preserve"> (Accessed: 21 October 2025).</w:t>
      </w:r>
    </w:p>
  </w:footnote>
  <w:footnote w:id="268">
    <w:p w:rsidR="00C62A14" w:rsidRDefault="00C62A14" w:rsidP="00D33237">
      <w:pPr>
        <w:pStyle w:val="a6"/>
        <w:rPr>
          <w:rtl/>
        </w:rPr>
      </w:pPr>
      <w:r w:rsidRPr="00DE059B">
        <w:rPr>
          <w:rStyle w:val="a8"/>
          <w:b/>
          <w:bCs/>
        </w:rPr>
        <w:footnoteRef/>
      </w:r>
      <w:r w:rsidRPr="00DE059B">
        <w:rPr>
          <w:b/>
          <w:bCs/>
        </w:rPr>
        <w:t xml:space="preserve"> </w:t>
      </w:r>
      <w:r w:rsidRPr="00DE059B">
        <w:rPr>
          <w:rStyle w:val="a4"/>
          <w:rFonts w:cstheme="minorHAnsi"/>
          <w:b w:val="0"/>
          <w:bCs w:val="0"/>
        </w:rPr>
        <w:t xml:space="preserve">IT </w:t>
      </w:r>
      <w:r w:rsidRPr="00DE059B">
        <w:rPr>
          <w:rStyle w:val="a4"/>
          <w:rFonts w:cstheme="minorHAnsi"/>
          <w:b w:val="0"/>
          <w:bCs w:val="0"/>
        </w:rPr>
        <w:t>Pro (Kelly, R.)</w:t>
      </w:r>
      <w:r w:rsidRPr="00A50C8E">
        <w:rPr>
          <w:rFonts w:cstheme="minorHAnsi"/>
        </w:rPr>
        <w:t xml:space="preserve"> (2025) ‘SAP wants to take data sovereignty to the next level with new “on</w:t>
      </w:r>
      <w:r w:rsidRPr="00A50C8E">
        <w:rPr>
          <w:rFonts w:cstheme="minorHAnsi"/>
        </w:rPr>
        <w:noBreakHyphen/>
        <w:t xml:space="preserve">site” infrastructure options’, 2 September. Available at: </w:t>
      </w:r>
      <w:r>
        <w:fldChar w:fldCharType="begin"/>
      </w:r>
      <w:r>
        <w:instrText xml:space="preserve"> HYPERLINK "https://www.itpro.com/cloud/cloud-management/sap-wants-to-take-data-sovereignty-to-the-next-level-with-new-on-site-infrastructure-options" </w:instrText>
      </w:r>
      <w:r>
        <w:fldChar w:fldCharType="separate"/>
      </w:r>
      <w:r w:rsidRPr="00A50C8E">
        <w:rPr>
          <w:rStyle w:val="Hyperlink"/>
          <w:rFonts w:cstheme="minorHAnsi"/>
        </w:rPr>
        <w:t>https://www.itpro.com/cloud/cloud-management/sap-wants-to-take-data-sovereignty-to-the-next-level-with-new-on-site-infrastructure-options</w:t>
      </w:r>
      <w:r>
        <w:rPr>
          <w:rStyle w:val="Hyperlink"/>
          <w:rFonts w:cstheme="minorHAnsi"/>
        </w:rPr>
        <w:fldChar w:fldCharType="end"/>
      </w:r>
      <w:r w:rsidRPr="00A50C8E">
        <w:rPr>
          <w:rFonts w:cstheme="minorHAnsi"/>
        </w:rPr>
        <w:t xml:space="preserve"> (Accessed: 21 October 2025)</w:t>
      </w:r>
    </w:p>
  </w:footnote>
  <w:footnote w:id="269">
    <w:p w:rsidR="00C62A14" w:rsidRPr="00DE4429" w:rsidRDefault="00C62A14" w:rsidP="00D33237">
      <w:pPr>
        <w:pStyle w:val="a6"/>
        <w:rPr>
          <w:rtl/>
        </w:rPr>
      </w:pPr>
      <w:r>
        <w:rPr>
          <w:rStyle w:val="a8"/>
        </w:rPr>
        <w:footnoteRef/>
      </w:r>
      <w:r>
        <w:t xml:space="preserve"> </w:t>
      </w:r>
      <w:r w:rsidRPr="00DE059B">
        <w:rPr>
          <w:rStyle w:val="a4"/>
          <w:rFonts w:cstheme="minorHAnsi"/>
          <w:b w:val="0"/>
          <w:bCs w:val="0"/>
        </w:rPr>
        <w:t xml:space="preserve">Network </w:t>
      </w:r>
      <w:r w:rsidRPr="00DE059B">
        <w:rPr>
          <w:rStyle w:val="a4"/>
          <w:rFonts w:cstheme="minorHAnsi"/>
          <w:b w:val="0"/>
          <w:bCs w:val="0"/>
        </w:rPr>
        <w:t>World (Dunn, J.E.)</w:t>
      </w:r>
      <w:r w:rsidRPr="00A50C8E">
        <w:rPr>
          <w:rFonts w:cstheme="minorHAnsi"/>
        </w:rPr>
        <w:t xml:space="preserve"> (2025) ‘SAP data sovereignty service lets customers run cloud workloads inside their data centers’, 2 September. Available at: </w:t>
      </w:r>
      <w:r>
        <w:fldChar w:fldCharType="begin"/>
      </w:r>
      <w:r>
        <w:instrText xml:space="preserve"> HYPERLINK "https://www.networkworld.com/article/4050008/sap-data-sovereignty-service-lets-customers-run-cloud-workloads-inside-their-data-centers.html" </w:instrText>
      </w:r>
      <w:r>
        <w:fldChar w:fldCharType="separate"/>
      </w:r>
      <w:r w:rsidRPr="00A50C8E">
        <w:rPr>
          <w:rStyle w:val="Hyperlink"/>
          <w:rFonts w:cstheme="minorHAnsi"/>
        </w:rPr>
        <w:t>https://www.networkworld.com/article/4050008/sap-data-sovereignty-service-lets-customers-run-cloud-workloads-inside-their-data-centers.html</w:t>
      </w:r>
      <w:r>
        <w:rPr>
          <w:rStyle w:val="Hyperlink"/>
          <w:rFonts w:cstheme="minorHAnsi"/>
        </w:rPr>
        <w:fldChar w:fldCharType="end"/>
      </w:r>
      <w:r w:rsidRPr="00A50C8E">
        <w:rPr>
          <w:rFonts w:cstheme="minorHAnsi"/>
        </w:rPr>
        <w:t xml:space="preserve"> (Accessed: 21 October 2025).</w:t>
      </w:r>
    </w:p>
  </w:footnote>
  <w:footnote w:id="270">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Abbott, </w:t>
      </w:r>
      <w:r w:rsidRPr="00421771">
        <w:rPr>
          <w:rFonts w:cstheme="minorHAnsi"/>
        </w:rPr>
        <w:t xml:space="preserve">K.W. and Snidal, D. (2009) ‘The governance triangle: regulatory standards institutions and the shadow of the state’, in Mattli, W. and Woods, N. (eds) </w:t>
      </w:r>
      <w:r w:rsidRPr="00421771">
        <w:rPr>
          <w:rStyle w:val="a5"/>
          <w:rFonts w:cstheme="minorHAnsi"/>
        </w:rPr>
        <w:t>The Politics of Global Regulation</w:t>
      </w:r>
      <w:r w:rsidRPr="00421771">
        <w:rPr>
          <w:rFonts w:cstheme="minorHAnsi"/>
        </w:rPr>
        <w:t>. Princeton, NJ: Princeton University Press, pp. 44</w:t>
      </w:r>
      <w:r w:rsidRPr="00421771">
        <w:rPr>
          <w:rFonts w:cstheme="minorHAnsi"/>
          <w:rtl/>
        </w:rPr>
        <w:t>-</w:t>
      </w:r>
      <w:r w:rsidRPr="00421771">
        <w:rPr>
          <w:rFonts w:cstheme="minorHAnsi"/>
        </w:rPr>
        <w:t>88.</w:t>
      </w:r>
    </w:p>
  </w:footnote>
  <w:footnote w:id="271">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Bradford, </w:t>
      </w:r>
      <w:r w:rsidRPr="00421771">
        <w:rPr>
          <w:rFonts w:cstheme="minorHAnsi"/>
        </w:rPr>
        <w:t xml:space="preserve">A. (2020) </w:t>
      </w:r>
      <w:r w:rsidRPr="00421771">
        <w:rPr>
          <w:rFonts w:cstheme="minorHAnsi"/>
          <w:i/>
          <w:iCs/>
        </w:rPr>
        <w:t>The Brussels Effect: How the European Union Rules the World</w:t>
      </w:r>
      <w:r w:rsidRPr="00421771">
        <w:rPr>
          <w:rFonts w:cstheme="minorHAnsi"/>
        </w:rPr>
        <w:t>. Oxford: Oxford University Press</w:t>
      </w:r>
      <w:r w:rsidRPr="00421771">
        <w:rPr>
          <w:rFonts w:cstheme="minorHAnsi"/>
          <w:rtl/>
        </w:rPr>
        <w:t>;</w:t>
      </w:r>
      <w:r w:rsidRPr="00421771">
        <w:rPr>
          <w:rFonts w:cstheme="minorHAnsi"/>
        </w:rPr>
        <w:t xml:space="preserve"> Büthe, T. and Mattli, W. (2011) </w:t>
      </w:r>
      <w:r w:rsidRPr="00421771">
        <w:rPr>
          <w:rStyle w:val="a5"/>
          <w:rFonts w:cstheme="minorHAnsi"/>
        </w:rPr>
        <w:t>The New Global Rulers: The Privatization of Regulation in the World Economy</w:t>
      </w:r>
      <w:r w:rsidRPr="00421771">
        <w:rPr>
          <w:rFonts w:cstheme="minorHAnsi"/>
        </w:rPr>
        <w:t>. Princeton, NJ: Princeton University Press.</w:t>
      </w:r>
    </w:p>
  </w:footnote>
  <w:footnote w:id="272">
    <w:p w:rsidR="00C62A14" w:rsidRPr="00421771" w:rsidRDefault="00C62A14" w:rsidP="00D33237">
      <w:pPr>
        <w:pStyle w:val="a6"/>
        <w:rPr>
          <w:rFonts w:cstheme="minorHAnsi"/>
          <w:rtl/>
        </w:rPr>
      </w:pPr>
      <w:r w:rsidRPr="00421771">
        <w:rPr>
          <w:rStyle w:val="a8"/>
          <w:rFonts w:cstheme="minorHAnsi"/>
        </w:rPr>
        <w:footnoteRef/>
      </w:r>
      <w:r w:rsidRPr="00421771">
        <w:rPr>
          <w:rStyle w:val="20"/>
          <w:rFonts w:cstheme="minorHAnsi"/>
        </w:rPr>
        <w:t xml:space="preserve"> </w:t>
      </w:r>
      <w:r w:rsidRPr="00DE059B">
        <w:rPr>
          <w:rStyle w:val="a4"/>
          <w:rFonts w:cstheme="minorHAnsi"/>
          <w:b w:val="0"/>
          <w:bCs w:val="0"/>
        </w:rPr>
        <w:t xml:space="preserve">The </w:t>
      </w:r>
      <w:r w:rsidRPr="00DE059B">
        <w:rPr>
          <w:rStyle w:val="a4"/>
          <w:rFonts w:cstheme="minorHAnsi"/>
          <w:b w:val="0"/>
          <w:bCs w:val="0"/>
        </w:rPr>
        <w:t>Register (Clark, L.)</w:t>
      </w:r>
      <w:r w:rsidRPr="00421771">
        <w:rPr>
          <w:rFonts w:cstheme="minorHAnsi"/>
          <w:b/>
          <w:bCs/>
        </w:rPr>
        <w:t xml:space="preserve"> </w:t>
      </w:r>
      <w:r w:rsidRPr="00421771">
        <w:rPr>
          <w:rFonts w:cstheme="minorHAnsi"/>
        </w:rPr>
        <w:t xml:space="preserve">(2023) ‘SAP faces more accusations of breaching customers’ trust’, 30 November. Available at: </w:t>
      </w:r>
      <w:r>
        <w:fldChar w:fldCharType="begin"/>
      </w:r>
      <w:r>
        <w:instrText xml:space="preserve"> HYPERLINK "https://www.theregister.com/2023/11/30/sap_cloud_innovation_worries/" </w:instrText>
      </w:r>
      <w:r>
        <w:fldChar w:fldCharType="separate"/>
      </w:r>
      <w:r w:rsidRPr="00421771">
        <w:rPr>
          <w:rStyle w:val="Hyperlink"/>
          <w:rFonts w:cstheme="minorHAnsi"/>
        </w:rPr>
        <w:t>https://www.theregister.com/2023/11/30/sap_cloud_innovation_worries/</w:t>
      </w:r>
      <w:r>
        <w:rPr>
          <w:rStyle w:val="Hyperlink"/>
          <w:rFonts w:cstheme="minorHAnsi"/>
        </w:rPr>
        <w:fldChar w:fldCharType="end"/>
      </w:r>
      <w:r w:rsidRPr="00421771">
        <w:rPr>
          <w:rFonts w:cstheme="minorHAnsi"/>
        </w:rPr>
        <w:t xml:space="preserve"> (Accessed: 21 October 2025).</w:t>
      </w:r>
    </w:p>
  </w:footnote>
  <w:footnote w:id="273">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Davenport, </w:t>
      </w:r>
      <w:r w:rsidRPr="00421771">
        <w:rPr>
          <w:rFonts w:cstheme="minorHAnsi"/>
        </w:rPr>
        <w:t xml:space="preserve">T.H. (1998) ‘Putting the enterprise into the enterprise system’, </w:t>
      </w:r>
      <w:r w:rsidRPr="00421771">
        <w:rPr>
          <w:rStyle w:val="a5"/>
          <w:rFonts w:cstheme="minorHAnsi"/>
        </w:rPr>
        <w:t>Harvard Business Review</w:t>
      </w:r>
      <w:r w:rsidRPr="00421771">
        <w:rPr>
          <w:rFonts w:cstheme="minorHAnsi"/>
        </w:rPr>
        <w:t>, 76(4), pp. 121</w:t>
      </w:r>
      <w:r w:rsidRPr="00421771">
        <w:rPr>
          <w:rFonts w:cstheme="minorHAnsi"/>
          <w:rtl/>
        </w:rPr>
        <w:t>-</w:t>
      </w:r>
      <w:r w:rsidRPr="00421771">
        <w:rPr>
          <w:rFonts w:cstheme="minorHAnsi"/>
        </w:rPr>
        <w:t>131</w:t>
      </w:r>
      <w:r w:rsidRPr="00421771">
        <w:rPr>
          <w:rFonts w:cstheme="minorHAnsi"/>
          <w:rtl/>
        </w:rPr>
        <w:t>;</w:t>
      </w:r>
      <w:r w:rsidRPr="00421771">
        <w:rPr>
          <w:rFonts w:cstheme="minorHAnsi"/>
        </w:rPr>
        <w:t xml:space="preserve"> Dunleavy, P., Margetts, H., Bastow, S. and Tinkler, J. (2013) </w:t>
      </w:r>
      <w:r w:rsidRPr="00421771">
        <w:rPr>
          <w:rStyle w:val="a5"/>
          <w:rFonts w:cstheme="minorHAnsi"/>
        </w:rPr>
        <w:t>Digital Era Governance: IT Corporations, the State, and E</w:t>
      </w:r>
      <w:r w:rsidRPr="00421771">
        <w:rPr>
          <w:rStyle w:val="a5"/>
          <w:rFonts w:cstheme="minorHAnsi"/>
        </w:rPr>
        <w:noBreakHyphen/>
        <w:t>Government (Revised Edition)</w:t>
      </w:r>
      <w:r w:rsidRPr="00421771">
        <w:rPr>
          <w:rFonts w:cstheme="minorHAnsi"/>
        </w:rPr>
        <w:t>. Oxford: Oxford University Press</w:t>
      </w:r>
    </w:p>
  </w:footnote>
  <w:footnote w:id="274">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Pohle, </w:t>
      </w:r>
      <w:r w:rsidRPr="00421771">
        <w:rPr>
          <w:rFonts w:cstheme="minorHAnsi"/>
        </w:rPr>
        <w:t xml:space="preserve">J. and Thiel, T. (2020) ‘Digital sovereignty’, </w:t>
      </w:r>
      <w:r w:rsidRPr="00421771">
        <w:rPr>
          <w:rStyle w:val="a5"/>
          <w:rFonts w:cstheme="minorHAnsi"/>
        </w:rPr>
        <w:t>Internet Policy Review</w:t>
      </w:r>
      <w:r w:rsidRPr="00421771">
        <w:rPr>
          <w:rFonts w:cstheme="minorHAnsi"/>
        </w:rPr>
        <w:t>, 9(4), pp. 1</w:t>
      </w:r>
      <w:r w:rsidRPr="00421771">
        <w:rPr>
          <w:rFonts w:cstheme="minorHAnsi"/>
          <w:rtl/>
        </w:rPr>
        <w:t>-</w:t>
      </w:r>
      <w:r w:rsidRPr="00421771">
        <w:rPr>
          <w:rFonts w:cstheme="minorHAnsi"/>
        </w:rPr>
        <w:t xml:space="preserve">20. </w:t>
      </w:r>
      <w:r>
        <w:fldChar w:fldCharType="begin"/>
      </w:r>
      <w:r>
        <w:instrText xml:space="preserve"> HYPERLINK "https://doi.org/10.14763/2020.4.1532" </w:instrText>
      </w:r>
      <w:r>
        <w:fldChar w:fldCharType="separate"/>
      </w:r>
      <w:r w:rsidRPr="00421771">
        <w:rPr>
          <w:rStyle w:val="Hyperlink"/>
          <w:rFonts w:cstheme="minorHAnsi"/>
        </w:rPr>
        <w:t>https://doi.org/10.14763/2020.4.1532</w:t>
      </w:r>
      <w:r>
        <w:rPr>
          <w:rStyle w:val="Hyperlink"/>
          <w:rFonts w:cstheme="minorHAnsi"/>
        </w:rPr>
        <w:fldChar w:fldCharType="end"/>
      </w:r>
      <w:r w:rsidRPr="00421771">
        <w:rPr>
          <w:rFonts w:cstheme="minorHAnsi"/>
          <w:rtl/>
        </w:rPr>
        <w:t>;</w:t>
      </w:r>
      <w:r w:rsidRPr="00421771">
        <w:rPr>
          <w:rFonts w:cstheme="minorHAnsi"/>
        </w:rPr>
        <w:t xml:space="preserve"> OECD (2019) </w:t>
      </w:r>
      <w:r w:rsidRPr="00421771">
        <w:rPr>
          <w:rStyle w:val="a5"/>
          <w:rFonts w:cstheme="minorHAnsi"/>
        </w:rPr>
        <w:t>The OECD Digital Government Policy Framework: Six dimensions of a Digital Government</w:t>
      </w:r>
      <w:r w:rsidRPr="00421771">
        <w:rPr>
          <w:rFonts w:cstheme="minorHAnsi"/>
        </w:rPr>
        <w:t>. Paris: OECD Publishing</w:t>
      </w:r>
    </w:p>
  </w:footnote>
  <w:footnote w:id="275">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cstheme="minorHAnsi"/>
        </w:rPr>
        <w:t xml:space="preserve">Bradford, </w:t>
      </w:r>
      <w:r w:rsidRPr="00421771">
        <w:rPr>
          <w:rFonts w:cstheme="minorHAnsi"/>
        </w:rPr>
        <w:t xml:space="preserve">A. (2020) </w:t>
      </w:r>
      <w:r w:rsidRPr="00421771">
        <w:rPr>
          <w:rStyle w:val="a5"/>
          <w:rFonts w:cstheme="minorHAnsi"/>
        </w:rPr>
        <w:t>The Brussels Effect: How the European Union Rules the World</w:t>
      </w:r>
      <w:r w:rsidRPr="00421771">
        <w:rPr>
          <w:rFonts w:cstheme="minorHAnsi"/>
        </w:rPr>
        <w:t>. Oxford: Oxford University Press</w:t>
      </w:r>
      <w:r w:rsidRPr="00421771">
        <w:rPr>
          <w:rFonts w:cstheme="minorHAnsi"/>
          <w:rtl/>
        </w:rPr>
        <w:t>;</w:t>
      </w:r>
      <w:r w:rsidRPr="00421771">
        <w:rPr>
          <w:rFonts w:cstheme="minorHAnsi"/>
        </w:rPr>
        <w:t xml:space="preserve"> Büthe, T. and Mattli, W. (2011) </w:t>
      </w:r>
      <w:r w:rsidRPr="00421771">
        <w:rPr>
          <w:rStyle w:val="a5"/>
          <w:rFonts w:cstheme="minorHAnsi"/>
        </w:rPr>
        <w:t>The New Global Rulers: The Privatization of Regulation in the World Economy</w:t>
      </w:r>
      <w:r w:rsidRPr="00421771">
        <w:rPr>
          <w:rFonts w:cstheme="minorHAnsi"/>
        </w:rPr>
        <w:t>. Princeton, NJ: Princeton University Press</w:t>
      </w:r>
    </w:p>
  </w:footnote>
  <w:footnote w:id="276">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eastAsia="Times New Roman" w:cstheme="minorHAnsi"/>
        </w:rPr>
        <w:t xml:space="preserve">Breton, </w:t>
      </w:r>
      <w:r w:rsidRPr="00421771">
        <w:rPr>
          <w:rFonts w:eastAsia="Times New Roman" w:cstheme="minorHAnsi"/>
        </w:rPr>
        <w:t>T. (2022) ‘Sovereignty, self</w:t>
      </w:r>
      <w:r w:rsidRPr="00421771">
        <w:rPr>
          <w:rFonts w:eastAsia="Times New Roman" w:cstheme="minorHAnsi"/>
        </w:rPr>
        <w:noBreakHyphen/>
        <w:t>assurance and solidarity: Europe in today’s geopolitics’. Brussels: European Commission Press Corner. Accessed 21 October 2025.</w:t>
      </w:r>
    </w:p>
  </w:footnote>
  <w:footnote w:id="277">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eastAsia="Times New Roman" w:cstheme="minorHAnsi"/>
        </w:rPr>
        <w:t xml:space="preserve">Reuters </w:t>
      </w:r>
      <w:r w:rsidRPr="00421771">
        <w:rPr>
          <w:rFonts w:eastAsia="Times New Roman" w:cstheme="minorHAnsi"/>
        </w:rPr>
        <w:t>(2025) ‘Russian billionaire says replacement of SAP software is costly but essential’. 3 June. Accessed 21 October 2025.</w:t>
      </w:r>
    </w:p>
  </w:footnote>
  <w:footnote w:id="278">
    <w:p w:rsidR="00C62A14" w:rsidRPr="00421771" w:rsidRDefault="00C62A14" w:rsidP="00D33237">
      <w:pPr>
        <w:pStyle w:val="a6"/>
        <w:rPr>
          <w:rFonts w:cstheme="minorHAnsi"/>
          <w:rtl/>
        </w:rPr>
      </w:pPr>
      <w:r w:rsidRPr="00421771">
        <w:rPr>
          <w:rStyle w:val="a8"/>
          <w:rFonts w:cstheme="minorHAnsi"/>
        </w:rPr>
        <w:footnoteRef/>
      </w:r>
      <w:r w:rsidRPr="00421771">
        <w:rPr>
          <w:rFonts w:cstheme="minorHAnsi"/>
        </w:rPr>
        <w:t xml:space="preserve"> </w:t>
      </w:r>
      <w:r w:rsidRPr="00421771">
        <w:rPr>
          <w:rFonts w:eastAsia="Times New Roman" w:cstheme="minorHAnsi"/>
        </w:rPr>
        <w:t xml:space="preserve">SAP </w:t>
      </w:r>
      <w:r w:rsidRPr="00421771">
        <w:rPr>
          <w:rFonts w:eastAsia="Times New Roman" w:cstheme="minorHAnsi"/>
        </w:rPr>
        <w:t>News (2025) ‘AWS and SAP to advance digital sovereignty across Europe’. 24 September. Accessed 21 October 2025.</w:t>
      </w:r>
    </w:p>
  </w:footnote>
  <w:footnote w:id="279">
    <w:p w:rsidR="00C62A14" w:rsidRPr="00450016" w:rsidRDefault="00C62A14" w:rsidP="00926B5D">
      <w:pPr>
        <w:pStyle w:val="a6"/>
      </w:pPr>
      <w:r>
        <w:rPr>
          <w:rStyle w:val="a8"/>
        </w:rPr>
        <w:footnoteRef/>
      </w:r>
      <w:r>
        <w:t xml:space="preserve"> </w:t>
      </w:r>
      <w:r w:rsidRPr="00DE059B">
        <w:rPr>
          <w:rStyle w:val="a4"/>
          <w:b w:val="0"/>
          <w:bCs w:val="0"/>
        </w:rPr>
        <w:t xml:space="preserve">George, </w:t>
      </w:r>
      <w:r w:rsidRPr="00DE059B">
        <w:rPr>
          <w:rStyle w:val="a4"/>
          <w:b w:val="0"/>
          <w:bCs w:val="0"/>
        </w:rPr>
        <w:t>A.L. &amp; Bennett, A. (2005).</w:t>
      </w:r>
      <w:r w:rsidRPr="00AE67FE">
        <w:t xml:space="preserve"> </w:t>
      </w:r>
      <w:r w:rsidRPr="00AE67FE">
        <w:rPr>
          <w:rStyle w:val="a5"/>
        </w:rPr>
        <w:t>Case Studies and Theory Development in the Social Sciences</w:t>
      </w:r>
      <w:r w:rsidRPr="00AE67FE">
        <w:t>. Cambridge, MA: MIT Press</w:t>
      </w:r>
    </w:p>
  </w:footnote>
  <w:footnote w:id="280">
    <w:p w:rsidR="00C62A14" w:rsidRPr="00F523F9" w:rsidRDefault="00C62A14" w:rsidP="00926B5D">
      <w:pPr>
        <w:pStyle w:val="a6"/>
        <w:rPr>
          <w:lang w:val="en-US"/>
        </w:rPr>
      </w:pPr>
      <w:r>
        <w:rPr>
          <w:rStyle w:val="a8"/>
        </w:rPr>
        <w:footnoteRef/>
      </w:r>
      <w:r>
        <w:t xml:space="preserve"> </w:t>
      </w:r>
      <w:r>
        <w:t xml:space="preserve">DeNardis, </w:t>
      </w:r>
      <w:r>
        <w:t xml:space="preserve">L. (2020) </w:t>
      </w:r>
      <w:r>
        <w:rPr>
          <w:rStyle w:val="a5"/>
        </w:rPr>
        <w:t>The Internet in Everything: Freedom and Security in a World with No Off Switch</w:t>
      </w:r>
      <w:r>
        <w:t>. New Haven, CT: Yale University Press</w:t>
      </w:r>
      <w:r>
        <w:rPr>
          <w:lang w:val="en-US"/>
        </w:rPr>
        <w:t>.</w:t>
      </w:r>
    </w:p>
    <w:p w:rsidR="00C62A14" w:rsidRPr="00350551" w:rsidRDefault="00C62A14" w:rsidP="00926B5D">
      <w:pPr>
        <w:pStyle w:val="a6"/>
      </w:pPr>
    </w:p>
  </w:footnote>
  <w:footnote w:id="281">
    <w:p w:rsidR="00C62A14" w:rsidRPr="00350551" w:rsidRDefault="00C62A14" w:rsidP="00926B5D">
      <w:pPr>
        <w:pStyle w:val="a6"/>
      </w:pPr>
      <w:r>
        <w:rPr>
          <w:rStyle w:val="a8"/>
        </w:rPr>
        <w:footnoteRef/>
      </w:r>
      <w:r>
        <w:t xml:space="preserve"> </w:t>
      </w:r>
      <w:r>
        <w:t xml:space="preserve">Strange, S. (1988) </w:t>
      </w:r>
      <w:r>
        <w:rPr>
          <w:rStyle w:val="a5"/>
        </w:rPr>
        <w:t>States and Markets: An Introduction to International Political Economy</w:t>
      </w:r>
      <w:r>
        <w:t>. London: Pinter Publishers</w:t>
      </w:r>
      <w:r>
        <w:rPr>
          <w:lang w:val="en-US"/>
        </w:rPr>
        <w:t>.</w:t>
      </w:r>
    </w:p>
  </w:footnote>
  <w:footnote w:id="282">
    <w:p w:rsidR="00C62A14" w:rsidRPr="00350551" w:rsidRDefault="00C62A14" w:rsidP="00926B5D">
      <w:pPr>
        <w:pStyle w:val="a6"/>
      </w:pPr>
      <w:r>
        <w:rPr>
          <w:rStyle w:val="a8"/>
        </w:rPr>
        <w:footnoteRef/>
      </w:r>
      <w:r>
        <w:t xml:space="preserve"> </w:t>
      </w:r>
      <w:r>
        <w:t xml:space="preserve">Butler, G. (2025) ‘German software company SAP to spend €20 bn on European sovereign cloud over next decade’, </w:t>
      </w:r>
      <w:r>
        <w:rPr>
          <w:rStyle w:val="a5"/>
        </w:rPr>
        <w:t>Data Center Dynamics</w:t>
      </w:r>
      <w:r>
        <w:t xml:space="preserve">, 3 September. Available at: </w:t>
      </w:r>
      <w:r>
        <w:fldChar w:fldCharType="begin"/>
      </w:r>
      <w:r>
        <w:instrText xml:space="preserve"> HYPERLINK "https://www.datacenterdynamics.com/en/news/german-software-company-sap-to-spend-20bn-on-european-sovereign-cloud-over-next-decade/?utm_source=chatgpt.com" \t "_new" </w:instrText>
      </w:r>
      <w:r>
        <w:fldChar w:fldCharType="separate"/>
      </w:r>
      <w:r>
        <w:rPr>
          <w:rStyle w:val="Hyperlink"/>
        </w:rPr>
        <w:t>https://www.datacenterdynamics.com/en/news/german-software-company-sap-to-spend-20bn-on-european-sovereign-cloud-over-next-decade</w:t>
      </w:r>
      <w:r>
        <w:rPr>
          <w:rStyle w:val="Hyperlink"/>
        </w:rPr>
        <w:fldChar w:fldCharType="end"/>
      </w:r>
      <w:r>
        <w:rPr>
          <w:lang w:val="en-US"/>
        </w:rPr>
        <w:t xml:space="preserve">. </w:t>
      </w:r>
      <w:r>
        <w:t xml:space="preserve">SAP SE (2025) ‘SAP Deepens European Cloud Sovereignty Offering to Unlock Regional AI Innovation’, 2 September. Available at: </w:t>
      </w:r>
      <w:r>
        <w:fldChar w:fldCharType="begin"/>
      </w:r>
      <w:r>
        <w:instrText xml:space="preserve"> HYPERLINK "https://news.sap.com/2025/09/sap-deepens-european-cloud-sovereignty-offering-unlock-regional-ai-innovation/?utm_source=chatgpt.com" \t "_new" </w:instrText>
      </w:r>
      <w:r>
        <w:fldChar w:fldCharType="separate"/>
      </w:r>
      <w:r>
        <w:rPr>
          <w:rStyle w:val="Hyperlink"/>
        </w:rPr>
        <w:t>https://news.sap.com/2025/09/sap-deepens-european-cloud-sovereignty-offering-unlock-regional-ai-innovation</w:t>
      </w:r>
      <w:r>
        <w:rPr>
          <w:rStyle w:val="Hyperlink"/>
        </w:rPr>
        <w:fldChar w:fldCharType="end"/>
      </w:r>
    </w:p>
  </w:footnote>
  <w:footnote w:id="283">
    <w:p w:rsidR="00C62A14" w:rsidRPr="00350551" w:rsidRDefault="00C62A14" w:rsidP="00926B5D">
      <w:pPr>
        <w:pStyle w:val="a6"/>
      </w:pPr>
      <w:r>
        <w:rPr>
          <w:rStyle w:val="a8"/>
        </w:rPr>
        <w:footnoteRef/>
      </w:r>
      <w:r>
        <w:t xml:space="preserve"> </w:t>
      </w:r>
      <w:r>
        <w:t xml:space="preserve">Farrell, </w:t>
      </w:r>
      <w:r>
        <w:t xml:space="preserve">H. and Newman, A. L. (2019) ‘Weaponized Interdependence: How Global Economic Networks Shape State Coercion’, </w:t>
      </w:r>
      <w:r>
        <w:rPr>
          <w:rStyle w:val="a5"/>
        </w:rPr>
        <w:t>International Security</w:t>
      </w:r>
      <w:r>
        <w:t>, 44(1), pp. 42</w:t>
      </w:r>
      <w:r>
        <w:rPr>
          <w:lang w:val="en-US"/>
        </w:rPr>
        <w:t>-</w:t>
      </w:r>
      <w:r>
        <w:t>79</w:t>
      </w:r>
    </w:p>
  </w:footnote>
  <w:footnote w:id="284">
    <w:p w:rsidR="00C62A14" w:rsidRPr="00350551" w:rsidRDefault="00C62A14" w:rsidP="00926B5D">
      <w:pPr>
        <w:pStyle w:val="a6"/>
      </w:pPr>
      <w:r>
        <w:rPr>
          <w:rStyle w:val="a8"/>
        </w:rPr>
        <w:footnoteRef/>
      </w:r>
      <w:r>
        <w:t xml:space="preserve"> </w:t>
      </w:r>
      <w:r>
        <w:t xml:space="preserve">West, </w:t>
      </w:r>
      <w:r>
        <w:t xml:space="preserve">J. and Dedrick, J. (2011) </w:t>
      </w:r>
      <w:r>
        <w:rPr>
          <w:rStyle w:val="a5"/>
        </w:rPr>
        <w:t>The Rise of Enterprise Software: How SAP Became a Global Power</w:t>
      </w:r>
      <w:r>
        <w:t>. Cambridge, MA: MIT Sloan Research Paper No. 4778-11</w:t>
      </w:r>
    </w:p>
  </w:footnote>
  <w:footnote w:id="285">
    <w:p w:rsidR="00C62A14" w:rsidRPr="00A44EAA" w:rsidRDefault="00C62A14" w:rsidP="00926B5D">
      <w:pPr>
        <w:pStyle w:val="a6"/>
      </w:pPr>
      <w:r>
        <w:rPr>
          <w:rStyle w:val="a8"/>
        </w:rPr>
        <w:footnoteRef/>
      </w:r>
      <w:r>
        <w:t xml:space="preserve"> </w:t>
      </w:r>
      <w:r>
        <w:t xml:space="preserve">Nye, </w:t>
      </w:r>
      <w:r>
        <w:t xml:space="preserve">J. S. (2021) ‘Power and Interdependence with China in the Twenty-First Century’, </w:t>
      </w:r>
      <w:r>
        <w:rPr>
          <w:rStyle w:val="a5"/>
        </w:rPr>
        <w:t>The Washington Quarterly</w:t>
      </w:r>
      <w:r>
        <w:t>, 44(1), pp. 7</w:t>
      </w:r>
      <w:r>
        <w:rPr>
          <w:lang w:val="en-US"/>
        </w:rPr>
        <w:t>-</w:t>
      </w:r>
      <w:r>
        <w:t>22</w:t>
      </w:r>
    </w:p>
  </w:footnote>
  <w:footnote w:id="286">
    <w:p w:rsidR="00C62A14" w:rsidRPr="00A44EAA" w:rsidRDefault="00C62A14" w:rsidP="00926B5D">
      <w:pPr>
        <w:pStyle w:val="a6"/>
      </w:pPr>
      <w:r>
        <w:rPr>
          <w:rStyle w:val="a8"/>
        </w:rPr>
        <w:footnoteRef/>
      </w:r>
      <w:r>
        <w:t xml:space="preserve"> </w:t>
      </w:r>
      <w:r>
        <w:t xml:space="preserve">García-Herrero, </w:t>
      </w:r>
      <w:r>
        <w:t xml:space="preserve">A. (2024) ‘What can Europe learn from China’s critical-tech innovation push’, </w:t>
      </w:r>
      <w:r>
        <w:rPr>
          <w:rStyle w:val="a5"/>
        </w:rPr>
        <w:t>Bruegel Policy Brief</w:t>
      </w:r>
      <w:r>
        <w:t xml:space="preserve">. Available at: </w:t>
      </w:r>
      <w:r>
        <w:fldChar w:fldCharType="begin"/>
      </w:r>
      <w:r>
        <w:instrText xml:space="preserve"> HYPERLINK "https://www.bruegel.org/policy-brief/what-can-europe-learn-chinas-critical-tech-innovation-push?utm_source=chatgpt.com" \t "_new" </w:instrText>
      </w:r>
      <w:r>
        <w:fldChar w:fldCharType="separate"/>
      </w:r>
      <w:r>
        <w:rPr>
          <w:rStyle w:val="Hyperlink"/>
        </w:rPr>
        <w:t>https://www.bruegel.org/policy-brief/what-can-europe-learn-chinas-critical-tech-innovation-push</w:t>
      </w:r>
      <w:r>
        <w:rPr>
          <w:rStyle w:val="Hyperlink"/>
        </w:rPr>
        <w:fldChar w:fldCharType="end"/>
      </w:r>
    </w:p>
  </w:footnote>
  <w:footnote w:id="287">
    <w:p w:rsidR="00C62A14" w:rsidRPr="00350551" w:rsidRDefault="00C62A14" w:rsidP="00926B5D">
      <w:pPr>
        <w:pStyle w:val="a6"/>
      </w:pPr>
      <w:r>
        <w:rPr>
          <w:rStyle w:val="a8"/>
        </w:rPr>
        <w:footnoteRef/>
      </w:r>
      <w:r>
        <w:t xml:space="preserve"> </w:t>
      </w:r>
      <w:r>
        <w:t xml:space="preserve">Hanseth, </w:t>
      </w:r>
      <w:r>
        <w:t xml:space="preserve">O. and Lyytinen, K. (2010) ‘Design Theory for Dynamic Complexity in Information Infrastructures: The Case of Building Internet’, </w:t>
      </w:r>
      <w:r>
        <w:rPr>
          <w:rStyle w:val="a5"/>
        </w:rPr>
        <w:t>Journal of Information Technology</w:t>
      </w:r>
      <w:r>
        <w:t>, 25(1), pp. 1</w:t>
      </w:r>
      <w:r>
        <w:rPr>
          <w:lang w:val="en-US"/>
        </w:rPr>
        <w:t>-</w:t>
      </w:r>
      <w:r>
        <w:t>19</w:t>
      </w:r>
    </w:p>
  </w:footnote>
  <w:footnote w:id="288">
    <w:p w:rsidR="00C62A14" w:rsidRPr="00A44EAA" w:rsidRDefault="00C62A14" w:rsidP="00926B5D">
      <w:pPr>
        <w:pStyle w:val="a6"/>
      </w:pPr>
      <w:r>
        <w:rPr>
          <w:rStyle w:val="a8"/>
        </w:rPr>
        <w:footnoteRef/>
      </w:r>
      <w:r>
        <w:t xml:space="preserve"> </w:t>
      </w:r>
      <w:r>
        <w:t xml:space="preserve">Prenga, </w:t>
      </w:r>
      <w:r>
        <w:t xml:space="preserve">K. (2024) ‘AI regulation in the EU, the US and China: A lexical and qualitative analysis’, </w:t>
      </w:r>
      <w:r>
        <w:rPr>
          <w:rStyle w:val="a5"/>
        </w:rPr>
        <w:t>Journal of Ethics and Legal Technologies</w:t>
      </w:r>
      <w:r>
        <w:t>, 6(2), pp.</w:t>
      </w:r>
      <w:r>
        <w:rPr>
          <w:lang w:val="en-US"/>
        </w:rPr>
        <w:t>64-78</w:t>
      </w:r>
    </w:p>
  </w:footnote>
  <w:footnote w:id="289">
    <w:p w:rsidR="00C62A14" w:rsidRPr="00A44EAA" w:rsidRDefault="00C62A14" w:rsidP="00926B5D">
      <w:pPr>
        <w:pStyle w:val="a6"/>
      </w:pPr>
      <w:r>
        <w:rPr>
          <w:rStyle w:val="a8"/>
        </w:rPr>
        <w:footnoteRef/>
      </w:r>
      <w:r>
        <w:t xml:space="preserve"> </w:t>
      </w:r>
      <w:r>
        <w:t xml:space="preserve">Avant, D. D., Finnemore, M. and Sell, S. K. (eds) (2010) </w:t>
      </w:r>
      <w:r>
        <w:rPr>
          <w:rStyle w:val="a5"/>
        </w:rPr>
        <w:t>Who Governs the Globe?</w:t>
      </w:r>
      <w:r>
        <w:t xml:space="preserve"> Cambridge: Cambridge University Press</w:t>
      </w:r>
    </w:p>
  </w:footnote>
  <w:footnote w:id="290">
    <w:p w:rsidR="00C62A14" w:rsidRPr="00A44EAA" w:rsidRDefault="00C62A14" w:rsidP="00926B5D">
      <w:pPr>
        <w:pStyle w:val="a6"/>
      </w:pPr>
      <w:r>
        <w:rPr>
          <w:rStyle w:val="a8"/>
        </w:rPr>
        <w:footnoteRef/>
      </w:r>
      <w:r>
        <w:t xml:space="preserve"> </w:t>
      </w:r>
      <w:r>
        <w:t xml:space="preserve">Granovetter, </w:t>
      </w:r>
      <w:r>
        <w:t xml:space="preserve">M. (1985) ‘Economic Action and Social Structure: The Problem of Embeddedness’, </w:t>
      </w:r>
      <w:r>
        <w:rPr>
          <w:rStyle w:val="a5"/>
        </w:rPr>
        <w:t>American Journal of Sociology</w:t>
      </w:r>
      <w:r>
        <w:t>, 91(3), pp. 481</w:t>
      </w:r>
      <w:r>
        <w:rPr>
          <w:lang w:val="en-US"/>
        </w:rPr>
        <w:t>-</w:t>
      </w:r>
      <w:r>
        <w:t>510</w:t>
      </w:r>
    </w:p>
  </w:footnote>
  <w:footnote w:id="291">
    <w:p w:rsidR="00C62A14" w:rsidRPr="00A44EAA" w:rsidRDefault="00C62A14" w:rsidP="00926B5D">
      <w:pPr>
        <w:pStyle w:val="a6"/>
      </w:pPr>
      <w:r>
        <w:rPr>
          <w:rStyle w:val="a8"/>
        </w:rPr>
        <w:footnoteRef/>
      </w:r>
      <w:r>
        <w:t xml:space="preserve"> </w:t>
      </w:r>
      <w:r>
        <w:t xml:space="preserve">DeNardis, </w:t>
      </w:r>
      <w:r>
        <w:t xml:space="preserve">L. (2020) </w:t>
      </w:r>
      <w:r>
        <w:rPr>
          <w:rStyle w:val="a5"/>
        </w:rPr>
        <w:t>The Internet in Everything: Freedom and Security in a World with No Off Switch</w:t>
      </w:r>
      <w:r>
        <w:t>. New Haven, CT: Yale University Press</w:t>
      </w:r>
    </w:p>
  </w:footnote>
  <w:footnote w:id="292">
    <w:p w:rsidR="00C62A14" w:rsidRPr="00FB4242" w:rsidRDefault="00C62A14" w:rsidP="00926B5D">
      <w:pPr>
        <w:pStyle w:val="a6"/>
        <w:rPr>
          <w:rFonts w:cstheme="minorHAnsi"/>
        </w:rPr>
      </w:pPr>
      <w:r>
        <w:rPr>
          <w:rStyle w:val="a8"/>
        </w:rPr>
        <w:footnoteRef/>
      </w:r>
      <w:r>
        <w:t xml:space="preserve"> </w:t>
      </w:r>
      <w:r>
        <w:t xml:space="preserve">Huawei </w:t>
      </w:r>
      <w:r>
        <w:t xml:space="preserve">(2022) </w:t>
      </w:r>
      <w:r>
        <w:rPr>
          <w:rStyle w:val="a5"/>
        </w:rPr>
        <w:t>ICT Sustainable Development Report: Partnering for a Digital Future</w:t>
      </w:r>
      <w:r>
        <w:t>. Shenzhen: Huawei Technologies Co., Ltd</w:t>
      </w:r>
      <w:r>
        <w:rPr>
          <w:lang w:val="en-US"/>
        </w:rPr>
        <w:t xml:space="preserve">.; </w:t>
      </w:r>
      <w:r>
        <w:t xml:space="preserve">Waguespack, D. M., Birnir, J. K. and Schroeder, J. (2020) ‘Open </w:t>
      </w:r>
      <w:r w:rsidRPr="00FB4242">
        <w:rPr>
          <w:rFonts w:cstheme="minorHAnsi"/>
        </w:rPr>
        <w:t xml:space="preserve">Standards and Organizational Participation: Industry Consortia in the Global ICT Sector’, </w:t>
      </w:r>
      <w:r w:rsidRPr="00FB4242">
        <w:rPr>
          <w:rStyle w:val="a5"/>
          <w:rFonts w:cstheme="minorHAnsi"/>
        </w:rPr>
        <w:t>Research Policy</w:t>
      </w:r>
      <w:r w:rsidRPr="00FB4242">
        <w:rPr>
          <w:rFonts w:cstheme="minorHAnsi"/>
        </w:rPr>
        <w:t>, 49(8), article 104002</w:t>
      </w:r>
    </w:p>
  </w:footnote>
  <w:footnote w:id="293">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i/>
          <w:iCs/>
        </w:rPr>
        <w:t xml:space="preserve">Suzor, </w:t>
      </w:r>
      <w:r w:rsidRPr="00FB4242">
        <w:rPr>
          <w:rFonts w:eastAsia="Times New Roman" w:cstheme="minorHAnsi"/>
          <w:i/>
          <w:iCs/>
        </w:rPr>
        <w:t>N. P. (2019) Lawless: The Secret Rules that Govern Our Digital Lives. Cambridge: Cambridge University Press</w:t>
      </w:r>
    </w:p>
  </w:footnote>
  <w:footnote w:id="294">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cstheme="minorHAnsi"/>
        </w:rPr>
        <w:t xml:space="preserve">Douek, </w:t>
      </w:r>
      <w:r w:rsidRPr="00FB4242">
        <w:rPr>
          <w:rFonts w:cstheme="minorHAnsi"/>
        </w:rPr>
        <w:t xml:space="preserve">E. (2024) ‘The Meta Oversight Board and the Empty Promise of Legitimacy’, </w:t>
      </w:r>
      <w:r w:rsidRPr="00FB4242">
        <w:rPr>
          <w:rStyle w:val="a5"/>
          <w:rFonts w:cstheme="minorHAnsi"/>
        </w:rPr>
        <w:t>Harvard Journal of Law &amp; Technology</w:t>
      </w:r>
      <w:r w:rsidRPr="00FB4242">
        <w:rPr>
          <w:rFonts w:cstheme="minorHAnsi"/>
        </w:rPr>
        <w:t>, 37(2).</w:t>
      </w:r>
    </w:p>
  </w:footnote>
  <w:footnote w:id="295">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cstheme="minorHAnsi"/>
        </w:rPr>
        <w:t xml:space="preserve">Ang, </w:t>
      </w:r>
      <w:r w:rsidRPr="00FB4242">
        <w:rPr>
          <w:rFonts w:cstheme="minorHAnsi"/>
        </w:rPr>
        <w:t xml:space="preserve">P. H. (2024) ‘The Governance, Legitimacy and Efficacy of Facebook’s Meta Platforms’, </w:t>
      </w:r>
      <w:r w:rsidRPr="00FB4242">
        <w:rPr>
          <w:rStyle w:val="a5"/>
          <w:rFonts w:cstheme="minorHAnsi"/>
        </w:rPr>
        <w:t>Social Media + Society</w:t>
      </w:r>
      <w:r w:rsidRPr="00FB4242">
        <w:rPr>
          <w:rFonts w:cstheme="minorHAnsi"/>
        </w:rPr>
        <w:t>, 10(1).</w:t>
      </w:r>
      <w:r w:rsidRPr="00FB4242">
        <w:rPr>
          <w:rFonts w:cstheme="minorHAnsi"/>
          <w:lang w:val="en-US"/>
        </w:rPr>
        <w:t xml:space="preserve"> </w:t>
      </w:r>
      <w:r w:rsidRPr="00FB4242">
        <w:rPr>
          <w:rFonts w:cstheme="minorHAnsi"/>
        </w:rPr>
        <w:t xml:space="preserve">O’Kane, R. (2022) ‘Meta’s Private Speech Governance and the Role of the Oversight Board: Lessons from the Board’s First Decisions’, </w:t>
      </w:r>
      <w:r w:rsidRPr="00FB4242">
        <w:rPr>
          <w:rStyle w:val="a5"/>
          <w:rFonts w:cstheme="minorHAnsi"/>
        </w:rPr>
        <w:t>Stanford Technology Law Review</w:t>
      </w:r>
      <w:r w:rsidRPr="00FB4242">
        <w:rPr>
          <w:rFonts w:cstheme="minorHAnsi"/>
        </w:rPr>
        <w:t>, 25 STLR 167</w:t>
      </w:r>
    </w:p>
  </w:footnote>
  <w:footnote w:id="296">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cstheme="minorHAnsi"/>
        </w:rPr>
        <w:t xml:space="preserve">Manokha, </w:t>
      </w:r>
      <w:r w:rsidRPr="00FB4242">
        <w:rPr>
          <w:rFonts w:cstheme="minorHAnsi"/>
        </w:rPr>
        <w:t xml:space="preserve">I. (2018) ‘Surveillance: The DNA of Platform Capital </w:t>
      </w:r>
      <w:r w:rsidRPr="00FB4242">
        <w:rPr>
          <w:rFonts w:cstheme="minorHAnsi"/>
          <w:lang w:val="en-US"/>
        </w:rPr>
        <w:t>-</w:t>
      </w:r>
      <w:r w:rsidRPr="00FB4242">
        <w:rPr>
          <w:rFonts w:cstheme="minorHAnsi"/>
        </w:rPr>
        <w:t xml:space="preserve"> The Case of Cambridge Analytica’, </w:t>
      </w:r>
      <w:r w:rsidRPr="00FB4242">
        <w:rPr>
          <w:rStyle w:val="a5"/>
          <w:rFonts w:cstheme="minorHAnsi"/>
        </w:rPr>
        <w:t>Media, Culture &amp; Society</w:t>
      </w:r>
    </w:p>
  </w:footnote>
  <w:footnote w:id="297">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Triolo, </w:t>
      </w:r>
      <w:r w:rsidRPr="00FB4242">
        <w:rPr>
          <w:rFonts w:eastAsia="Times New Roman" w:cstheme="minorHAnsi"/>
        </w:rPr>
        <w:t xml:space="preserve">P., Allison, K. and Brown, R. (2020) </w:t>
      </w:r>
      <w:r w:rsidRPr="00FB4242">
        <w:rPr>
          <w:rFonts w:eastAsia="Times New Roman" w:cstheme="minorHAnsi"/>
          <w:i/>
          <w:iCs/>
        </w:rPr>
        <w:t>The Geopolitics of 5G: Huawei and the Future of Global Networks</w:t>
      </w:r>
      <w:r w:rsidRPr="00FB4242">
        <w:rPr>
          <w:rFonts w:eastAsia="Times New Roman" w:cstheme="minorHAnsi"/>
        </w:rPr>
        <w:t>. Washington, DC: Eurasia Group</w:t>
      </w:r>
    </w:p>
  </w:footnote>
  <w:footnote w:id="298">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Balding, </w:t>
      </w:r>
      <w:r w:rsidRPr="00FB4242">
        <w:rPr>
          <w:rFonts w:eastAsia="Times New Roman" w:cstheme="minorHAnsi"/>
        </w:rPr>
        <w:t xml:space="preserve">C. (2020) ‘Huawei and the Techno-Nationalist Model of State Capitalism’, </w:t>
      </w:r>
      <w:r w:rsidRPr="00FB4242">
        <w:rPr>
          <w:rFonts w:eastAsia="Times New Roman" w:cstheme="minorHAnsi"/>
          <w:i/>
          <w:iCs/>
        </w:rPr>
        <w:t>China Economic Review</w:t>
      </w:r>
      <w:r w:rsidRPr="00FB4242">
        <w:rPr>
          <w:rFonts w:eastAsia="Times New Roman" w:cstheme="minorHAnsi"/>
        </w:rPr>
        <w:t>, 63, article 101527</w:t>
      </w:r>
    </w:p>
  </w:footnote>
  <w:footnote w:id="299">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Liu, </w:t>
      </w:r>
      <w:r w:rsidRPr="00FB4242">
        <w:rPr>
          <w:rFonts w:eastAsia="Times New Roman" w:cstheme="minorHAnsi"/>
        </w:rPr>
        <w:t xml:space="preserve">H. (2021) ‘Huawei, 5G, and China’s Digital Silk Road: The Politics of Technological Sovereignty’, </w:t>
      </w:r>
      <w:r w:rsidRPr="00FB4242">
        <w:rPr>
          <w:rFonts w:eastAsia="Times New Roman" w:cstheme="minorHAnsi"/>
          <w:i/>
          <w:iCs/>
        </w:rPr>
        <w:t>Global Policy</w:t>
      </w:r>
      <w:r w:rsidRPr="00FB4242">
        <w:rPr>
          <w:rFonts w:eastAsia="Times New Roman" w:cstheme="minorHAnsi"/>
        </w:rPr>
        <w:t>, 12(S3), pp. 5</w:t>
      </w:r>
      <w:r w:rsidRPr="00FB4242">
        <w:rPr>
          <w:rFonts w:eastAsia="Times New Roman" w:cstheme="minorHAnsi"/>
          <w:lang w:val="en-US"/>
        </w:rPr>
        <w:t>-</w:t>
      </w:r>
      <w:r w:rsidRPr="00FB4242">
        <w:rPr>
          <w:rFonts w:eastAsia="Times New Roman" w:cstheme="minorHAnsi"/>
        </w:rPr>
        <w:t>17</w:t>
      </w:r>
    </w:p>
  </w:footnote>
  <w:footnote w:id="300">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Binder, </w:t>
      </w:r>
      <w:r w:rsidRPr="00FB4242">
        <w:rPr>
          <w:rFonts w:eastAsia="Times New Roman" w:cstheme="minorHAnsi"/>
        </w:rPr>
        <w:t xml:space="preserve">J. and Heupel, M. (2022) ‘Security, Trust, and Legitimacy in Global Technical Infrastructures: The Case of Huawei’, </w:t>
      </w:r>
      <w:r w:rsidRPr="00FB4242">
        <w:rPr>
          <w:rFonts w:eastAsia="Times New Roman" w:cstheme="minorHAnsi"/>
          <w:i/>
          <w:iCs/>
        </w:rPr>
        <w:t>Contemporary Security Policy</w:t>
      </w:r>
      <w:r w:rsidRPr="00FB4242">
        <w:rPr>
          <w:rFonts w:eastAsia="Times New Roman" w:cstheme="minorHAnsi"/>
        </w:rPr>
        <w:t>, 43(4), pp. 679</w:t>
      </w:r>
      <w:r w:rsidRPr="00FB4242">
        <w:rPr>
          <w:rFonts w:eastAsia="Times New Roman" w:cstheme="minorHAnsi"/>
          <w:lang w:val="en-US"/>
        </w:rPr>
        <w:t>-</w:t>
      </w:r>
      <w:r w:rsidRPr="00FB4242">
        <w:rPr>
          <w:rFonts w:eastAsia="Times New Roman" w:cstheme="minorHAnsi"/>
        </w:rPr>
        <w:t>707</w:t>
      </w:r>
    </w:p>
  </w:footnote>
  <w:footnote w:id="301">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Pollock, </w:t>
      </w:r>
      <w:r w:rsidRPr="00FB4242">
        <w:rPr>
          <w:rFonts w:eastAsia="Times New Roman" w:cstheme="minorHAnsi"/>
        </w:rPr>
        <w:t>N. and Williams, R. (2008) Software and Organisations: The Biography of the Enterprise-Wide System or How SAP Conquered the World. London: Routledge.</w:t>
      </w:r>
    </w:p>
  </w:footnote>
  <w:footnote w:id="302">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Pollock, </w:t>
      </w:r>
      <w:r w:rsidRPr="00FB4242">
        <w:rPr>
          <w:rFonts w:eastAsia="Times New Roman" w:cstheme="minorHAnsi"/>
        </w:rPr>
        <w:t xml:space="preserve">N. and Williams, R. (2008) </w:t>
      </w:r>
      <w:r w:rsidRPr="00FB4242">
        <w:rPr>
          <w:rFonts w:eastAsia="Times New Roman" w:cstheme="minorHAnsi"/>
          <w:i/>
          <w:iCs/>
        </w:rPr>
        <w:t>Software and Organisations: The Biography of the Enterprise-Wide System or How SAP Conquered the World</w:t>
      </w:r>
      <w:r w:rsidRPr="00FB4242">
        <w:rPr>
          <w:rFonts w:eastAsia="Times New Roman" w:cstheme="minorHAnsi"/>
        </w:rPr>
        <w:t>. London: Routledge</w:t>
      </w:r>
    </w:p>
  </w:footnote>
  <w:footnote w:id="303">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Pollock, </w:t>
      </w:r>
      <w:r w:rsidRPr="00FB4242">
        <w:rPr>
          <w:rFonts w:eastAsia="Times New Roman" w:cstheme="minorHAnsi"/>
        </w:rPr>
        <w:t xml:space="preserve">N. and Williams, R. (2008) </w:t>
      </w:r>
      <w:r w:rsidRPr="00FB4242">
        <w:rPr>
          <w:rFonts w:eastAsia="Times New Roman" w:cstheme="minorHAnsi"/>
          <w:i/>
          <w:iCs/>
        </w:rPr>
        <w:t>Software and Organisations: The Biography of the Enterprise-Wide System or How SAP Conquered the World</w:t>
      </w:r>
      <w:r w:rsidRPr="00FB4242">
        <w:rPr>
          <w:rFonts w:eastAsia="Times New Roman" w:cstheme="minorHAnsi"/>
        </w:rPr>
        <w:t>. London: Routledge.</w:t>
      </w:r>
      <w:r w:rsidRPr="00FB4242">
        <w:rPr>
          <w:rFonts w:eastAsia="Times New Roman" w:cstheme="minorHAnsi"/>
          <w:lang w:val="en-US"/>
        </w:rPr>
        <w:t xml:space="preserve"> </w:t>
      </w:r>
      <w:r w:rsidRPr="00FB4242">
        <w:rPr>
          <w:rFonts w:eastAsia="Times New Roman" w:cstheme="minorHAnsi"/>
        </w:rPr>
        <w:t xml:space="preserve">European Commission (2020) </w:t>
      </w:r>
      <w:r w:rsidRPr="00FB4242">
        <w:rPr>
          <w:rFonts w:eastAsia="Times New Roman" w:cstheme="minorHAnsi"/>
          <w:i/>
          <w:iCs/>
        </w:rPr>
        <w:t>The Digital Economy and Society Index (DESI)</w:t>
      </w:r>
      <w:r w:rsidRPr="00FB4242">
        <w:rPr>
          <w:rFonts w:eastAsia="Times New Roman" w:cstheme="minorHAnsi"/>
        </w:rPr>
        <w:t>. Brussels: European Commission</w:t>
      </w:r>
    </w:p>
  </w:footnote>
  <w:footnote w:id="304">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Hinings, </w:t>
      </w:r>
      <w:r w:rsidRPr="00FB4242">
        <w:rPr>
          <w:rFonts w:eastAsia="Times New Roman" w:cstheme="minorHAnsi"/>
        </w:rPr>
        <w:t xml:space="preserve">B., Gegenhuber, T. and Greenwood, R. (2018) ‘Digital Innovation and Transformation: An Institutional Perspective’, </w:t>
      </w:r>
      <w:r w:rsidRPr="00FB4242">
        <w:rPr>
          <w:rFonts w:eastAsia="Times New Roman" w:cstheme="minorHAnsi"/>
          <w:i/>
          <w:iCs/>
        </w:rPr>
        <w:t>Information and Organization</w:t>
      </w:r>
      <w:r w:rsidRPr="00FB4242">
        <w:rPr>
          <w:rFonts w:eastAsia="Times New Roman" w:cstheme="minorHAnsi"/>
        </w:rPr>
        <w:t>, 28(1), pp. 52</w:t>
      </w:r>
      <w:r w:rsidRPr="00FB4242">
        <w:rPr>
          <w:rFonts w:eastAsia="Times New Roman" w:cstheme="minorHAnsi"/>
          <w:rtl/>
        </w:rPr>
        <w:t>-</w:t>
      </w:r>
      <w:r w:rsidRPr="00FB4242">
        <w:rPr>
          <w:rFonts w:eastAsia="Times New Roman" w:cstheme="minorHAnsi"/>
        </w:rPr>
        <w:t>61.</w:t>
      </w:r>
    </w:p>
    <w:p w:rsidR="00C62A14" w:rsidRPr="00FB4242" w:rsidRDefault="00C62A14" w:rsidP="00926B5D">
      <w:pPr>
        <w:pStyle w:val="a6"/>
        <w:rPr>
          <w:rFonts w:cstheme="minorHAnsi"/>
        </w:rPr>
      </w:pPr>
    </w:p>
  </w:footnote>
  <w:footnote w:id="305">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Schmidt, </w:t>
      </w:r>
      <w:r w:rsidRPr="00FB4242">
        <w:rPr>
          <w:rFonts w:eastAsia="Times New Roman" w:cstheme="minorHAnsi"/>
        </w:rPr>
        <w:t xml:space="preserve">V. A. (2002) </w:t>
      </w:r>
      <w:r w:rsidRPr="00FB4242">
        <w:rPr>
          <w:rFonts w:eastAsia="Times New Roman" w:cstheme="minorHAnsi"/>
          <w:i/>
          <w:iCs/>
        </w:rPr>
        <w:t>The Futures of European Capitalism</w:t>
      </w:r>
      <w:r w:rsidRPr="00FB4242">
        <w:rPr>
          <w:rFonts w:eastAsia="Times New Roman" w:cstheme="minorHAnsi"/>
        </w:rPr>
        <w:t>. Oxford: Oxford University Press</w:t>
      </w:r>
    </w:p>
  </w:footnote>
  <w:footnote w:id="306">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Weill, </w:t>
      </w:r>
      <w:r w:rsidRPr="00FB4242">
        <w:rPr>
          <w:rFonts w:eastAsia="Times New Roman" w:cstheme="minorHAnsi"/>
        </w:rPr>
        <w:t xml:space="preserve">P. and Ross, J. W. (2004) </w:t>
      </w:r>
      <w:r w:rsidRPr="00FB4242">
        <w:rPr>
          <w:rFonts w:eastAsia="Times New Roman" w:cstheme="minorHAnsi"/>
          <w:i/>
          <w:iCs/>
        </w:rPr>
        <w:t>IT Governance: How Top Performers Manage IT Decision Rights for Superior Results</w:t>
      </w:r>
      <w:r w:rsidRPr="00FB4242">
        <w:rPr>
          <w:rFonts w:eastAsia="Times New Roman" w:cstheme="minorHAnsi"/>
        </w:rPr>
        <w:t>. Boston, MA: Harvard Business School Press</w:t>
      </w:r>
      <w:r w:rsidRPr="00FB4242">
        <w:rPr>
          <w:rFonts w:eastAsia="Times New Roman" w:cstheme="minorHAnsi"/>
          <w:lang w:val="en-US"/>
        </w:rPr>
        <w:t xml:space="preserve">. </w:t>
      </w:r>
      <w:r w:rsidRPr="00FB4242">
        <w:rPr>
          <w:rFonts w:eastAsia="Times New Roman" w:cstheme="minorHAnsi"/>
        </w:rPr>
        <w:t xml:space="preserve">Höpner, M. and Schäfer, A. (2012) ‘Embeddedness and Regional Integration: Waiting for the Economic Spillovers from Monetary Union’, </w:t>
      </w:r>
      <w:r w:rsidRPr="00FB4242">
        <w:rPr>
          <w:rFonts w:eastAsia="Times New Roman" w:cstheme="minorHAnsi"/>
          <w:i/>
          <w:iCs/>
        </w:rPr>
        <w:t>Journal of European Public Policy</w:t>
      </w:r>
      <w:r w:rsidRPr="00FB4242">
        <w:rPr>
          <w:rFonts w:eastAsia="Times New Roman" w:cstheme="minorHAnsi"/>
        </w:rPr>
        <w:t>, 19(1), pp. 1</w:t>
      </w:r>
      <w:r w:rsidRPr="00FB4242">
        <w:rPr>
          <w:rFonts w:eastAsia="Times New Roman" w:cstheme="minorHAnsi"/>
          <w:lang w:val="en-US"/>
        </w:rPr>
        <w:t>-</w:t>
      </w:r>
      <w:r w:rsidRPr="00FB4242">
        <w:rPr>
          <w:rFonts w:eastAsia="Times New Roman" w:cstheme="minorHAnsi"/>
        </w:rPr>
        <w:t>16</w:t>
      </w:r>
    </w:p>
  </w:footnote>
  <w:footnote w:id="307">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Mann, </w:t>
      </w:r>
      <w:r w:rsidRPr="00FB4242">
        <w:rPr>
          <w:rFonts w:eastAsia="Times New Roman" w:cstheme="minorHAnsi"/>
        </w:rPr>
        <w:t xml:space="preserve">M. (1984) ‘The Autonomous Power of the State: Its Origins, Mechanisms and Results’, </w:t>
      </w:r>
      <w:r w:rsidRPr="00FB4242">
        <w:rPr>
          <w:rFonts w:eastAsia="Times New Roman" w:cstheme="minorHAnsi"/>
          <w:i/>
          <w:iCs/>
        </w:rPr>
        <w:t>European Journal of Sociology</w:t>
      </w:r>
      <w:r w:rsidRPr="00FB4242">
        <w:rPr>
          <w:rFonts w:eastAsia="Times New Roman" w:cstheme="minorHAnsi"/>
        </w:rPr>
        <w:t>, 25(2), pp. 185-213</w:t>
      </w:r>
    </w:p>
  </w:footnote>
  <w:footnote w:id="308">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Plantin, </w:t>
      </w:r>
      <w:r w:rsidRPr="00FB4242">
        <w:rPr>
          <w:rFonts w:eastAsia="Times New Roman" w:cstheme="minorHAnsi"/>
        </w:rPr>
        <w:t xml:space="preserve">J.-C., Lagoze, C., Edwards, P. N. and Sandvig, C. (2018) ‘Infrastructure Studies Meet Platform Studies in the Age of Google and Facebook’, </w:t>
      </w:r>
      <w:r w:rsidRPr="00FB4242">
        <w:rPr>
          <w:rFonts w:eastAsia="Times New Roman" w:cstheme="minorHAnsi"/>
          <w:i/>
          <w:iCs/>
        </w:rPr>
        <w:t>New Media &amp; Society</w:t>
      </w:r>
      <w:r w:rsidRPr="00FB4242">
        <w:rPr>
          <w:rFonts w:eastAsia="Times New Roman" w:cstheme="minorHAnsi"/>
        </w:rPr>
        <w:t>, 20(1), pp. 293</w:t>
      </w:r>
      <w:r w:rsidRPr="00FB4242">
        <w:rPr>
          <w:rFonts w:eastAsia="Times New Roman" w:cstheme="minorHAnsi"/>
          <w:lang w:val="en-US"/>
        </w:rPr>
        <w:t>-</w:t>
      </w:r>
      <w:r w:rsidRPr="00FB4242">
        <w:rPr>
          <w:rFonts w:eastAsia="Times New Roman" w:cstheme="minorHAnsi"/>
        </w:rPr>
        <w:t>310</w:t>
      </w:r>
      <w:r w:rsidRPr="00FB4242">
        <w:rPr>
          <w:rFonts w:eastAsia="Times New Roman" w:cstheme="minorHAnsi"/>
          <w:lang w:val="en-US"/>
        </w:rPr>
        <w:t xml:space="preserve">; </w:t>
      </w:r>
      <w:r w:rsidRPr="00FB4242">
        <w:rPr>
          <w:rFonts w:eastAsia="Times New Roman" w:cstheme="minorHAnsi"/>
        </w:rPr>
        <w:t xml:space="preserve">Musiani, F., Cogburn, D. L., DeNardis, L. and Levinson, N. S. (eds) (2016) </w:t>
      </w:r>
      <w:r w:rsidRPr="00FB4242">
        <w:rPr>
          <w:rFonts w:eastAsia="Times New Roman" w:cstheme="minorHAnsi"/>
          <w:i/>
          <w:iCs/>
        </w:rPr>
        <w:t>The Turn to Infrastructure in Internet Governance</w:t>
      </w:r>
      <w:r w:rsidRPr="00FB4242">
        <w:rPr>
          <w:rFonts w:eastAsia="Times New Roman" w:cstheme="minorHAnsi"/>
        </w:rPr>
        <w:t>. New York: Palgrave Macmillan.</w:t>
      </w:r>
      <w:r w:rsidRPr="00FB4242">
        <w:rPr>
          <w:rFonts w:eastAsia="Times New Roman" w:cstheme="minorHAnsi"/>
          <w:lang w:val="en-US"/>
        </w:rPr>
        <w:t xml:space="preserve"> </w:t>
      </w:r>
      <w:r w:rsidRPr="00FB4242">
        <w:rPr>
          <w:rFonts w:eastAsia="Times New Roman" w:cstheme="minorHAnsi"/>
        </w:rPr>
        <w:t xml:space="preserve">Starosielski, N. (2015) </w:t>
      </w:r>
      <w:r w:rsidRPr="00FB4242">
        <w:rPr>
          <w:rFonts w:eastAsia="Times New Roman" w:cstheme="minorHAnsi"/>
          <w:i/>
          <w:iCs/>
        </w:rPr>
        <w:t>The Undersea Network</w:t>
      </w:r>
      <w:r w:rsidRPr="00FB4242">
        <w:rPr>
          <w:rFonts w:eastAsia="Times New Roman" w:cstheme="minorHAnsi"/>
        </w:rPr>
        <w:t>. Durham, NC: Duke University Press</w:t>
      </w:r>
    </w:p>
  </w:footnote>
  <w:footnote w:id="309">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Kaye, </w:t>
      </w:r>
      <w:r w:rsidRPr="00FB4242">
        <w:rPr>
          <w:rFonts w:eastAsia="Times New Roman" w:cstheme="minorHAnsi"/>
        </w:rPr>
        <w:t xml:space="preserve">D. (2019) </w:t>
      </w:r>
      <w:r w:rsidRPr="00FB4242">
        <w:rPr>
          <w:rFonts w:eastAsia="Times New Roman" w:cstheme="minorHAnsi"/>
          <w:i/>
          <w:iCs/>
        </w:rPr>
        <w:t>Speech Police: The Global Struggle to Govern the Internet</w:t>
      </w:r>
      <w:r w:rsidRPr="00FB4242">
        <w:rPr>
          <w:rFonts w:eastAsia="Times New Roman" w:cstheme="minorHAnsi"/>
        </w:rPr>
        <w:t>. New Haven, CT: Yale University Press</w:t>
      </w:r>
    </w:p>
  </w:footnote>
  <w:footnote w:id="310">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Liu, </w:t>
      </w:r>
      <w:r w:rsidRPr="00FB4242">
        <w:rPr>
          <w:rFonts w:eastAsia="Times New Roman" w:cstheme="minorHAnsi"/>
        </w:rPr>
        <w:t xml:space="preserve">H. (2021)‘Huawei, 5G, and China’s Digital Silk Road: The Politics of Technological Sovereignty’, </w:t>
      </w:r>
      <w:r w:rsidRPr="00FB4242">
        <w:rPr>
          <w:rFonts w:eastAsia="Times New Roman" w:cstheme="minorHAnsi"/>
          <w:i/>
          <w:iCs/>
        </w:rPr>
        <w:t>Global Policy</w:t>
      </w:r>
      <w:r w:rsidRPr="00FB4242">
        <w:rPr>
          <w:rFonts w:eastAsia="Times New Roman" w:cstheme="minorHAnsi"/>
        </w:rPr>
        <w:t>, 12(S3), pp. 5</w:t>
      </w:r>
      <w:r w:rsidRPr="00FB4242">
        <w:rPr>
          <w:rFonts w:eastAsia="Times New Roman" w:cstheme="minorHAnsi"/>
          <w:lang w:val="en-US"/>
        </w:rPr>
        <w:t>-</w:t>
      </w:r>
      <w:r w:rsidRPr="00FB4242">
        <w:rPr>
          <w:rFonts w:eastAsia="Times New Roman" w:cstheme="minorHAnsi"/>
        </w:rPr>
        <w:t>17</w:t>
      </w:r>
      <w:r w:rsidRPr="00FB4242">
        <w:rPr>
          <w:rFonts w:eastAsia="Times New Roman" w:cstheme="minorHAnsi"/>
          <w:lang w:val="en-US"/>
        </w:rPr>
        <w:t xml:space="preserve">, </w:t>
      </w:r>
      <w:r w:rsidRPr="00FB4242">
        <w:rPr>
          <w:rFonts w:eastAsia="Times New Roman" w:cstheme="minorHAnsi"/>
        </w:rPr>
        <w:t>Balding, C. (2020)</w:t>
      </w:r>
      <w:r w:rsidRPr="00FB4242">
        <w:rPr>
          <w:rFonts w:eastAsia="Times New Roman" w:cstheme="minorHAnsi"/>
          <w:lang w:val="en-US"/>
        </w:rPr>
        <w:t xml:space="preserve"> </w:t>
      </w:r>
      <w:r w:rsidRPr="00FB4242">
        <w:rPr>
          <w:rFonts w:eastAsia="Times New Roman" w:cstheme="minorHAnsi"/>
        </w:rPr>
        <w:t xml:space="preserve">‘Huawei and the Techno-Nationalist Model of State Capitalism’, </w:t>
      </w:r>
      <w:r w:rsidRPr="00FB4242">
        <w:rPr>
          <w:rFonts w:eastAsia="Times New Roman" w:cstheme="minorHAnsi"/>
          <w:i/>
          <w:iCs/>
        </w:rPr>
        <w:t>China Economic Review</w:t>
      </w:r>
      <w:r w:rsidRPr="00FB4242">
        <w:rPr>
          <w:rFonts w:eastAsia="Times New Roman" w:cstheme="minorHAnsi"/>
        </w:rPr>
        <w:t>, 63, article 101527</w:t>
      </w:r>
      <w:r w:rsidRPr="00FB4242">
        <w:rPr>
          <w:rFonts w:eastAsia="Times New Roman" w:cstheme="minorHAnsi"/>
          <w:lang w:val="en-US"/>
        </w:rPr>
        <w:t xml:space="preserve">, </w:t>
      </w:r>
      <w:r w:rsidRPr="00FB4242">
        <w:rPr>
          <w:rFonts w:eastAsia="Times New Roman" w:cstheme="minorHAnsi"/>
        </w:rPr>
        <w:t xml:space="preserve">Triolo, P., Allison, K. and Brown, R. (2020) </w:t>
      </w:r>
      <w:r w:rsidRPr="00FB4242">
        <w:rPr>
          <w:rFonts w:eastAsia="Times New Roman" w:cstheme="minorHAnsi"/>
          <w:i/>
          <w:iCs/>
        </w:rPr>
        <w:t>The Geopolitics of 5G: Huawei and the Future of Global Networks</w:t>
      </w:r>
      <w:r w:rsidRPr="00FB4242">
        <w:rPr>
          <w:rFonts w:eastAsia="Times New Roman" w:cstheme="minorHAnsi"/>
        </w:rPr>
        <w:t>. Washington, DC: Eurasia Group</w:t>
      </w:r>
      <w:r w:rsidRPr="00FB4242">
        <w:rPr>
          <w:rFonts w:eastAsia="Times New Roman" w:cstheme="minorHAnsi"/>
          <w:lang w:val="en-US"/>
        </w:rPr>
        <w:t xml:space="preserve">, </w:t>
      </w:r>
      <w:r w:rsidRPr="00FB4242">
        <w:rPr>
          <w:rFonts w:eastAsia="Times New Roman" w:cstheme="minorHAnsi"/>
        </w:rPr>
        <w:t xml:space="preserve">Inkster, N. (2019) </w:t>
      </w:r>
      <w:r w:rsidRPr="00FB4242">
        <w:rPr>
          <w:rFonts w:eastAsia="Times New Roman" w:cstheme="minorHAnsi"/>
          <w:i/>
          <w:iCs/>
        </w:rPr>
        <w:t>China’s Cyber Power</w:t>
      </w:r>
      <w:r w:rsidRPr="00FB4242">
        <w:rPr>
          <w:rFonts w:eastAsia="Times New Roman" w:cstheme="minorHAnsi"/>
        </w:rPr>
        <w:t>. London: Routledge / IISS</w:t>
      </w:r>
      <w:r w:rsidRPr="00FB4242">
        <w:rPr>
          <w:rFonts w:eastAsia="Times New Roman" w:cstheme="minorHAnsi"/>
          <w:lang w:val="en-US"/>
        </w:rPr>
        <w:t>.</w:t>
      </w:r>
    </w:p>
    <w:p w:rsidR="00C62A14" w:rsidRPr="00FB4242" w:rsidRDefault="00C62A14" w:rsidP="00926B5D">
      <w:pPr>
        <w:pStyle w:val="a6"/>
        <w:rPr>
          <w:rFonts w:cstheme="minorHAnsi"/>
          <w:lang w:val="en-US"/>
        </w:rPr>
      </w:pPr>
    </w:p>
  </w:footnote>
  <w:footnote w:id="311">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Pollock, N. and Williams, R. (2008) </w:t>
      </w:r>
      <w:r w:rsidRPr="00FB4242">
        <w:rPr>
          <w:rFonts w:eastAsia="Times New Roman" w:cstheme="minorHAnsi"/>
          <w:i/>
          <w:iCs/>
        </w:rPr>
        <w:t>Software and Organisations: The Biography of the Enterprise-Wide System or How SAP Conquered the World</w:t>
      </w:r>
      <w:r w:rsidRPr="00FB4242">
        <w:rPr>
          <w:rFonts w:eastAsia="Times New Roman" w:cstheme="minorHAnsi"/>
        </w:rPr>
        <w:t>. London: Routledge</w:t>
      </w:r>
      <w:r w:rsidRPr="00FB4242">
        <w:rPr>
          <w:rFonts w:eastAsia="Times New Roman" w:cstheme="minorHAnsi"/>
          <w:lang w:val="en-US"/>
        </w:rPr>
        <w:t xml:space="preserve">, </w:t>
      </w:r>
      <w:r w:rsidRPr="00FB4242">
        <w:rPr>
          <w:rFonts w:eastAsia="Times New Roman" w:cstheme="minorHAnsi"/>
        </w:rPr>
        <w:t xml:space="preserve">Hanseth, O. and Lyytinen, K. (2010) ‘Design Theory for Dynamic Complexity in Information Infrastructures: The Case of Building Internet’, </w:t>
      </w:r>
      <w:r w:rsidRPr="00FB4242">
        <w:rPr>
          <w:rFonts w:eastAsia="Times New Roman" w:cstheme="minorHAnsi"/>
          <w:i/>
          <w:iCs/>
        </w:rPr>
        <w:t>Journal of Information Technology</w:t>
      </w:r>
      <w:r w:rsidRPr="00FB4242">
        <w:rPr>
          <w:rFonts w:eastAsia="Times New Roman" w:cstheme="minorHAnsi"/>
        </w:rPr>
        <w:t>, 25(1), pp. 1</w:t>
      </w:r>
      <w:r w:rsidRPr="00FB4242">
        <w:rPr>
          <w:rFonts w:eastAsia="Times New Roman" w:cstheme="minorHAnsi"/>
          <w:lang w:val="en-US"/>
        </w:rPr>
        <w:t>-</w:t>
      </w:r>
      <w:r w:rsidRPr="00FB4242">
        <w:rPr>
          <w:rFonts w:eastAsia="Times New Roman" w:cstheme="minorHAnsi"/>
        </w:rPr>
        <w:t>19</w:t>
      </w:r>
      <w:r w:rsidRPr="00FB4242">
        <w:rPr>
          <w:rFonts w:eastAsia="Times New Roman" w:cstheme="minorHAnsi"/>
          <w:lang w:val="en-US"/>
        </w:rPr>
        <w:t xml:space="preserve">. </w:t>
      </w:r>
      <w:r w:rsidRPr="00FB4242">
        <w:rPr>
          <w:rFonts w:eastAsia="Times New Roman" w:cstheme="minorHAnsi"/>
        </w:rPr>
        <w:t xml:space="preserve">Davenport, T. H. (1998) ‘Putting the Enterprise into the Enterprise System’, </w:t>
      </w:r>
      <w:r w:rsidRPr="00FB4242">
        <w:rPr>
          <w:rFonts w:eastAsia="Times New Roman" w:cstheme="minorHAnsi"/>
          <w:i/>
          <w:iCs/>
        </w:rPr>
        <w:t>Harvard Business Review</w:t>
      </w:r>
      <w:r w:rsidRPr="00FB4242">
        <w:rPr>
          <w:rFonts w:eastAsia="Times New Roman" w:cstheme="minorHAnsi"/>
        </w:rPr>
        <w:t>, 76(4), pp. 121-131</w:t>
      </w:r>
      <w:r w:rsidRPr="00FB4242">
        <w:rPr>
          <w:rFonts w:eastAsia="Times New Roman" w:cstheme="minorHAnsi"/>
          <w:lang w:val="en-US"/>
        </w:rPr>
        <w:t xml:space="preserve">. </w:t>
      </w:r>
      <w:r w:rsidRPr="00FB4242">
        <w:rPr>
          <w:rFonts w:eastAsia="Times New Roman" w:cstheme="minorHAnsi"/>
        </w:rPr>
        <w:t xml:space="preserve">Hinings, B., Gegenhuber, T. and Greenwood, R. (2018) ‘Digital Innovation and Transformation: An Institutional Perspective’, </w:t>
      </w:r>
      <w:r w:rsidRPr="00FB4242">
        <w:rPr>
          <w:rFonts w:eastAsia="Times New Roman" w:cstheme="minorHAnsi"/>
          <w:i/>
          <w:iCs/>
        </w:rPr>
        <w:t>Information and Organization</w:t>
      </w:r>
      <w:r w:rsidRPr="00FB4242">
        <w:rPr>
          <w:rFonts w:eastAsia="Times New Roman" w:cstheme="minorHAnsi"/>
        </w:rPr>
        <w:t>, 28(1), pp. 52-61</w:t>
      </w:r>
      <w:r w:rsidRPr="00FB4242">
        <w:rPr>
          <w:rFonts w:eastAsia="Times New Roman" w:cstheme="minorHAnsi"/>
          <w:lang w:val="en-US"/>
        </w:rPr>
        <w:t>.</w:t>
      </w:r>
    </w:p>
    <w:p w:rsidR="00C62A14" w:rsidRPr="00303013" w:rsidRDefault="00C62A14" w:rsidP="00926B5D">
      <w:pPr>
        <w:pStyle w:val="a6"/>
        <w:rPr>
          <w:lang w:val="en-US"/>
        </w:rPr>
      </w:pPr>
    </w:p>
  </w:footnote>
  <w:footnote w:id="312">
    <w:p w:rsidR="00C62A14" w:rsidRPr="00303013" w:rsidRDefault="00C62A14" w:rsidP="00926B5D">
      <w:pPr>
        <w:pStyle w:val="a6"/>
      </w:pPr>
      <w:r>
        <w:rPr>
          <w:rStyle w:val="a8"/>
        </w:rPr>
        <w:footnoteRef/>
      </w:r>
      <w:r>
        <w:t xml:space="preserve"> </w:t>
      </w:r>
      <w:r>
        <w:rPr>
          <w:rFonts w:ascii="Times New Roman" w:eastAsia="Times New Roman" w:hAnsi="Times New Roman" w:cs="Times New Roman"/>
        </w:rPr>
        <w:t xml:space="preserve">DeNardis, L. (2020) </w:t>
      </w:r>
      <w:r w:rsidRPr="00846DD1">
        <w:rPr>
          <w:rFonts w:ascii="Times New Roman" w:eastAsia="Times New Roman" w:hAnsi="Times New Roman" w:cs="Times New Roman"/>
          <w:i/>
          <w:iCs/>
        </w:rPr>
        <w:t>The Internet in Everything: Freedom and Security in a World with No Off Switch</w:t>
      </w:r>
      <w:r w:rsidRPr="00846DD1">
        <w:rPr>
          <w:rFonts w:ascii="Times New Roman" w:eastAsia="Times New Roman" w:hAnsi="Times New Roman" w:cs="Times New Roman"/>
        </w:rPr>
        <w:t>. New Haven, CT: Yale University Press</w:t>
      </w:r>
    </w:p>
  </w:footnote>
  <w:footnote w:id="313">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Farrell, </w:t>
      </w:r>
      <w:r w:rsidRPr="00FB4242">
        <w:rPr>
          <w:rFonts w:eastAsia="Times New Roman" w:cstheme="minorHAnsi"/>
        </w:rPr>
        <w:t xml:space="preserve">H. and Newman, A. L. (2019) ‘Weaponized Interdependence: How Global Economic Networks Shape State Coercion’, </w:t>
      </w:r>
      <w:r w:rsidRPr="00FB4242">
        <w:rPr>
          <w:rFonts w:eastAsia="Times New Roman" w:cstheme="minorHAnsi"/>
          <w:i/>
          <w:iCs/>
        </w:rPr>
        <w:t>International Security</w:t>
      </w:r>
      <w:r w:rsidRPr="00FB4242">
        <w:rPr>
          <w:rFonts w:eastAsia="Times New Roman" w:cstheme="minorHAnsi"/>
        </w:rPr>
        <w:t>, 44(1), pp. 42-79</w:t>
      </w:r>
    </w:p>
  </w:footnote>
  <w:footnote w:id="314">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Gillespie, </w:t>
      </w:r>
      <w:r w:rsidRPr="00FB4242">
        <w:rPr>
          <w:rFonts w:eastAsia="Times New Roman" w:cstheme="minorHAnsi"/>
        </w:rPr>
        <w:t>T. (2018)</w:t>
      </w:r>
      <w:r w:rsidRPr="00FB4242">
        <w:rPr>
          <w:rFonts w:eastAsia="Times New Roman" w:cstheme="minorHAnsi"/>
          <w:rtl/>
        </w:rPr>
        <w:t xml:space="preserve"> </w:t>
      </w:r>
      <w:r w:rsidRPr="00FB4242">
        <w:rPr>
          <w:rFonts w:eastAsia="Times New Roman" w:cstheme="minorHAnsi"/>
          <w:i/>
          <w:iCs/>
        </w:rPr>
        <w:t>Custodians of the Internet: Platforms, Content Moderation, and the Hidden Decisions That Shape Social Media</w:t>
      </w:r>
      <w:r w:rsidRPr="00FB4242">
        <w:rPr>
          <w:rFonts w:eastAsia="Times New Roman" w:cstheme="minorHAnsi"/>
        </w:rPr>
        <w:t>. New Haven, CT: Yale University Press</w:t>
      </w:r>
      <w:r w:rsidRPr="00FB4242">
        <w:rPr>
          <w:rFonts w:eastAsia="Times New Roman" w:cstheme="minorHAnsi"/>
          <w:lang w:val="en-US"/>
        </w:rPr>
        <w:t>.</w:t>
      </w:r>
    </w:p>
  </w:footnote>
  <w:footnote w:id="315">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Vaidhyanathan, S. (2018) </w:t>
      </w:r>
      <w:r w:rsidRPr="00FB4242">
        <w:rPr>
          <w:rFonts w:eastAsia="Times New Roman" w:cstheme="minorHAnsi"/>
          <w:i/>
          <w:iCs/>
        </w:rPr>
        <w:t>Antisocial Media: How Facebook Disconnects Us and Undermines Democracy</w:t>
      </w:r>
      <w:r w:rsidRPr="00FB4242">
        <w:rPr>
          <w:rFonts w:eastAsia="Times New Roman" w:cstheme="minorHAnsi"/>
        </w:rPr>
        <w:t>. New York: Oxford University Press</w:t>
      </w:r>
      <w:r w:rsidRPr="00FB4242">
        <w:rPr>
          <w:rFonts w:eastAsia="Times New Roman" w:cstheme="minorHAnsi"/>
          <w:lang w:val="en-US"/>
        </w:rPr>
        <w:t>.</w:t>
      </w:r>
    </w:p>
  </w:footnote>
  <w:footnote w:id="316">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Kaye, D. (2019) </w:t>
      </w:r>
      <w:r w:rsidRPr="00FB4242">
        <w:rPr>
          <w:rFonts w:eastAsia="Times New Roman" w:cstheme="minorHAnsi"/>
          <w:i/>
          <w:iCs/>
        </w:rPr>
        <w:t>Speech Police: The Global Struggle to Govern the Internet</w:t>
      </w:r>
      <w:r w:rsidRPr="00FB4242">
        <w:rPr>
          <w:rFonts w:eastAsia="Times New Roman" w:cstheme="minorHAnsi"/>
        </w:rPr>
        <w:t>. New Haven, CT: Yale University Press.</w:t>
      </w:r>
      <w:r w:rsidRPr="00FB4242">
        <w:rPr>
          <w:rFonts w:eastAsia="Times New Roman" w:cstheme="minorHAnsi"/>
          <w:lang w:val="en-US"/>
        </w:rPr>
        <w:t xml:space="preserve"> </w:t>
      </w:r>
      <w:r w:rsidRPr="00FB4242">
        <w:rPr>
          <w:rFonts w:eastAsia="Times New Roman" w:cstheme="minorHAnsi"/>
        </w:rPr>
        <w:t xml:space="preserve">Gorwa, R. (2019) ‘What is Platform Governance?’, </w:t>
      </w:r>
      <w:r w:rsidRPr="00FB4242">
        <w:rPr>
          <w:rFonts w:eastAsia="Times New Roman" w:cstheme="minorHAnsi"/>
          <w:i/>
          <w:iCs/>
        </w:rPr>
        <w:t>Information, Communication &amp; Society</w:t>
      </w:r>
      <w:r w:rsidRPr="00FB4242">
        <w:rPr>
          <w:rFonts w:eastAsia="Times New Roman" w:cstheme="minorHAnsi"/>
        </w:rPr>
        <w:t>, 22(6), pp. 854</w:t>
      </w:r>
      <w:r w:rsidRPr="00FB4242">
        <w:rPr>
          <w:rFonts w:eastAsia="Times New Roman" w:cstheme="minorHAnsi"/>
          <w:lang w:val="en-US"/>
        </w:rPr>
        <w:t>-</w:t>
      </w:r>
      <w:r w:rsidRPr="00FB4242">
        <w:rPr>
          <w:rFonts w:eastAsia="Times New Roman" w:cstheme="minorHAnsi"/>
        </w:rPr>
        <w:t>871</w:t>
      </w:r>
      <w:r w:rsidRPr="00FB4242">
        <w:rPr>
          <w:rFonts w:eastAsia="Times New Roman" w:cstheme="minorHAnsi"/>
          <w:lang w:val="en-US"/>
        </w:rPr>
        <w:t>.</w:t>
      </w:r>
    </w:p>
  </w:footnote>
  <w:footnote w:id="317">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Douek, E. (2024) ‘The Meta Oversight Board and the Empty Promise of Legitimacy’, </w:t>
      </w:r>
      <w:r w:rsidRPr="00FB4242">
        <w:rPr>
          <w:rFonts w:eastAsia="Times New Roman" w:cstheme="minorHAnsi"/>
          <w:i/>
          <w:iCs/>
        </w:rPr>
        <w:t>Harvard Journal of Law &amp; Technology</w:t>
      </w:r>
      <w:r w:rsidRPr="00FB4242">
        <w:rPr>
          <w:rFonts w:eastAsia="Times New Roman" w:cstheme="minorHAnsi"/>
        </w:rPr>
        <w:t>, 37(2).</w:t>
      </w:r>
      <w:r w:rsidRPr="00FB4242">
        <w:rPr>
          <w:rFonts w:eastAsia="Times New Roman" w:cstheme="minorHAnsi"/>
          <w:lang w:val="en-US"/>
        </w:rPr>
        <w:t xml:space="preserve"> </w:t>
      </w:r>
      <w:r w:rsidRPr="00FB4242">
        <w:rPr>
          <w:rFonts w:eastAsia="Times New Roman" w:cstheme="minorHAnsi"/>
        </w:rPr>
        <w:t xml:space="preserve">Klonick, K. (2018) ‘The New Governors: The People, Rules, and Processes Governing Online Speech’, </w:t>
      </w:r>
      <w:r w:rsidRPr="00FB4242">
        <w:rPr>
          <w:rFonts w:eastAsia="Times New Roman" w:cstheme="minorHAnsi"/>
          <w:i/>
          <w:iCs/>
        </w:rPr>
        <w:t>Harvard Law Review</w:t>
      </w:r>
      <w:r w:rsidRPr="00FB4242">
        <w:rPr>
          <w:rFonts w:eastAsia="Times New Roman" w:cstheme="minorHAnsi"/>
        </w:rPr>
        <w:t>, 131(6), pp. 1598-1670.</w:t>
      </w:r>
    </w:p>
  </w:footnote>
  <w:footnote w:id="318">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Kettemann, M. C. and Lachmayer, K. (2019) ‘When Sovereignty Seems to Have Lost Its Meaning: The Case for Digital Constitutionalism’, </w:t>
      </w:r>
      <w:r w:rsidRPr="00FB4242">
        <w:rPr>
          <w:rFonts w:eastAsia="Times New Roman" w:cstheme="minorHAnsi"/>
          <w:i/>
          <w:iCs/>
        </w:rPr>
        <w:t>Global Constitutionalism</w:t>
      </w:r>
      <w:r w:rsidRPr="00FB4242">
        <w:rPr>
          <w:rFonts w:eastAsia="Times New Roman" w:cstheme="minorHAnsi"/>
        </w:rPr>
        <w:t>, 8(1), pp. 56-92.</w:t>
      </w:r>
    </w:p>
  </w:footnote>
  <w:footnote w:id="319">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Liu, </w:t>
      </w:r>
      <w:r w:rsidRPr="00FB4242">
        <w:rPr>
          <w:rFonts w:eastAsia="Times New Roman" w:cstheme="minorHAnsi"/>
        </w:rPr>
        <w:t xml:space="preserve">H. (2021) ‘Huawei, 5G, and China’s Digital Silk Road: The Politics of Technological Sovereignty’, </w:t>
      </w:r>
      <w:r w:rsidRPr="00FB4242">
        <w:rPr>
          <w:rFonts w:eastAsia="Times New Roman" w:cstheme="minorHAnsi"/>
          <w:i/>
          <w:iCs/>
        </w:rPr>
        <w:t>Global Policy</w:t>
      </w:r>
      <w:r w:rsidRPr="00FB4242">
        <w:rPr>
          <w:rFonts w:eastAsia="Times New Roman" w:cstheme="minorHAnsi"/>
        </w:rPr>
        <w:t>, 12(S3), pp. 5-17.</w:t>
      </w:r>
    </w:p>
  </w:footnote>
  <w:footnote w:id="320">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Balding, </w:t>
      </w:r>
      <w:r w:rsidRPr="00FB4242">
        <w:rPr>
          <w:rFonts w:eastAsia="Times New Roman" w:cstheme="minorHAnsi"/>
        </w:rPr>
        <w:t xml:space="preserve">C. (2020) ‘Huawei and the Techno-Nationalist Model of State Capitalism’, </w:t>
      </w:r>
      <w:r w:rsidRPr="00FB4242">
        <w:rPr>
          <w:rFonts w:eastAsia="Times New Roman" w:cstheme="minorHAnsi"/>
          <w:i/>
          <w:iCs/>
        </w:rPr>
        <w:t>China Economic Review</w:t>
      </w:r>
      <w:r w:rsidRPr="00FB4242">
        <w:rPr>
          <w:rFonts w:eastAsia="Times New Roman" w:cstheme="minorHAnsi"/>
        </w:rPr>
        <w:t>, 63, article 101527.</w:t>
      </w:r>
      <w:r w:rsidRPr="00FB4242">
        <w:rPr>
          <w:rFonts w:eastAsia="Times New Roman" w:cstheme="minorHAnsi"/>
          <w:lang w:val="en-US"/>
        </w:rPr>
        <w:t xml:space="preserve"> </w:t>
      </w:r>
      <w:r w:rsidRPr="00FB4242">
        <w:rPr>
          <w:rFonts w:eastAsia="Times New Roman" w:cstheme="minorHAnsi"/>
        </w:rPr>
        <w:t xml:space="preserve">Triolo, P., Allison, K. and Brown, R. (2020) </w:t>
      </w:r>
      <w:r w:rsidRPr="00FB4242">
        <w:rPr>
          <w:rFonts w:eastAsia="Times New Roman" w:cstheme="minorHAnsi"/>
          <w:i/>
          <w:iCs/>
        </w:rPr>
        <w:t>The Geopolitics of 5G: Huawei and the Future of Global Networks</w:t>
      </w:r>
      <w:r w:rsidRPr="00FB4242">
        <w:rPr>
          <w:rFonts w:eastAsia="Times New Roman" w:cstheme="minorHAnsi"/>
        </w:rPr>
        <w:t>. Washington, DC: Eurasia Group</w:t>
      </w:r>
      <w:r w:rsidRPr="00FB4242">
        <w:rPr>
          <w:rFonts w:eastAsia="Times New Roman" w:cstheme="minorHAnsi"/>
          <w:lang w:val="en-US"/>
        </w:rPr>
        <w:t xml:space="preserve">. </w:t>
      </w:r>
      <w:r w:rsidRPr="00FB4242">
        <w:rPr>
          <w:rFonts w:eastAsia="Times New Roman" w:cstheme="minorHAnsi"/>
        </w:rPr>
        <w:t xml:space="preserve">Inkster, N. (2019) </w:t>
      </w:r>
      <w:r w:rsidRPr="00FB4242">
        <w:rPr>
          <w:rFonts w:eastAsia="Times New Roman" w:cstheme="minorHAnsi"/>
          <w:i/>
          <w:iCs/>
        </w:rPr>
        <w:t>China’s Cyber Power</w:t>
      </w:r>
      <w:r w:rsidRPr="00FB4242">
        <w:rPr>
          <w:rFonts w:eastAsia="Times New Roman" w:cstheme="minorHAnsi"/>
        </w:rPr>
        <w:t>. London: Routledge / IISS</w:t>
      </w:r>
      <w:r w:rsidRPr="00FB4242">
        <w:rPr>
          <w:rFonts w:eastAsia="Times New Roman" w:cstheme="minorHAnsi"/>
          <w:lang w:val="en-US"/>
        </w:rPr>
        <w:t>.</w:t>
      </w:r>
    </w:p>
  </w:footnote>
  <w:footnote w:id="321">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Segal, A. (2019) </w:t>
      </w:r>
      <w:r w:rsidRPr="00FB4242">
        <w:rPr>
          <w:rFonts w:eastAsia="Times New Roman" w:cstheme="minorHAnsi"/>
          <w:i/>
          <w:iCs/>
        </w:rPr>
        <w:t>Huawei and the Future of Global Technology Competition</w:t>
      </w:r>
      <w:r w:rsidRPr="00FB4242">
        <w:rPr>
          <w:rFonts w:eastAsia="Times New Roman" w:cstheme="minorHAnsi"/>
        </w:rPr>
        <w:t>. New York: Council on Foreign Relations (CFR).</w:t>
      </w:r>
    </w:p>
  </w:footnote>
  <w:footnote w:id="322">
    <w:p w:rsidR="00C62A14" w:rsidRPr="00FB4242" w:rsidRDefault="00C62A14" w:rsidP="00926B5D">
      <w:pPr>
        <w:spacing w:before="100" w:beforeAutospacing="1" w:after="100" w:afterAutospacing="1" w:line="240" w:lineRule="auto"/>
        <w:rPr>
          <w:rFonts w:ascii="Times New Roman" w:eastAsia="Times New Roman" w:hAnsi="Times New Roman" w:cstheme="minorHAnsi"/>
          <w:sz w:val="20"/>
          <w:szCs w:val="20"/>
        </w:rPr>
      </w:pPr>
      <w:r w:rsidRPr="00FB4242">
        <w:rPr>
          <w:rStyle w:val="a8"/>
          <w:rFonts w:cstheme="minorHAnsi"/>
          <w:sz w:val="20"/>
          <w:szCs w:val="20"/>
        </w:rPr>
        <w:footnoteRef/>
      </w:r>
      <w:r w:rsidRPr="00FB4242">
        <w:rPr>
          <w:rFonts w:cstheme="minorHAnsi"/>
          <w:sz w:val="20"/>
          <w:szCs w:val="20"/>
        </w:rPr>
        <w:t xml:space="preserve"> </w:t>
      </w:r>
      <w:r w:rsidRPr="00FB4242">
        <w:rPr>
          <w:rFonts w:eastAsia="Times New Roman" w:cstheme="minorHAnsi"/>
          <w:sz w:val="20"/>
          <w:szCs w:val="20"/>
        </w:rPr>
        <w:t xml:space="preserve">Pollock, N. and Williams, R. (2008) </w:t>
      </w:r>
      <w:r w:rsidRPr="00FB4242">
        <w:rPr>
          <w:rFonts w:eastAsia="Times New Roman" w:cstheme="minorHAnsi"/>
          <w:i/>
          <w:iCs/>
          <w:sz w:val="20"/>
          <w:szCs w:val="20"/>
        </w:rPr>
        <w:t xml:space="preserve">Software and </w:t>
      </w:r>
      <w:proofErr w:type="spellStart"/>
      <w:r w:rsidRPr="00FB4242">
        <w:rPr>
          <w:rFonts w:eastAsia="Times New Roman" w:cstheme="minorHAnsi"/>
          <w:i/>
          <w:iCs/>
          <w:sz w:val="20"/>
          <w:szCs w:val="20"/>
        </w:rPr>
        <w:t>Organisations</w:t>
      </w:r>
      <w:proofErr w:type="spellEnd"/>
      <w:r w:rsidRPr="00FB4242">
        <w:rPr>
          <w:rFonts w:eastAsia="Times New Roman" w:cstheme="minorHAnsi"/>
          <w:i/>
          <w:iCs/>
          <w:sz w:val="20"/>
          <w:szCs w:val="20"/>
        </w:rPr>
        <w:t>: The Biography of the Enterprise-Wide System or How SAP Conquered the World</w:t>
      </w:r>
      <w:r w:rsidRPr="00FB4242">
        <w:rPr>
          <w:rFonts w:eastAsia="Times New Roman" w:cstheme="minorHAnsi"/>
          <w:sz w:val="20"/>
          <w:szCs w:val="20"/>
        </w:rPr>
        <w:t xml:space="preserve">. London: Routledge. Davenport, T. H. (1998) ‘Putting the Enterprise into the Enterprise System’, </w:t>
      </w:r>
      <w:r w:rsidRPr="00FB4242">
        <w:rPr>
          <w:rFonts w:eastAsia="Times New Roman" w:cstheme="minorHAnsi"/>
          <w:i/>
          <w:iCs/>
          <w:sz w:val="20"/>
          <w:szCs w:val="20"/>
        </w:rPr>
        <w:t>Harvard Business Review</w:t>
      </w:r>
      <w:r w:rsidRPr="00FB4242">
        <w:rPr>
          <w:rFonts w:eastAsia="Times New Roman" w:cstheme="minorHAnsi"/>
          <w:sz w:val="20"/>
          <w:szCs w:val="20"/>
        </w:rPr>
        <w:t>, 76(4), pp. 121-131.</w:t>
      </w:r>
    </w:p>
  </w:footnote>
  <w:footnote w:id="323">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Pollock, N. and Williams, R. (2008) </w:t>
      </w:r>
      <w:r w:rsidRPr="00FB4242">
        <w:rPr>
          <w:rFonts w:eastAsia="Times New Roman" w:cstheme="minorHAnsi"/>
          <w:i/>
          <w:iCs/>
        </w:rPr>
        <w:t>Software and Organisations: The Biography of the Enterprise-Wide System or How SAP Conquered the World</w:t>
      </w:r>
      <w:r w:rsidRPr="00FB4242">
        <w:rPr>
          <w:rFonts w:eastAsia="Times New Roman" w:cstheme="minorHAnsi"/>
        </w:rPr>
        <w:t>. London: Routledge.</w:t>
      </w:r>
    </w:p>
  </w:footnote>
  <w:footnote w:id="324">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sz w:val="20"/>
          <w:szCs w:val="20"/>
        </w:rPr>
        <w:footnoteRef/>
      </w:r>
      <w:r w:rsidRPr="00FB4242">
        <w:rPr>
          <w:rFonts w:cstheme="minorHAnsi"/>
          <w:sz w:val="20"/>
          <w:szCs w:val="20"/>
        </w:rPr>
        <w:t xml:space="preserve"> </w:t>
      </w:r>
      <w:r w:rsidRPr="00FB4242">
        <w:rPr>
          <w:rFonts w:eastAsia="Times New Roman" w:cstheme="minorHAnsi"/>
          <w:sz w:val="20"/>
          <w:szCs w:val="20"/>
        </w:rPr>
        <w:t xml:space="preserve">Davenport, T. H. (1998) ‘Putting the Enterprise into the Enterprise System’, </w:t>
      </w:r>
      <w:r w:rsidRPr="00FB4242">
        <w:rPr>
          <w:rFonts w:eastAsia="Times New Roman" w:cstheme="minorHAnsi"/>
          <w:i/>
          <w:iCs/>
          <w:sz w:val="20"/>
          <w:szCs w:val="20"/>
        </w:rPr>
        <w:t>Harvard Business Review</w:t>
      </w:r>
      <w:r w:rsidRPr="00FB4242">
        <w:rPr>
          <w:rFonts w:eastAsia="Times New Roman" w:cstheme="minorHAnsi"/>
          <w:sz w:val="20"/>
          <w:szCs w:val="20"/>
        </w:rPr>
        <w:t xml:space="preserve">, 76(4), pp. 121-131. </w:t>
      </w:r>
      <w:proofErr w:type="spellStart"/>
      <w:r w:rsidRPr="00FB4242">
        <w:rPr>
          <w:rFonts w:eastAsia="Times New Roman" w:cstheme="minorHAnsi"/>
          <w:sz w:val="20"/>
          <w:szCs w:val="20"/>
        </w:rPr>
        <w:t>Soh</w:t>
      </w:r>
      <w:proofErr w:type="spellEnd"/>
      <w:r w:rsidRPr="00FB4242">
        <w:rPr>
          <w:rFonts w:eastAsia="Times New Roman" w:cstheme="minorHAnsi"/>
          <w:sz w:val="20"/>
          <w:szCs w:val="20"/>
        </w:rPr>
        <w:t xml:space="preserve">, C., </w:t>
      </w:r>
      <w:proofErr w:type="spellStart"/>
      <w:r w:rsidRPr="00FB4242">
        <w:rPr>
          <w:rFonts w:eastAsia="Times New Roman" w:cstheme="minorHAnsi"/>
          <w:sz w:val="20"/>
          <w:szCs w:val="20"/>
        </w:rPr>
        <w:t>Kien</w:t>
      </w:r>
      <w:proofErr w:type="spellEnd"/>
      <w:r w:rsidRPr="00FB4242">
        <w:rPr>
          <w:rFonts w:eastAsia="Times New Roman" w:cstheme="minorHAnsi"/>
          <w:sz w:val="20"/>
          <w:szCs w:val="20"/>
        </w:rPr>
        <w:t xml:space="preserve">, S. S. and </w:t>
      </w:r>
      <w:proofErr w:type="spellStart"/>
      <w:r w:rsidRPr="00FB4242">
        <w:rPr>
          <w:rFonts w:eastAsia="Times New Roman" w:cstheme="minorHAnsi"/>
          <w:sz w:val="20"/>
          <w:szCs w:val="20"/>
        </w:rPr>
        <w:t>Tay</w:t>
      </w:r>
      <w:proofErr w:type="spellEnd"/>
      <w:r w:rsidRPr="00FB4242">
        <w:rPr>
          <w:rFonts w:eastAsia="Times New Roman" w:cstheme="minorHAnsi"/>
          <w:sz w:val="20"/>
          <w:szCs w:val="20"/>
        </w:rPr>
        <w:t xml:space="preserve">-Yap, J. (2000) ‘Cultural Fits and Misfits: Is ERP a Universal Solution?’, </w:t>
      </w:r>
      <w:r w:rsidRPr="00FB4242">
        <w:rPr>
          <w:rFonts w:eastAsia="Times New Roman" w:cstheme="minorHAnsi"/>
          <w:i/>
          <w:iCs/>
          <w:sz w:val="20"/>
          <w:szCs w:val="20"/>
        </w:rPr>
        <w:t>Communications of the ACM</w:t>
      </w:r>
      <w:r w:rsidRPr="00FB4242">
        <w:rPr>
          <w:rFonts w:eastAsia="Times New Roman" w:cstheme="minorHAnsi"/>
          <w:sz w:val="20"/>
          <w:szCs w:val="20"/>
        </w:rPr>
        <w:t>, 43(4), pp. 47-51.</w:t>
      </w:r>
    </w:p>
  </w:footnote>
  <w:footnote w:id="325">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sz w:val="20"/>
          <w:szCs w:val="20"/>
        </w:rPr>
        <w:footnoteRef/>
      </w:r>
      <w:r w:rsidRPr="00FB4242">
        <w:rPr>
          <w:rFonts w:cstheme="minorHAnsi"/>
          <w:sz w:val="20"/>
          <w:szCs w:val="20"/>
        </w:rPr>
        <w:t xml:space="preserve"> </w:t>
      </w:r>
      <w:r w:rsidRPr="00FB4242">
        <w:rPr>
          <w:rFonts w:eastAsia="Times New Roman" w:cstheme="minorHAnsi"/>
          <w:sz w:val="20"/>
          <w:szCs w:val="20"/>
        </w:rPr>
        <w:t xml:space="preserve">Markus, M. L. and Tanis, C. (2000) ‘The Enterprise Systems </w:t>
      </w:r>
      <w:proofErr w:type="gramStart"/>
      <w:r w:rsidRPr="00FB4242">
        <w:rPr>
          <w:rFonts w:eastAsia="Times New Roman" w:cstheme="minorHAnsi"/>
          <w:sz w:val="20"/>
          <w:szCs w:val="20"/>
        </w:rPr>
        <w:t>Experience,  From</w:t>
      </w:r>
      <w:proofErr w:type="gramEnd"/>
      <w:r w:rsidRPr="00FB4242">
        <w:rPr>
          <w:rFonts w:eastAsia="Times New Roman" w:cstheme="minorHAnsi"/>
          <w:sz w:val="20"/>
          <w:szCs w:val="20"/>
        </w:rPr>
        <w:t xml:space="preserve"> Adoption to Success’, in </w:t>
      </w:r>
      <w:proofErr w:type="spellStart"/>
      <w:r w:rsidRPr="00FB4242">
        <w:rPr>
          <w:rFonts w:eastAsia="Times New Roman" w:cstheme="minorHAnsi"/>
          <w:sz w:val="20"/>
          <w:szCs w:val="20"/>
        </w:rPr>
        <w:t>Zmud</w:t>
      </w:r>
      <w:proofErr w:type="spellEnd"/>
      <w:r w:rsidRPr="00FB4242">
        <w:rPr>
          <w:rFonts w:eastAsia="Times New Roman" w:cstheme="minorHAnsi"/>
          <w:sz w:val="20"/>
          <w:szCs w:val="20"/>
        </w:rPr>
        <w:t xml:space="preserve">, R. (ed.) </w:t>
      </w:r>
      <w:r w:rsidRPr="00FB4242">
        <w:rPr>
          <w:rFonts w:eastAsia="Times New Roman" w:cstheme="minorHAnsi"/>
          <w:i/>
          <w:iCs/>
          <w:sz w:val="20"/>
          <w:szCs w:val="20"/>
        </w:rPr>
        <w:t>Framing the Domains of IT Management</w:t>
      </w:r>
      <w:r w:rsidRPr="00FB4242">
        <w:rPr>
          <w:rFonts w:eastAsia="Times New Roman" w:cstheme="minorHAnsi"/>
          <w:sz w:val="20"/>
          <w:szCs w:val="20"/>
        </w:rPr>
        <w:t xml:space="preserve">. Cincinnati, OH: </w:t>
      </w:r>
      <w:proofErr w:type="spellStart"/>
      <w:r w:rsidRPr="00FB4242">
        <w:rPr>
          <w:rFonts w:eastAsia="Times New Roman" w:cstheme="minorHAnsi"/>
          <w:sz w:val="20"/>
          <w:szCs w:val="20"/>
        </w:rPr>
        <w:t>Pinnaflex</w:t>
      </w:r>
      <w:proofErr w:type="spellEnd"/>
      <w:r w:rsidRPr="00FB4242">
        <w:rPr>
          <w:rFonts w:eastAsia="Times New Roman" w:cstheme="minorHAnsi"/>
          <w:sz w:val="20"/>
          <w:szCs w:val="20"/>
        </w:rPr>
        <w:t>, pp.</w:t>
      </w:r>
      <w:r w:rsidRPr="00E77B7D">
        <w:rPr>
          <w:rFonts w:ascii="Times New Roman" w:eastAsia="Times New Roman" w:hAnsi="Times New Roman" w:cs="Times New Roman"/>
          <w:sz w:val="20"/>
          <w:szCs w:val="20"/>
        </w:rPr>
        <w:t xml:space="preserve"> 173</w:t>
      </w:r>
      <w:r>
        <w:rPr>
          <w:rFonts w:ascii="Times New Roman" w:eastAsia="Times New Roman" w:hAnsi="Times New Roman" w:cs="Times New Roman"/>
          <w:sz w:val="20"/>
          <w:szCs w:val="20"/>
        </w:rPr>
        <w:t>-</w:t>
      </w:r>
      <w:r w:rsidRPr="00E77B7D">
        <w:rPr>
          <w:rFonts w:ascii="Times New Roman" w:eastAsia="Times New Roman" w:hAnsi="Times New Roman" w:cs="Times New Roman"/>
          <w:sz w:val="20"/>
          <w:szCs w:val="20"/>
        </w:rPr>
        <w:t>207.</w:t>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Bernroider</w:t>
      </w:r>
      <w:proofErr w:type="spellEnd"/>
      <w:r>
        <w:rPr>
          <w:rFonts w:ascii="Times New Roman" w:eastAsia="Times New Roman" w:hAnsi="Times New Roman" w:cs="Times New Roman"/>
          <w:sz w:val="20"/>
          <w:szCs w:val="20"/>
        </w:rPr>
        <w:t xml:space="preserve">, E. W. N. (2008) </w:t>
      </w:r>
      <w:r w:rsidRPr="00E77B7D">
        <w:rPr>
          <w:rFonts w:ascii="Times New Roman" w:eastAsia="Times New Roman" w:hAnsi="Times New Roman" w:cs="Times New Roman"/>
          <w:sz w:val="20"/>
          <w:szCs w:val="20"/>
        </w:rPr>
        <w:t xml:space="preserve">‘IT Governance for Enterprise Resource Planning Supported by the </w:t>
      </w:r>
      <w:proofErr w:type="spellStart"/>
      <w:r w:rsidRPr="00FB4242">
        <w:rPr>
          <w:rFonts w:eastAsia="Times New Roman" w:cstheme="minorHAnsi"/>
          <w:sz w:val="20"/>
          <w:szCs w:val="20"/>
        </w:rPr>
        <w:t>DeLone</w:t>
      </w:r>
      <w:proofErr w:type="spellEnd"/>
      <w:r w:rsidRPr="00FB4242">
        <w:rPr>
          <w:rFonts w:eastAsia="Times New Roman" w:cstheme="minorHAnsi"/>
          <w:sz w:val="20"/>
          <w:szCs w:val="20"/>
        </w:rPr>
        <w:t xml:space="preserve">-McLean Model of Information Systems Success’, </w:t>
      </w:r>
      <w:r w:rsidRPr="00FB4242">
        <w:rPr>
          <w:rFonts w:eastAsia="Times New Roman" w:cstheme="minorHAnsi"/>
          <w:i/>
          <w:iCs/>
          <w:sz w:val="20"/>
          <w:szCs w:val="20"/>
        </w:rPr>
        <w:t>Information &amp; Management</w:t>
      </w:r>
      <w:r w:rsidRPr="00FB4242">
        <w:rPr>
          <w:rFonts w:eastAsia="Times New Roman" w:cstheme="minorHAnsi"/>
          <w:sz w:val="20"/>
          <w:szCs w:val="20"/>
        </w:rPr>
        <w:t>, 45(5), pp. 257-269.</w:t>
      </w:r>
    </w:p>
  </w:footnote>
  <w:footnote w:id="326">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Hanseth, O. and Lyytinen, K. (2010) ‘Design Theory for Dynamic Complexity in Information Infrastructures’, </w:t>
      </w:r>
      <w:r w:rsidRPr="00FB4242">
        <w:rPr>
          <w:rFonts w:eastAsia="Times New Roman" w:cstheme="minorHAnsi"/>
          <w:i/>
          <w:iCs/>
        </w:rPr>
        <w:t>Journal of Information Technology</w:t>
      </w:r>
      <w:r w:rsidRPr="00FB4242">
        <w:rPr>
          <w:rFonts w:eastAsia="Times New Roman" w:cstheme="minorHAnsi"/>
        </w:rPr>
        <w:t>, 25(1), pp. 1-19.</w:t>
      </w:r>
    </w:p>
  </w:footnote>
  <w:footnote w:id="327">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Buhler, P. and Chandler, D. (2021) ‘Standardizing Sustainability: How Digital Platforms Shape Corporate Environmental Reporting’, </w:t>
      </w:r>
      <w:r w:rsidRPr="00FB4242">
        <w:rPr>
          <w:rFonts w:eastAsia="Times New Roman" w:cstheme="minorHAnsi"/>
          <w:i/>
          <w:iCs/>
        </w:rPr>
        <w:t>Business Strategy and the Environment</w:t>
      </w:r>
      <w:r w:rsidRPr="00FB4242">
        <w:rPr>
          <w:rFonts w:eastAsia="Times New Roman" w:cstheme="minorHAnsi"/>
        </w:rPr>
        <w:t>, 30(4), pp. 1927-1940.</w:t>
      </w:r>
    </w:p>
  </w:footnote>
  <w:footnote w:id="328">
    <w:p w:rsidR="00C62A14" w:rsidRPr="00FB4242" w:rsidRDefault="00C62A14" w:rsidP="00926B5D">
      <w:pPr>
        <w:pStyle w:val="NormalWeb"/>
        <w:rPr>
          <w:rFonts w:asciiTheme="minorHAnsi" w:hAnsiTheme="minorHAnsi" w:cstheme="minorHAnsi"/>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FB4242">
        <w:rPr>
          <w:rFonts w:asciiTheme="minorHAnsi" w:hAnsiTheme="minorHAnsi" w:cstheme="minorHAnsi"/>
          <w:sz w:val="20"/>
          <w:szCs w:val="20"/>
        </w:rPr>
        <w:t>Hanseth</w:t>
      </w:r>
      <w:proofErr w:type="spellEnd"/>
      <w:r w:rsidRPr="00FB4242">
        <w:rPr>
          <w:rFonts w:asciiTheme="minorHAnsi" w:hAnsiTheme="minorHAnsi" w:cstheme="minorHAnsi"/>
          <w:sz w:val="20"/>
          <w:szCs w:val="20"/>
        </w:rPr>
        <w:t xml:space="preserve">, O. and Monteiro, E. (1997) ‘Inscribing </w:t>
      </w:r>
      <w:proofErr w:type="spellStart"/>
      <w:r w:rsidRPr="00FB4242">
        <w:rPr>
          <w:rFonts w:asciiTheme="minorHAnsi" w:hAnsiTheme="minorHAnsi" w:cstheme="minorHAnsi"/>
          <w:sz w:val="20"/>
          <w:szCs w:val="20"/>
        </w:rPr>
        <w:t>Behaviour</w:t>
      </w:r>
      <w:proofErr w:type="spellEnd"/>
      <w:r w:rsidRPr="00FB4242">
        <w:rPr>
          <w:rFonts w:asciiTheme="minorHAnsi" w:hAnsiTheme="minorHAnsi" w:cstheme="minorHAnsi"/>
          <w:sz w:val="20"/>
          <w:szCs w:val="20"/>
        </w:rPr>
        <w:t xml:space="preserve"> in Information Infrastructure: The Role of Standards’, </w:t>
      </w:r>
      <w:r w:rsidRPr="00FB4242">
        <w:rPr>
          <w:rFonts w:asciiTheme="minorHAnsi" w:hAnsiTheme="minorHAnsi" w:cstheme="minorHAnsi"/>
          <w:i/>
          <w:iCs/>
          <w:sz w:val="20"/>
          <w:szCs w:val="20"/>
        </w:rPr>
        <w:t>Accounting, Management and Information Technologies</w:t>
      </w:r>
      <w:r w:rsidRPr="00FB4242">
        <w:rPr>
          <w:rFonts w:asciiTheme="minorHAnsi" w:hAnsiTheme="minorHAnsi" w:cstheme="minorHAnsi"/>
          <w:sz w:val="20"/>
          <w:szCs w:val="20"/>
        </w:rPr>
        <w:t>, 7(4), pp. 183-211.</w:t>
      </w:r>
      <w:r w:rsidRPr="00FB4242">
        <w:rPr>
          <w:rFonts w:asciiTheme="minorHAnsi" w:hAnsiTheme="minorHAnsi" w:cstheme="minorHAnsi"/>
          <w:sz w:val="20"/>
          <w:szCs w:val="20"/>
        </w:rPr>
        <w:br/>
      </w:r>
    </w:p>
    <w:p w:rsidR="00C62A14" w:rsidRPr="00926055" w:rsidRDefault="00C62A14" w:rsidP="00926B5D">
      <w:pPr>
        <w:pStyle w:val="a6"/>
        <w:rPr>
          <w:lang w:val="en-US"/>
        </w:rPr>
      </w:pPr>
    </w:p>
  </w:footnote>
  <w:footnote w:id="329">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sz w:val="20"/>
          <w:szCs w:val="20"/>
        </w:rPr>
        <w:footnoteRef/>
      </w:r>
      <w:r w:rsidRPr="00FB4242">
        <w:rPr>
          <w:rFonts w:cstheme="minorHAnsi"/>
          <w:sz w:val="20"/>
          <w:szCs w:val="20"/>
        </w:rPr>
        <w:t xml:space="preserve"> </w:t>
      </w:r>
      <w:proofErr w:type="spellStart"/>
      <w:r w:rsidRPr="00FB4242">
        <w:rPr>
          <w:rFonts w:eastAsia="Times New Roman" w:cstheme="minorHAnsi"/>
          <w:sz w:val="20"/>
          <w:szCs w:val="20"/>
        </w:rPr>
        <w:t>Zürn</w:t>
      </w:r>
      <w:proofErr w:type="spellEnd"/>
      <w:r w:rsidRPr="00FB4242">
        <w:rPr>
          <w:rFonts w:eastAsia="Times New Roman" w:cstheme="minorHAnsi"/>
          <w:sz w:val="20"/>
          <w:szCs w:val="20"/>
        </w:rPr>
        <w:t xml:space="preserve">, M. (2018) </w:t>
      </w:r>
      <w:r w:rsidRPr="00FB4242">
        <w:rPr>
          <w:rFonts w:eastAsia="Times New Roman" w:cstheme="minorHAnsi"/>
          <w:i/>
          <w:iCs/>
          <w:sz w:val="20"/>
          <w:szCs w:val="20"/>
        </w:rPr>
        <w:t>A Theory of Global Governance</w:t>
      </w:r>
      <w:r w:rsidRPr="00FB4242">
        <w:rPr>
          <w:rFonts w:eastAsia="Times New Roman" w:cstheme="minorHAnsi"/>
          <w:sz w:val="20"/>
          <w:szCs w:val="20"/>
        </w:rPr>
        <w:t xml:space="preserve">. Oxford: Oxford University Press. </w:t>
      </w:r>
      <w:proofErr w:type="spellStart"/>
      <w:r w:rsidRPr="00FB4242">
        <w:rPr>
          <w:rFonts w:eastAsia="Times New Roman" w:cstheme="minorHAnsi"/>
          <w:sz w:val="20"/>
          <w:szCs w:val="20"/>
        </w:rPr>
        <w:t>Rosenau</w:t>
      </w:r>
      <w:proofErr w:type="spellEnd"/>
      <w:r w:rsidRPr="00FB4242">
        <w:rPr>
          <w:rFonts w:eastAsia="Times New Roman" w:cstheme="minorHAnsi"/>
          <w:sz w:val="20"/>
          <w:szCs w:val="20"/>
        </w:rPr>
        <w:t xml:space="preserve">, J. N. (2003) </w:t>
      </w:r>
      <w:r w:rsidRPr="00FB4242">
        <w:rPr>
          <w:rFonts w:eastAsia="Times New Roman" w:cstheme="minorHAnsi"/>
          <w:i/>
          <w:iCs/>
          <w:sz w:val="20"/>
          <w:szCs w:val="20"/>
        </w:rPr>
        <w:t>Distant Proximities: Dynamics Beyond Globalization</w:t>
      </w:r>
      <w:r w:rsidRPr="00FB4242">
        <w:rPr>
          <w:rFonts w:eastAsia="Times New Roman" w:cstheme="minorHAnsi"/>
          <w:sz w:val="20"/>
          <w:szCs w:val="20"/>
        </w:rPr>
        <w:t>. Princeton, NJ: Princeton University Press.</w:t>
      </w:r>
    </w:p>
  </w:footnote>
  <w:footnote w:id="330">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Pierucci, F. (2025) ‘Hybrid and Distributed Digital Sovereignty: Rethinking Authority in the Age of Platforms and Strategic Technologies’, </w:t>
      </w:r>
      <w:r w:rsidRPr="00FB4242">
        <w:rPr>
          <w:rFonts w:eastAsia="Times New Roman" w:cstheme="minorHAnsi"/>
          <w:i/>
          <w:iCs/>
        </w:rPr>
        <w:t>Digital Society</w:t>
      </w:r>
      <w:r w:rsidRPr="00FB4242">
        <w:rPr>
          <w:rFonts w:eastAsia="Times New Roman" w:cstheme="minorHAnsi"/>
        </w:rPr>
        <w:t>, 4, article 27.</w:t>
      </w:r>
    </w:p>
  </w:footnote>
  <w:footnote w:id="331">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sz w:val="20"/>
          <w:szCs w:val="20"/>
        </w:rPr>
        <w:footnoteRef/>
      </w:r>
      <w:r w:rsidRPr="00FB4242">
        <w:rPr>
          <w:rFonts w:cstheme="minorHAnsi"/>
          <w:sz w:val="20"/>
          <w:szCs w:val="20"/>
        </w:rPr>
        <w:t xml:space="preserve"> </w:t>
      </w:r>
      <w:proofErr w:type="spellStart"/>
      <w:r w:rsidRPr="00FB4242">
        <w:rPr>
          <w:rFonts w:eastAsia="Times New Roman" w:cstheme="minorHAnsi"/>
          <w:sz w:val="20"/>
          <w:szCs w:val="20"/>
        </w:rPr>
        <w:t>DeNardis</w:t>
      </w:r>
      <w:proofErr w:type="spellEnd"/>
      <w:r w:rsidRPr="00FB4242">
        <w:rPr>
          <w:rFonts w:eastAsia="Times New Roman" w:cstheme="minorHAnsi"/>
          <w:sz w:val="20"/>
          <w:szCs w:val="20"/>
        </w:rPr>
        <w:t xml:space="preserve">, L. (2020) </w:t>
      </w:r>
      <w:r w:rsidRPr="00FB4242">
        <w:rPr>
          <w:rFonts w:eastAsia="Times New Roman" w:cstheme="minorHAnsi"/>
          <w:i/>
          <w:iCs/>
          <w:sz w:val="20"/>
          <w:szCs w:val="20"/>
        </w:rPr>
        <w:t>The Internet in Everything: Freedom and Security in a World with No Off Switch</w:t>
      </w:r>
      <w:r w:rsidRPr="00FB4242">
        <w:rPr>
          <w:rFonts w:eastAsia="Times New Roman" w:cstheme="minorHAnsi"/>
          <w:sz w:val="20"/>
          <w:szCs w:val="20"/>
        </w:rPr>
        <w:t>. New Haven, CT: Yale University Press.</w:t>
      </w:r>
    </w:p>
  </w:footnote>
  <w:footnote w:id="332">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sz w:val="20"/>
          <w:szCs w:val="20"/>
        </w:rPr>
        <w:footnoteRef/>
      </w:r>
      <w:r w:rsidRPr="00FB4242">
        <w:rPr>
          <w:rFonts w:cstheme="minorHAnsi"/>
          <w:sz w:val="20"/>
          <w:szCs w:val="20"/>
        </w:rPr>
        <w:t xml:space="preserve"> </w:t>
      </w:r>
      <w:proofErr w:type="spellStart"/>
      <w:r w:rsidRPr="00FB4242">
        <w:rPr>
          <w:rFonts w:eastAsia="Times New Roman" w:cstheme="minorHAnsi"/>
          <w:sz w:val="20"/>
          <w:szCs w:val="20"/>
        </w:rPr>
        <w:t>Rosenau</w:t>
      </w:r>
      <w:proofErr w:type="spellEnd"/>
      <w:r w:rsidRPr="00FB4242">
        <w:rPr>
          <w:rFonts w:eastAsia="Times New Roman" w:cstheme="minorHAnsi"/>
          <w:sz w:val="20"/>
          <w:szCs w:val="20"/>
        </w:rPr>
        <w:t>, J. N. (</w:t>
      </w:r>
      <w:proofErr w:type="gramStart"/>
      <w:r w:rsidRPr="00FB4242">
        <w:rPr>
          <w:rFonts w:eastAsia="Times New Roman" w:cstheme="minorHAnsi"/>
          <w:sz w:val="20"/>
          <w:szCs w:val="20"/>
        </w:rPr>
        <w:t>2003)</w:t>
      </w:r>
      <w:r w:rsidRPr="00FB4242">
        <w:rPr>
          <w:rFonts w:eastAsia="Times New Roman" w:cstheme="minorHAnsi"/>
          <w:i/>
          <w:iCs/>
          <w:sz w:val="20"/>
          <w:szCs w:val="20"/>
        </w:rPr>
        <w:t>Distant</w:t>
      </w:r>
      <w:proofErr w:type="gramEnd"/>
      <w:r w:rsidRPr="00FB4242">
        <w:rPr>
          <w:rFonts w:eastAsia="Times New Roman" w:cstheme="minorHAnsi"/>
          <w:i/>
          <w:iCs/>
          <w:sz w:val="20"/>
          <w:szCs w:val="20"/>
        </w:rPr>
        <w:t xml:space="preserve"> Proximities: Dynamics Beyond Globalization</w:t>
      </w:r>
      <w:r w:rsidRPr="00FB4242">
        <w:rPr>
          <w:rFonts w:eastAsia="Times New Roman" w:cstheme="minorHAnsi"/>
          <w:sz w:val="20"/>
          <w:szCs w:val="20"/>
        </w:rPr>
        <w:t xml:space="preserve">. Princeton, NJ: Princeton University Press. Avant, D. D., </w:t>
      </w:r>
      <w:proofErr w:type="spellStart"/>
      <w:r w:rsidRPr="00FB4242">
        <w:rPr>
          <w:rFonts w:eastAsia="Times New Roman" w:cstheme="minorHAnsi"/>
          <w:sz w:val="20"/>
          <w:szCs w:val="20"/>
        </w:rPr>
        <w:t>Finnemore</w:t>
      </w:r>
      <w:proofErr w:type="spellEnd"/>
      <w:r w:rsidRPr="00FB4242">
        <w:rPr>
          <w:rFonts w:eastAsia="Times New Roman" w:cstheme="minorHAnsi"/>
          <w:sz w:val="20"/>
          <w:szCs w:val="20"/>
        </w:rPr>
        <w:t>, M. and Sell, S. K. (</w:t>
      </w:r>
      <w:proofErr w:type="spellStart"/>
      <w:r w:rsidRPr="00FB4242">
        <w:rPr>
          <w:rFonts w:eastAsia="Times New Roman" w:cstheme="minorHAnsi"/>
          <w:sz w:val="20"/>
          <w:szCs w:val="20"/>
        </w:rPr>
        <w:t>eds</w:t>
      </w:r>
      <w:proofErr w:type="spellEnd"/>
      <w:r w:rsidRPr="00FB4242">
        <w:rPr>
          <w:rFonts w:eastAsia="Times New Roman" w:cstheme="minorHAnsi"/>
          <w:sz w:val="20"/>
          <w:szCs w:val="20"/>
        </w:rPr>
        <w:t>) (2010)</w:t>
      </w:r>
      <w:r>
        <w:rPr>
          <w:rFonts w:eastAsia="Times New Roman" w:cstheme="minorHAnsi"/>
          <w:sz w:val="20"/>
          <w:szCs w:val="20"/>
        </w:rPr>
        <w:t xml:space="preserve"> </w:t>
      </w:r>
      <w:r w:rsidRPr="00FB4242">
        <w:rPr>
          <w:rFonts w:eastAsia="Times New Roman" w:cstheme="minorHAnsi"/>
          <w:i/>
          <w:iCs/>
          <w:sz w:val="20"/>
          <w:szCs w:val="20"/>
        </w:rPr>
        <w:t>Who Governs the Globe?</w:t>
      </w:r>
      <w:r w:rsidRPr="00FB4242">
        <w:rPr>
          <w:rFonts w:eastAsia="Times New Roman" w:cstheme="minorHAnsi"/>
          <w:sz w:val="20"/>
          <w:szCs w:val="20"/>
        </w:rPr>
        <w:t xml:space="preserve"> Cambridge: Cambridge University Press.</w:t>
      </w:r>
    </w:p>
  </w:footnote>
  <w:footnote w:id="333">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Pierucci, F. (2025)</w:t>
      </w:r>
      <w:r w:rsidRPr="00FB4242">
        <w:rPr>
          <w:rFonts w:eastAsia="Times New Roman" w:cstheme="minorHAnsi"/>
          <w:lang w:val="en-US"/>
        </w:rPr>
        <w:t xml:space="preserve"> </w:t>
      </w:r>
      <w:r w:rsidRPr="00FB4242">
        <w:rPr>
          <w:rFonts w:eastAsia="Times New Roman" w:cstheme="minorHAnsi"/>
        </w:rPr>
        <w:t xml:space="preserve">‘Contextual Digital Sovereignty: Domain-Specific Authority in the Age of Platforms and Strategic Technologies’, </w:t>
      </w:r>
      <w:r w:rsidRPr="00FB4242">
        <w:rPr>
          <w:rFonts w:eastAsia="Times New Roman" w:cstheme="minorHAnsi"/>
          <w:i/>
          <w:iCs/>
        </w:rPr>
        <w:t>Digital Society</w:t>
      </w:r>
      <w:r w:rsidRPr="00FB4242">
        <w:rPr>
          <w:rFonts w:eastAsia="Times New Roman" w:cstheme="minorHAnsi"/>
        </w:rPr>
        <w:t>, 4, article 31.</w:t>
      </w:r>
    </w:p>
  </w:footnote>
  <w:footnote w:id="334">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DeNardis, </w:t>
      </w:r>
      <w:r w:rsidRPr="00FB4242">
        <w:rPr>
          <w:rFonts w:eastAsia="Times New Roman" w:cstheme="minorHAnsi"/>
        </w:rPr>
        <w:t xml:space="preserve">L. (2020) </w:t>
      </w:r>
      <w:r w:rsidRPr="00FB4242">
        <w:rPr>
          <w:rFonts w:eastAsia="Times New Roman" w:cstheme="minorHAnsi"/>
          <w:i/>
          <w:iCs/>
        </w:rPr>
        <w:t>The Internet in Everything: Freedom and Security in a World with No Off Switch</w:t>
      </w:r>
      <w:r w:rsidRPr="00FB4242">
        <w:rPr>
          <w:rFonts w:eastAsia="Times New Roman" w:cstheme="minorHAnsi"/>
        </w:rPr>
        <w:t>. New Haven, CT: Yale University Press</w:t>
      </w:r>
      <w:r w:rsidRPr="00FB4242">
        <w:rPr>
          <w:rFonts w:eastAsia="Times New Roman" w:cstheme="minorHAnsi"/>
          <w:lang w:val="en-US"/>
        </w:rPr>
        <w:t>.</w:t>
      </w:r>
    </w:p>
  </w:footnote>
  <w:footnote w:id="335">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Farrell, H. and Newman, A. L. (2019) ‘Weaponized Interdependence: How Global Economic Networks Shape State Coercion’, </w:t>
      </w:r>
      <w:r w:rsidRPr="00FB4242">
        <w:rPr>
          <w:rFonts w:eastAsia="Times New Roman" w:cstheme="minorHAnsi"/>
          <w:i/>
          <w:iCs/>
        </w:rPr>
        <w:t>International Security</w:t>
      </w:r>
      <w:r w:rsidRPr="00FB4242">
        <w:rPr>
          <w:rFonts w:eastAsia="Times New Roman" w:cstheme="minorHAnsi"/>
        </w:rPr>
        <w:t>, 44(1), pp. 42-79.</w:t>
      </w:r>
      <w:r w:rsidRPr="00FB4242">
        <w:rPr>
          <w:rFonts w:eastAsia="Times New Roman" w:cstheme="minorHAnsi"/>
        </w:rPr>
        <w:br/>
      </w:r>
    </w:p>
  </w:footnote>
  <w:footnote w:id="336">
    <w:p w:rsidR="00C62A14" w:rsidRPr="00D02A14" w:rsidRDefault="00C62A14" w:rsidP="00926B5D">
      <w:pPr>
        <w:pStyle w:val="a6"/>
      </w:pPr>
      <w:r w:rsidRPr="00FB4242">
        <w:rPr>
          <w:rStyle w:val="a8"/>
          <w:rFonts w:cstheme="minorHAnsi"/>
        </w:rPr>
        <w:footnoteRef/>
      </w:r>
      <w:r w:rsidRPr="00FB4242">
        <w:rPr>
          <w:rFonts w:cstheme="minorHAnsi"/>
        </w:rPr>
        <w:t xml:space="preserve"> </w:t>
      </w:r>
      <w:r w:rsidRPr="00FB4242">
        <w:rPr>
          <w:rFonts w:eastAsia="Times New Roman" w:cstheme="minorHAnsi"/>
        </w:rPr>
        <w:t xml:space="preserve">Pierucci, </w:t>
      </w:r>
      <w:r w:rsidRPr="00FB4242">
        <w:rPr>
          <w:rFonts w:eastAsia="Times New Roman" w:cstheme="minorHAnsi"/>
        </w:rPr>
        <w:t xml:space="preserve">F. (2025) ‘Contextual Digital Sovereignty: Domain-Specific Authority in the Age of Platforms and Strategic Technologies’, </w:t>
      </w:r>
      <w:r w:rsidRPr="00FB4242">
        <w:rPr>
          <w:rFonts w:eastAsia="Times New Roman" w:cstheme="minorHAnsi"/>
          <w:i/>
          <w:iCs/>
        </w:rPr>
        <w:t>Digital Society</w:t>
      </w:r>
      <w:r w:rsidRPr="00FB4242">
        <w:rPr>
          <w:rFonts w:eastAsia="Times New Roman" w:cstheme="minorHAnsi"/>
        </w:rPr>
        <w:t>, 4, article 31.</w:t>
      </w:r>
      <w:r w:rsidRPr="00FB4242">
        <w:rPr>
          <w:rFonts w:eastAsia="Times New Roman" w:cstheme="minorHAnsi"/>
        </w:rPr>
        <w:br/>
      </w:r>
    </w:p>
  </w:footnote>
  <w:footnote w:id="337">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Cohen, </w:t>
      </w:r>
      <w:r w:rsidRPr="00FB4242">
        <w:rPr>
          <w:rFonts w:eastAsia="Times New Roman" w:cstheme="minorHAnsi"/>
        </w:rPr>
        <w:t>J. E. (2019)</w:t>
      </w:r>
      <w:r w:rsidRPr="00FB4242">
        <w:rPr>
          <w:rFonts w:eastAsia="Times New Roman" w:cstheme="minorHAnsi"/>
          <w:rtl/>
        </w:rPr>
        <w:t xml:space="preserve"> </w:t>
      </w:r>
      <w:r w:rsidRPr="00FB4242">
        <w:rPr>
          <w:rFonts w:eastAsia="Times New Roman" w:cstheme="minorHAnsi"/>
          <w:i/>
          <w:iCs/>
        </w:rPr>
        <w:t>Between Truth and Power: The Legal Constructions of Informational Capitalism</w:t>
      </w:r>
      <w:r w:rsidRPr="00FB4242">
        <w:rPr>
          <w:rFonts w:eastAsia="Times New Roman" w:cstheme="minorHAnsi"/>
        </w:rPr>
        <w:t>. Oxford: Oxford University Press.</w:t>
      </w:r>
    </w:p>
  </w:footnote>
  <w:footnote w:id="338">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Barnett, </w:t>
      </w:r>
      <w:r w:rsidRPr="00FB4242">
        <w:rPr>
          <w:rFonts w:eastAsia="Times New Roman" w:cstheme="minorHAnsi"/>
        </w:rPr>
        <w:t>M. and Duvall, R. (2005)</w:t>
      </w:r>
      <w:r w:rsidRPr="00FB4242">
        <w:rPr>
          <w:rFonts w:eastAsia="Times New Roman" w:cstheme="minorHAnsi"/>
          <w:rtl/>
        </w:rPr>
        <w:t xml:space="preserve"> </w:t>
      </w:r>
      <w:r w:rsidRPr="00FB4242">
        <w:rPr>
          <w:rFonts w:eastAsia="Times New Roman" w:cstheme="minorHAnsi"/>
        </w:rPr>
        <w:t xml:space="preserve">‘Power in International Politics’, </w:t>
      </w:r>
      <w:r w:rsidRPr="00FB4242">
        <w:rPr>
          <w:rFonts w:eastAsia="Times New Roman" w:cstheme="minorHAnsi"/>
          <w:i/>
          <w:iCs/>
        </w:rPr>
        <w:t>International Organization</w:t>
      </w:r>
      <w:r w:rsidRPr="00FB4242">
        <w:rPr>
          <w:rFonts w:eastAsia="Times New Roman" w:cstheme="minorHAnsi"/>
        </w:rPr>
        <w:t>, 59(1), pp. 39</w:t>
      </w:r>
      <w:r w:rsidRPr="00FB4242">
        <w:rPr>
          <w:rFonts w:eastAsia="Times New Roman" w:cstheme="minorHAnsi"/>
          <w:rtl/>
        </w:rPr>
        <w:t>-</w:t>
      </w:r>
      <w:r w:rsidRPr="00FB4242">
        <w:rPr>
          <w:rFonts w:eastAsia="Times New Roman" w:cstheme="minorHAnsi"/>
        </w:rPr>
        <w:t>75.</w:t>
      </w:r>
    </w:p>
  </w:footnote>
  <w:footnote w:id="339">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Castells, </w:t>
      </w:r>
      <w:r w:rsidRPr="00FB4242">
        <w:rPr>
          <w:rFonts w:eastAsia="Times New Roman" w:cstheme="minorHAnsi"/>
        </w:rPr>
        <w:t>M. (2011)</w:t>
      </w:r>
      <w:r w:rsidRPr="00FB4242">
        <w:rPr>
          <w:rFonts w:eastAsia="Times New Roman" w:cstheme="minorHAnsi"/>
          <w:rtl/>
        </w:rPr>
        <w:t xml:space="preserve"> </w:t>
      </w:r>
      <w:r w:rsidRPr="00FB4242">
        <w:rPr>
          <w:rFonts w:eastAsia="Times New Roman" w:cstheme="minorHAnsi"/>
          <w:i/>
          <w:iCs/>
        </w:rPr>
        <w:t>The Rise of the Network Society</w:t>
      </w:r>
      <w:r w:rsidRPr="00FB4242">
        <w:rPr>
          <w:rFonts w:eastAsia="Times New Roman" w:cstheme="minorHAnsi"/>
        </w:rPr>
        <w:t>. 2nd edn. Oxford: Wiley-Blackwell</w:t>
      </w:r>
      <w:r w:rsidRPr="00FB4242">
        <w:rPr>
          <w:rFonts w:eastAsia="Times New Roman" w:cstheme="minorHAnsi"/>
          <w:lang w:val="en-US"/>
        </w:rPr>
        <w:t xml:space="preserve">. </w:t>
      </w:r>
      <w:r w:rsidRPr="00FB4242">
        <w:rPr>
          <w:rFonts w:eastAsia="Times New Roman" w:cstheme="minorHAnsi"/>
        </w:rPr>
        <w:t>DeNardis, L. (2020)</w:t>
      </w:r>
      <w:r w:rsidRPr="00FB4242">
        <w:rPr>
          <w:rFonts w:eastAsia="Times New Roman" w:cstheme="minorHAnsi"/>
          <w:rtl/>
        </w:rPr>
        <w:t xml:space="preserve"> </w:t>
      </w:r>
      <w:r w:rsidRPr="00FB4242">
        <w:rPr>
          <w:rFonts w:eastAsia="Times New Roman" w:cstheme="minorHAnsi"/>
          <w:i/>
          <w:iCs/>
        </w:rPr>
        <w:t>The Internet in Everything: Freedom and Security in a World with No Off Switch</w:t>
      </w:r>
      <w:r w:rsidRPr="00FB4242">
        <w:rPr>
          <w:rFonts w:eastAsia="Times New Roman" w:cstheme="minorHAnsi"/>
        </w:rPr>
        <w:t>. New Haven, CT: Yale University Press.</w:t>
      </w:r>
    </w:p>
  </w:footnote>
  <w:footnote w:id="340">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rPr>
        <w:footnoteRef/>
      </w:r>
      <w:r w:rsidRPr="00FB4242">
        <w:rPr>
          <w:rFonts w:cstheme="minorHAnsi"/>
        </w:rPr>
        <w:t xml:space="preserve"> </w:t>
      </w:r>
      <w:r w:rsidRPr="00FB4242">
        <w:rPr>
          <w:rFonts w:eastAsia="Times New Roman" w:cstheme="minorHAnsi"/>
          <w:sz w:val="20"/>
          <w:szCs w:val="20"/>
        </w:rPr>
        <w:t xml:space="preserve">Strange, S. (1996) </w:t>
      </w:r>
      <w:r w:rsidRPr="00FB4242">
        <w:rPr>
          <w:rFonts w:eastAsia="Times New Roman" w:cstheme="minorHAnsi"/>
          <w:i/>
          <w:iCs/>
          <w:sz w:val="20"/>
          <w:szCs w:val="20"/>
        </w:rPr>
        <w:t>The Retreat of the State: The Diffusion of Power in the World Economy</w:t>
      </w:r>
      <w:r w:rsidRPr="00FB4242">
        <w:rPr>
          <w:rFonts w:eastAsia="Times New Roman" w:cstheme="minorHAnsi"/>
          <w:sz w:val="20"/>
          <w:szCs w:val="20"/>
        </w:rPr>
        <w:t>. Cambridge: Cambridge University Press.</w:t>
      </w:r>
    </w:p>
  </w:footnote>
  <w:footnote w:id="341">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Castells, M. (2011) </w:t>
      </w:r>
      <w:r w:rsidRPr="00FB4242">
        <w:rPr>
          <w:rFonts w:eastAsia="Times New Roman" w:cstheme="minorHAnsi"/>
          <w:i/>
          <w:iCs/>
        </w:rPr>
        <w:t>The Rise of the Network Society</w:t>
      </w:r>
      <w:r w:rsidRPr="00FB4242">
        <w:rPr>
          <w:rFonts w:eastAsia="Times New Roman" w:cstheme="minorHAnsi"/>
        </w:rPr>
        <w:t>, 2nd edn. Oxford: Wiley-Blackwell.</w:t>
      </w:r>
    </w:p>
  </w:footnote>
  <w:footnote w:id="342">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van Dijck, J., Poell, T. and de Waal, M. (2018) </w:t>
      </w:r>
      <w:r w:rsidRPr="00FB4242">
        <w:rPr>
          <w:rFonts w:eastAsia="Times New Roman" w:cstheme="minorHAnsi"/>
          <w:i/>
          <w:iCs/>
        </w:rPr>
        <w:t>The Platform Society: Public Values in a Connective World</w:t>
      </w:r>
      <w:r w:rsidRPr="00FB4242">
        <w:rPr>
          <w:rFonts w:eastAsia="Times New Roman" w:cstheme="minorHAnsi"/>
        </w:rPr>
        <w:t>. Oxford: Oxford University Press.</w:t>
      </w:r>
    </w:p>
  </w:footnote>
  <w:footnote w:id="343">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Balding, </w:t>
      </w:r>
      <w:r w:rsidRPr="00FB4242">
        <w:rPr>
          <w:rFonts w:eastAsia="Times New Roman" w:cstheme="minorHAnsi"/>
        </w:rPr>
        <w:t xml:space="preserve">C. (2020) ‘Huawei and the Techno-Nationalist Model of State Capitalism’, </w:t>
      </w:r>
      <w:r w:rsidRPr="00FB4242">
        <w:rPr>
          <w:rFonts w:eastAsia="Times New Roman" w:cstheme="minorHAnsi"/>
          <w:i/>
          <w:iCs/>
        </w:rPr>
        <w:t>China Economic Review</w:t>
      </w:r>
      <w:r w:rsidRPr="00FB4242">
        <w:rPr>
          <w:rFonts w:eastAsia="Times New Roman" w:cstheme="minorHAnsi"/>
        </w:rPr>
        <w:t>, 63, article 101527</w:t>
      </w:r>
    </w:p>
  </w:footnote>
  <w:footnote w:id="344">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rPr>
        <w:footnoteRef/>
      </w:r>
      <w:r w:rsidRPr="00FB4242">
        <w:rPr>
          <w:rFonts w:cstheme="minorHAnsi"/>
        </w:rPr>
        <w:t xml:space="preserve"> </w:t>
      </w:r>
      <w:proofErr w:type="spellStart"/>
      <w:r w:rsidRPr="00FB4242">
        <w:rPr>
          <w:rFonts w:eastAsia="Times New Roman" w:cstheme="minorHAnsi"/>
          <w:sz w:val="20"/>
          <w:szCs w:val="20"/>
        </w:rPr>
        <w:t>Zuboff</w:t>
      </w:r>
      <w:proofErr w:type="spellEnd"/>
      <w:r w:rsidRPr="00FB4242">
        <w:rPr>
          <w:rFonts w:eastAsia="Times New Roman" w:cstheme="minorHAnsi"/>
          <w:sz w:val="20"/>
          <w:szCs w:val="20"/>
        </w:rPr>
        <w:t xml:space="preserve">, S. (2019) </w:t>
      </w:r>
      <w:r w:rsidRPr="00FB4242">
        <w:rPr>
          <w:rFonts w:eastAsia="Times New Roman" w:cstheme="minorHAnsi"/>
          <w:i/>
          <w:iCs/>
          <w:sz w:val="20"/>
          <w:szCs w:val="20"/>
        </w:rPr>
        <w:t>The Age of Surveillance Capitalism: The Fight for a Human Future at the New Frontier of Power</w:t>
      </w:r>
      <w:r w:rsidRPr="00FB4242">
        <w:rPr>
          <w:rFonts w:eastAsia="Times New Roman" w:cstheme="minorHAnsi"/>
          <w:sz w:val="20"/>
          <w:szCs w:val="20"/>
        </w:rPr>
        <w:t xml:space="preserve">. New York: </w:t>
      </w:r>
      <w:proofErr w:type="spellStart"/>
      <w:r w:rsidRPr="00FB4242">
        <w:rPr>
          <w:rFonts w:eastAsia="Times New Roman" w:cstheme="minorHAnsi"/>
          <w:sz w:val="20"/>
          <w:szCs w:val="20"/>
        </w:rPr>
        <w:t>PublicAffairs</w:t>
      </w:r>
      <w:proofErr w:type="spellEnd"/>
      <w:r w:rsidRPr="00FB4242">
        <w:rPr>
          <w:rFonts w:eastAsia="Times New Roman" w:cstheme="minorHAnsi"/>
          <w:sz w:val="20"/>
          <w:szCs w:val="20"/>
        </w:rPr>
        <w:t>.</w:t>
      </w:r>
    </w:p>
    <w:p w:rsidR="00C62A14" w:rsidRPr="007C5A3F" w:rsidRDefault="00C62A14" w:rsidP="00926B5D">
      <w:pPr>
        <w:pStyle w:val="a6"/>
      </w:pPr>
    </w:p>
  </w:footnote>
  <w:footnote w:id="345">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rPr>
        <w:footnoteRef/>
      </w:r>
      <w:r w:rsidRPr="00FB4242">
        <w:rPr>
          <w:rFonts w:cstheme="minorHAnsi"/>
        </w:rPr>
        <w:t xml:space="preserve"> </w:t>
      </w:r>
      <w:r w:rsidRPr="00FB4242">
        <w:rPr>
          <w:rFonts w:eastAsia="Times New Roman" w:cstheme="minorHAnsi"/>
          <w:sz w:val="20"/>
          <w:szCs w:val="20"/>
        </w:rPr>
        <w:t xml:space="preserve">Bourdieu, P. (1986) ‘The Forms of Capital’, in Richardson, J. (ed.) </w:t>
      </w:r>
      <w:r w:rsidRPr="00FB4242">
        <w:rPr>
          <w:rFonts w:eastAsia="Times New Roman" w:cstheme="minorHAnsi"/>
          <w:i/>
          <w:iCs/>
          <w:sz w:val="20"/>
          <w:szCs w:val="20"/>
        </w:rPr>
        <w:t>Handbook of Theory and Research for the Sociology of Education</w:t>
      </w:r>
      <w:r w:rsidRPr="00FB4242">
        <w:rPr>
          <w:rFonts w:eastAsia="Times New Roman" w:cstheme="minorHAnsi"/>
          <w:sz w:val="20"/>
          <w:szCs w:val="20"/>
        </w:rPr>
        <w:t>. New York: Greenwood, pp. 241-258.</w:t>
      </w:r>
    </w:p>
    <w:p w:rsidR="00C62A14" w:rsidRPr="00FB4242" w:rsidRDefault="00C62A14" w:rsidP="00926B5D">
      <w:pPr>
        <w:pStyle w:val="a6"/>
        <w:rPr>
          <w:rFonts w:cstheme="minorHAnsi"/>
          <w:lang w:val="en-US"/>
        </w:rPr>
      </w:pPr>
    </w:p>
  </w:footnote>
  <w:footnote w:id="346">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Suchman, M. C. (1995) ‘Managing Legitimacy: Strategic and Institutional Approaches’, </w:t>
      </w:r>
      <w:r w:rsidRPr="00FB4242">
        <w:rPr>
          <w:rFonts w:eastAsia="Times New Roman" w:cstheme="minorHAnsi"/>
          <w:i/>
          <w:iCs/>
        </w:rPr>
        <w:t>Academy of Management Review</w:t>
      </w:r>
      <w:r w:rsidRPr="00FB4242">
        <w:rPr>
          <w:rFonts w:eastAsia="Times New Roman" w:cstheme="minorHAnsi"/>
        </w:rPr>
        <w:t>, 20(3), pp. 571-610</w:t>
      </w:r>
    </w:p>
  </w:footnote>
  <w:footnote w:id="347">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rPr>
        <w:footnoteRef/>
      </w:r>
      <w:r w:rsidRPr="00FB4242">
        <w:rPr>
          <w:rFonts w:cstheme="minorHAnsi"/>
        </w:rPr>
        <w:t xml:space="preserve"> </w:t>
      </w:r>
      <w:proofErr w:type="spellStart"/>
      <w:r w:rsidRPr="00FB4242">
        <w:rPr>
          <w:rFonts w:eastAsia="Times New Roman" w:cstheme="minorHAnsi"/>
          <w:sz w:val="20"/>
          <w:szCs w:val="20"/>
        </w:rPr>
        <w:t>Finnemore</w:t>
      </w:r>
      <w:proofErr w:type="spellEnd"/>
      <w:r w:rsidRPr="00FB4242">
        <w:rPr>
          <w:rFonts w:eastAsia="Times New Roman" w:cstheme="minorHAnsi"/>
          <w:sz w:val="20"/>
          <w:szCs w:val="20"/>
        </w:rPr>
        <w:t xml:space="preserve">, M. and </w:t>
      </w:r>
      <w:proofErr w:type="spellStart"/>
      <w:r w:rsidRPr="00FB4242">
        <w:rPr>
          <w:rFonts w:eastAsia="Times New Roman" w:cstheme="minorHAnsi"/>
          <w:sz w:val="20"/>
          <w:szCs w:val="20"/>
        </w:rPr>
        <w:t>Sikkink</w:t>
      </w:r>
      <w:proofErr w:type="spellEnd"/>
      <w:r w:rsidRPr="00FB4242">
        <w:rPr>
          <w:rFonts w:eastAsia="Times New Roman" w:cstheme="minorHAnsi"/>
          <w:sz w:val="20"/>
          <w:szCs w:val="20"/>
        </w:rPr>
        <w:t xml:space="preserve">, K. (1998) ‘International Norm Dynamics and Political Change’, </w:t>
      </w:r>
      <w:r w:rsidRPr="00FB4242">
        <w:rPr>
          <w:rFonts w:eastAsia="Times New Roman" w:cstheme="minorHAnsi"/>
          <w:i/>
          <w:iCs/>
          <w:sz w:val="20"/>
          <w:szCs w:val="20"/>
        </w:rPr>
        <w:t>International Organization</w:t>
      </w:r>
      <w:r w:rsidRPr="00FB4242">
        <w:rPr>
          <w:rFonts w:eastAsia="Times New Roman" w:cstheme="minorHAnsi"/>
          <w:sz w:val="20"/>
          <w:szCs w:val="20"/>
        </w:rPr>
        <w:t>, 52(4), pp. 887-917.</w:t>
      </w:r>
    </w:p>
    <w:p w:rsidR="00C62A14" w:rsidRPr="00FB4242" w:rsidRDefault="00C62A14" w:rsidP="00926B5D">
      <w:pPr>
        <w:pStyle w:val="a6"/>
        <w:rPr>
          <w:rFonts w:cstheme="minorHAnsi"/>
        </w:rPr>
      </w:pPr>
    </w:p>
  </w:footnote>
  <w:footnote w:id="348">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Nye, J. S. (2004) </w:t>
      </w:r>
      <w:r w:rsidRPr="00FB4242">
        <w:rPr>
          <w:rFonts w:eastAsia="Times New Roman" w:cstheme="minorHAnsi"/>
          <w:i/>
          <w:iCs/>
        </w:rPr>
        <w:t>Soft Power: The Means to Success in World Politics</w:t>
      </w:r>
      <w:r w:rsidRPr="00FB4242">
        <w:rPr>
          <w:rFonts w:eastAsia="Times New Roman" w:cstheme="minorHAnsi"/>
        </w:rPr>
        <w:t>. New York: PublicAffairs</w:t>
      </w:r>
    </w:p>
  </w:footnote>
  <w:footnote w:id="349">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rPr>
        <w:footnoteRef/>
      </w:r>
      <w:r w:rsidRPr="00FB4242">
        <w:rPr>
          <w:rFonts w:cstheme="minorHAnsi"/>
        </w:rPr>
        <w:t xml:space="preserve"> </w:t>
      </w:r>
      <w:r w:rsidRPr="00FB4242">
        <w:rPr>
          <w:rFonts w:eastAsia="Times New Roman" w:cstheme="minorHAnsi"/>
          <w:sz w:val="20"/>
          <w:szCs w:val="20"/>
        </w:rPr>
        <w:t xml:space="preserve">Cohen, J. E. (2019) </w:t>
      </w:r>
      <w:r w:rsidRPr="00FB4242">
        <w:rPr>
          <w:rFonts w:eastAsia="Times New Roman" w:cstheme="minorHAnsi"/>
          <w:i/>
          <w:iCs/>
          <w:sz w:val="20"/>
          <w:szCs w:val="20"/>
        </w:rPr>
        <w:t>Between Truth and Power: The Legal Constructions of Informational Capitalism</w:t>
      </w:r>
      <w:r w:rsidRPr="00FB4242">
        <w:rPr>
          <w:rFonts w:eastAsia="Times New Roman" w:cstheme="minorHAnsi"/>
          <w:sz w:val="20"/>
          <w:szCs w:val="20"/>
        </w:rPr>
        <w:t>. Oxford: Oxford University Press.</w:t>
      </w:r>
    </w:p>
  </w:footnote>
  <w:footnote w:id="350">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eastAsia="Times New Roman" w:cstheme="minorHAnsi"/>
        </w:rPr>
        <w:t xml:space="preserve">Farrell, H. and Newman, A. L. (2019) ‘Weaponized Interdependence: How Global Economic Networks Shape State Coercion’, </w:t>
      </w:r>
      <w:r w:rsidRPr="00FB4242">
        <w:rPr>
          <w:rFonts w:eastAsia="Times New Roman" w:cstheme="minorHAnsi"/>
          <w:i/>
          <w:iCs/>
        </w:rPr>
        <w:t>International Security</w:t>
      </w:r>
      <w:r w:rsidRPr="00FB4242">
        <w:rPr>
          <w:rFonts w:eastAsia="Times New Roman" w:cstheme="minorHAnsi"/>
        </w:rPr>
        <w:t>, 44(1), pp. 42-79.</w:t>
      </w:r>
    </w:p>
  </w:footnote>
  <w:footnote w:id="351">
    <w:p w:rsidR="00C62A14" w:rsidRPr="00FB4242" w:rsidRDefault="00C62A14" w:rsidP="00926B5D">
      <w:pPr>
        <w:spacing w:before="100" w:beforeAutospacing="1" w:after="100" w:afterAutospacing="1" w:line="240" w:lineRule="auto"/>
        <w:rPr>
          <w:rFonts w:eastAsia="Times New Roman" w:cstheme="minorHAnsi"/>
          <w:sz w:val="20"/>
          <w:szCs w:val="20"/>
        </w:rPr>
      </w:pPr>
      <w:r w:rsidRPr="00FB4242">
        <w:rPr>
          <w:rStyle w:val="a8"/>
          <w:rFonts w:cstheme="minorHAnsi"/>
        </w:rPr>
        <w:footnoteRef/>
      </w:r>
      <w:r w:rsidRPr="00FB4242">
        <w:rPr>
          <w:rFonts w:cstheme="minorHAnsi"/>
        </w:rPr>
        <w:t xml:space="preserve"> </w:t>
      </w:r>
      <w:r w:rsidRPr="00FB4242">
        <w:rPr>
          <w:rFonts w:eastAsia="Times New Roman" w:cstheme="minorHAnsi"/>
          <w:sz w:val="20"/>
          <w:szCs w:val="20"/>
        </w:rPr>
        <w:t xml:space="preserve">Castells, M. (2011) </w:t>
      </w:r>
      <w:r w:rsidRPr="00FB4242">
        <w:rPr>
          <w:rFonts w:eastAsia="Times New Roman" w:cstheme="minorHAnsi"/>
          <w:i/>
          <w:iCs/>
          <w:sz w:val="20"/>
          <w:szCs w:val="20"/>
        </w:rPr>
        <w:t>The Rise of the Network Society</w:t>
      </w:r>
      <w:r w:rsidRPr="00FB4242">
        <w:rPr>
          <w:rFonts w:eastAsia="Times New Roman" w:cstheme="minorHAnsi"/>
          <w:sz w:val="20"/>
          <w:szCs w:val="20"/>
        </w:rPr>
        <w:t xml:space="preserve">, 2nd </w:t>
      </w:r>
      <w:proofErr w:type="spellStart"/>
      <w:r w:rsidRPr="00FB4242">
        <w:rPr>
          <w:rFonts w:eastAsia="Times New Roman" w:cstheme="minorHAnsi"/>
          <w:sz w:val="20"/>
          <w:szCs w:val="20"/>
        </w:rPr>
        <w:t>edn</w:t>
      </w:r>
      <w:proofErr w:type="spellEnd"/>
      <w:r w:rsidRPr="00FB4242">
        <w:rPr>
          <w:rFonts w:eastAsia="Times New Roman" w:cstheme="minorHAnsi"/>
          <w:sz w:val="20"/>
          <w:szCs w:val="20"/>
        </w:rPr>
        <w:t>. Oxford: Wiley-Blackwell.</w:t>
      </w:r>
    </w:p>
  </w:footnote>
  <w:footnote w:id="352">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DE059B">
        <w:rPr>
          <w:rStyle w:val="a4"/>
          <w:rFonts w:cstheme="minorHAnsi"/>
          <w:b w:val="0"/>
          <w:bCs w:val="0"/>
        </w:rPr>
        <w:t>Shaanika, I., Nhinda, G. and Amunkete, K. (2022)</w:t>
      </w:r>
      <w:r w:rsidRPr="00FB4242">
        <w:rPr>
          <w:rFonts w:cstheme="minorHAnsi"/>
        </w:rPr>
        <w:t xml:space="preserve"> ‘Assessing the implications of ICT Projects Vendor Lock-in to the Namibian Government Digital Transformation’, </w:t>
      </w:r>
      <w:r w:rsidRPr="00FB4242">
        <w:rPr>
          <w:rStyle w:val="a5"/>
          <w:rFonts w:cstheme="minorHAnsi"/>
        </w:rPr>
        <w:t>Proceedings of the International Conference on Information Systems and Emerging Technologies (ICISET)</w:t>
      </w:r>
      <w:r w:rsidRPr="00FB4242">
        <w:rPr>
          <w:rFonts w:cstheme="minorHAnsi"/>
        </w:rPr>
        <w:t>.</w:t>
      </w:r>
    </w:p>
  </w:footnote>
  <w:footnote w:id="353">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Avant, D. D., Finnemore, M. and Sell, S. K. (2010) </w:t>
      </w:r>
      <w:r w:rsidRPr="00FB4242">
        <w:rPr>
          <w:rStyle w:val="a5"/>
          <w:rFonts w:cstheme="minorHAnsi"/>
        </w:rPr>
        <w:t>Who Governs the Globe?</w:t>
      </w:r>
      <w:r w:rsidRPr="00FB4242">
        <w:rPr>
          <w:rFonts w:cstheme="minorHAnsi"/>
        </w:rPr>
        <w:t xml:space="preserve"> Cambridge: Cambridge University Press.</w:t>
      </w:r>
    </w:p>
  </w:footnote>
  <w:footnote w:id="354">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DeNardis, </w:t>
      </w:r>
      <w:r w:rsidRPr="00FB4242">
        <w:rPr>
          <w:rFonts w:cstheme="minorHAnsi"/>
        </w:rPr>
        <w:t xml:space="preserve">L. (2020) </w:t>
      </w:r>
      <w:r w:rsidRPr="00FB4242">
        <w:rPr>
          <w:rStyle w:val="a5"/>
          <w:rFonts w:cstheme="minorHAnsi"/>
        </w:rPr>
        <w:t>The Internet in Everything: Freedom and Security in a World with No Off Switch</w:t>
      </w:r>
      <w:r w:rsidRPr="00FB4242">
        <w:rPr>
          <w:rFonts w:cstheme="minorHAnsi"/>
        </w:rPr>
        <w:t>. New</w:t>
      </w:r>
      <w:r w:rsidRPr="00FB4242">
        <w:rPr>
          <w:rFonts w:cstheme="minorHAnsi"/>
          <w:rtl/>
        </w:rPr>
        <w:t xml:space="preserve"> </w:t>
      </w:r>
      <w:r w:rsidRPr="00FB4242">
        <w:rPr>
          <w:rFonts w:cstheme="minorHAnsi"/>
        </w:rPr>
        <w:t>Haven, CT: Yale University Press.</w:t>
      </w:r>
      <w:r w:rsidRPr="00FB4242">
        <w:rPr>
          <w:rFonts w:cstheme="minorHAnsi"/>
          <w:rtl/>
        </w:rPr>
        <w:t xml:space="preserve"> </w:t>
      </w:r>
      <w:r w:rsidRPr="00FB4242">
        <w:rPr>
          <w:rFonts w:cstheme="minorHAnsi"/>
        </w:rPr>
        <w:t xml:space="preserve">Nye, J. S. (2021) ‘Power and Interdependence with China in the Twenty-First Century’, </w:t>
      </w:r>
      <w:r w:rsidRPr="00FB4242">
        <w:rPr>
          <w:rStyle w:val="a5"/>
          <w:rFonts w:cstheme="minorHAnsi"/>
        </w:rPr>
        <w:t>The Washington Quarterly</w:t>
      </w:r>
      <w:r w:rsidRPr="00FB4242">
        <w:rPr>
          <w:rFonts w:cstheme="minorHAnsi"/>
        </w:rPr>
        <w:t>, 44(1), pp. 7</w:t>
      </w:r>
      <w:r w:rsidRPr="00FB4242">
        <w:rPr>
          <w:rFonts w:cstheme="minorHAnsi"/>
          <w:rtl/>
        </w:rPr>
        <w:t>-</w:t>
      </w:r>
      <w:r w:rsidRPr="00FB4242">
        <w:rPr>
          <w:rFonts w:cstheme="minorHAnsi"/>
        </w:rPr>
        <w:t>22.</w:t>
      </w:r>
    </w:p>
  </w:footnote>
  <w:footnote w:id="355">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van </w:t>
      </w:r>
      <w:r w:rsidRPr="00FB4242">
        <w:rPr>
          <w:rFonts w:cstheme="minorHAnsi"/>
        </w:rPr>
        <w:t xml:space="preserve">Dijck, J., Poell, T. and de Waal, M. (2018) </w:t>
      </w:r>
      <w:r w:rsidRPr="00FB4242">
        <w:rPr>
          <w:rStyle w:val="a5"/>
          <w:rFonts w:cstheme="minorHAnsi"/>
        </w:rPr>
        <w:t>The Platform Society: Public Values in a Connective World</w:t>
      </w:r>
      <w:r w:rsidRPr="00FB4242">
        <w:rPr>
          <w:rFonts w:cstheme="minorHAnsi"/>
        </w:rPr>
        <w:t>. Oxford: Oxford University Press.</w:t>
      </w:r>
      <w:r w:rsidRPr="00FB4242">
        <w:rPr>
          <w:rFonts w:cstheme="minorHAnsi"/>
          <w:rtl/>
        </w:rPr>
        <w:t xml:space="preserve"> </w:t>
      </w:r>
      <w:r w:rsidRPr="00FB4242">
        <w:rPr>
          <w:rFonts w:cstheme="minorHAnsi"/>
        </w:rPr>
        <w:t xml:space="preserve">Liu, H. (2021) ‘Huawei, 5G, and China’s Digital Silk Road’, </w:t>
      </w:r>
      <w:r w:rsidRPr="00FB4242">
        <w:rPr>
          <w:rStyle w:val="a5"/>
          <w:rFonts w:cstheme="minorHAnsi"/>
        </w:rPr>
        <w:t>Global Policy</w:t>
      </w:r>
      <w:r w:rsidRPr="00FB4242">
        <w:rPr>
          <w:rFonts w:cstheme="minorHAnsi"/>
        </w:rPr>
        <w:t>, 12(S3), pp. 5</w:t>
      </w:r>
      <w:r w:rsidRPr="00FB4242">
        <w:rPr>
          <w:rFonts w:cstheme="minorHAnsi"/>
          <w:rtl/>
        </w:rPr>
        <w:t>-</w:t>
      </w:r>
      <w:r w:rsidRPr="00FB4242">
        <w:rPr>
          <w:rFonts w:cstheme="minorHAnsi"/>
        </w:rPr>
        <w:t>17.</w:t>
      </w:r>
      <w:r w:rsidRPr="00FB4242">
        <w:rPr>
          <w:rFonts w:cstheme="minorHAnsi"/>
          <w:rtl/>
        </w:rPr>
        <w:t xml:space="preserve"> </w:t>
      </w:r>
      <w:r w:rsidRPr="00FB4242">
        <w:rPr>
          <w:rFonts w:cstheme="minorHAnsi"/>
        </w:rPr>
        <w:t xml:space="preserve">Pollock, N. and Williams, R. (2008) </w:t>
      </w:r>
      <w:r w:rsidRPr="00FB4242">
        <w:rPr>
          <w:rStyle w:val="a5"/>
          <w:rFonts w:cstheme="minorHAnsi"/>
        </w:rPr>
        <w:t>Software and Organisations</w:t>
      </w:r>
      <w:r w:rsidRPr="00FB4242">
        <w:rPr>
          <w:rFonts w:cstheme="minorHAnsi"/>
        </w:rPr>
        <w:t>. London: Routledge.</w:t>
      </w:r>
    </w:p>
  </w:footnote>
  <w:footnote w:id="356">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Klonick, </w:t>
      </w:r>
      <w:r w:rsidRPr="00FB4242">
        <w:rPr>
          <w:rFonts w:cstheme="minorHAnsi"/>
        </w:rPr>
        <w:t xml:space="preserve">K. (2018) ‘The New Governors’, </w:t>
      </w:r>
      <w:r w:rsidRPr="00FB4242">
        <w:rPr>
          <w:rStyle w:val="a5"/>
          <w:rFonts w:cstheme="minorHAnsi"/>
        </w:rPr>
        <w:t>Harvard Law Review</w:t>
      </w:r>
      <w:r w:rsidRPr="00FB4242">
        <w:rPr>
          <w:rFonts w:cstheme="minorHAnsi"/>
        </w:rPr>
        <w:t>, 131(6), pp. 1598</w:t>
      </w:r>
      <w:r w:rsidRPr="00FB4242">
        <w:rPr>
          <w:rFonts w:cstheme="minorHAnsi"/>
          <w:rtl/>
        </w:rPr>
        <w:t>-</w:t>
      </w:r>
      <w:r w:rsidRPr="00FB4242">
        <w:rPr>
          <w:rFonts w:cstheme="minorHAnsi"/>
        </w:rPr>
        <w:t>1670.</w:t>
      </w:r>
    </w:p>
  </w:footnote>
  <w:footnote w:id="357">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Segal, </w:t>
      </w:r>
      <w:r w:rsidRPr="00FB4242">
        <w:rPr>
          <w:rFonts w:cstheme="minorHAnsi"/>
        </w:rPr>
        <w:t xml:space="preserve">A. (2019) </w:t>
      </w:r>
      <w:r w:rsidRPr="00FB4242">
        <w:rPr>
          <w:rStyle w:val="a5"/>
          <w:rFonts w:cstheme="minorHAnsi"/>
        </w:rPr>
        <w:t>Huawei and the Future of Global Technology Competition</w:t>
      </w:r>
      <w:r w:rsidRPr="00FB4242">
        <w:rPr>
          <w:rFonts w:cstheme="minorHAnsi"/>
        </w:rPr>
        <w:t>. Council on Foreign Relations.</w:t>
      </w:r>
      <w:r w:rsidRPr="00FB4242">
        <w:rPr>
          <w:rFonts w:cstheme="minorHAnsi"/>
        </w:rPr>
        <w:br/>
      </w:r>
    </w:p>
  </w:footnote>
  <w:footnote w:id="358">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Klonick, </w:t>
      </w:r>
      <w:r w:rsidRPr="00FB4242">
        <w:rPr>
          <w:rFonts w:cstheme="minorHAnsi"/>
        </w:rPr>
        <w:t>K. (2018)</w:t>
      </w:r>
      <w:r w:rsidRPr="00FB4242">
        <w:rPr>
          <w:rFonts w:cstheme="minorHAnsi"/>
          <w:rtl/>
        </w:rPr>
        <w:t xml:space="preserve"> </w:t>
      </w:r>
      <w:r w:rsidRPr="00FB4242">
        <w:rPr>
          <w:rFonts w:cstheme="minorHAnsi"/>
        </w:rPr>
        <w:t xml:space="preserve">‘The New Governors: The People, Rules, and Processes Governing Online Speech’, </w:t>
      </w:r>
      <w:r w:rsidRPr="00FB4242">
        <w:rPr>
          <w:rStyle w:val="a5"/>
          <w:rFonts w:cstheme="minorHAnsi"/>
        </w:rPr>
        <w:t>Harvard Law Review</w:t>
      </w:r>
      <w:r w:rsidRPr="00FB4242">
        <w:rPr>
          <w:rFonts w:cstheme="minorHAnsi"/>
        </w:rPr>
        <w:t>, 131(6), pp. 1598</w:t>
      </w:r>
      <w:r w:rsidRPr="00FB4242">
        <w:rPr>
          <w:rFonts w:cstheme="minorHAnsi"/>
          <w:rtl/>
        </w:rPr>
        <w:t>-</w:t>
      </w:r>
      <w:r w:rsidRPr="00FB4242">
        <w:rPr>
          <w:rFonts w:cstheme="minorHAnsi"/>
        </w:rPr>
        <w:t>1670.</w:t>
      </w:r>
      <w:r w:rsidRPr="00FB4242">
        <w:rPr>
          <w:rFonts w:cstheme="minorHAnsi"/>
        </w:rPr>
        <w:br/>
      </w:r>
    </w:p>
  </w:footnote>
  <w:footnote w:id="359">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Balkin, </w:t>
      </w:r>
      <w:r w:rsidRPr="00FB4242">
        <w:rPr>
          <w:rFonts w:cstheme="minorHAnsi"/>
        </w:rPr>
        <w:t xml:space="preserve">J. M. (2018) ‘Free Speech in the Algorithmic Society’, </w:t>
      </w:r>
      <w:r w:rsidRPr="00FB4242">
        <w:rPr>
          <w:rStyle w:val="a5"/>
          <w:rFonts w:cstheme="minorHAnsi"/>
        </w:rPr>
        <w:t>UC Davis Law Review</w:t>
      </w:r>
      <w:r w:rsidRPr="00FB4242">
        <w:rPr>
          <w:rFonts w:cstheme="minorHAnsi"/>
        </w:rPr>
        <w:t>, 51, pp. 1149-1210.</w:t>
      </w:r>
    </w:p>
  </w:footnote>
  <w:footnote w:id="360">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Vaidhyanathan, </w:t>
      </w:r>
      <w:r w:rsidRPr="00FB4242">
        <w:rPr>
          <w:rFonts w:cstheme="minorHAnsi"/>
        </w:rPr>
        <w:t xml:space="preserve">S. (2018) </w:t>
      </w:r>
      <w:r w:rsidRPr="00FB4242">
        <w:rPr>
          <w:rStyle w:val="a5"/>
          <w:rFonts w:cstheme="minorHAnsi"/>
        </w:rPr>
        <w:t>Antisocial Media: How Facebook Disconnects Us and Undermines Democracy</w:t>
      </w:r>
      <w:r w:rsidRPr="00FB4242">
        <w:rPr>
          <w:rFonts w:cstheme="minorHAnsi"/>
        </w:rPr>
        <w:t>. New York: Oxford University Press.</w:t>
      </w:r>
      <w:r w:rsidRPr="00FB4242">
        <w:rPr>
          <w:rFonts w:cstheme="minorHAnsi"/>
        </w:rPr>
        <w:br/>
      </w:r>
    </w:p>
  </w:footnote>
  <w:footnote w:id="361">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Creemers, </w:t>
      </w:r>
      <w:r w:rsidRPr="00FB4242">
        <w:rPr>
          <w:rFonts w:cstheme="minorHAnsi"/>
        </w:rPr>
        <w:t xml:space="preserve">R. (2018) ‘China’s Social Credit System: An Evolving Practice of Control’, </w:t>
      </w:r>
      <w:r w:rsidRPr="00FB4242">
        <w:rPr>
          <w:rStyle w:val="a5"/>
          <w:rFonts w:cstheme="minorHAnsi"/>
        </w:rPr>
        <w:t>SSRN Working Paper</w:t>
      </w:r>
      <w:r w:rsidRPr="00FB4242">
        <w:rPr>
          <w:rFonts w:cstheme="minorHAnsi"/>
        </w:rPr>
        <w:t>.</w:t>
      </w:r>
      <w:r w:rsidRPr="00FB4242">
        <w:rPr>
          <w:rFonts w:cstheme="minorHAnsi"/>
          <w:lang w:val="en-US"/>
        </w:rPr>
        <w:t xml:space="preserve"> </w:t>
      </w:r>
      <w:r w:rsidRPr="00FB4242">
        <w:rPr>
          <w:rFonts w:cstheme="minorHAnsi"/>
        </w:rPr>
        <w:t xml:space="preserve">Segal, A. (2019) </w:t>
      </w:r>
      <w:r w:rsidRPr="00FB4242">
        <w:rPr>
          <w:rStyle w:val="a5"/>
          <w:rFonts w:cstheme="minorHAnsi"/>
        </w:rPr>
        <w:t>Huawei and the Future of Global Technology Competition</w:t>
      </w:r>
      <w:r w:rsidRPr="00FB4242">
        <w:rPr>
          <w:rFonts w:cstheme="minorHAnsi"/>
        </w:rPr>
        <w:t>. Council on Foreign Relations.</w:t>
      </w:r>
      <w:r w:rsidRPr="00FB4242">
        <w:rPr>
          <w:rFonts w:cstheme="minorHAnsi"/>
        </w:rPr>
        <w:br/>
      </w:r>
    </w:p>
  </w:footnote>
  <w:footnote w:id="362">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cstheme="minorHAnsi"/>
        </w:rPr>
        <w:t xml:space="preserve">Triolo, </w:t>
      </w:r>
      <w:r w:rsidRPr="00FB4242">
        <w:rPr>
          <w:rFonts w:cstheme="minorHAnsi"/>
        </w:rPr>
        <w:t xml:space="preserve">P. and Allison, K. (2022) ‘Geopolitical Implications of China’s Digital Silk Road’, </w:t>
      </w:r>
      <w:r w:rsidRPr="00FB4242">
        <w:rPr>
          <w:rStyle w:val="a5"/>
          <w:rFonts w:cstheme="minorHAnsi"/>
        </w:rPr>
        <w:t>Asia Policy</w:t>
      </w:r>
      <w:r w:rsidRPr="00FB4242">
        <w:rPr>
          <w:rFonts w:cstheme="minorHAnsi"/>
        </w:rPr>
        <w:t>, 17(3), pp. 5-35.</w:t>
      </w:r>
      <w:r w:rsidRPr="00FB4242">
        <w:rPr>
          <w:rFonts w:cstheme="minorHAnsi"/>
        </w:rPr>
        <w:br/>
      </w:r>
    </w:p>
  </w:footnote>
  <w:footnote w:id="363">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cstheme="minorHAnsi"/>
        </w:rPr>
        <w:t xml:space="preserve">Pohle, </w:t>
      </w:r>
      <w:r w:rsidRPr="00FB4242">
        <w:rPr>
          <w:rFonts w:cstheme="minorHAnsi"/>
        </w:rPr>
        <w:t xml:space="preserve">J. and Thiel, T. (2020) ‘Digital Sovereignty’, </w:t>
      </w:r>
      <w:r w:rsidRPr="00FB4242">
        <w:rPr>
          <w:rStyle w:val="a5"/>
          <w:rFonts w:cstheme="minorHAnsi"/>
        </w:rPr>
        <w:t>Internet Policy Review</w:t>
      </w:r>
      <w:r w:rsidRPr="00FB4242">
        <w:rPr>
          <w:rFonts w:cstheme="minorHAnsi"/>
        </w:rPr>
        <w:t>, 9(4).</w:t>
      </w:r>
      <w:r w:rsidRPr="00FB4242">
        <w:rPr>
          <w:rFonts w:cstheme="minorHAnsi"/>
        </w:rPr>
        <w:br/>
      </w:r>
    </w:p>
  </w:footnote>
  <w:footnote w:id="364">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Pollock, </w:t>
      </w:r>
      <w:r w:rsidRPr="00FB4242">
        <w:rPr>
          <w:rFonts w:cstheme="minorHAnsi"/>
        </w:rPr>
        <w:t xml:space="preserve">N. and Williams, R. (2008) </w:t>
      </w:r>
      <w:r w:rsidRPr="00FB4242">
        <w:rPr>
          <w:rStyle w:val="a5"/>
          <w:rFonts w:cstheme="minorHAnsi"/>
        </w:rPr>
        <w:t>Software and Organisations: The Biography of the Enterprise-Wide System or How SAP Conquered the World</w:t>
      </w:r>
      <w:r w:rsidRPr="00FB4242">
        <w:rPr>
          <w:rFonts w:cstheme="minorHAnsi"/>
        </w:rPr>
        <w:t>. Routledge.</w:t>
      </w:r>
      <w:r w:rsidRPr="00FB4242">
        <w:rPr>
          <w:rFonts w:cstheme="minorHAnsi"/>
        </w:rPr>
        <w:br/>
      </w:r>
    </w:p>
  </w:footnote>
  <w:footnote w:id="365">
    <w:p w:rsidR="00C62A14" w:rsidRPr="00FB4242" w:rsidRDefault="00C62A14" w:rsidP="00926B5D">
      <w:pPr>
        <w:pStyle w:val="a6"/>
        <w:rPr>
          <w:rFonts w:cstheme="minorHAnsi"/>
          <w:rtl/>
          <w:lang w:val="en-US"/>
        </w:rPr>
      </w:pPr>
      <w:r w:rsidRPr="00FB4242">
        <w:rPr>
          <w:rStyle w:val="a8"/>
          <w:rFonts w:cstheme="minorHAnsi"/>
        </w:rPr>
        <w:footnoteRef/>
      </w:r>
      <w:r w:rsidRPr="00FB4242">
        <w:rPr>
          <w:rFonts w:cstheme="minorHAnsi"/>
        </w:rPr>
        <w:t xml:space="preserve"> </w:t>
      </w:r>
      <w:r w:rsidRPr="00FB4242">
        <w:rPr>
          <w:rFonts w:cstheme="minorHAnsi"/>
        </w:rPr>
        <w:t xml:space="preserve">Castells, </w:t>
      </w:r>
      <w:r w:rsidRPr="00FB4242">
        <w:rPr>
          <w:rFonts w:cstheme="minorHAnsi"/>
        </w:rPr>
        <w:t>M. (2011)</w:t>
      </w:r>
      <w:r w:rsidRPr="00FB4242">
        <w:rPr>
          <w:rFonts w:cstheme="minorHAnsi"/>
          <w:rtl/>
        </w:rPr>
        <w:t xml:space="preserve"> </w:t>
      </w:r>
      <w:r w:rsidRPr="00FB4242">
        <w:rPr>
          <w:rStyle w:val="a5"/>
          <w:rFonts w:cstheme="minorHAnsi"/>
        </w:rPr>
        <w:t>The Rise of the Network Society</w:t>
      </w:r>
      <w:r w:rsidRPr="00FB4242">
        <w:rPr>
          <w:rFonts w:cstheme="minorHAnsi"/>
        </w:rPr>
        <w:t>, 2nd edn. Oxford: Wiley-Blackwell</w:t>
      </w:r>
      <w:r w:rsidRPr="00FB4242">
        <w:rPr>
          <w:rFonts w:cstheme="minorHAnsi"/>
          <w:lang w:val="en-US"/>
        </w:rPr>
        <w:t xml:space="preserve">; </w:t>
      </w:r>
      <w:r w:rsidRPr="00FB4242">
        <w:rPr>
          <w:rFonts w:cstheme="minorHAnsi"/>
        </w:rPr>
        <w:t>DeNardis, L. (2020)</w:t>
      </w:r>
      <w:r w:rsidRPr="00FB4242">
        <w:rPr>
          <w:rFonts w:cstheme="minorHAnsi"/>
          <w:rtl/>
        </w:rPr>
        <w:t xml:space="preserve"> </w:t>
      </w:r>
      <w:r w:rsidRPr="00FB4242">
        <w:rPr>
          <w:rStyle w:val="a5"/>
          <w:rFonts w:cstheme="minorHAnsi"/>
        </w:rPr>
        <w:t>The Internet in Everything: Freedom and Security in a World with No Off Switch</w:t>
      </w:r>
      <w:r w:rsidRPr="00FB4242">
        <w:rPr>
          <w:rFonts w:cstheme="minorHAnsi"/>
        </w:rPr>
        <w:t>. New Haven, CT: Yale University Press</w:t>
      </w:r>
      <w:r w:rsidRPr="00FB4242">
        <w:rPr>
          <w:rFonts w:cstheme="minorHAnsi"/>
          <w:lang w:val="en-US"/>
        </w:rPr>
        <w:t>.</w:t>
      </w:r>
    </w:p>
  </w:footnote>
  <w:footnote w:id="366">
    <w:p w:rsidR="00C62A14" w:rsidRPr="00FB4242" w:rsidRDefault="00C62A14" w:rsidP="00926B5D">
      <w:pPr>
        <w:pStyle w:val="NormalWeb"/>
        <w:rPr>
          <w:rFonts w:asciiTheme="minorHAnsi" w:hAnsiTheme="minorHAnsi" w:cstheme="minorHAnsi"/>
          <w:sz w:val="20"/>
          <w:szCs w:val="20"/>
          <w:rtl/>
        </w:rPr>
      </w:pPr>
      <w:r w:rsidRPr="00FB4242">
        <w:rPr>
          <w:rStyle w:val="a8"/>
          <w:rFonts w:asciiTheme="minorHAnsi" w:hAnsiTheme="minorHAnsi" w:cstheme="minorHAnsi"/>
        </w:rPr>
        <w:footnoteRef/>
      </w:r>
      <w:r w:rsidRPr="00FB4242">
        <w:rPr>
          <w:rFonts w:asciiTheme="minorHAnsi" w:hAnsiTheme="minorHAnsi" w:cstheme="minorHAnsi"/>
        </w:rPr>
        <w:t xml:space="preserve"> </w:t>
      </w:r>
      <w:proofErr w:type="spellStart"/>
      <w:r w:rsidRPr="00FB4242">
        <w:rPr>
          <w:rFonts w:asciiTheme="minorHAnsi" w:hAnsiTheme="minorHAnsi" w:cstheme="minorHAnsi"/>
          <w:sz w:val="20"/>
          <w:szCs w:val="20"/>
        </w:rPr>
        <w:t>Pohle</w:t>
      </w:r>
      <w:proofErr w:type="spellEnd"/>
      <w:r w:rsidRPr="00FB4242">
        <w:rPr>
          <w:rFonts w:asciiTheme="minorHAnsi" w:hAnsiTheme="minorHAnsi" w:cstheme="minorHAnsi"/>
          <w:sz w:val="20"/>
          <w:szCs w:val="20"/>
        </w:rPr>
        <w:t>, J. and Thiel, T. (2020)</w:t>
      </w:r>
      <w:r w:rsidRPr="00FB4242">
        <w:rPr>
          <w:rFonts w:asciiTheme="minorHAnsi" w:hAnsiTheme="minorHAnsi" w:cstheme="minorHAnsi"/>
          <w:sz w:val="20"/>
          <w:szCs w:val="20"/>
          <w:rtl/>
        </w:rPr>
        <w:t xml:space="preserve"> </w:t>
      </w:r>
      <w:r w:rsidRPr="00FB4242">
        <w:rPr>
          <w:rFonts w:asciiTheme="minorHAnsi" w:hAnsiTheme="minorHAnsi" w:cstheme="minorHAnsi"/>
          <w:sz w:val="20"/>
          <w:szCs w:val="20"/>
        </w:rPr>
        <w:t xml:space="preserve">‘Digital Sovereignty’, </w:t>
      </w:r>
      <w:r w:rsidRPr="00FB4242">
        <w:rPr>
          <w:rStyle w:val="a5"/>
          <w:rFonts w:asciiTheme="minorHAnsi" w:eastAsiaTheme="majorEastAsia" w:hAnsiTheme="minorHAnsi" w:cstheme="minorHAnsi"/>
          <w:sz w:val="20"/>
          <w:szCs w:val="20"/>
        </w:rPr>
        <w:t>Internet Policy Review</w:t>
      </w:r>
      <w:r w:rsidRPr="00FB4242">
        <w:rPr>
          <w:rFonts w:asciiTheme="minorHAnsi" w:hAnsiTheme="minorHAnsi" w:cstheme="minorHAnsi"/>
          <w:sz w:val="20"/>
          <w:szCs w:val="20"/>
        </w:rPr>
        <w:t>, 9(4).</w:t>
      </w:r>
    </w:p>
  </w:footnote>
  <w:footnote w:id="367">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European Commission (2022)</w:t>
      </w:r>
      <w:r w:rsidRPr="00FB4242">
        <w:rPr>
          <w:rFonts w:cstheme="minorHAnsi"/>
          <w:rtl/>
        </w:rPr>
        <w:t xml:space="preserve"> </w:t>
      </w:r>
      <w:r w:rsidRPr="00FB4242">
        <w:rPr>
          <w:rStyle w:val="a5"/>
          <w:rFonts w:cstheme="minorHAnsi"/>
        </w:rPr>
        <w:t>European Cloud Governance and Data Sovereignty Strategy</w:t>
      </w:r>
      <w:r w:rsidRPr="00FB4242">
        <w:rPr>
          <w:rFonts w:cstheme="minorHAnsi"/>
        </w:rPr>
        <w:t>. Brussels.</w:t>
      </w:r>
    </w:p>
  </w:footnote>
  <w:footnote w:id="368">
    <w:p w:rsidR="00C62A14" w:rsidRPr="00FB4242" w:rsidRDefault="00C62A14" w:rsidP="00926B5D">
      <w:pPr>
        <w:pStyle w:val="NormalWeb"/>
        <w:rPr>
          <w:rFonts w:asciiTheme="minorHAnsi" w:hAnsiTheme="minorHAnsi" w:cstheme="minorHAnsi"/>
          <w:sz w:val="20"/>
          <w:szCs w:val="20"/>
          <w:rtl/>
        </w:rPr>
      </w:pPr>
      <w:r w:rsidRPr="00FB4242">
        <w:rPr>
          <w:rStyle w:val="a8"/>
          <w:rFonts w:asciiTheme="minorHAnsi" w:hAnsiTheme="minorHAnsi" w:cstheme="minorHAnsi"/>
        </w:rPr>
        <w:footnoteRef/>
      </w:r>
      <w:r w:rsidRPr="00FB4242">
        <w:rPr>
          <w:rFonts w:asciiTheme="minorHAnsi" w:hAnsiTheme="minorHAnsi" w:cstheme="minorHAnsi"/>
        </w:rPr>
        <w:t xml:space="preserve"> </w:t>
      </w:r>
      <w:proofErr w:type="spellStart"/>
      <w:r w:rsidRPr="00FB4242">
        <w:rPr>
          <w:rFonts w:asciiTheme="minorHAnsi" w:hAnsiTheme="minorHAnsi" w:cstheme="minorHAnsi"/>
          <w:sz w:val="20"/>
          <w:szCs w:val="20"/>
        </w:rPr>
        <w:t>Musiani</w:t>
      </w:r>
      <w:proofErr w:type="spellEnd"/>
      <w:r w:rsidRPr="00FB4242">
        <w:rPr>
          <w:rFonts w:asciiTheme="minorHAnsi" w:hAnsiTheme="minorHAnsi" w:cstheme="minorHAnsi"/>
          <w:sz w:val="20"/>
          <w:szCs w:val="20"/>
        </w:rPr>
        <w:t xml:space="preserve">, F., </w:t>
      </w:r>
      <w:proofErr w:type="spellStart"/>
      <w:r w:rsidRPr="00FB4242">
        <w:rPr>
          <w:rFonts w:asciiTheme="minorHAnsi" w:hAnsiTheme="minorHAnsi" w:cstheme="minorHAnsi"/>
          <w:sz w:val="20"/>
          <w:szCs w:val="20"/>
        </w:rPr>
        <w:t>Cogburn</w:t>
      </w:r>
      <w:proofErr w:type="spellEnd"/>
      <w:r w:rsidRPr="00FB4242">
        <w:rPr>
          <w:rFonts w:asciiTheme="minorHAnsi" w:hAnsiTheme="minorHAnsi" w:cstheme="minorHAnsi"/>
          <w:sz w:val="20"/>
          <w:szCs w:val="20"/>
        </w:rPr>
        <w:t xml:space="preserve">, D. L., </w:t>
      </w:r>
      <w:proofErr w:type="spellStart"/>
      <w:r w:rsidRPr="00FB4242">
        <w:rPr>
          <w:rFonts w:asciiTheme="minorHAnsi" w:hAnsiTheme="minorHAnsi" w:cstheme="minorHAnsi"/>
          <w:sz w:val="20"/>
          <w:szCs w:val="20"/>
        </w:rPr>
        <w:t>DeNardis</w:t>
      </w:r>
      <w:proofErr w:type="spellEnd"/>
      <w:r w:rsidRPr="00FB4242">
        <w:rPr>
          <w:rFonts w:asciiTheme="minorHAnsi" w:hAnsiTheme="minorHAnsi" w:cstheme="minorHAnsi"/>
          <w:sz w:val="20"/>
          <w:szCs w:val="20"/>
        </w:rPr>
        <w:t>, L. and Levinson, N. S. (</w:t>
      </w:r>
      <w:proofErr w:type="spellStart"/>
      <w:r w:rsidRPr="00FB4242">
        <w:rPr>
          <w:rFonts w:asciiTheme="minorHAnsi" w:hAnsiTheme="minorHAnsi" w:cstheme="minorHAnsi"/>
          <w:sz w:val="20"/>
          <w:szCs w:val="20"/>
        </w:rPr>
        <w:t>eds</w:t>
      </w:r>
      <w:proofErr w:type="spellEnd"/>
      <w:r w:rsidRPr="00FB4242">
        <w:rPr>
          <w:rFonts w:asciiTheme="minorHAnsi" w:hAnsiTheme="minorHAnsi" w:cstheme="minorHAnsi"/>
          <w:sz w:val="20"/>
          <w:szCs w:val="20"/>
        </w:rPr>
        <w:t>) (2016)</w:t>
      </w:r>
      <w:r w:rsidRPr="00FB4242">
        <w:rPr>
          <w:rFonts w:asciiTheme="minorHAnsi" w:hAnsiTheme="minorHAnsi" w:cstheme="minorHAnsi"/>
          <w:sz w:val="20"/>
          <w:szCs w:val="20"/>
          <w:rtl/>
        </w:rPr>
        <w:t xml:space="preserve"> </w:t>
      </w:r>
      <w:r w:rsidRPr="00FB4242">
        <w:rPr>
          <w:rStyle w:val="a5"/>
          <w:rFonts w:asciiTheme="minorHAnsi" w:eastAsiaTheme="majorEastAsia" w:hAnsiTheme="minorHAnsi" w:cstheme="minorHAnsi"/>
          <w:sz w:val="20"/>
          <w:szCs w:val="20"/>
        </w:rPr>
        <w:t>The Turn to Infrastructure in Internet Governance</w:t>
      </w:r>
      <w:r w:rsidRPr="00FB4242">
        <w:rPr>
          <w:rFonts w:asciiTheme="minorHAnsi" w:hAnsiTheme="minorHAnsi" w:cstheme="minorHAnsi"/>
          <w:sz w:val="20"/>
          <w:szCs w:val="20"/>
        </w:rPr>
        <w:t>. New York: Palgrave Macmillan.</w:t>
      </w:r>
    </w:p>
  </w:footnote>
  <w:footnote w:id="369">
    <w:p w:rsidR="00C62A14" w:rsidRPr="00FB4242" w:rsidRDefault="00C62A14" w:rsidP="00926B5D">
      <w:pPr>
        <w:pStyle w:val="NormalWeb"/>
        <w:rPr>
          <w:rFonts w:asciiTheme="minorHAnsi" w:hAnsiTheme="minorHAnsi" w:cstheme="minorHAnsi"/>
          <w:sz w:val="20"/>
          <w:szCs w:val="20"/>
          <w:rtl/>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FB4242">
        <w:rPr>
          <w:rFonts w:asciiTheme="minorHAnsi" w:hAnsiTheme="minorHAnsi" w:cstheme="minorHAnsi"/>
          <w:sz w:val="20"/>
          <w:szCs w:val="20"/>
        </w:rPr>
        <w:t>Gilli</w:t>
      </w:r>
      <w:proofErr w:type="spellEnd"/>
      <w:r w:rsidRPr="00FB4242">
        <w:rPr>
          <w:rFonts w:asciiTheme="minorHAnsi" w:hAnsiTheme="minorHAnsi" w:cstheme="minorHAnsi"/>
          <w:sz w:val="20"/>
          <w:szCs w:val="20"/>
        </w:rPr>
        <w:t xml:space="preserve">, A. and </w:t>
      </w:r>
      <w:proofErr w:type="spellStart"/>
      <w:r w:rsidRPr="00FB4242">
        <w:rPr>
          <w:rFonts w:asciiTheme="minorHAnsi" w:hAnsiTheme="minorHAnsi" w:cstheme="minorHAnsi"/>
          <w:sz w:val="20"/>
          <w:szCs w:val="20"/>
        </w:rPr>
        <w:t>Gilli</w:t>
      </w:r>
      <w:proofErr w:type="spellEnd"/>
      <w:r w:rsidRPr="00FB4242">
        <w:rPr>
          <w:rFonts w:asciiTheme="minorHAnsi" w:hAnsiTheme="minorHAnsi" w:cstheme="minorHAnsi"/>
          <w:sz w:val="20"/>
          <w:szCs w:val="20"/>
        </w:rPr>
        <w:t>, M. (2021)</w:t>
      </w:r>
      <w:r w:rsidRPr="00FB4242">
        <w:rPr>
          <w:rFonts w:asciiTheme="minorHAnsi" w:hAnsiTheme="minorHAnsi" w:cstheme="minorHAnsi"/>
          <w:sz w:val="20"/>
          <w:szCs w:val="20"/>
          <w:rtl/>
        </w:rPr>
        <w:t xml:space="preserve"> </w:t>
      </w:r>
      <w:r w:rsidRPr="00FB4242">
        <w:rPr>
          <w:rFonts w:asciiTheme="minorHAnsi" w:hAnsiTheme="minorHAnsi" w:cstheme="minorHAnsi"/>
          <w:sz w:val="20"/>
          <w:szCs w:val="20"/>
        </w:rPr>
        <w:t xml:space="preserve">‘Why Tech Companies Are the New Defense Contractors’, </w:t>
      </w:r>
      <w:r w:rsidRPr="00FB4242">
        <w:rPr>
          <w:rStyle w:val="a5"/>
          <w:rFonts w:asciiTheme="minorHAnsi" w:eastAsiaTheme="majorEastAsia" w:hAnsiTheme="minorHAnsi" w:cstheme="minorHAnsi"/>
          <w:sz w:val="20"/>
          <w:szCs w:val="20"/>
        </w:rPr>
        <w:t>Survival</w:t>
      </w:r>
      <w:r w:rsidRPr="00FB4242">
        <w:rPr>
          <w:rFonts w:asciiTheme="minorHAnsi" w:hAnsiTheme="minorHAnsi" w:cstheme="minorHAnsi"/>
          <w:sz w:val="20"/>
          <w:szCs w:val="20"/>
        </w:rPr>
        <w:t>, 63(2), pp. 131</w:t>
      </w:r>
      <w:r w:rsidRPr="00FB4242">
        <w:rPr>
          <w:rFonts w:asciiTheme="minorHAnsi" w:hAnsiTheme="minorHAnsi" w:cstheme="minorHAnsi"/>
          <w:sz w:val="20"/>
          <w:szCs w:val="20"/>
          <w:rtl/>
        </w:rPr>
        <w:t>-</w:t>
      </w:r>
      <w:r w:rsidRPr="00FB4242">
        <w:rPr>
          <w:rFonts w:asciiTheme="minorHAnsi" w:hAnsiTheme="minorHAnsi" w:cstheme="minorHAnsi"/>
          <w:sz w:val="20"/>
          <w:szCs w:val="20"/>
        </w:rPr>
        <w:t>154.</w:t>
      </w:r>
    </w:p>
  </w:footnote>
  <w:footnote w:id="370">
    <w:p w:rsidR="00C62A14" w:rsidRPr="00FB4242" w:rsidRDefault="00C62A14" w:rsidP="00926B5D">
      <w:pPr>
        <w:pStyle w:val="NormalWeb"/>
        <w:rPr>
          <w:rFonts w:asciiTheme="minorHAnsi" w:hAnsiTheme="minorHAnsi" w:cstheme="minorHAnsi"/>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FB4242">
        <w:rPr>
          <w:rFonts w:asciiTheme="minorHAnsi" w:hAnsiTheme="minorHAnsi" w:cstheme="minorHAnsi"/>
          <w:sz w:val="20"/>
          <w:szCs w:val="20"/>
        </w:rPr>
        <w:t>Rosenau</w:t>
      </w:r>
      <w:proofErr w:type="spellEnd"/>
      <w:r w:rsidRPr="00FB4242">
        <w:rPr>
          <w:rFonts w:asciiTheme="minorHAnsi" w:hAnsiTheme="minorHAnsi" w:cstheme="minorHAnsi"/>
          <w:sz w:val="20"/>
          <w:szCs w:val="20"/>
        </w:rPr>
        <w:t xml:space="preserve">, J. N. (2003) </w:t>
      </w:r>
      <w:r w:rsidRPr="00FB4242">
        <w:rPr>
          <w:rStyle w:val="a5"/>
          <w:rFonts w:asciiTheme="minorHAnsi" w:eastAsiaTheme="majorEastAsia" w:hAnsiTheme="minorHAnsi" w:cstheme="minorHAnsi"/>
          <w:sz w:val="20"/>
          <w:szCs w:val="20"/>
        </w:rPr>
        <w:t>Distant Proximities: Dynamics Beyond Globalization</w:t>
      </w:r>
      <w:r w:rsidRPr="00FB4242">
        <w:rPr>
          <w:rFonts w:asciiTheme="minorHAnsi" w:hAnsiTheme="minorHAnsi" w:cstheme="minorHAnsi"/>
          <w:sz w:val="20"/>
          <w:szCs w:val="20"/>
        </w:rPr>
        <w:t>. Princeton, NJ: Princeton University Press.</w:t>
      </w:r>
    </w:p>
  </w:footnote>
  <w:footnote w:id="371">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Farrell, H. and Newman, A. L. (2019) ‘Weaponized Interdependence’, </w:t>
      </w:r>
      <w:r w:rsidRPr="00FB4242">
        <w:rPr>
          <w:rStyle w:val="a5"/>
          <w:rFonts w:cstheme="minorHAnsi"/>
        </w:rPr>
        <w:t>International Security</w:t>
      </w:r>
      <w:r w:rsidRPr="00FB4242">
        <w:rPr>
          <w:rFonts w:cstheme="minorHAnsi"/>
        </w:rPr>
        <w:t>, 44(1), pp. 42-79.</w:t>
      </w:r>
    </w:p>
  </w:footnote>
  <w:footnote w:id="372">
    <w:p w:rsidR="00C62A14" w:rsidRPr="00FB4242" w:rsidRDefault="00C62A14" w:rsidP="00926B5D">
      <w:pPr>
        <w:pStyle w:val="NormalWeb"/>
        <w:rPr>
          <w:rFonts w:asciiTheme="minorHAnsi" w:hAnsiTheme="minorHAnsi" w:cstheme="minorHAnsi"/>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Van Apeldoorn, B. (2021) ‘Corporate Power and the Transformation of Global Governance’, </w:t>
      </w:r>
      <w:r w:rsidRPr="00FB4242">
        <w:rPr>
          <w:rStyle w:val="a5"/>
          <w:rFonts w:asciiTheme="minorHAnsi" w:eastAsiaTheme="majorEastAsia" w:hAnsiTheme="minorHAnsi" w:cstheme="minorHAnsi"/>
          <w:sz w:val="20"/>
          <w:szCs w:val="20"/>
        </w:rPr>
        <w:t>Review of International Political Economy</w:t>
      </w:r>
      <w:r w:rsidRPr="00FB4242">
        <w:rPr>
          <w:rFonts w:asciiTheme="minorHAnsi" w:hAnsiTheme="minorHAnsi" w:cstheme="minorHAnsi"/>
          <w:sz w:val="20"/>
          <w:szCs w:val="20"/>
        </w:rPr>
        <w:t>, 28(2), pp. 328-354.</w:t>
      </w:r>
    </w:p>
  </w:footnote>
  <w:footnote w:id="373">
    <w:p w:rsidR="00C62A14" w:rsidRPr="00FB4242" w:rsidRDefault="00C62A14" w:rsidP="00926B5D">
      <w:pPr>
        <w:pStyle w:val="NormalWeb"/>
        <w:rPr>
          <w:rFonts w:asciiTheme="minorHAnsi" w:hAnsiTheme="minorHAnsi" w:cstheme="minorHAnsi"/>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Bradford, A. (2020) </w:t>
      </w:r>
      <w:r w:rsidRPr="00FB4242">
        <w:rPr>
          <w:rStyle w:val="a5"/>
          <w:rFonts w:asciiTheme="minorHAnsi" w:eastAsiaTheme="majorEastAsia" w:hAnsiTheme="minorHAnsi" w:cstheme="minorHAnsi"/>
          <w:sz w:val="20"/>
          <w:szCs w:val="20"/>
        </w:rPr>
        <w:t>The Brussels Effect: How the European Union Rules the World</w:t>
      </w:r>
      <w:r w:rsidRPr="00FB4242">
        <w:rPr>
          <w:rFonts w:asciiTheme="minorHAnsi" w:hAnsiTheme="minorHAnsi" w:cstheme="minorHAnsi"/>
          <w:sz w:val="20"/>
          <w:szCs w:val="20"/>
        </w:rPr>
        <w:t>. Oxford: Oxford University Press.</w:t>
      </w:r>
    </w:p>
  </w:footnote>
  <w:footnote w:id="374">
    <w:p w:rsidR="00C62A14" w:rsidRPr="00FB4242" w:rsidRDefault="00C62A14" w:rsidP="00926B5D">
      <w:pPr>
        <w:pStyle w:val="NormalWeb"/>
        <w:rPr>
          <w:rFonts w:asciiTheme="minorHAnsi" w:hAnsiTheme="minorHAnsi" w:cstheme="minorHAnsi"/>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DE059B">
        <w:rPr>
          <w:rStyle w:val="a4"/>
          <w:rFonts w:asciiTheme="minorHAnsi" w:eastAsiaTheme="majorEastAsia" w:hAnsiTheme="minorHAnsi" w:cstheme="minorHAnsi"/>
          <w:b w:val="0"/>
          <w:bCs w:val="0"/>
          <w:sz w:val="20"/>
          <w:szCs w:val="20"/>
        </w:rPr>
        <w:t>Kroes</w:t>
      </w:r>
      <w:proofErr w:type="spellEnd"/>
      <w:r w:rsidRPr="00DE059B">
        <w:rPr>
          <w:rStyle w:val="a4"/>
          <w:rFonts w:asciiTheme="minorHAnsi" w:eastAsiaTheme="majorEastAsia" w:hAnsiTheme="minorHAnsi" w:cstheme="minorHAnsi"/>
          <w:b w:val="0"/>
          <w:bCs w:val="0"/>
          <w:sz w:val="20"/>
          <w:szCs w:val="20"/>
        </w:rPr>
        <w:t>, N. (2013)</w:t>
      </w:r>
      <w:r w:rsidRPr="00FB4242">
        <w:rPr>
          <w:rFonts w:asciiTheme="minorHAnsi" w:hAnsiTheme="minorHAnsi" w:cstheme="minorHAnsi"/>
          <w:sz w:val="20"/>
          <w:szCs w:val="20"/>
        </w:rPr>
        <w:t xml:space="preserve"> ‘Internet Security: Strengthening Europe’s Digital Sovereignty’, Keynote Speech at the European Cyber Security Conference, Brussels, 19 November.</w:t>
      </w:r>
      <w:r w:rsidRPr="00FB4242">
        <w:rPr>
          <w:rFonts w:asciiTheme="minorHAnsi" w:hAnsiTheme="minorHAnsi" w:cstheme="minorHAnsi"/>
          <w:sz w:val="20"/>
          <w:szCs w:val="20"/>
        </w:rPr>
        <w:br/>
        <w:t xml:space="preserve">European Commission. Available at: </w:t>
      </w:r>
      <w:hyperlink r:id="rId47" w:history="1">
        <w:r w:rsidRPr="00FB4242">
          <w:rPr>
            <w:rStyle w:val="Hyperlink"/>
            <w:rFonts w:asciiTheme="minorHAnsi" w:hAnsiTheme="minorHAnsi" w:cstheme="minorHAnsi"/>
            <w:sz w:val="20"/>
            <w:szCs w:val="20"/>
          </w:rPr>
          <w:t>https://ec.europa.eu/commission/presscorner/detail/en/SPEECH_13_1025</w:t>
        </w:r>
      </w:hyperlink>
    </w:p>
  </w:footnote>
  <w:footnote w:id="375">
    <w:p w:rsidR="00C62A14" w:rsidRPr="00FB4242" w:rsidRDefault="00C62A14" w:rsidP="00926B5D">
      <w:pPr>
        <w:pStyle w:val="3"/>
        <w:rPr>
          <w:rFonts w:asciiTheme="minorHAnsi" w:hAnsiTheme="minorHAnsi" w:cstheme="minorHAnsi"/>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FB4242">
        <w:rPr>
          <w:rStyle w:val="a4"/>
          <w:rFonts w:asciiTheme="minorHAnsi" w:eastAsiaTheme="majorEastAsia" w:hAnsiTheme="minorHAnsi" w:cstheme="minorHAnsi"/>
          <w:sz w:val="20"/>
          <w:szCs w:val="20"/>
        </w:rPr>
        <w:t>Klonick</w:t>
      </w:r>
      <w:proofErr w:type="spellEnd"/>
      <w:r w:rsidRPr="00FB4242">
        <w:rPr>
          <w:rStyle w:val="a4"/>
          <w:rFonts w:asciiTheme="minorHAnsi" w:eastAsiaTheme="majorEastAsia" w:hAnsiTheme="minorHAnsi" w:cstheme="minorHAnsi"/>
          <w:sz w:val="20"/>
          <w:szCs w:val="20"/>
        </w:rPr>
        <w:t xml:space="preserve">, K. (2018) </w:t>
      </w:r>
      <w:r w:rsidRPr="00FB4242">
        <w:rPr>
          <w:rFonts w:asciiTheme="minorHAnsi" w:hAnsiTheme="minorHAnsi" w:cstheme="minorHAnsi"/>
          <w:b w:val="0"/>
          <w:bCs w:val="0"/>
          <w:sz w:val="20"/>
          <w:szCs w:val="20"/>
        </w:rPr>
        <w:t xml:space="preserve">‘The New Governors: The People, Rules, and Processes Governing Online Speech’, </w:t>
      </w:r>
      <w:r w:rsidRPr="00FB4242">
        <w:rPr>
          <w:rStyle w:val="a5"/>
          <w:rFonts w:asciiTheme="minorHAnsi" w:eastAsiaTheme="majorEastAsia" w:hAnsiTheme="minorHAnsi" w:cstheme="minorHAnsi"/>
          <w:b w:val="0"/>
          <w:bCs w:val="0"/>
          <w:sz w:val="20"/>
          <w:szCs w:val="20"/>
        </w:rPr>
        <w:t>Harvard Law Review</w:t>
      </w:r>
      <w:r w:rsidRPr="00FB4242">
        <w:rPr>
          <w:rFonts w:asciiTheme="minorHAnsi" w:hAnsiTheme="minorHAnsi" w:cstheme="minorHAnsi"/>
          <w:b w:val="0"/>
          <w:bCs w:val="0"/>
          <w:sz w:val="20"/>
          <w:szCs w:val="20"/>
        </w:rPr>
        <w:t>, 131(6), pp. 1598-1670.</w:t>
      </w:r>
    </w:p>
  </w:footnote>
  <w:footnote w:id="376">
    <w:p w:rsidR="00C62A14" w:rsidRPr="00FB4242" w:rsidRDefault="00C62A14" w:rsidP="00926B5D">
      <w:pPr>
        <w:pStyle w:val="3"/>
        <w:rPr>
          <w:rFonts w:asciiTheme="minorHAnsi" w:hAnsiTheme="minorHAnsi" w:cstheme="minorHAnsi"/>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FB4242">
        <w:rPr>
          <w:rStyle w:val="a4"/>
          <w:rFonts w:asciiTheme="minorHAnsi" w:eastAsiaTheme="majorEastAsia" w:hAnsiTheme="minorHAnsi" w:cstheme="minorHAnsi"/>
          <w:sz w:val="20"/>
          <w:szCs w:val="20"/>
        </w:rPr>
        <w:t>Douek</w:t>
      </w:r>
      <w:proofErr w:type="spellEnd"/>
      <w:r w:rsidRPr="00FB4242">
        <w:rPr>
          <w:rStyle w:val="a4"/>
          <w:rFonts w:asciiTheme="minorHAnsi" w:eastAsiaTheme="majorEastAsia" w:hAnsiTheme="minorHAnsi" w:cstheme="minorHAnsi"/>
          <w:sz w:val="20"/>
          <w:szCs w:val="20"/>
        </w:rPr>
        <w:t xml:space="preserve">, E. (2020) </w:t>
      </w:r>
      <w:r w:rsidRPr="00FB4242">
        <w:rPr>
          <w:rFonts w:asciiTheme="minorHAnsi" w:hAnsiTheme="minorHAnsi" w:cstheme="minorHAnsi"/>
          <w:b w:val="0"/>
          <w:bCs w:val="0"/>
          <w:sz w:val="20"/>
          <w:szCs w:val="20"/>
        </w:rPr>
        <w:t xml:space="preserve">‘Facebook’s Oversight Board: A New Model for Platform Governance?’, </w:t>
      </w:r>
      <w:r w:rsidRPr="00FB4242">
        <w:rPr>
          <w:rStyle w:val="a5"/>
          <w:rFonts w:asciiTheme="minorHAnsi" w:eastAsiaTheme="majorEastAsia" w:hAnsiTheme="minorHAnsi" w:cstheme="minorHAnsi"/>
          <w:b w:val="0"/>
          <w:bCs w:val="0"/>
          <w:sz w:val="20"/>
          <w:szCs w:val="20"/>
        </w:rPr>
        <w:t>University of Chicago Law Review Online</w:t>
      </w:r>
      <w:r w:rsidRPr="00FB4242">
        <w:rPr>
          <w:rFonts w:asciiTheme="minorHAnsi" w:hAnsiTheme="minorHAnsi" w:cstheme="minorHAnsi"/>
          <w:b w:val="0"/>
          <w:bCs w:val="0"/>
          <w:sz w:val="20"/>
          <w:szCs w:val="20"/>
        </w:rPr>
        <w:t>, 90, pp. 1-13.</w:t>
      </w:r>
    </w:p>
  </w:footnote>
  <w:footnote w:id="377">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Scoles, S. (2023)</w:t>
      </w:r>
      <w:r w:rsidRPr="00FB4242">
        <w:rPr>
          <w:rFonts w:cstheme="minorHAnsi"/>
          <w:rtl/>
        </w:rPr>
        <w:t xml:space="preserve"> </w:t>
      </w:r>
      <w:r w:rsidRPr="00FB4242">
        <w:rPr>
          <w:rFonts w:cstheme="minorHAnsi"/>
        </w:rPr>
        <w:t xml:space="preserve">‘Starlink and the Geopolitics of Satellite Internet’, </w:t>
      </w:r>
      <w:r w:rsidRPr="00FB4242">
        <w:rPr>
          <w:rStyle w:val="a5"/>
          <w:rFonts w:cstheme="minorHAnsi"/>
        </w:rPr>
        <w:t>MIT Technology Review</w:t>
      </w:r>
      <w:r w:rsidRPr="00FB4242">
        <w:rPr>
          <w:rFonts w:cstheme="minorHAnsi"/>
        </w:rPr>
        <w:t>, 18 October.</w:t>
      </w:r>
    </w:p>
  </w:footnote>
  <w:footnote w:id="378">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b w:val="0"/>
          <w:bCs w:val="0"/>
          <w:sz w:val="20"/>
          <w:szCs w:val="20"/>
        </w:rPr>
        <w:footnoteRef/>
      </w:r>
      <w:r w:rsidRPr="00FB4242">
        <w:rPr>
          <w:rFonts w:asciiTheme="minorHAnsi" w:hAnsiTheme="minorHAnsi" w:cstheme="minorHAnsi"/>
          <w:b w:val="0"/>
          <w:bCs w:val="0"/>
          <w:sz w:val="20"/>
          <w:szCs w:val="20"/>
        </w:rPr>
        <w:t xml:space="preserve"> </w:t>
      </w:r>
      <w:r w:rsidRPr="00FB4242">
        <w:rPr>
          <w:rStyle w:val="a4"/>
          <w:rFonts w:asciiTheme="minorHAnsi" w:eastAsiaTheme="majorEastAsia" w:hAnsiTheme="minorHAnsi" w:cstheme="minorHAnsi"/>
          <w:sz w:val="20"/>
          <w:szCs w:val="20"/>
        </w:rPr>
        <w:t xml:space="preserve">Segal, A. (2019) </w:t>
      </w:r>
      <w:r w:rsidRPr="00FB4242">
        <w:rPr>
          <w:rStyle w:val="a5"/>
          <w:rFonts w:asciiTheme="minorHAnsi" w:eastAsiaTheme="majorEastAsia" w:hAnsiTheme="minorHAnsi" w:cstheme="minorHAnsi"/>
          <w:b w:val="0"/>
          <w:bCs w:val="0"/>
          <w:sz w:val="20"/>
          <w:szCs w:val="20"/>
        </w:rPr>
        <w:t>The Hacked World Order: How Nations Fight, Trade, Maneuver, and Manipulate in the Digital Age</w:t>
      </w:r>
      <w:r w:rsidRPr="00FB4242">
        <w:rPr>
          <w:rFonts w:asciiTheme="minorHAnsi" w:hAnsiTheme="minorHAnsi" w:cstheme="minorHAnsi"/>
          <w:b w:val="0"/>
          <w:bCs w:val="0"/>
          <w:sz w:val="20"/>
          <w:szCs w:val="20"/>
        </w:rPr>
        <w:t xml:space="preserve">. New York: </w:t>
      </w:r>
      <w:proofErr w:type="spellStart"/>
      <w:r w:rsidRPr="00FB4242">
        <w:rPr>
          <w:rFonts w:asciiTheme="minorHAnsi" w:hAnsiTheme="minorHAnsi" w:cstheme="minorHAnsi"/>
          <w:b w:val="0"/>
          <w:bCs w:val="0"/>
          <w:sz w:val="20"/>
          <w:szCs w:val="20"/>
        </w:rPr>
        <w:t>PublicAffairs</w:t>
      </w:r>
      <w:proofErr w:type="spellEnd"/>
      <w:r w:rsidRPr="00FB4242">
        <w:rPr>
          <w:rFonts w:asciiTheme="minorHAnsi" w:hAnsiTheme="minorHAnsi" w:cstheme="minorHAnsi"/>
          <w:b w:val="0"/>
          <w:bCs w:val="0"/>
          <w:sz w:val="20"/>
          <w:szCs w:val="20"/>
        </w:rPr>
        <w:t>.</w:t>
      </w:r>
    </w:p>
  </w:footnote>
  <w:footnote w:id="379">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b w:val="0"/>
          <w:bCs w:val="0"/>
          <w:sz w:val="20"/>
          <w:szCs w:val="20"/>
        </w:rPr>
        <w:footnoteRef/>
      </w:r>
      <w:r w:rsidRPr="00FB4242">
        <w:rPr>
          <w:rFonts w:asciiTheme="minorHAnsi" w:hAnsiTheme="minorHAnsi" w:cstheme="minorHAnsi"/>
          <w:b w:val="0"/>
          <w:bCs w:val="0"/>
          <w:sz w:val="20"/>
          <w:szCs w:val="20"/>
        </w:rPr>
        <w:t xml:space="preserve"> </w:t>
      </w:r>
      <w:proofErr w:type="spellStart"/>
      <w:r w:rsidRPr="00FB4242">
        <w:rPr>
          <w:rStyle w:val="a4"/>
          <w:rFonts w:asciiTheme="minorHAnsi" w:eastAsiaTheme="majorEastAsia" w:hAnsiTheme="minorHAnsi" w:cstheme="minorHAnsi"/>
          <w:sz w:val="20"/>
          <w:szCs w:val="20"/>
        </w:rPr>
        <w:t>DeNardis</w:t>
      </w:r>
      <w:proofErr w:type="spellEnd"/>
      <w:r w:rsidRPr="00FB4242">
        <w:rPr>
          <w:rStyle w:val="a4"/>
          <w:rFonts w:asciiTheme="minorHAnsi" w:eastAsiaTheme="majorEastAsia" w:hAnsiTheme="minorHAnsi" w:cstheme="minorHAnsi"/>
          <w:sz w:val="20"/>
          <w:szCs w:val="20"/>
        </w:rPr>
        <w:t xml:space="preserve">, L. (2020) </w:t>
      </w:r>
      <w:r w:rsidRPr="00FB4242">
        <w:rPr>
          <w:rStyle w:val="a5"/>
          <w:rFonts w:asciiTheme="minorHAnsi" w:eastAsiaTheme="majorEastAsia" w:hAnsiTheme="minorHAnsi" w:cstheme="minorHAnsi"/>
          <w:b w:val="0"/>
          <w:bCs w:val="0"/>
          <w:sz w:val="20"/>
          <w:szCs w:val="20"/>
        </w:rPr>
        <w:t>The Internet in Everything: Freedom and Security in a World with No Off Switch</w:t>
      </w:r>
      <w:r w:rsidRPr="00FB4242">
        <w:rPr>
          <w:rFonts w:asciiTheme="minorHAnsi" w:hAnsiTheme="minorHAnsi" w:cstheme="minorHAnsi"/>
          <w:b w:val="0"/>
          <w:bCs w:val="0"/>
          <w:sz w:val="20"/>
          <w:szCs w:val="20"/>
        </w:rPr>
        <w:t>. New Haven, CT: Yale University Press.</w:t>
      </w:r>
    </w:p>
  </w:footnote>
  <w:footnote w:id="380">
    <w:p w:rsidR="00C62A14" w:rsidRPr="00FB4242" w:rsidRDefault="00C62A14" w:rsidP="00926B5D">
      <w:pPr>
        <w:pStyle w:val="3"/>
        <w:rPr>
          <w:rFonts w:cstheme="minorHAnsi"/>
          <w:b w:val="0"/>
          <w:bCs w:val="0"/>
          <w:sz w:val="20"/>
          <w:szCs w:val="20"/>
        </w:rPr>
      </w:pPr>
      <w:r w:rsidRPr="00FB4242">
        <w:rPr>
          <w:rStyle w:val="a8"/>
          <w:rFonts w:asciiTheme="minorHAnsi" w:hAnsiTheme="minorHAnsi" w:cstheme="minorHAnsi"/>
          <w:b w:val="0"/>
          <w:bCs w:val="0"/>
          <w:sz w:val="20"/>
          <w:szCs w:val="20"/>
        </w:rPr>
        <w:footnoteRef/>
      </w:r>
      <w:r w:rsidRPr="00FB4242">
        <w:rPr>
          <w:rFonts w:asciiTheme="minorHAnsi" w:hAnsiTheme="minorHAnsi" w:cstheme="minorHAnsi"/>
          <w:b w:val="0"/>
          <w:bCs w:val="0"/>
          <w:sz w:val="20"/>
          <w:szCs w:val="20"/>
        </w:rPr>
        <w:t xml:space="preserve"> </w:t>
      </w:r>
      <w:r w:rsidRPr="00FB4242">
        <w:rPr>
          <w:rStyle w:val="a4"/>
          <w:rFonts w:asciiTheme="minorHAnsi" w:eastAsiaTheme="majorEastAsia" w:hAnsiTheme="minorHAnsi" w:cstheme="minorHAnsi"/>
          <w:sz w:val="20"/>
          <w:szCs w:val="20"/>
        </w:rPr>
        <w:t xml:space="preserve">Myers West, S. (2018) </w:t>
      </w:r>
      <w:r w:rsidRPr="00FB4242">
        <w:rPr>
          <w:rFonts w:asciiTheme="minorHAnsi" w:hAnsiTheme="minorHAnsi" w:cstheme="minorHAnsi"/>
          <w:b w:val="0"/>
          <w:bCs w:val="0"/>
          <w:sz w:val="20"/>
          <w:szCs w:val="20"/>
        </w:rPr>
        <w:t xml:space="preserve">‘Internet Governance and the Privatization of Human Rights: Facebook’s Oversight Board’, </w:t>
      </w:r>
      <w:r w:rsidRPr="00FB4242">
        <w:rPr>
          <w:rStyle w:val="a5"/>
          <w:rFonts w:asciiTheme="minorHAnsi" w:eastAsiaTheme="majorEastAsia" w:hAnsiTheme="minorHAnsi" w:cstheme="minorHAnsi"/>
          <w:b w:val="0"/>
          <w:bCs w:val="0"/>
          <w:sz w:val="20"/>
          <w:szCs w:val="20"/>
        </w:rPr>
        <w:t>Telecommunications Policy</w:t>
      </w:r>
      <w:r w:rsidRPr="00FB4242">
        <w:rPr>
          <w:rFonts w:asciiTheme="minorHAnsi" w:hAnsiTheme="minorHAnsi" w:cstheme="minorHAnsi"/>
          <w:b w:val="0"/>
          <w:bCs w:val="0"/>
          <w:sz w:val="20"/>
          <w:szCs w:val="20"/>
        </w:rPr>
        <w:t>, 42(4), pp. 315-324.</w:t>
      </w:r>
    </w:p>
  </w:footnote>
  <w:footnote w:id="381">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b w:val="0"/>
          <w:bCs w:val="0"/>
          <w:sz w:val="20"/>
          <w:szCs w:val="20"/>
        </w:rPr>
        <w:footnoteRef/>
      </w:r>
      <w:r w:rsidRPr="00FB4242">
        <w:rPr>
          <w:rFonts w:asciiTheme="minorHAnsi" w:hAnsiTheme="minorHAnsi" w:cstheme="minorHAnsi"/>
          <w:b w:val="0"/>
          <w:bCs w:val="0"/>
          <w:sz w:val="20"/>
          <w:szCs w:val="20"/>
        </w:rPr>
        <w:t xml:space="preserve"> </w:t>
      </w:r>
      <w:r w:rsidRPr="00FB4242">
        <w:rPr>
          <w:rStyle w:val="a4"/>
          <w:rFonts w:asciiTheme="minorHAnsi" w:eastAsiaTheme="majorEastAsia" w:hAnsiTheme="minorHAnsi" w:cstheme="minorHAnsi"/>
          <w:sz w:val="20"/>
          <w:szCs w:val="20"/>
        </w:rPr>
        <w:t xml:space="preserve">Abbott, K. W. and Snidal, D. (2009) </w:t>
      </w:r>
      <w:r w:rsidRPr="00FB4242">
        <w:rPr>
          <w:rFonts w:asciiTheme="minorHAnsi" w:hAnsiTheme="minorHAnsi" w:cstheme="minorHAnsi"/>
          <w:b w:val="0"/>
          <w:bCs w:val="0"/>
          <w:sz w:val="20"/>
          <w:szCs w:val="20"/>
        </w:rPr>
        <w:t xml:space="preserve">‘The Governance Triangle: Regulatory Standards Institutions and the Shadow of the State’, in </w:t>
      </w:r>
      <w:r w:rsidRPr="00FB4242">
        <w:rPr>
          <w:rStyle w:val="a5"/>
          <w:rFonts w:asciiTheme="minorHAnsi" w:eastAsiaTheme="majorEastAsia" w:hAnsiTheme="minorHAnsi" w:cstheme="minorHAnsi"/>
          <w:b w:val="0"/>
          <w:bCs w:val="0"/>
          <w:sz w:val="20"/>
          <w:szCs w:val="20"/>
        </w:rPr>
        <w:t>The Politics of Global Regulation</w:t>
      </w:r>
      <w:r w:rsidRPr="00FB4242">
        <w:rPr>
          <w:rFonts w:asciiTheme="minorHAnsi" w:hAnsiTheme="minorHAnsi" w:cstheme="minorHAnsi"/>
          <w:b w:val="0"/>
          <w:bCs w:val="0"/>
          <w:sz w:val="20"/>
          <w:szCs w:val="20"/>
        </w:rPr>
        <w:t>. Princeton: Princeton University Press, pp. 44-88.</w:t>
      </w:r>
    </w:p>
  </w:footnote>
  <w:footnote w:id="382">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FB4242">
        <w:rPr>
          <w:rStyle w:val="a4"/>
          <w:rFonts w:asciiTheme="minorHAnsi" w:eastAsiaTheme="majorEastAsia" w:hAnsiTheme="minorHAnsi" w:cstheme="minorHAnsi"/>
          <w:sz w:val="20"/>
          <w:szCs w:val="20"/>
        </w:rPr>
        <w:t>Servajean</w:t>
      </w:r>
      <w:proofErr w:type="spellEnd"/>
      <w:r w:rsidRPr="00FB4242">
        <w:rPr>
          <w:rStyle w:val="a4"/>
          <w:rFonts w:asciiTheme="minorHAnsi" w:eastAsiaTheme="majorEastAsia" w:hAnsiTheme="minorHAnsi" w:cstheme="minorHAnsi"/>
          <w:sz w:val="20"/>
          <w:szCs w:val="20"/>
        </w:rPr>
        <w:t xml:space="preserve">, D. (2021) </w:t>
      </w:r>
      <w:r w:rsidRPr="00FB4242">
        <w:rPr>
          <w:rFonts w:asciiTheme="minorHAnsi" w:hAnsiTheme="minorHAnsi" w:cstheme="minorHAnsi"/>
          <w:b w:val="0"/>
          <w:bCs w:val="0"/>
          <w:sz w:val="20"/>
          <w:szCs w:val="20"/>
        </w:rPr>
        <w:t xml:space="preserve">‘Pandemic Tech Governance: The Apple–Google Exposure Notification System as Transnational Public Health Infrastructure’, </w:t>
      </w:r>
      <w:r w:rsidRPr="00FB4242">
        <w:rPr>
          <w:rStyle w:val="a5"/>
          <w:rFonts w:asciiTheme="minorHAnsi" w:eastAsiaTheme="majorEastAsia" w:hAnsiTheme="minorHAnsi" w:cstheme="minorHAnsi"/>
          <w:b w:val="0"/>
          <w:bCs w:val="0"/>
          <w:sz w:val="20"/>
          <w:szCs w:val="20"/>
        </w:rPr>
        <w:t>Global Public Health</w:t>
      </w:r>
      <w:r w:rsidRPr="00FB4242">
        <w:rPr>
          <w:rFonts w:asciiTheme="minorHAnsi" w:hAnsiTheme="minorHAnsi" w:cstheme="minorHAnsi"/>
          <w:b w:val="0"/>
          <w:bCs w:val="0"/>
          <w:sz w:val="20"/>
          <w:szCs w:val="20"/>
        </w:rPr>
        <w:t>, 16(8-9), pp. 1317-1330.</w:t>
      </w:r>
    </w:p>
  </w:footnote>
  <w:footnote w:id="383">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r w:rsidRPr="00FB4242">
        <w:rPr>
          <w:rStyle w:val="a4"/>
          <w:rFonts w:asciiTheme="minorHAnsi" w:eastAsiaTheme="majorEastAsia" w:hAnsiTheme="minorHAnsi" w:cstheme="minorHAnsi"/>
          <w:sz w:val="20"/>
          <w:szCs w:val="20"/>
        </w:rPr>
        <w:t xml:space="preserve">Farrell, H. and Newman, A. L. (2019) </w:t>
      </w:r>
      <w:r w:rsidRPr="00FB4242">
        <w:rPr>
          <w:rFonts w:asciiTheme="minorHAnsi" w:hAnsiTheme="minorHAnsi" w:cstheme="minorHAnsi"/>
          <w:b w:val="0"/>
          <w:bCs w:val="0"/>
          <w:sz w:val="20"/>
          <w:szCs w:val="20"/>
        </w:rPr>
        <w:t xml:space="preserve">‘Weaponized Interdependence: How Global Economic Networks Shape State Coercion’, </w:t>
      </w:r>
      <w:r w:rsidRPr="00FB4242">
        <w:rPr>
          <w:rStyle w:val="a5"/>
          <w:rFonts w:asciiTheme="minorHAnsi" w:eastAsiaTheme="majorEastAsia" w:hAnsiTheme="minorHAnsi" w:cstheme="minorHAnsi"/>
          <w:b w:val="0"/>
          <w:bCs w:val="0"/>
          <w:sz w:val="20"/>
          <w:szCs w:val="20"/>
        </w:rPr>
        <w:t>International Security</w:t>
      </w:r>
      <w:r w:rsidRPr="00FB4242">
        <w:rPr>
          <w:rFonts w:asciiTheme="minorHAnsi" w:hAnsiTheme="minorHAnsi" w:cstheme="minorHAnsi"/>
          <w:b w:val="0"/>
          <w:bCs w:val="0"/>
          <w:sz w:val="20"/>
          <w:szCs w:val="20"/>
        </w:rPr>
        <w:t>, 44(1), pp. 42-79.</w:t>
      </w:r>
    </w:p>
  </w:footnote>
  <w:footnote w:id="384">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r w:rsidRPr="00FB4242">
        <w:rPr>
          <w:rStyle w:val="a4"/>
          <w:rFonts w:asciiTheme="minorHAnsi" w:eastAsiaTheme="majorEastAsia" w:hAnsiTheme="minorHAnsi" w:cstheme="minorHAnsi"/>
          <w:sz w:val="20"/>
          <w:szCs w:val="20"/>
        </w:rPr>
        <w:t xml:space="preserve">Lindsay, J. R. (2020) </w:t>
      </w:r>
      <w:r w:rsidRPr="00FB4242">
        <w:rPr>
          <w:rFonts w:asciiTheme="minorHAnsi" w:hAnsiTheme="minorHAnsi" w:cstheme="minorHAnsi"/>
          <w:b w:val="0"/>
          <w:bCs w:val="0"/>
          <w:sz w:val="20"/>
          <w:szCs w:val="20"/>
        </w:rPr>
        <w:t xml:space="preserve">‘Digital Coercion and Great Power Competition’, </w:t>
      </w:r>
      <w:r w:rsidRPr="00FB4242">
        <w:rPr>
          <w:rStyle w:val="a5"/>
          <w:rFonts w:asciiTheme="minorHAnsi" w:eastAsiaTheme="majorEastAsia" w:hAnsiTheme="minorHAnsi" w:cstheme="minorHAnsi"/>
          <w:b w:val="0"/>
          <w:bCs w:val="0"/>
          <w:sz w:val="20"/>
          <w:szCs w:val="20"/>
        </w:rPr>
        <w:t>Texas National Security Review</w:t>
      </w:r>
      <w:r w:rsidRPr="00FB4242">
        <w:rPr>
          <w:rFonts w:asciiTheme="minorHAnsi" w:hAnsiTheme="minorHAnsi" w:cstheme="minorHAnsi"/>
          <w:b w:val="0"/>
          <w:bCs w:val="0"/>
          <w:sz w:val="20"/>
          <w:szCs w:val="20"/>
        </w:rPr>
        <w:t>, 3(4), pp. 10-32.</w:t>
      </w:r>
    </w:p>
  </w:footnote>
  <w:footnote w:id="385">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r w:rsidRPr="00FB4242">
        <w:rPr>
          <w:rStyle w:val="a4"/>
          <w:rFonts w:asciiTheme="minorHAnsi" w:eastAsiaTheme="majorEastAsia" w:hAnsiTheme="minorHAnsi" w:cstheme="minorHAnsi"/>
          <w:sz w:val="20"/>
          <w:szCs w:val="20"/>
        </w:rPr>
        <w:t xml:space="preserve">Bradford, A. (2020) </w:t>
      </w:r>
      <w:r w:rsidRPr="00FB4242">
        <w:rPr>
          <w:rStyle w:val="a5"/>
          <w:rFonts w:asciiTheme="minorHAnsi" w:eastAsiaTheme="majorEastAsia" w:hAnsiTheme="minorHAnsi" w:cstheme="minorHAnsi"/>
          <w:b w:val="0"/>
          <w:bCs w:val="0"/>
          <w:sz w:val="20"/>
          <w:szCs w:val="20"/>
        </w:rPr>
        <w:t>The Brussels Effect: How the European Union Rules the World</w:t>
      </w:r>
      <w:r w:rsidRPr="00FB4242">
        <w:rPr>
          <w:rFonts w:asciiTheme="minorHAnsi" w:hAnsiTheme="minorHAnsi" w:cstheme="minorHAnsi"/>
          <w:b w:val="0"/>
          <w:bCs w:val="0"/>
          <w:sz w:val="20"/>
          <w:szCs w:val="20"/>
        </w:rPr>
        <w:t>. Oxford: Oxford University Press.</w:t>
      </w:r>
    </w:p>
  </w:footnote>
  <w:footnote w:id="386">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r w:rsidRPr="00FB4242">
        <w:rPr>
          <w:rStyle w:val="a4"/>
          <w:rFonts w:asciiTheme="minorHAnsi" w:eastAsiaTheme="majorEastAsia" w:hAnsiTheme="minorHAnsi" w:cstheme="minorHAnsi"/>
          <w:sz w:val="20"/>
          <w:szCs w:val="20"/>
        </w:rPr>
        <w:t xml:space="preserve">Avant, D. D., </w:t>
      </w:r>
      <w:proofErr w:type="spellStart"/>
      <w:r w:rsidRPr="00FB4242">
        <w:rPr>
          <w:rStyle w:val="a4"/>
          <w:rFonts w:asciiTheme="minorHAnsi" w:eastAsiaTheme="majorEastAsia" w:hAnsiTheme="minorHAnsi" w:cstheme="minorHAnsi"/>
          <w:sz w:val="20"/>
          <w:szCs w:val="20"/>
        </w:rPr>
        <w:t>Finnemore</w:t>
      </w:r>
      <w:proofErr w:type="spellEnd"/>
      <w:r w:rsidRPr="00FB4242">
        <w:rPr>
          <w:rStyle w:val="a4"/>
          <w:rFonts w:asciiTheme="minorHAnsi" w:eastAsiaTheme="majorEastAsia" w:hAnsiTheme="minorHAnsi" w:cstheme="minorHAnsi"/>
          <w:sz w:val="20"/>
          <w:szCs w:val="20"/>
        </w:rPr>
        <w:t xml:space="preserve">, M. and Sell, S. K. (2010) </w:t>
      </w:r>
      <w:r w:rsidRPr="00FB4242">
        <w:rPr>
          <w:rStyle w:val="a5"/>
          <w:rFonts w:asciiTheme="minorHAnsi" w:eastAsiaTheme="majorEastAsia" w:hAnsiTheme="minorHAnsi" w:cstheme="minorHAnsi"/>
          <w:b w:val="0"/>
          <w:bCs w:val="0"/>
          <w:sz w:val="20"/>
          <w:szCs w:val="20"/>
        </w:rPr>
        <w:t>Who Governs the Globe?</w:t>
      </w:r>
      <w:r w:rsidRPr="00FB4242">
        <w:rPr>
          <w:rFonts w:asciiTheme="minorHAnsi" w:hAnsiTheme="minorHAnsi" w:cstheme="minorHAnsi"/>
          <w:b w:val="0"/>
          <w:bCs w:val="0"/>
          <w:sz w:val="20"/>
          <w:szCs w:val="20"/>
        </w:rPr>
        <w:t xml:space="preserve"> Cambridge: Cambridge University Press.</w:t>
      </w:r>
    </w:p>
  </w:footnote>
  <w:footnote w:id="387">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proofErr w:type="spellStart"/>
      <w:r w:rsidRPr="00FB4242">
        <w:rPr>
          <w:rStyle w:val="a4"/>
          <w:rFonts w:asciiTheme="minorHAnsi" w:eastAsiaTheme="majorEastAsia" w:hAnsiTheme="minorHAnsi" w:cstheme="minorHAnsi"/>
          <w:sz w:val="20"/>
          <w:szCs w:val="20"/>
        </w:rPr>
        <w:t>Zerk</w:t>
      </w:r>
      <w:proofErr w:type="spellEnd"/>
      <w:r w:rsidRPr="00FB4242">
        <w:rPr>
          <w:rStyle w:val="a4"/>
          <w:rFonts w:asciiTheme="minorHAnsi" w:eastAsiaTheme="majorEastAsia" w:hAnsiTheme="minorHAnsi" w:cstheme="minorHAnsi"/>
          <w:sz w:val="20"/>
          <w:szCs w:val="20"/>
        </w:rPr>
        <w:t xml:space="preserve">, J. (2019) </w:t>
      </w:r>
      <w:r w:rsidRPr="00FB4242">
        <w:rPr>
          <w:rFonts w:asciiTheme="minorHAnsi" w:hAnsiTheme="minorHAnsi" w:cstheme="minorHAnsi"/>
          <w:b w:val="0"/>
          <w:bCs w:val="0"/>
          <w:sz w:val="20"/>
          <w:szCs w:val="20"/>
        </w:rPr>
        <w:t xml:space="preserve">‘Corporate Influence in Global Governance: Private Actors and Public Authority’, </w:t>
      </w:r>
      <w:r w:rsidRPr="00FB4242">
        <w:rPr>
          <w:rStyle w:val="a5"/>
          <w:rFonts w:asciiTheme="minorHAnsi" w:eastAsiaTheme="majorEastAsia" w:hAnsiTheme="minorHAnsi" w:cstheme="minorHAnsi"/>
          <w:b w:val="0"/>
          <w:bCs w:val="0"/>
          <w:sz w:val="20"/>
          <w:szCs w:val="20"/>
        </w:rPr>
        <w:t>Journal of International Economic Law</w:t>
      </w:r>
      <w:r w:rsidRPr="00FB4242">
        <w:rPr>
          <w:rFonts w:asciiTheme="minorHAnsi" w:hAnsiTheme="minorHAnsi" w:cstheme="minorHAnsi"/>
          <w:b w:val="0"/>
          <w:bCs w:val="0"/>
          <w:sz w:val="20"/>
          <w:szCs w:val="20"/>
        </w:rPr>
        <w:t>, 22(2), pp. 287-312.</w:t>
      </w:r>
    </w:p>
  </w:footnote>
  <w:footnote w:id="388">
    <w:p w:rsidR="00C62A14" w:rsidRPr="00FB4242" w:rsidRDefault="00C62A14" w:rsidP="00926B5D">
      <w:pPr>
        <w:pStyle w:val="3"/>
        <w:rPr>
          <w:rFonts w:asciiTheme="minorHAnsi" w:hAnsiTheme="minorHAnsi" w:cstheme="minorHAnsi"/>
          <w:b w:val="0"/>
          <w:bCs w:val="0"/>
          <w:sz w:val="20"/>
          <w:szCs w:val="20"/>
        </w:rPr>
      </w:pPr>
      <w:r w:rsidRPr="00FB4242">
        <w:rPr>
          <w:rStyle w:val="a8"/>
          <w:rFonts w:asciiTheme="minorHAnsi" w:hAnsiTheme="minorHAnsi" w:cstheme="minorHAnsi"/>
          <w:sz w:val="20"/>
          <w:szCs w:val="20"/>
        </w:rPr>
        <w:footnoteRef/>
      </w:r>
      <w:r w:rsidRPr="00FB4242">
        <w:rPr>
          <w:rFonts w:asciiTheme="minorHAnsi" w:hAnsiTheme="minorHAnsi" w:cstheme="minorHAnsi"/>
          <w:sz w:val="20"/>
          <w:szCs w:val="20"/>
        </w:rPr>
        <w:t xml:space="preserve"> </w:t>
      </w:r>
      <w:r w:rsidRPr="00FB4242">
        <w:rPr>
          <w:rStyle w:val="a4"/>
          <w:rFonts w:asciiTheme="minorHAnsi" w:eastAsiaTheme="majorEastAsia" w:hAnsiTheme="minorHAnsi" w:cstheme="minorHAnsi"/>
          <w:sz w:val="20"/>
          <w:szCs w:val="20"/>
        </w:rPr>
        <w:t xml:space="preserve">Abbott, K. W., </w:t>
      </w:r>
      <w:proofErr w:type="spellStart"/>
      <w:r w:rsidRPr="00FB4242">
        <w:rPr>
          <w:rStyle w:val="a4"/>
          <w:rFonts w:asciiTheme="minorHAnsi" w:eastAsiaTheme="majorEastAsia" w:hAnsiTheme="minorHAnsi" w:cstheme="minorHAnsi"/>
          <w:sz w:val="20"/>
          <w:szCs w:val="20"/>
        </w:rPr>
        <w:t>Genschel</w:t>
      </w:r>
      <w:proofErr w:type="spellEnd"/>
      <w:r w:rsidRPr="00FB4242">
        <w:rPr>
          <w:rStyle w:val="a4"/>
          <w:rFonts w:asciiTheme="minorHAnsi" w:eastAsiaTheme="majorEastAsia" w:hAnsiTheme="minorHAnsi" w:cstheme="minorHAnsi"/>
          <w:sz w:val="20"/>
          <w:szCs w:val="20"/>
        </w:rPr>
        <w:t xml:space="preserve">, P., Snidal, D. and </w:t>
      </w:r>
      <w:proofErr w:type="spellStart"/>
      <w:r w:rsidRPr="00FB4242">
        <w:rPr>
          <w:rStyle w:val="a4"/>
          <w:rFonts w:asciiTheme="minorHAnsi" w:eastAsiaTheme="majorEastAsia" w:hAnsiTheme="minorHAnsi" w:cstheme="minorHAnsi"/>
          <w:sz w:val="20"/>
          <w:szCs w:val="20"/>
        </w:rPr>
        <w:t>Zangl</w:t>
      </w:r>
      <w:proofErr w:type="spellEnd"/>
      <w:r w:rsidRPr="00FB4242">
        <w:rPr>
          <w:rStyle w:val="a4"/>
          <w:rFonts w:asciiTheme="minorHAnsi" w:eastAsiaTheme="majorEastAsia" w:hAnsiTheme="minorHAnsi" w:cstheme="minorHAnsi"/>
          <w:sz w:val="20"/>
          <w:szCs w:val="20"/>
        </w:rPr>
        <w:t xml:space="preserve">, B. (2016) </w:t>
      </w:r>
      <w:r w:rsidRPr="00FB4242">
        <w:rPr>
          <w:rFonts w:asciiTheme="minorHAnsi" w:hAnsiTheme="minorHAnsi" w:cstheme="minorHAnsi"/>
          <w:b w:val="0"/>
          <w:bCs w:val="0"/>
          <w:sz w:val="20"/>
          <w:szCs w:val="20"/>
        </w:rPr>
        <w:t xml:space="preserve">‘Two Logics of Indirect Governance: Delegation and Orchestration’, </w:t>
      </w:r>
      <w:r w:rsidRPr="00FB4242">
        <w:rPr>
          <w:rStyle w:val="a5"/>
          <w:rFonts w:asciiTheme="minorHAnsi" w:eastAsiaTheme="majorEastAsia" w:hAnsiTheme="minorHAnsi" w:cstheme="minorHAnsi"/>
          <w:b w:val="0"/>
          <w:bCs w:val="0"/>
          <w:sz w:val="20"/>
          <w:szCs w:val="20"/>
        </w:rPr>
        <w:t>British Journal of Political Science</w:t>
      </w:r>
      <w:r w:rsidRPr="00FB4242">
        <w:rPr>
          <w:rFonts w:asciiTheme="minorHAnsi" w:hAnsiTheme="minorHAnsi" w:cstheme="minorHAnsi"/>
          <w:b w:val="0"/>
          <w:bCs w:val="0"/>
          <w:sz w:val="20"/>
          <w:szCs w:val="20"/>
        </w:rPr>
        <w:t>, 46(4), pp. 719-729.</w:t>
      </w:r>
    </w:p>
  </w:footnote>
  <w:footnote w:id="389">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Bowen, G. A. (2009)</w:t>
      </w:r>
      <w:r w:rsidRPr="00FB4242">
        <w:rPr>
          <w:rFonts w:cstheme="minorHAnsi"/>
          <w:rtl/>
        </w:rPr>
        <w:t xml:space="preserve"> </w:t>
      </w:r>
      <w:r w:rsidRPr="00FB4242">
        <w:rPr>
          <w:rFonts w:cstheme="minorHAnsi"/>
        </w:rPr>
        <w:t xml:space="preserve">‘Document Analysis as a Qualitative Research Method’, </w:t>
      </w:r>
      <w:r w:rsidRPr="00FB4242">
        <w:rPr>
          <w:rStyle w:val="a5"/>
          <w:rFonts w:cstheme="minorHAnsi"/>
        </w:rPr>
        <w:t>Qualitative Research Journal</w:t>
      </w:r>
      <w:r w:rsidRPr="00FB4242">
        <w:rPr>
          <w:rFonts w:cstheme="minorHAnsi"/>
        </w:rPr>
        <w:t>, 9(2), pp. 27</w:t>
      </w:r>
      <w:r w:rsidRPr="00FB4242">
        <w:rPr>
          <w:rFonts w:cstheme="minorHAnsi"/>
          <w:rtl/>
        </w:rPr>
        <w:t>-</w:t>
      </w:r>
      <w:r w:rsidRPr="00FB4242">
        <w:rPr>
          <w:rFonts w:cstheme="minorHAnsi"/>
        </w:rPr>
        <w:t>40.</w:t>
      </w:r>
      <w:r w:rsidRPr="00FB4242">
        <w:rPr>
          <w:rFonts w:cstheme="minorHAnsi"/>
        </w:rPr>
        <w:br/>
      </w:r>
    </w:p>
  </w:footnote>
  <w:footnote w:id="390">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Ventresca, </w:t>
      </w:r>
      <w:r w:rsidRPr="00FB4242">
        <w:rPr>
          <w:rFonts w:cstheme="minorHAnsi"/>
        </w:rPr>
        <w:t>M. and Mohr, J. (2002)</w:t>
      </w:r>
      <w:r w:rsidRPr="00FB4242">
        <w:rPr>
          <w:rFonts w:cstheme="minorHAnsi"/>
          <w:rtl/>
        </w:rPr>
        <w:t xml:space="preserve"> </w:t>
      </w:r>
      <w:r w:rsidRPr="00FB4242">
        <w:rPr>
          <w:rFonts w:cstheme="minorHAnsi"/>
        </w:rPr>
        <w:t xml:space="preserve">‘Archival Research Methods’, in Baum, J. (ed.) </w:t>
      </w:r>
      <w:r w:rsidRPr="00FB4242">
        <w:rPr>
          <w:rStyle w:val="a5"/>
          <w:rFonts w:cstheme="minorHAnsi"/>
        </w:rPr>
        <w:t>The Blackwell Companion to Organizations</w:t>
      </w:r>
      <w:r w:rsidRPr="00FB4242">
        <w:rPr>
          <w:rFonts w:cstheme="minorHAnsi"/>
        </w:rPr>
        <w:t>. Oxford: Blackwell, pp. 805</w:t>
      </w:r>
      <w:r w:rsidRPr="00FB4242">
        <w:rPr>
          <w:rFonts w:cstheme="minorHAnsi"/>
          <w:rtl/>
        </w:rPr>
        <w:t>-</w:t>
      </w:r>
      <w:r w:rsidRPr="00FB4242">
        <w:rPr>
          <w:rFonts w:cstheme="minorHAnsi"/>
        </w:rPr>
        <w:t>828.</w:t>
      </w:r>
      <w:r w:rsidRPr="00FB4242">
        <w:rPr>
          <w:rFonts w:cstheme="minorHAnsi"/>
        </w:rPr>
        <w:br/>
      </w:r>
    </w:p>
  </w:footnote>
  <w:footnote w:id="391">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George, </w:t>
      </w:r>
      <w:r w:rsidRPr="00FB4242">
        <w:rPr>
          <w:rFonts w:cstheme="minorHAnsi"/>
        </w:rPr>
        <w:t>A. and Bennett, A. (2005)</w:t>
      </w:r>
      <w:r w:rsidRPr="00FB4242">
        <w:rPr>
          <w:rFonts w:cstheme="minorHAnsi"/>
          <w:rtl/>
        </w:rPr>
        <w:t xml:space="preserve"> </w:t>
      </w:r>
      <w:r w:rsidRPr="00FB4242">
        <w:rPr>
          <w:rStyle w:val="a5"/>
          <w:rFonts w:cstheme="minorHAnsi"/>
        </w:rPr>
        <w:t>Case Studies and Theory Development in the Social Sciences</w:t>
      </w:r>
      <w:r w:rsidRPr="00FB4242">
        <w:rPr>
          <w:rFonts w:cstheme="minorHAnsi"/>
        </w:rPr>
        <w:t>. Cambridge, MA: MIT Press.</w:t>
      </w:r>
      <w:r w:rsidRPr="00FB4242">
        <w:rPr>
          <w:rFonts w:cstheme="minorHAnsi"/>
        </w:rPr>
        <w:br/>
      </w:r>
    </w:p>
  </w:footnote>
  <w:footnote w:id="392">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Gerring, </w:t>
      </w:r>
      <w:r w:rsidRPr="00FB4242">
        <w:rPr>
          <w:rFonts w:cstheme="minorHAnsi"/>
        </w:rPr>
        <w:t>J. (2007)</w:t>
      </w:r>
      <w:r w:rsidRPr="00FB4242">
        <w:rPr>
          <w:rFonts w:cstheme="minorHAnsi"/>
          <w:rtl/>
        </w:rPr>
        <w:t xml:space="preserve"> </w:t>
      </w:r>
      <w:r w:rsidRPr="00FB4242">
        <w:rPr>
          <w:rStyle w:val="a5"/>
          <w:rFonts w:cstheme="minorHAnsi"/>
        </w:rPr>
        <w:t>Case Study Research: Principles and Practices</w:t>
      </w:r>
      <w:r w:rsidRPr="00FB4242">
        <w:rPr>
          <w:rFonts w:cstheme="minorHAnsi"/>
        </w:rPr>
        <w:t>. Cambridge: Cambridge University Press.</w:t>
      </w:r>
    </w:p>
  </w:footnote>
  <w:footnote w:id="393">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Flyvbjerg, </w:t>
      </w:r>
      <w:r w:rsidRPr="00FB4242">
        <w:rPr>
          <w:rFonts w:cstheme="minorHAnsi"/>
        </w:rPr>
        <w:t>B. (2006)</w:t>
      </w:r>
      <w:r w:rsidRPr="00FB4242">
        <w:rPr>
          <w:rFonts w:cstheme="minorHAnsi"/>
          <w:rtl/>
        </w:rPr>
        <w:t xml:space="preserve"> </w:t>
      </w:r>
      <w:r w:rsidRPr="00FB4242">
        <w:rPr>
          <w:rFonts w:cstheme="minorHAnsi"/>
        </w:rPr>
        <w:t xml:space="preserve">‘Five Misunderstandings About Case-Study Research’, </w:t>
      </w:r>
      <w:r w:rsidRPr="00FB4242">
        <w:rPr>
          <w:rStyle w:val="a5"/>
          <w:rFonts w:cstheme="minorHAnsi"/>
        </w:rPr>
        <w:t>Qualitative Inquiry</w:t>
      </w:r>
      <w:r w:rsidRPr="00FB4242">
        <w:rPr>
          <w:rFonts w:cstheme="minorHAnsi"/>
        </w:rPr>
        <w:t>, 12(2), pp. 219</w:t>
      </w:r>
      <w:r w:rsidRPr="00FB4242">
        <w:rPr>
          <w:rFonts w:cstheme="minorHAnsi"/>
          <w:rtl/>
        </w:rPr>
        <w:t>-</w:t>
      </w:r>
      <w:r w:rsidRPr="00FB4242">
        <w:rPr>
          <w:rFonts w:cstheme="minorHAnsi"/>
        </w:rPr>
        <w:t>245.</w:t>
      </w:r>
      <w:r w:rsidRPr="00FB4242">
        <w:rPr>
          <w:rFonts w:cstheme="minorHAnsi"/>
        </w:rPr>
        <w:br/>
      </w:r>
    </w:p>
  </w:footnote>
  <w:footnote w:id="394">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Eckstein, </w:t>
      </w:r>
      <w:r w:rsidRPr="00FB4242">
        <w:rPr>
          <w:rFonts w:cstheme="minorHAnsi"/>
        </w:rPr>
        <w:t>H. (1975)</w:t>
      </w:r>
      <w:r w:rsidRPr="00FB4242">
        <w:rPr>
          <w:rFonts w:cstheme="minorHAnsi"/>
          <w:rtl/>
        </w:rPr>
        <w:t xml:space="preserve"> </w:t>
      </w:r>
      <w:r w:rsidRPr="00FB4242">
        <w:rPr>
          <w:rFonts w:cstheme="minorHAnsi"/>
        </w:rPr>
        <w:t xml:space="preserve">‘Case Study and Theory in Political Science’, in Greenstein, F. and Polsby, N. (eds) </w:t>
      </w:r>
      <w:r w:rsidRPr="00FB4242">
        <w:rPr>
          <w:rStyle w:val="a5"/>
          <w:rFonts w:cstheme="minorHAnsi"/>
        </w:rPr>
        <w:t>Handbook of Political Science</w:t>
      </w:r>
      <w:r w:rsidRPr="00FB4242">
        <w:rPr>
          <w:rFonts w:cstheme="minorHAnsi"/>
        </w:rPr>
        <w:t>, Vol. 7. Reading, MA: Addison-Wesley.</w:t>
      </w:r>
      <w:r w:rsidRPr="00FB4242">
        <w:rPr>
          <w:rFonts w:cstheme="minorHAnsi"/>
        </w:rPr>
        <w:br/>
      </w:r>
    </w:p>
  </w:footnote>
  <w:footnote w:id="395">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Blatter, </w:t>
      </w:r>
      <w:r w:rsidRPr="00FB4242">
        <w:rPr>
          <w:rFonts w:cstheme="minorHAnsi"/>
        </w:rPr>
        <w:t>J. and Haverland, M. (2012)</w:t>
      </w:r>
      <w:r w:rsidRPr="00FB4242">
        <w:rPr>
          <w:rFonts w:cstheme="minorHAnsi"/>
          <w:rtl/>
        </w:rPr>
        <w:t xml:space="preserve"> </w:t>
      </w:r>
      <w:r w:rsidRPr="00FB4242">
        <w:rPr>
          <w:rStyle w:val="a5"/>
          <w:rFonts w:cstheme="minorHAnsi"/>
        </w:rPr>
        <w:t>Designing Case Studies: Explanatory Approaches in Small-N Research</w:t>
      </w:r>
      <w:r w:rsidRPr="00FB4242">
        <w:rPr>
          <w:rFonts w:cstheme="minorHAnsi"/>
        </w:rPr>
        <w:t>. London: Palgrave.</w:t>
      </w:r>
      <w:r w:rsidRPr="00FB4242">
        <w:rPr>
          <w:rFonts w:cstheme="minorHAnsi"/>
        </w:rPr>
        <w:br/>
      </w:r>
    </w:p>
  </w:footnote>
  <w:footnote w:id="396">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Krasner, </w:t>
      </w:r>
      <w:r w:rsidRPr="00FB4242">
        <w:rPr>
          <w:rFonts w:cstheme="minorHAnsi"/>
        </w:rPr>
        <w:t>S. D. (1999)</w:t>
      </w:r>
      <w:r w:rsidRPr="00FB4242">
        <w:rPr>
          <w:rFonts w:cstheme="minorHAnsi"/>
          <w:rtl/>
        </w:rPr>
        <w:t xml:space="preserve"> </w:t>
      </w:r>
      <w:r w:rsidRPr="00FB4242">
        <w:rPr>
          <w:rStyle w:val="a5"/>
          <w:rFonts w:cstheme="minorHAnsi"/>
        </w:rPr>
        <w:t>Sovereignty: Organized Hypocrisy</w:t>
      </w:r>
      <w:r w:rsidRPr="00FB4242">
        <w:rPr>
          <w:rFonts w:cstheme="minorHAnsi"/>
        </w:rPr>
        <w:t>. Princeton, NJ: Princeton University Press.</w:t>
      </w:r>
    </w:p>
  </w:footnote>
  <w:footnote w:id="397">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Bartelson, </w:t>
      </w:r>
      <w:r w:rsidRPr="00FB4242">
        <w:rPr>
          <w:rFonts w:cstheme="minorHAnsi"/>
        </w:rPr>
        <w:t>J. (1995)</w:t>
      </w:r>
      <w:r w:rsidRPr="00FB4242">
        <w:rPr>
          <w:rStyle w:val="a5"/>
          <w:rFonts w:cstheme="minorHAnsi"/>
        </w:rPr>
        <w:t>A Genealogy of Sovereignty</w:t>
      </w:r>
      <w:r w:rsidRPr="00FB4242">
        <w:rPr>
          <w:rFonts w:cstheme="minorHAnsi"/>
        </w:rPr>
        <w:t>. Cambridge: Cambridge University Press.</w:t>
      </w:r>
      <w:r w:rsidRPr="00FB4242">
        <w:rPr>
          <w:rFonts w:cstheme="minorHAnsi"/>
        </w:rPr>
        <w:br/>
      </w:r>
    </w:p>
  </w:footnote>
  <w:footnote w:id="398">
    <w:p w:rsidR="00C62A14" w:rsidRDefault="00C62A14" w:rsidP="00926B5D">
      <w:pPr>
        <w:pStyle w:val="a6"/>
        <w:rPr>
          <w:rtl/>
        </w:rPr>
      </w:pPr>
      <w:r w:rsidRPr="00FB4242">
        <w:rPr>
          <w:rStyle w:val="a8"/>
          <w:rFonts w:cstheme="minorHAnsi"/>
        </w:rPr>
        <w:footnoteRef/>
      </w:r>
      <w:r w:rsidRPr="00FB4242">
        <w:rPr>
          <w:rFonts w:cstheme="minorHAnsi"/>
        </w:rPr>
        <w:t xml:space="preserve"> </w:t>
      </w:r>
      <w:r w:rsidRPr="00FB4242">
        <w:rPr>
          <w:rFonts w:cstheme="minorHAnsi"/>
        </w:rPr>
        <w:t xml:space="preserve">Wendt, </w:t>
      </w:r>
      <w:r w:rsidRPr="00FB4242">
        <w:rPr>
          <w:rFonts w:cstheme="minorHAnsi"/>
        </w:rPr>
        <w:t>A. (1999)</w:t>
      </w:r>
      <w:r w:rsidRPr="00FB4242">
        <w:rPr>
          <w:rFonts w:cstheme="minorHAnsi"/>
          <w:rtl/>
        </w:rPr>
        <w:t xml:space="preserve"> </w:t>
      </w:r>
      <w:r w:rsidRPr="00FB4242">
        <w:rPr>
          <w:rStyle w:val="a5"/>
          <w:rFonts w:cstheme="minorHAnsi"/>
        </w:rPr>
        <w:t>Social Theory of International Politics</w:t>
      </w:r>
      <w:r w:rsidRPr="00FB4242">
        <w:rPr>
          <w:rFonts w:cstheme="minorHAnsi"/>
        </w:rPr>
        <w:t>. Cambridge: Cambridge University Press.</w:t>
      </w:r>
      <w:r w:rsidRPr="00FB4242">
        <w:rPr>
          <w:rFonts w:cstheme="minorHAnsi"/>
        </w:rPr>
        <w:br/>
      </w:r>
    </w:p>
  </w:footnote>
  <w:footnote w:id="399">
    <w:p w:rsidR="00C62A14" w:rsidRPr="00FB4242" w:rsidRDefault="00C62A14" w:rsidP="00926B5D">
      <w:pPr>
        <w:pStyle w:val="a6"/>
        <w:rPr>
          <w:rFonts w:cstheme="minorHAnsi"/>
          <w:rtl/>
        </w:rPr>
      </w:pPr>
      <w:r w:rsidRPr="00FB4242">
        <w:rPr>
          <w:rStyle w:val="a8"/>
          <w:rFonts w:cstheme="minorHAnsi"/>
        </w:rPr>
        <w:footnoteRef/>
      </w:r>
      <w:r w:rsidRPr="00FB4242">
        <w:rPr>
          <w:rFonts w:cstheme="minorHAnsi"/>
        </w:rPr>
        <w:t xml:space="preserve"> </w:t>
      </w:r>
      <w:r w:rsidRPr="00FB4242">
        <w:rPr>
          <w:rFonts w:cstheme="minorHAnsi"/>
        </w:rPr>
        <w:t xml:space="preserve">Lake, </w:t>
      </w:r>
      <w:r w:rsidRPr="00FB4242">
        <w:rPr>
          <w:rFonts w:cstheme="minorHAnsi"/>
        </w:rPr>
        <w:t>D. A. (2010)</w:t>
      </w:r>
      <w:r w:rsidRPr="00FB4242">
        <w:rPr>
          <w:rFonts w:cstheme="minorHAnsi"/>
          <w:rtl/>
        </w:rPr>
        <w:t xml:space="preserve"> </w:t>
      </w:r>
      <w:r w:rsidRPr="00FB4242">
        <w:rPr>
          <w:rFonts w:cstheme="minorHAnsi"/>
        </w:rPr>
        <w:t xml:space="preserve">‘Rightful Rules: Authority, Order, and the Foundations of Global Governance’, </w:t>
      </w:r>
      <w:r w:rsidRPr="00FB4242">
        <w:rPr>
          <w:rStyle w:val="a5"/>
          <w:rFonts w:cstheme="minorHAnsi"/>
        </w:rPr>
        <w:t>International Studies Quarterly</w:t>
      </w:r>
      <w:r w:rsidRPr="00FB4242">
        <w:rPr>
          <w:rFonts w:cstheme="minorHAnsi"/>
        </w:rPr>
        <w:t>, 54(3), pp. 587</w:t>
      </w:r>
      <w:r w:rsidRPr="00FB4242">
        <w:rPr>
          <w:rFonts w:cstheme="minorHAnsi"/>
          <w:rtl/>
        </w:rPr>
        <w:t>-</w:t>
      </w:r>
      <w:r w:rsidRPr="00FB4242">
        <w:rPr>
          <w:rFonts w:cstheme="minorHAnsi"/>
        </w:rPr>
        <w:t>613.</w:t>
      </w:r>
      <w:r w:rsidRPr="00FB4242">
        <w:rPr>
          <w:rFonts w:cstheme="minorHAnsi"/>
        </w:rPr>
        <w:br/>
      </w:r>
    </w:p>
  </w:footnote>
  <w:footnote w:id="400">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cstheme="minorHAnsi"/>
        </w:rPr>
        <w:t xml:space="preserve">Creemers, </w:t>
      </w:r>
      <w:r w:rsidRPr="00FB4242">
        <w:rPr>
          <w:rFonts w:cstheme="minorHAnsi"/>
        </w:rPr>
        <w:t xml:space="preserve">R. (2018) ‘China’s Social Credit System: An Evolving Practice of Control’, </w:t>
      </w:r>
      <w:r w:rsidRPr="00FB4242">
        <w:rPr>
          <w:rStyle w:val="a5"/>
          <w:rFonts w:cstheme="minorHAnsi"/>
        </w:rPr>
        <w:t>SSRN Working Paper</w:t>
      </w:r>
      <w:r w:rsidRPr="00FB4242">
        <w:rPr>
          <w:rFonts w:cstheme="minorHAnsi"/>
        </w:rPr>
        <w:t>.</w:t>
      </w:r>
      <w:r w:rsidRPr="00FB4242">
        <w:rPr>
          <w:rFonts w:cstheme="minorHAnsi"/>
        </w:rPr>
        <w:br/>
      </w:r>
    </w:p>
  </w:footnote>
  <w:footnote w:id="401">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Schiller, D. (2014) </w:t>
      </w:r>
      <w:r w:rsidRPr="00FB4242">
        <w:rPr>
          <w:rStyle w:val="a5"/>
          <w:rFonts w:cstheme="minorHAnsi"/>
        </w:rPr>
        <w:t>Digital Depression: Information Technology and Economic Crisis</w:t>
      </w:r>
      <w:r w:rsidRPr="00FB4242">
        <w:rPr>
          <w:rFonts w:cstheme="minorHAnsi"/>
        </w:rPr>
        <w:t>. Urbana, IL: University of Illinois Press.</w:t>
      </w:r>
      <w:r w:rsidRPr="00FB4242">
        <w:rPr>
          <w:rFonts w:cstheme="minorHAnsi"/>
        </w:rPr>
        <w:br/>
      </w:r>
    </w:p>
  </w:footnote>
  <w:footnote w:id="402">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Thompson, </w:t>
      </w:r>
      <w:r w:rsidRPr="00FB4242">
        <w:rPr>
          <w:rFonts w:cstheme="minorHAnsi"/>
        </w:rPr>
        <w:t xml:space="preserve">C. (2022) ‘Palantir and the New Logic of Security Capitalism’, </w:t>
      </w:r>
      <w:r w:rsidRPr="00FB4242">
        <w:rPr>
          <w:rStyle w:val="a5"/>
          <w:rFonts w:cstheme="minorHAnsi"/>
        </w:rPr>
        <w:t>Security Dialogue</w:t>
      </w:r>
      <w:r w:rsidRPr="00FB4242">
        <w:rPr>
          <w:rFonts w:cstheme="minorHAnsi"/>
        </w:rPr>
        <w:t>, 53(6), pp. 482-499.</w:t>
      </w:r>
    </w:p>
  </w:footnote>
  <w:footnote w:id="403">
    <w:p w:rsidR="00C62A14" w:rsidRPr="00FB4242" w:rsidRDefault="00C62A14" w:rsidP="00926B5D">
      <w:pPr>
        <w:pStyle w:val="a6"/>
        <w:rPr>
          <w:rFonts w:cstheme="minorHAnsi"/>
        </w:rPr>
      </w:pPr>
      <w:r w:rsidRPr="00FB4242">
        <w:rPr>
          <w:rStyle w:val="a8"/>
          <w:rFonts w:cstheme="minorHAnsi"/>
        </w:rPr>
        <w:footnoteRef/>
      </w:r>
      <w:r w:rsidRPr="00FB4242">
        <w:rPr>
          <w:rFonts w:cstheme="minorHAnsi"/>
        </w:rPr>
        <w:t xml:space="preserve"> </w:t>
      </w:r>
      <w:r w:rsidRPr="00FB4242">
        <w:rPr>
          <w:rFonts w:cstheme="minorHAnsi"/>
        </w:rPr>
        <w:t xml:space="preserve">Fichtner, </w:t>
      </w:r>
      <w:r w:rsidRPr="00FB4242">
        <w:rPr>
          <w:rFonts w:cstheme="minorHAnsi"/>
        </w:rPr>
        <w:t xml:space="preserve">J., Heemskerk, E. M. and Garcia-Bernardo, J. (2017) ‘Hidden Power of the Big Three? Passive Index Funds, Re-Concentration of Corporate Ownership, and New Financial Risk’, </w:t>
      </w:r>
      <w:r w:rsidRPr="00FB4242">
        <w:rPr>
          <w:rStyle w:val="a5"/>
          <w:rFonts w:cstheme="minorHAnsi"/>
        </w:rPr>
        <w:t>Business and Politics</w:t>
      </w:r>
      <w:r w:rsidRPr="00FB4242">
        <w:rPr>
          <w:rFonts w:cstheme="minorHAnsi"/>
        </w:rPr>
        <w:t>, 19(2), pp. 298-326.</w:t>
      </w:r>
      <w:r w:rsidRPr="00FB4242">
        <w:rPr>
          <w:rFonts w:cstheme="minorHAnsi"/>
        </w:rPr>
        <w:br/>
      </w:r>
    </w:p>
  </w:footnote>
  <w:footnote w:id="404">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Avant, </w:t>
      </w:r>
      <w:r w:rsidRPr="00FB4242">
        <w:rPr>
          <w:rFonts w:cstheme="minorHAnsi"/>
        </w:rPr>
        <w:t xml:space="preserve">D. D., Finnemore, M. and Sell, S. K. (2010) </w:t>
      </w:r>
      <w:r w:rsidRPr="00FB4242">
        <w:rPr>
          <w:rStyle w:val="a5"/>
          <w:rFonts w:cstheme="minorHAnsi"/>
        </w:rPr>
        <w:t>Who Governs the Globe?</w:t>
      </w:r>
      <w:r w:rsidRPr="00FB4242">
        <w:rPr>
          <w:rFonts w:cstheme="minorHAnsi"/>
        </w:rPr>
        <w:t xml:space="preserve"> Cambridge: Cambridge University Press.</w:t>
      </w:r>
      <w:r w:rsidRPr="00FB4242">
        <w:rPr>
          <w:rFonts w:cstheme="minorHAnsi"/>
          <w:lang w:val="en-US"/>
        </w:rPr>
        <w:t xml:space="preserve"> </w:t>
      </w:r>
      <w:r w:rsidRPr="00FB4242">
        <w:rPr>
          <w:rFonts w:cstheme="minorHAnsi"/>
        </w:rPr>
        <w:t xml:space="preserve">Barnett, M. (2011) </w:t>
      </w:r>
      <w:r w:rsidRPr="00FB4242">
        <w:rPr>
          <w:rStyle w:val="a5"/>
          <w:rFonts w:cstheme="minorHAnsi"/>
        </w:rPr>
        <w:t>Empire of Humanity: A History of Humanitarianism</w:t>
      </w:r>
      <w:r w:rsidRPr="00FB4242">
        <w:rPr>
          <w:rFonts w:cstheme="minorHAnsi"/>
        </w:rPr>
        <w:t>. Ithaca, NY: Cornell University Press.</w:t>
      </w:r>
    </w:p>
  </w:footnote>
  <w:footnote w:id="405">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Seabrooke, </w:t>
      </w:r>
      <w:r w:rsidRPr="00FB4242">
        <w:rPr>
          <w:rFonts w:cstheme="minorHAnsi"/>
        </w:rPr>
        <w:t xml:space="preserve">L. and Wigan, D. (2016) </w:t>
      </w:r>
      <w:r w:rsidRPr="00FB4242">
        <w:rPr>
          <w:rStyle w:val="a5"/>
          <w:rFonts w:cstheme="minorHAnsi"/>
        </w:rPr>
        <w:t>Powering Finance: The Hidden Architecture of Global Governance</w:t>
      </w:r>
      <w:r w:rsidRPr="00FB4242">
        <w:rPr>
          <w:rFonts w:cstheme="minorHAnsi"/>
        </w:rPr>
        <w:t>. Oxford: Oxford University Press.</w:t>
      </w:r>
      <w:r w:rsidRPr="00FB4242">
        <w:rPr>
          <w:rFonts w:cstheme="minorHAnsi"/>
        </w:rPr>
        <w:br/>
      </w:r>
    </w:p>
  </w:footnote>
  <w:footnote w:id="406">
    <w:p w:rsidR="00C62A14" w:rsidRPr="00FB4242" w:rsidRDefault="00C62A14" w:rsidP="00926B5D">
      <w:pPr>
        <w:pStyle w:val="a6"/>
        <w:rPr>
          <w:rFonts w:cstheme="minorHAnsi"/>
          <w:lang w:val="en-US"/>
        </w:rPr>
      </w:pPr>
      <w:r w:rsidRPr="00FB4242">
        <w:rPr>
          <w:rStyle w:val="a8"/>
          <w:rFonts w:cstheme="minorHAnsi"/>
        </w:rPr>
        <w:footnoteRef/>
      </w:r>
      <w:r w:rsidRPr="00FB4242">
        <w:rPr>
          <w:rFonts w:cstheme="minorHAnsi"/>
        </w:rPr>
        <w:t xml:space="preserve"> </w:t>
      </w:r>
      <w:r w:rsidRPr="00FB4242">
        <w:rPr>
          <w:rFonts w:cstheme="minorHAnsi"/>
        </w:rPr>
        <w:t xml:space="preserve">Geertz, </w:t>
      </w:r>
      <w:r w:rsidRPr="00FB4242">
        <w:rPr>
          <w:rFonts w:cstheme="minorHAnsi"/>
        </w:rPr>
        <w:t xml:space="preserve">C. (1973) </w:t>
      </w:r>
      <w:r w:rsidRPr="00FB4242">
        <w:rPr>
          <w:rStyle w:val="a5"/>
          <w:rFonts w:cstheme="minorHAnsi"/>
        </w:rPr>
        <w:t>The Interpretation of Cultures</w:t>
      </w:r>
      <w:r w:rsidRPr="00FB4242">
        <w:rPr>
          <w:rFonts w:cstheme="minorHAnsi"/>
        </w:rPr>
        <w:t>. New York: Basic Books.</w:t>
      </w:r>
      <w:r w:rsidRPr="00FB4242">
        <w:rPr>
          <w:rFonts w:cstheme="minorHAnsi"/>
          <w:lang w:val="en-US"/>
        </w:rPr>
        <w:t xml:space="preserve"> </w:t>
      </w:r>
      <w:r w:rsidRPr="00FB4242">
        <w:rPr>
          <w:rFonts w:cstheme="minorHAnsi"/>
        </w:rPr>
        <w:t xml:space="preserve">George, A. L. and Bennett, A. (2005) </w:t>
      </w:r>
      <w:r w:rsidRPr="00FB4242">
        <w:rPr>
          <w:rStyle w:val="a5"/>
          <w:rFonts w:cstheme="minorHAnsi"/>
        </w:rPr>
        <w:t>Case Studies and Theory Development in the Social Sciences</w:t>
      </w:r>
      <w:r w:rsidRPr="00FB4242">
        <w:rPr>
          <w:rFonts w:cstheme="minorHAnsi"/>
        </w:rPr>
        <w:t>. Cambridge, MA: MIT Press</w:t>
      </w:r>
      <w:r w:rsidRPr="00FB4242">
        <w:rPr>
          <w:rFonts w:cstheme="minorHAnsi"/>
          <w:lang w:val="en-US"/>
        </w:rPr>
        <w:t xml:space="preserve">, </w:t>
      </w:r>
      <w:r w:rsidRPr="00FB4242">
        <w:rPr>
          <w:rFonts w:cstheme="minorHAnsi"/>
        </w:rPr>
        <w:t xml:space="preserve">Hafner-Burton, E., Kahler, M. and Montgomery, A. H. (2009) ‘Network Analysis for International Relations’, </w:t>
      </w:r>
      <w:r w:rsidRPr="00FB4242">
        <w:rPr>
          <w:rStyle w:val="a5"/>
          <w:rFonts w:cstheme="minorHAnsi"/>
        </w:rPr>
        <w:t>International Organization</w:t>
      </w:r>
      <w:r w:rsidRPr="00FB4242">
        <w:rPr>
          <w:rFonts w:cstheme="minorHAnsi"/>
        </w:rPr>
        <w:t>, 63(3), pp. 559-592</w:t>
      </w:r>
      <w:r w:rsidRPr="00FB4242">
        <w:rPr>
          <w:rFonts w:cstheme="minorHAnsi"/>
        </w:rPr>
        <w:br/>
      </w:r>
    </w:p>
  </w:footnote>
  <w:footnote w:id="407">
    <w:p w:rsidR="00C62A14" w:rsidRPr="00721CA0" w:rsidRDefault="00C62A14" w:rsidP="002C3B1E">
      <w:pPr>
        <w:pStyle w:val="NormalWeb"/>
        <w:rPr>
          <w:rFonts w:asciiTheme="minorHAnsi" w:hAnsiTheme="minorHAnsi" w:cstheme="minorHAnsi"/>
          <w:sz w:val="20"/>
          <w:szCs w:val="20"/>
        </w:rPr>
      </w:pPr>
      <w:r w:rsidRPr="00721CA0">
        <w:rPr>
          <w:rStyle w:val="a8"/>
          <w:rFonts w:asciiTheme="minorHAnsi" w:hAnsiTheme="minorHAnsi" w:cstheme="minorHAnsi"/>
          <w:sz w:val="20"/>
          <w:szCs w:val="20"/>
        </w:rPr>
        <w:footnoteRef/>
      </w:r>
      <w:r w:rsidRPr="00721CA0">
        <w:rPr>
          <w:rFonts w:asciiTheme="minorHAnsi" w:hAnsiTheme="minorHAnsi" w:cstheme="minorHAnsi"/>
          <w:sz w:val="20"/>
          <w:szCs w:val="20"/>
        </w:rPr>
        <w:t xml:space="preserve"> </w:t>
      </w:r>
      <w:proofErr w:type="spellStart"/>
      <w:r w:rsidRPr="00721CA0">
        <w:rPr>
          <w:rFonts w:asciiTheme="minorHAnsi" w:hAnsiTheme="minorHAnsi" w:cstheme="minorHAnsi"/>
          <w:sz w:val="20"/>
          <w:szCs w:val="20"/>
        </w:rPr>
        <w:t>Sassen</w:t>
      </w:r>
      <w:proofErr w:type="spellEnd"/>
      <w:r w:rsidRPr="00721CA0">
        <w:rPr>
          <w:rFonts w:asciiTheme="minorHAnsi" w:hAnsiTheme="minorHAnsi" w:cstheme="minorHAnsi"/>
          <w:sz w:val="20"/>
          <w:szCs w:val="20"/>
        </w:rPr>
        <w:t xml:space="preserve">, S. (2006). </w:t>
      </w:r>
      <w:r w:rsidRPr="00721CA0">
        <w:rPr>
          <w:rFonts w:asciiTheme="minorHAnsi" w:hAnsiTheme="minorHAnsi" w:cstheme="minorHAnsi"/>
          <w:i/>
          <w:iCs/>
          <w:sz w:val="20"/>
          <w:szCs w:val="20"/>
        </w:rPr>
        <w:t>Territory, Authority, Rights: From Medieval to Global Assemblages</w:t>
      </w:r>
      <w:r w:rsidRPr="00721CA0">
        <w:rPr>
          <w:rFonts w:asciiTheme="minorHAnsi" w:hAnsiTheme="minorHAnsi" w:cstheme="minorHAnsi"/>
          <w:sz w:val="20"/>
          <w:szCs w:val="20"/>
        </w:rPr>
        <w:t xml:space="preserve">. Princeton: Princeton University Press. Scholte, J.A. (2005). </w:t>
      </w:r>
      <w:r w:rsidRPr="00721CA0">
        <w:rPr>
          <w:rFonts w:asciiTheme="minorHAnsi" w:hAnsiTheme="minorHAnsi" w:cstheme="minorHAnsi"/>
          <w:i/>
          <w:iCs/>
          <w:sz w:val="20"/>
          <w:szCs w:val="20"/>
        </w:rPr>
        <w:t>Globalization: A Critical Introduction</w:t>
      </w:r>
      <w:r w:rsidRPr="00721CA0">
        <w:rPr>
          <w:rFonts w:asciiTheme="minorHAnsi" w:hAnsiTheme="minorHAnsi" w:cstheme="minorHAnsi"/>
          <w:sz w:val="20"/>
          <w:szCs w:val="20"/>
        </w:rPr>
        <w:t xml:space="preserve">. 2nd </w:t>
      </w:r>
      <w:proofErr w:type="spellStart"/>
      <w:r w:rsidRPr="00721CA0">
        <w:rPr>
          <w:rFonts w:asciiTheme="minorHAnsi" w:hAnsiTheme="minorHAnsi" w:cstheme="minorHAnsi"/>
          <w:sz w:val="20"/>
          <w:szCs w:val="20"/>
        </w:rPr>
        <w:t>edn</w:t>
      </w:r>
      <w:proofErr w:type="spellEnd"/>
      <w:r w:rsidRPr="00721CA0">
        <w:rPr>
          <w:rFonts w:asciiTheme="minorHAnsi" w:hAnsiTheme="minorHAnsi" w:cstheme="minorHAnsi"/>
          <w:sz w:val="20"/>
          <w:szCs w:val="20"/>
        </w:rPr>
        <w:t xml:space="preserve">. Basingstoke: Palgrave Macmillan. Scholte, J.A. (2018). ‘Globalization and Governance’, in: </w:t>
      </w:r>
      <w:proofErr w:type="spellStart"/>
      <w:r w:rsidRPr="00721CA0">
        <w:rPr>
          <w:rFonts w:asciiTheme="minorHAnsi" w:hAnsiTheme="minorHAnsi" w:cstheme="minorHAnsi"/>
          <w:sz w:val="20"/>
          <w:szCs w:val="20"/>
        </w:rPr>
        <w:t>Bevir</w:t>
      </w:r>
      <w:proofErr w:type="spellEnd"/>
      <w:r w:rsidRPr="00721CA0">
        <w:rPr>
          <w:rFonts w:asciiTheme="minorHAnsi" w:hAnsiTheme="minorHAnsi" w:cstheme="minorHAnsi"/>
          <w:sz w:val="20"/>
          <w:szCs w:val="20"/>
        </w:rPr>
        <w:t xml:space="preserve">, M. (ed.) </w:t>
      </w:r>
      <w:r w:rsidRPr="00721CA0">
        <w:rPr>
          <w:rFonts w:asciiTheme="minorHAnsi" w:hAnsiTheme="minorHAnsi" w:cstheme="minorHAnsi"/>
          <w:i/>
          <w:iCs/>
          <w:sz w:val="20"/>
          <w:szCs w:val="20"/>
        </w:rPr>
        <w:t>The SAGE Handbook of Governance</w:t>
      </w:r>
      <w:r w:rsidRPr="00721CA0">
        <w:rPr>
          <w:rFonts w:asciiTheme="minorHAnsi" w:hAnsiTheme="minorHAnsi" w:cstheme="minorHAnsi"/>
          <w:sz w:val="20"/>
          <w:szCs w:val="20"/>
        </w:rPr>
        <w:t>. London: SAGE.</w:t>
      </w:r>
    </w:p>
  </w:footnote>
  <w:footnote w:id="408">
    <w:p w:rsidR="00C62A14" w:rsidRPr="00721CA0" w:rsidRDefault="00C62A14" w:rsidP="002C3B1E">
      <w:pPr>
        <w:pStyle w:val="NormalWeb"/>
        <w:rPr>
          <w:rFonts w:asciiTheme="minorHAnsi" w:hAnsiTheme="minorHAnsi" w:cstheme="minorHAnsi"/>
          <w:sz w:val="20"/>
          <w:szCs w:val="20"/>
        </w:rPr>
      </w:pPr>
      <w:r w:rsidRPr="00721CA0">
        <w:rPr>
          <w:rStyle w:val="a8"/>
          <w:rFonts w:asciiTheme="minorHAnsi" w:hAnsiTheme="minorHAnsi" w:cstheme="minorHAnsi"/>
          <w:sz w:val="20"/>
          <w:szCs w:val="20"/>
        </w:rPr>
        <w:footnoteRef/>
      </w:r>
      <w:r w:rsidRPr="00721CA0">
        <w:rPr>
          <w:rFonts w:asciiTheme="minorHAnsi" w:hAnsiTheme="minorHAnsi" w:cstheme="minorHAnsi"/>
          <w:sz w:val="20"/>
          <w:szCs w:val="20"/>
        </w:rPr>
        <w:t xml:space="preserve"> Cutler, A.C., </w:t>
      </w:r>
      <w:proofErr w:type="spellStart"/>
      <w:r w:rsidRPr="00721CA0">
        <w:rPr>
          <w:rFonts w:asciiTheme="minorHAnsi" w:hAnsiTheme="minorHAnsi" w:cstheme="minorHAnsi"/>
          <w:sz w:val="20"/>
          <w:szCs w:val="20"/>
        </w:rPr>
        <w:t>Haufler</w:t>
      </w:r>
      <w:proofErr w:type="spellEnd"/>
      <w:r w:rsidRPr="00721CA0">
        <w:rPr>
          <w:rFonts w:asciiTheme="minorHAnsi" w:hAnsiTheme="minorHAnsi" w:cstheme="minorHAnsi"/>
          <w:sz w:val="20"/>
          <w:szCs w:val="20"/>
        </w:rPr>
        <w:t xml:space="preserve">, V. and Porter, T. (1999). </w:t>
      </w:r>
      <w:r w:rsidRPr="00721CA0">
        <w:rPr>
          <w:rFonts w:asciiTheme="minorHAnsi" w:hAnsiTheme="minorHAnsi" w:cstheme="minorHAnsi"/>
          <w:i/>
          <w:iCs/>
          <w:sz w:val="20"/>
          <w:szCs w:val="20"/>
        </w:rPr>
        <w:t>Private Authority and International Affairs</w:t>
      </w:r>
      <w:r w:rsidRPr="00721CA0">
        <w:rPr>
          <w:rFonts w:asciiTheme="minorHAnsi" w:hAnsiTheme="minorHAnsi" w:cstheme="minorHAnsi"/>
          <w:sz w:val="20"/>
          <w:szCs w:val="20"/>
        </w:rPr>
        <w:t xml:space="preserve">. Albany: SUNY Press. Avant, D., </w:t>
      </w:r>
      <w:proofErr w:type="spellStart"/>
      <w:r w:rsidRPr="00721CA0">
        <w:rPr>
          <w:rFonts w:asciiTheme="minorHAnsi" w:hAnsiTheme="minorHAnsi" w:cstheme="minorHAnsi"/>
          <w:sz w:val="20"/>
          <w:szCs w:val="20"/>
        </w:rPr>
        <w:t>Finnemore</w:t>
      </w:r>
      <w:proofErr w:type="spellEnd"/>
      <w:r w:rsidRPr="00721CA0">
        <w:rPr>
          <w:rFonts w:asciiTheme="minorHAnsi" w:hAnsiTheme="minorHAnsi" w:cstheme="minorHAnsi"/>
          <w:sz w:val="20"/>
          <w:szCs w:val="20"/>
        </w:rPr>
        <w:t xml:space="preserve">, M. and Sell, S.K. (2010). ‘Who Governs the Globe?’, </w:t>
      </w:r>
      <w:r w:rsidRPr="00721CA0">
        <w:rPr>
          <w:rFonts w:asciiTheme="minorHAnsi" w:hAnsiTheme="minorHAnsi" w:cstheme="minorHAnsi"/>
          <w:i/>
          <w:iCs/>
          <w:sz w:val="20"/>
          <w:szCs w:val="20"/>
        </w:rPr>
        <w:t>Cambridge</w:t>
      </w:r>
      <w:r w:rsidRPr="00E9425C">
        <w:rPr>
          <w:i/>
          <w:iCs/>
          <w:sz w:val="20"/>
          <w:szCs w:val="20"/>
        </w:rPr>
        <w:t xml:space="preserve"> </w:t>
      </w:r>
      <w:r w:rsidRPr="00721CA0">
        <w:rPr>
          <w:rFonts w:asciiTheme="minorHAnsi" w:hAnsiTheme="minorHAnsi" w:cstheme="minorHAnsi"/>
          <w:i/>
          <w:iCs/>
          <w:sz w:val="20"/>
          <w:szCs w:val="20"/>
        </w:rPr>
        <w:t>Studies in International Relations</w:t>
      </w:r>
      <w:r w:rsidRPr="00721CA0">
        <w:rPr>
          <w:rFonts w:asciiTheme="minorHAnsi" w:hAnsiTheme="minorHAnsi" w:cstheme="minorHAnsi"/>
          <w:sz w:val="20"/>
          <w:szCs w:val="20"/>
        </w:rPr>
        <w:t xml:space="preserve">. Cambridge: Cambridge University Press. Avant, D., </w:t>
      </w:r>
      <w:proofErr w:type="spellStart"/>
      <w:r w:rsidRPr="00721CA0">
        <w:rPr>
          <w:rFonts w:asciiTheme="minorHAnsi" w:hAnsiTheme="minorHAnsi" w:cstheme="minorHAnsi"/>
          <w:sz w:val="20"/>
          <w:szCs w:val="20"/>
        </w:rPr>
        <w:t>Finnemore</w:t>
      </w:r>
      <w:proofErr w:type="spellEnd"/>
      <w:r w:rsidRPr="00721CA0">
        <w:rPr>
          <w:rFonts w:asciiTheme="minorHAnsi" w:hAnsiTheme="minorHAnsi" w:cstheme="minorHAnsi"/>
          <w:sz w:val="20"/>
          <w:szCs w:val="20"/>
        </w:rPr>
        <w:t xml:space="preserve">, M. and Sell, S.K. (2010). ‘Who Governs the Globe?’, </w:t>
      </w:r>
      <w:r w:rsidRPr="00721CA0">
        <w:rPr>
          <w:rFonts w:asciiTheme="minorHAnsi" w:hAnsiTheme="minorHAnsi" w:cstheme="minorHAnsi"/>
          <w:i/>
          <w:iCs/>
          <w:sz w:val="20"/>
          <w:szCs w:val="20"/>
        </w:rPr>
        <w:t>International Studies Quarterly</w:t>
      </w:r>
      <w:r w:rsidRPr="00721CA0">
        <w:rPr>
          <w:rFonts w:asciiTheme="minorHAnsi" w:hAnsiTheme="minorHAnsi" w:cstheme="minorHAnsi"/>
          <w:sz w:val="20"/>
          <w:szCs w:val="20"/>
        </w:rPr>
        <w:t xml:space="preserve">, 54(1), pp. 1-31. </w:t>
      </w:r>
      <w:proofErr w:type="spellStart"/>
      <w:r w:rsidRPr="00721CA0">
        <w:rPr>
          <w:rFonts w:asciiTheme="minorHAnsi" w:hAnsiTheme="minorHAnsi" w:cstheme="minorHAnsi"/>
          <w:sz w:val="20"/>
          <w:szCs w:val="20"/>
        </w:rPr>
        <w:t>Orsini</w:t>
      </w:r>
      <w:proofErr w:type="spellEnd"/>
      <w:r w:rsidRPr="00721CA0">
        <w:rPr>
          <w:rFonts w:asciiTheme="minorHAnsi" w:hAnsiTheme="minorHAnsi" w:cstheme="minorHAnsi"/>
          <w:sz w:val="20"/>
          <w:szCs w:val="20"/>
        </w:rPr>
        <w:t xml:space="preserve">, A., Morin, J.F. and Young, O. (2013). ‘Regime complexes: A buzz, a boom, or a boost for global governance?’, </w:t>
      </w:r>
      <w:r w:rsidRPr="00721CA0">
        <w:rPr>
          <w:rFonts w:asciiTheme="minorHAnsi" w:hAnsiTheme="minorHAnsi" w:cstheme="minorHAnsi"/>
          <w:i/>
          <w:iCs/>
          <w:sz w:val="20"/>
          <w:szCs w:val="20"/>
        </w:rPr>
        <w:t>Global Governance</w:t>
      </w:r>
      <w:r w:rsidRPr="00721CA0">
        <w:rPr>
          <w:rFonts w:asciiTheme="minorHAnsi" w:hAnsiTheme="minorHAnsi" w:cstheme="minorHAnsi"/>
          <w:sz w:val="20"/>
          <w:szCs w:val="20"/>
        </w:rPr>
        <w:t>, 19(1), pp. 27-39.</w:t>
      </w:r>
    </w:p>
  </w:footnote>
  <w:footnote w:id="409">
    <w:p w:rsidR="00C62A14" w:rsidRPr="00721CA0" w:rsidRDefault="00C62A14" w:rsidP="002C3B1E">
      <w:pPr>
        <w:pStyle w:val="NormalWeb"/>
        <w:rPr>
          <w:rFonts w:asciiTheme="minorHAnsi" w:hAnsiTheme="minorHAnsi" w:cstheme="minorHAnsi"/>
          <w:sz w:val="20"/>
          <w:szCs w:val="20"/>
          <w:rtl/>
        </w:rPr>
      </w:pPr>
      <w:r w:rsidRPr="00721CA0">
        <w:rPr>
          <w:rStyle w:val="a8"/>
          <w:rFonts w:asciiTheme="minorHAnsi" w:hAnsiTheme="minorHAnsi" w:cstheme="minorHAnsi"/>
          <w:sz w:val="20"/>
          <w:szCs w:val="20"/>
        </w:rPr>
        <w:footnoteRef/>
      </w:r>
      <w:r w:rsidRPr="00721CA0">
        <w:rPr>
          <w:rFonts w:asciiTheme="minorHAnsi" w:hAnsiTheme="minorHAnsi" w:cstheme="minorHAnsi"/>
          <w:sz w:val="20"/>
          <w:szCs w:val="20"/>
        </w:rPr>
        <w:t xml:space="preserve"> Farrell, H. and Newman, A.L. (2019). ‘Weaponized Interdependence: How Global Economic Networks Shape State Coercion’, </w:t>
      </w:r>
      <w:r w:rsidRPr="00721CA0">
        <w:rPr>
          <w:rStyle w:val="a5"/>
          <w:rFonts w:asciiTheme="minorHAnsi" w:eastAsiaTheme="majorEastAsia" w:hAnsiTheme="minorHAnsi" w:cstheme="minorHAnsi"/>
          <w:sz w:val="20"/>
          <w:szCs w:val="20"/>
        </w:rPr>
        <w:t>International Security</w:t>
      </w:r>
      <w:r w:rsidRPr="00721CA0">
        <w:rPr>
          <w:rFonts w:asciiTheme="minorHAnsi" w:hAnsiTheme="minorHAnsi" w:cstheme="minorHAnsi"/>
          <w:sz w:val="20"/>
          <w:szCs w:val="20"/>
        </w:rPr>
        <w:t>, 44(1), pp. 42</w:t>
      </w:r>
      <w:r w:rsidRPr="00721CA0">
        <w:rPr>
          <w:rFonts w:asciiTheme="minorHAnsi" w:hAnsiTheme="minorHAnsi" w:cstheme="minorHAnsi"/>
          <w:sz w:val="20"/>
          <w:szCs w:val="20"/>
          <w:rtl/>
        </w:rPr>
        <w:t>-</w:t>
      </w:r>
      <w:r w:rsidRPr="00721CA0">
        <w:rPr>
          <w:rFonts w:asciiTheme="minorHAnsi" w:hAnsiTheme="minorHAnsi" w:cstheme="minorHAnsi"/>
          <w:sz w:val="20"/>
          <w:szCs w:val="20"/>
        </w:rPr>
        <w:t>79.</w:t>
      </w:r>
    </w:p>
  </w:footnote>
  <w:footnote w:id="410">
    <w:p w:rsidR="00C62A14" w:rsidRPr="00721CA0" w:rsidRDefault="00C62A14" w:rsidP="002C3B1E">
      <w:pPr>
        <w:pStyle w:val="a6"/>
        <w:rPr>
          <w:rFonts w:cstheme="minorHAnsi"/>
          <w:rtl/>
        </w:rPr>
      </w:pPr>
      <w:r w:rsidRPr="00721CA0">
        <w:rPr>
          <w:rStyle w:val="a8"/>
          <w:rFonts w:cstheme="minorHAnsi"/>
        </w:rPr>
        <w:footnoteRef/>
      </w:r>
      <w:r w:rsidRPr="00721CA0">
        <w:rPr>
          <w:rFonts w:cstheme="minorHAnsi"/>
        </w:rPr>
        <w:t xml:space="preserve"> </w:t>
      </w:r>
      <w:r w:rsidRPr="00721CA0">
        <w:rPr>
          <w:rFonts w:cstheme="minorHAnsi"/>
        </w:rPr>
        <w:t xml:space="preserve">Büthe, T. and Mattli, W. (2011). </w:t>
      </w:r>
      <w:r w:rsidRPr="00721CA0">
        <w:rPr>
          <w:rStyle w:val="a5"/>
          <w:rFonts w:cstheme="minorHAnsi"/>
        </w:rPr>
        <w:t>The New Global Rulers: The Privatization of Regulation in the World Economy</w:t>
      </w:r>
      <w:r w:rsidRPr="00721CA0">
        <w:rPr>
          <w:rFonts w:cstheme="minorHAnsi"/>
        </w:rPr>
        <w:t>. Princeton: Princeton University Press</w:t>
      </w:r>
    </w:p>
  </w:footnote>
  <w:footnote w:id="411">
    <w:p w:rsidR="00C62A14" w:rsidRPr="00721CA0" w:rsidRDefault="00C62A14" w:rsidP="002C3B1E">
      <w:pPr>
        <w:pStyle w:val="a6"/>
        <w:rPr>
          <w:rFonts w:cstheme="minorHAnsi"/>
          <w:rtl/>
        </w:rPr>
      </w:pPr>
      <w:r w:rsidRPr="00721CA0">
        <w:rPr>
          <w:rStyle w:val="a8"/>
          <w:rFonts w:cstheme="minorHAnsi"/>
        </w:rPr>
        <w:footnoteRef/>
      </w:r>
      <w:r w:rsidRPr="00721CA0">
        <w:rPr>
          <w:rFonts w:cstheme="minorHAnsi"/>
        </w:rPr>
        <w:t xml:space="preserve"> </w:t>
      </w:r>
      <w:r w:rsidRPr="00721CA0">
        <w:rPr>
          <w:rFonts w:cstheme="minorHAnsi"/>
        </w:rPr>
        <w:t xml:space="preserve">Kanie, </w:t>
      </w:r>
      <w:r w:rsidRPr="00721CA0">
        <w:rPr>
          <w:rFonts w:cstheme="minorHAnsi"/>
        </w:rPr>
        <w:t xml:space="preserve">N. and Biermann, F. (2017). </w:t>
      </w:r>
      <w:r w:rsidRPr="00721CA0">
        <w:rPr>
          <w:rStyle w:val="a5"/>
          <w:rFonts w:cstheme="minorHAnsi"/>
        </w:rPr>
        <w:t>Governing through Goals: Sustainable Development Goals as Governance Innovation</w:t>
      </w:r>
      <w:r w:rsidRPr="00721CA0">
        <w:rPr>
          <w:rFonts w:cstheme="minorHAnsi"/>
        </w:rPr>
        <w:t>. Cambridge, MA: MIT Press</w:t>
      </w:r>
    </w:p>
  </w:footnote>
  <w:footnote w:id="412">
    <w:p w:rsidR="00C62A14" w:rsidRPr="00721CA0" w:rsidRDefault="00C62A14" w:rsidP="002C3B1E">
      <w:pPr>
        <w:pStyle w:val="a6"/>
        <w:rPr>
          <w:rFonts w:cstheme="minorHAnsi"/>
          <w:rtl/>
        </w:rPr>
      </w:pPr>
      <w:r w:rsidRPr="00721CA0">
        <w:rPr>
          <w:rStyle w:val="a8"/>
          <w:rFonts w:cstheme="minorHAnsi"/>
        </w:rPr>
        <w:footnoteRef/>
      </w:r>
      <w:r w:rsidRPr="00721CA0">
        <w:rPr>
          <w:rFonts w:cstheme="minorHAnsi"/>
        </w:rPr>
        <w:t xml:space="preserve"> </w:t>
      </w:r>
      <w:r w:rsidRPr="00721CA0">
        <w:rPr>
          <w:rFonts w:cstheme="minorHAnsi"/>
        </w:rPr>
        <w:t xml:space="preserve">Avant, </w:t>
      </w:r>
      <w:r w:rsidRPr="00721CA0">
        <w:rPr>
          <w:rFonts w:cstheme="minorHAnsi"/>
        </w:rPr>
        <w:t xml:space="preserve">D., Finnemore, M. and Sell, S.K. (2010). </w:t>
      </w:r>
      <w:r w:rsidRPr="00721CA0">
        <w:rPr>
          <w:rStyle w:val="a5"/>
          <w:rFonts w:cstheme="minorHAnsi"/>
        </w:rPr>
        <w:t>Who Governs the Globe?</w:t>
      </w:r>
      <w:r w:rsidRPr="00721CA0">
        <w:rPr>
          <w:rFonts w:cstheme="minorHAnsi"/>
        </w:rPr>
        <w:t xml:space="preserve"> Cambridge: Cambridge University Press.</w:t>
      </w:r>
      <w:r w:rsidRPr="00721CA0">
        <w:rPr>
          <w:rFonts w:cstheme="minorHAnsi"/>
          <w:rtl/>
        </w:rPr>
        <w:t xml:space="preserve">  </w:t>
      </w:r>
      <w:r w:rsidRPr="00721CA0">
        <w:rPr>
          <w:rFonts w:cstheme="minorHAnsi"/>
        </w:rPr>
        <w:t xml:space="preserve">Büthe, T. and Mattli, W. (2011). </w:t>
      </w:r>
      <w:r w:rsidRPr="00721CA0">
        <w:rPr>
          <w:rStyle w:val="a5"/>
          <w:rFonts w:cstheme="minorHAnsi"/>
        </w:rPr>
        <w:t>The New Global Rulers: The Privatization of Regulation in the World Economy</w:t>
      </w:r>
      <w:r w:rsidRPr="00721CA0">
        <w:rPr>
          <w:rFonts w:cstheme="minorHAnsi"/>
        </w:rPr>
        <w:t>. Princeton: Princeton University Press</w:t>
      </w:r>
    </w:p>
  </w:footnote>
  <w:footnote w:id="413">
    <w:p w:rsidR="00C62A14" w:rsidRPr="00721CA0" w:rsidRDefault="00C62A14" w:rsidP="002C3B1E">
      <w:pPr>
        <w:pStyle w:val="a6"/>
        <w:rPr>
          <w:rFonts w:cstheme="minorHAnsi"/>
          <w:rtl/>
        </w:rPr>
      </w:pPr>
      <w:r w:rsidRPr="00721CA0">
        <w:rPr>
          <w:rStyle w:val="a8"/>
          <w:rFonts w:cstheme="minorHAnsi"/>
        </w:rPr>
        <w:footnoteRef/>
      </w:r>
      <w:r w:rsidRPr="00721CA0">
        <w:rPr>
          <w:rFonts w:cstheme="minorHAnsi"/>
        </w:rPr>
        <w:t xml:space="preserve"> </w:t>
      </w:r>
      <w:r w:rsidRPr="00721CA0">
        <w:rPr>
          <w:rFonts w:cstheme="minorHAnsi"/>
        </w:rPr>
        <w:t xml:space="preserve">Abbott, </w:t>
      </w:r>
      <w:r w:rsidRPr="00721CA0">
        <w:rPr>
          <w:rFonts w:cstheme="minorHAnsi"/>
        </w:rPr>
        <w:t xml:space="preserve">K.W., Genschel, P., Snidal, D. and Zangl, B. (2015). ‘International organizations as orchestrators’, </w:t>
      </w:r>
      <w:r w:rsidRPr="00721CA0">
        <w:rPr>
          <w:rStyle w:val="a5"/>
          <w:rFonts w:cstheme="minorHAnsi"/>
        </w:rPr>
        <w:t>International Organization</w:t>
      </w:r>
      <w:r w:rsidRPr="00721CA0">
        <w:rPr>
          <w:rFonts w:cstheme="minorHAnsi"/>
        </w:rPr>
        <w:t>, 69(4), pp. 899</w:t>
      </w:r>
      <w:r w:rsidRPr="00721CA0">
        <w:rPr>
          <w:rFonts w:cstheme="minorHAnsi"/>
          <w:rtl/>
        </w:rPr>
        <w:t>-</w:t>
      </w:r>
      <w:r w:rsidRPr="00721CA0">
        <w:rPr>
          <w:rFonts w:cstheme="minorHAnsi"/>
        </w:rPr>
        <w:t>940</w:t>
      </w:r>
    </w:p>
  </w:footnote>
  <w:footnote w:id="414">
    <w:p w:rsidR="00C62A14" w:rsidRPr="00721CA0" w:rsidRDefault="00C62A14" w:rsidP="002C3B1E">
      <w:pPr>
        <w:pStyle w:val="a6"/>
        <w:rPr>
          <w:rFonts w:cstheme="minorHAnsi"/>
          <w:rtl/>
        </w:rPr>
      </w:pPr>
      <w:r w:rsidRPr="00721CA0">
        <w:rPr>
          <w:rStyle w:val="a8"/>
          <w:rFonts w:cstheme="minorHAnsi"/>
        </w:rPr>
        <w:footnoteRef/>
      </w:r>
      <w:r w:rsidRPr="00721CA0">
        <w:rPr>
          <w:rFonts w:cstheme="minorHAnsi"/>
        </w:rPr>
        <w:t xml:space="preserve"> </w:t>
      </w:r>
      <w:r w:rsidRPr="00721CA0">
        <w:rPr>
          <w:rFonts w:cstheme="minorHAnsi"/>
        </w:rPr>
        <w:t xml:space="preserve">Cutler, </w:t>
      </w:r>
      <w:r w:rsidRPr="00721CA0">
        <w:rPr>
          <w:rFonts w:cstheme="minorHAnsi"/>
        </w:rPr>
        <w:t xml:space="preserve">A.C., Haufler, V. and Porter, T. (1999). </w:t>
      </w:r>
      <w:r w:rsidRPr="00721CA0">
        <w:rPr>
          <w:rStyle w:val="a5"/>
          <w:rFonts w:cstheme="minorHAnsi"/>
        </w:rPr>
        <w:t>Private Authority and International Affairs</w:t>
      </w:r>
      <w:r w:rsidRPr="00721CA0">
        <w:rPr>
          <w:rFonts w:cstheme="minorHAnsi"/>
        </w:rPr>
        <w:t>. Albany: State University of New York Press</w:t>
      </w:r>
    </w:p>
  </w:footnote>
  <w:footnote w:id="415">
    <w:p w:rsidR="00C62A14" w:rsidRPr="00721CA0" w:rsidRDefault="00C62A14" w:rsidP="002C3B1E">
      <w:pPr>
        <w:pStyle w:val="a6"/>
        <w:rPr>
          <w:rFonts w:cstheme="minorHAnsi"/>
        </w:rPr>
      </w:pPr>
      <w:r w:rsidRPr="00721CA0">
        <w:rPr>
          <w:rStyle w:val="a8"/>
          <w:rFonts w:cstheme="minorHAnsi"/>
        </w:rPr>
        <w:footnoteRef/>
      </w:r>
      <w:r w:rsidRPr="00721CA0">
        <w:rPr>
          <w:rFonts w:cstheme="minorHAnsi"/>
        </w:rPr>
        <w:t xml:space="preserve"> </w:t>
      </w:r>
      <w:r w:rsidRPr="00721CA0">
        <w:rPr>
          <w:rFonts w:cstheme="minorHAnsi"/>
        </w:rPr>
        <w:t xml:space="preserve">Finnemore, </w:t>
      </w:r>
      <w:r w:rsidRPr="00721CA0">
        <w:rPr>
          <w:rFonts w:cstheme="minorHAnsi"/>
        </w:rPr>
        <w:t xml:space="preserve">M. and Sikkink, K. (1998). ‘International norm dynamics and political change’, </w:t>
      </w:r>
      <w:r w:rsidRPr="00721CA0">
        <w:rPr>
          <w:rStyle w:val="a5"/>
          <w:rFonts w:cstheme="minorHAnsi"/>
        </w:rPr>
        <w:t>International Organization</w:t>
      </w:r>
      <w:r w:rsidRPr="00721CA0">
        <w:rPr>
          <w:rFonts w:cstheme="minorHAnsi"/>
        </w:rPr>
        <w:t>, 52(4), pp. 887-917</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EF6B83E"/>
    <w:lvl w:ilvl="0">
      <w:start w:val="1"/>
      <w:numFmt w:val="decimal"/>
      <w:pStyle w:val="a"/>
      <w:lvlText w:val="%1."/>
      <w:lvlJc w:val="left"/>
      <w:pPr>
        <w:tabs>
          <w:tab w:val="num" w:pos="360"/>
        </w:tabs>
        <w:ind w:left="360" w:hanging="360"/>
      </w:pPr>
    </w:lvl>
  </w:abstractNum>
  <w:abstractNum w:abstractNumId="1" w15:restartNumberingAfterBreak="0">
    <w:nsid w:val="00D47EBC"/>
    <w:multiLevelType w:val="multilevel"/>
    <w:tmpl w:val="A826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80DB1"/>
    <w:multiLevelType w:val="hybridMultilevel"/>
    <w:tmpl w:val="AFD4F75A"/>
    <w:lvl w:ilvl="0" w:tplc="89C60A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567C3A"/>
    <w:multiLevelType w:val="multilevel"/>
    <w:tmpl w:val="226C0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8592F"/>
    <w:multiLevelType w:val="multilevel"/>
    <w:tmpl w:val="42922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06935"/>
    <w:multiLevelType w:val="multilevel"/>
    <w:tmpl w:val="DDF2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B90F43"/>
    <w:multiLevelType w:val="multilevel"/>
    <w:tmpl w:val="835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9E681E"/>
    <w:multiLevelType w:val="multilevel"/>
    <w:tmpl w:val="2E76CE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AD0993"/>
    <w:multiLevelType w:val="multilevel"/>
    <w:tmpl w:val="758298EC"/>
    <w:lvl w:ilvl="0">
      <w:start w:val="6"/>
      <w:numFmt w:val="decimal"/>
      <w:lvlText w:val="%1"/>
      <w:lvlJc w:val="left"/>
      <w:pPr>
        <w:ind w:left="563" w:hanging="563"/>
      </w:pPr>
      <w:rPr>
        <w:rFonts w:hint="default"/>
      </w:rPr>
    </w:lvl>
    <w:lvl w:ilvl="1">
      <w:start w:val="1"/>
      <w:numFmt w:val="decimal"/>
      <w:lvlText w:val="%1.%2"/>
      <w:lvlJc w:val="left"/>
      <w:pPr>
        <w:ind w:left="563" w:hanging="56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CC8667C"/>
    <w:multiLevelType w:val="multilevel"/>
    <w:tmpl w:val="BEA2F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0A1C45"/>
    <w:multiLevelType w:val="multilevel"/>
    <w:tmpl w:val="5FF47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692E35"/>
    <w:multiLevelType w:val="multilevel"/>
    <w:tmpl w:val="ADA666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0"/>
  </w:num>
  <w:num w:numId="4">
    <w:abstractNumId w:val="9"/>
  </w:num>
  <w:num w:numId="5">
    <w:abstractNumId w:val="5"/>
  </w:num>
  <w:num w:numId="6">
    <w:abstractNumId w:val="3"/>
  </w:num>
  <w:num w:numId="7">
    <w:abstractNumId w:val="1"/>
  </w:num>
  <w:num w:numId="8">
    <w:abstractNumId w:val="11"/>
  </w:num>
  <w:num w:numId="9">
    <w:abstractNumId w:val="8"/>
  </w:num>
  <w:num w:numId="10">
    <w:abstractNumId w:val="2"/>
  </w:num>
  <w:num w:numId="11">
    <w:abstractNumId w:val="7"/>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A60"/>
    <w:rsid w:val="00015682"/>
    <w:rsid w:val="00023CA0"/>
    <w:rsid w:val="000240D5"/>
    <w:rsid w:val="00045A40"/>
    <w:rsid w:val="00051764"/>
    <w:rsid w:val="00076792"/>
    <w:rsid w:val="000813D2"/>
    <w:rsid w:val="000B3CFC"/>
    <w:rsid w:val="000B695A"/>
    <w:rsid w:val="000E21EE"/>
    <w:rsid w:val="000F3EB9"/>
    <w:rsid w:val="00104D9D"/>
    <w:rsid w:val="001B72AE"/>
    <w:rsid w:val="001E21CD"/>
    <w:rsid w:val="00206740"/>
    <w:rsid w:val="002274A5"/>
    <w:rsid w:val="002424AB"/>
    <w:rsid w:val="002C3B1E"/>
    <w:rsid w:val="002E5E1A"/>
    <w:rsid w:val="003119A6"/>
    <w:rsid w:val="00316223"/>
    <w:rsid w:val="003209C7"/>
    <w:rsid w:val="00391C7C"/>
    <w:rsid w:val="00393ADD"/>
    <w:rsid w:val="00396349"/>
    <w:rsid w:val="003F6042"/>
    <w:rsid w:val="00406D51"/>
    <w:rsid w:val="0044370F"/>
    <w:rsid w:val="00455D9D"/>
    <w:rsid w:val="00494516"/>
    <w:rsid w:val="004A1856"/>
    <w:rsid w:val="004A5751"/>
    <w:rsid w:val="004E3546"/>
    <w:rsid w:val="004E4C13"/>
    <w:rsid w:val="00506E55"/>
    <w:rsid w:val="005817D4"/>
    <w:rsid w:val="00582A26"/>
    <w:rsid w:val="005F2F42"/>
    <w:rsid w:val="0060194B"/>
    <w:rsid w:val="00602949"/>
    <w:rsid w:val="006108F7"/>
    <w:rsid w:val="0062743A"/>
    <w:rsid w:val="0064123B"/>
    <w:rsid w:val="006460CE"/>
    <w:rsid w:val="006A1CDC"/>
    <w:rsid w:val="006B3084"/>
    <w:rsid w:val="006C2149"/>
    <w:rsid w:val="006D666E"/>
    <w:rsid w:val="006F0DCC"/>
    <w:rsid w:val="006F5A60"/>
    <w:rsid w:val="0070020A"/>
    <w:rsid w:val="00717509"/>
    <w:rsid w:val="007431AE"/>
    <w:rsid w:val="007455E0"/>
    <w:rsid w:val="00750E1A"/>
    <w:rsid w:val="0075401E"/>
    <w:rsid w:val="00775597"/>
    <w:rsid w:val="00785984"/>
    <w:rsid w:val="00790C26"/>
    <w:rsid w:val="007D5946"/>
    <w:rsid w:val="00816B26"/>
    <w:rsid w:val="00827E55"/>
    <w:rsid w:val="00870B10"/>
    <w:rsid w:val="008769C1"/>
    <w:rsid w:val="008C05D2"/>
    <w:rsid w:val="008D18D4"/>
    <w:rsid w:val="008F42CF"/>
    <w:rsid w:val="008F5CAA"/>
    <w:rsid w:val="00907EFD"/>
    <w:rsid w:val="009154FC"/>
    <w:rsid w:val="00926B5D"/>
    <w:rsid w:val="0093533E"/>
    <w:rsid w:val="00960581"/>
    <w:rsid w:val="00973E2B"/>
    <w:rsid w:val="009A4C03"/>
    <w:rsid w:val="009A5BE8"/>
    <w:rsid w:val="009C6102"/>
    <w:rsid w:val="009E2790"/>
    <w:rsid w:val="009F0142"/>
    <w:rsid w:val="00A25B3E"/>
    <w:rsid w:val="00A72897"/>
    <w:rsid w:val="00A776C3"/>
    <w:rsid w:val="00A827C3"/>
    <w:rsid w:val="00A83227"/>
    <w:rsid w:val="00A83A86"/>
    <w:rsid w:val="00A914D9"/>
    <w:rsid w:val="00AD38FB"/>
    <w:rsid w:val="00AF788E"/>
    <w:rsid w:val="00B07B64"/>
    <w:rsid w:val="00B139DD"/>
    <w:rsid w:val="00B748FA"/>
    <w:rsid w:val="00B81AE1"/>
    <w:rsid w:val="00BF67B6"/>
    <w:rsid w:val="00C02E76"/>
    <w:rsid w:val="00C15DAE"/>
    <w:rsid w:val="00C360F3"/>
    <w:rsid w:val="00C5319A"/>
    <w:rsid w:val="00C62A14"/>
    <w:rsid w:val="00C77F87"/>
    <w:rsid w:val="00C95B75"/>
    <w:rsid w:val="00CB68A1"/>
    <w:rsid w:val="00CE69AD"/>
    <w:rsid w:val="00CF0396"/>
    <w:rsid w:val="00D11F7F"/>
    <w:rsid w:val="00D33237"/>
    <w:rsid w:val="00D624E8"/>
    <w:rsid w:val="00D806B6"/>
    <w:rsid w:val="00D831C8"/>
    <w:rsid w:val="00DC0C4D"/>
    <w:rsid w:val="00DC5AE7"/>
    <w:rsid w:val="00DD2173"/>
    <w:rsid w:val="00DD2B4E"/>
    <w:rsid w:val="00DD3FE9"/>
    <w:rsid w:val="00DD72BB"/>
    <w:rsid w:val="00DE059B"/>
    <w:rsid w:val="00E61C5E"/>
    <w:rsid w:val="00EA7193"/>
    <w:rsid w:val="00ED1095"/>
    <w:rsid w:val="00ED5A0F"/>
    <w:rsid w:val="00EE48F1"/>
    <w:rsid w:val="00F04538"/>
    <w:rsid w:val="00F46FDF"/>
    <w:rsid w:val="00F576E3"/>
    <w:rsid w:val="00F6046C"/>
    <w:rsid w:val="00F63896"/>
    <w:rsid w:val="00FA08C8"/>
    <w:rsid w:val="00FE75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22FEB9"/>
  <w15:chartTrackingRefBased/>
  <w15:docId w15:val="{57EB1DB4-6ADC-4907-8330-A0D17F5EE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6D666E"/>
    <w:pPr>
      <w:keepNext/>
      <w:keepLines/>
      <w:spacing w:before="240" w:after="0"/>
      <w:outlineLvl w:val="0"/>
    </w:pPr>
    <w:rPr>
      <w:rFonts w:asciiTheme="majorBidi" w:eastAsiaTheme="majorEastAsia" w:hAnsiTheme="majorBidi" w:cstheme="majorBidi"/>
      <w:b/>
      <w:sz w:val="44"/>
      <w:szCs w:val="32"/>
    </w:rPr>
  </w:style>
  <w:style w:type="paragraph" w:styleId="2">
    <w:name w:val="heading 2"/>
    <w:basedOn w:val="a0"/>
    <w:next w:val="a0"/>
    <w:link w:val="20"/>
    <w:uiPriority w:val="9"/>
    <w:unhideWhenUsed/>
    <w:qFormat/>
    <w:rsid w:val="006D666E"/>
    <w:pPr>
      <w:keepNext/>
      <w:keepLines/>
      <w:spacing w:before="40" w:after="0"/>
      <w:outlineLvl w:val="1"/>
    </w:pPr>
    <w:rPr>
      <w:rFonts w:asciiTheme="majorBidi" w:eastAsiaTheme="majorEastAsia" w:hAnsiTheme="majorBidi" w:cstheme="majorBidi"/>
      <w:b/>
      <w:sz w:val="36"/>
      <w:szCs w:val="26"/>
    </w:rPr>
  </w:style>
  <w:style w:type="paragraph" w:styleId="3">
    <w:name w:val="heading 3"/>
    <w:basedOn w:val="a0"/>
    <w:link w:val="30"/>
    <w:uiPriority w:val="9"/>
    <w:qFormat/>
    <w:rsid w:val="006D666E"/>
    <w:pPr>
      <w:spacing w:before="100" w:beforeAutospacing="1" w:after="100" w:afterAutospacing="1" w:line="240" w:lineRule="auto"/>
      <w:outlineLvl w:val="2"/>
    </w:pPr>
    <w:rPr>
      <w:rFonts w:ascii="Times New Roman" w:eastAsia="Times New Roman" w:hAnsi="Times New Roman" w:cs="Times New Roman"/>
      <w:b/>
      <w:bCs/>
      <w:sz w:val="28"/>
      <w:szCs w:val="27"/>
    </w:rPr>
  </w:style>
  <w:style w:type="paragraph" w:styleId="4">
    <w:name w:val="heading 4"/>
    <w:basedOn w:val="a0"/>
    <w:next w:val="a0"/>
    <w:link w:val="40"/>
    <w:uiPriority w:val="9"/>
    <w:unhideWhenUsed/>
    <w:qFormat/>
    <w:rsid w:val="00023CA0"/>
    <w:pPr>
      <w:keepNext/>
      <w:keepLines/>
      <w:spacing w:before="40" w:after="0"/>
      <w:outlineLvl w:val="3"/>
    </w:pPr>
    <w:rPr>
      <w:rFonts w:asciiTheme="majorBidi" w:eastAsiaTheme="majorEastAsia" w:hAnsiTheme="majorBidi" w:cstheme="majorBidi"/>
      <w:b/>
      <w:iCs/>
      <w:sz w:val="24"/>
      <w:lang w:val="en-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כותרת 3 תו"/>
    <w:basedOn w:val="a1"/>
    <w:link w:val="3"/>
    <w:uiPriority w:val="9"/>
    <w:rsid w:val="006D666E"/>
    <w:rPr>
      <w:rFonts w:ascii="Times New Roman" w:eastAsia="Times New Roman" w:hAnsi="Times New Roman" w:cs="Times New Roman"/>
      <w:b/>
      <w:bCs/>
      <w:sz w:val="28"/>
      <w:szCs w:val="27"/>
    </w:rPr>
  </w:style>
  <w:style w:type="character" w:styleId="a4">
    <w:name w:val="Strong"/>
    <w:basedOn w:val="a1"/>
    <w:uiPriority w:val="22"/>
    <w:qFormat/>
    <w:rsid w:val="006F5A60"/>
    <w:rPr>
      <w:b/>
      <w:bCs/>
    </w:rPr>
  </w:style>
  <w:style w:type="paragraph" w:styleId="NormalWeb">
    <w:name w:val="Normal (Web)"/>
    <w:basedOn w:val="a0"/>
    <w:uiPriority w:val="99"/>
    <w:unhideWhenUsed/>
    <w:rsid w:val="006F5A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כותרת 1 תו"/>
    <w:basedOn w:val="a1"/>
    <w:link w:val="1"/>
    <w:uiPriority w:val="9"/>
    <w:rsid w:val="006D666E"/>
    <w:rPr>
      <w:rFonts w:asciiTheme="majorBidi" w:eastAsiaTheme="majorEastAsia" w:hAnsiTheme="majorBidi" w:cstheme="majorBidi"/>
      <w:b/>
      <w:sz w:val="44"/>
      <w:szCs w:val="32"/>
    </w:rPr>
  </w:style>
  <w:style w:type="character" w:customStyle="1" w:styleId="20">
    <w:name w:val="כותרת 2 תו"/>
    <w:basedOn w:val="a1"/>
    <w:link w:val="2"/>
    <w:uiPriority w:val="9"/>
    <w:rsid w:val="006D666E"/>
    <w:rPr>
      <w:rFonts w:asciiTheme="majorBidi" w:eastAsiaTheme="majorEastAsia" w:hAnsiTheme="majorBidi" w:cstheme="majorBidi"/>
      <w:b/>
      <w:sz w:val="36"/>
      <w:szCs w:val="26"/>
    </w:rPr>
  </w:style>
  <w:style w:type="character" w:styleId="a5">
    <w:name w:val="Emphasis"/>
    <w:basedOn w:val="a1"/>
    <w:uiPriority w:val="20"/>
    <w:qFormat/>
    <w:rsid w:val="0060194B"/>
    <w:rPr>
      <w:i/>
      <w:iCs/>
    </w:rPr>
  </w:style>
  <w:style w:type="paragraph" w:styleId="a6">
    <w:name w:val="footnote text"/>
    <w:basedOn w:val="a0"/>
    <w:link w:val="a7"/>
    <w:uiPriority w:val="99"/>
    <w:semiHidden/>
    <w:unhideWhenUsed/>
    <w:rsid w:val="0060194B"/>
    <w:pPr>
      <w:spacing w:after="0" w:line="240" w:lineRule="auto"/>
    </w:pPr>
    <w:rPr>
      <w:sz w:val="20"/>
      <w:szCs w:val="20"/>
      <w:lang w:val="en-IL"/>
    </w:rPr>
  </w:style>
  <w:style w:type="character" w:customStyle="1" w:styleId="a7">
    <w:name w:val="טקסט הערת שוליים תו"/>
    <w:basedOn w:val="a1"/>
    <w:link w:val="a6"/>
    <w:uiPriority w:val="99"/>
    <w:semiHidden/>
    <w:rsid w:val="0060194B"/>
    <w:rPr>
      <w:sz w:val="20"/>
      <w:szCs w:val="20"/>
      <w:lang w:val="en-IL"/>
    </w:rPr>
  </w:style>
  <w:style w:type="character" w:styleId="a8">
    <w:name w:val="footnote reference"/>
    <w:basedOn w:val="a1"/>
    <w:uiPriority w:val="99"/>
    <w:semiHidden/>
    <w:unhideWhenUsed/>
    <w:rsid w:val="0060194B"/>
    <w:rPr>
      <w:vertAlign w:val="superscript"/>
    </w:rPr>
  </w:style>
  <w:style w:type="character" w:styleId="Hyperlink">
    <w:name w:val="Hyperlink"/>
    <w:basedOn w:val="a1"/>
    <w:uiPriority w:val="99"/>
    <w:unhideWhenUsed/>
    <w:rsid w:val="0060194B"/>
    <w:rPr>
      <w:color w:val="0000FF"/>
      <w:u w:val="single"/>
    </w:rPr>
  </w:style>
  <w:style w:type="character" w:customStyle="1" w:styleId="bkciteavail">
    <w:name w:val="bk_cite_avail"/>
    <w:basedOn w:val="a1"/>
    <w:rsid w:val="0060194B"/>
  </w:style>
  <w:style w:type="character" w:customStyle="1" w:styleId="40">
    <w:name w:val="כותרת 4 תו"/>
    <w:basedOn w:val="a1"/>
    <w:link w:val="4"/>
    <w:uiPriority w:val="9"/>
    <w:rsid w:val="00023CA0"/>
    <w:rPr>
      <w:rFonts w:asciiTheme="majorBidi" w:eastAsiaTheme="majorEastAsia" w:hAnsiTheme="majorBidi" w:cstheme="majorBidi"/>
      <w:b/>
      <w:iCs/>
      <w:sz w:val="24"/>
      <w:lang w:val="en-IL"/>
    </w:rPr>
  </w:style>
  <w:style w:type="table" w:styleId="5-5">
    <w:name w:val="Grid Table 5 Dark Accent 5"/>
    <w:basedOn w:val="a2"/>
    <w:uiPriority w:val="50"/>
    <w:rsid w:val="0060194B"/>
    <w:pPr>
      <w:spacing w:after="0" w:line="240" w:lineRule="auto"/>
    </w:pPr>
    <w:rPr>
      <w:lang w:val="en-I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1">
    <w:name w:val="Grid Table 5 Dark Accent 1"/>
    <w:basedOn w:val="a2"/>
    <w:uiPriority w:val="50"/>
    <w:rsid w:val="0060194B"/>
    <w:pPr>
      <w:spacing w:after="0" w:line="240" w:lineRule="auto"/>
    </w:pPr>
    <w:rPr>
      <w:lang w:val="en-I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customStyle="1" w:styleId="relative">
    <w:name w:val="relative"/>
    <w:basedOn w:val="a1"/>
    <w:rsid w:val="0060194B"/>
  </w:style>
  <w:style w:type="table" w:styleId="5">
    <w:name w:val="Grid Table 5 Dark"/>
    <w:basedOn w:val="a2"/>
    <w:uiPriority w:val="50"/>
    <w:rsid w:val="0060194B"/>
    <w:pPr>
      <w:spacing w:after="0" w:line="240" w:lineRule="auto"/>
    </w:pPr>
    <w:rPr>
      <w:lang w:val="en-I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a9">
    <w:name w:val="Table Grid"/>
    <w:basedOn w:val="a2"/>
    <w:uiPriority w:val="39"/>
    <w:rsid w:val="00743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
    <w:next w:val="a0"/>
    <w:uiPriority w:val="39"/>
    <w:unhideWhenUsed/>
    <w:qFormat/>
    <w:rsid w:val="003119A6"/>
    <w:pPr>
      <w:bidi/>
      <w:outlineLvl w:val="9"/>
    </w:pPr>
    <w:rPr>
      <w:rtl/>
      <w:cs/>
    </w:rPr>
  </w:style>
  <w:style w:type="paragraph" w:styleId="TOC3">
    <w:name w:val="toc 3"/>
    <w:basedOn w:val="a0"/>
    <w:next w:val="a0"/>
    <w:autoRedefine/>
    <w:uiPriority w:val="39"/>
    <w:unhideWhenUsed/>
    <w:rsid w:val="003119A6"/>
    <w:pPr>
      <w:spacing w:after="100"/>
      <w:ind w:left="440"/>
    </w:pPr>
  </w:style>
  <w:style w:type="paragraph" w:styleId="TOC1">
    <w:name w:val="toc 1"/>
    <w:basedOn w:val="a0"/>
    <w:next w:val="a0"/>
    <w:autoRedefine/>
    <w:uiPriority w:val="39"/>
    <w:unhideWhenUsed/>
    <w:rsid w:val="003119A6"/>
    <w:pPr>
      <w:spacing w:after="100"/>
    </w:pPr>
  </w:style>
  <w:style w:type="paragraph" w:styleId="TOC2">
    <w:name w:val="toc 2"/>
    <w:basedOn w:val="a0"/>
    <w:next w:val="a0"/>
    <w:autoRedefine/>
    <w:uiPriority w:val="39"/>
    <w:unhideWhenUsed/>
    <w:rsid w:val="003119A6"/>
    <w:pPr>
      <w:spacing w:after="100"/>
      <w:ind w:left="220"/>
    </w:pPr>
  </w:style>
  <w:style w:type="paragraph" w:styleId="ab">
    <w:name w:val="header"/>
    <w:basedOn w:val="a0"/>
    <w:link w:val="ac"/>
    <w:uiPriority w:val="99"/>
    <w:unhideWhenUsed/>
    <w:rsid w:val="003119A6"/>
    <w:pPr>
      <w:tabs>
        <w:tab w:val="center" w:pos="4680"/>
        <w:tab w:val="right" w:pos="9360"/>
      </w:tabs>
      <w:spacing w:after="0" w:line="240" w:lineRule="auto"/>
    </w:pPr>
  </w:style>
  <w:style w:type="character" w:customStyle="1" w:styleId="ac">
    <w:name w:val="כותרת עליונה תו"/>
    <w:basedOn w:val="a1"/>
    <w:link w:val="ab"/>
    <w:uiPriority w:val="99"/>
    <w:rsid w:val="003119A6"/>
  </w:style>
  <w:style w:type="paragraph" w:styleId="ad">
    <w:name w:val="footer"/>
    <w:basedOn w:val="a0"/>
    <w:link w:val="ae"/>
    <w:uiPriority w:val="99"/>
    <w:unhideWhenUsed/>
    <w:rsid w:val="003119A6"/>
    <w:pPr>
      <w:tabs>
        <w:tab w:val="center" w:pos="4680"/>
        <w:tab w:val="right" w:pos="9360"/>
      </w:tabs>
      <w:spacing w:after="0" w:line="240" w:lineRule="auto"/>
    </w:pPr>
  </w:style>
  <w:style w:type="character" w:customStyle="1" w:styleId="ae">
    <w:name w:val="כותרת תחתונה תו"/>
    <w:basedOn w:val="a1"/>
    <w:link w:val="ad"/>
    <w:uiPriority w:val="99"/>
    <w:rsid w:val="003119A6"/>
  </w:style>
  <w:style w:type="table" w:styleId="4-5">
    <w:name w:val="Grid Table 4 Accent 5"/>
    <w:basedOn w:val="a2"/>
    <w:uiPriority w:val="49"/>
    <w:rsid w:val="00AD38FB"/>
    <w:pPr>
      <w:spacing w:after="0" w:line="240" w:lineRule="auto"/>
    </w:pPr>
    <w:rPr>
      <w:rFonts w:eastAsiaTheme="minorEastAsia"/>
      <w:lang w:bidi="ar-SA"/>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af">
    <w:name w:val="List Paragraph"/>
    <w:basedOn w:val="a0"/>
    <w:uiPriority w:val="34"/>
    <w:qFormat/>
    <w:rsid w:val="008F42CF"/>
    <w:pPr>
      <w:ind w:left="720"/>
      <w:contextualSpacing/>
    </w:pPr>
    <w:rPr>
      <w:lang w:val="en-IL"/>
    </w:rPr>
  </w:style>
  <w:style w:type="table" w:styleId="5-3">
    <w:name w:val="Grid Table 5 Dark Accent 3"/>
    <w:basedOn w:val="a2"/>
    <w:uiPriority w:val="50"/>
    <w:rsid w:val="002C3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TOC4">
    <w:name w:val="toc 4"/>
    <w:basedOn w:val="a0"/>
    <w:next w:val="a0"/>
    <w:autoRedefine/>
    <w:uiPriority w:val="39"/>
    <w:unhideWhenUsed/>
    <w:rsid w:val="00A914D9"/>
    <w:pPr>
      <w:spacing w:after="100"/>
      <w:ind w:left="660"/>
    </w:pPr>
    <w:rPr>
      <w:rFonts w:eastAsiaTheme="minorEastAsia"/>
    </w:rPr>
  </w:style>
  <w:style w:type="paragraph" w:styleId="TOC5">
    <w:name w:val="toc 5"/>
    <w:basedOn w:val="a0"/>
    <w:next w:val="a0"/>
    <w:autoRedefine/>
    <w:uiPriority w:val="39"/>
    <w:unhideWhenUsed/>
    <w:rsid w:val="00A914D9"/>
    <w:pPr>
      <w:spacing w:after="100"/>
      <w:ind w:left="880"/>
    </w:pPr>
    <w:rPr>
      <w:rFonts w:eastAsiaTheme="minorEastAsia"/>
    </w:rPr>
  </w:style>
  <w:style w:type="paragraph" w:styleId="TOC6">
    <w:name w:val="toc 6"/>
    <w:basedOn w:val="a0"/>
    <w:next w:val="a0"/>
    <w:autoRedefine/>
    <w:uiPriority w:val="39"/>
    <w:unhideWhenUsed/>
    <w:rsid w:val="00A914D9"/>
    <w:pPr>
      <w:spacing w:after="100"/>
      <w:ind w:left="1100"/>
    </w:pPr>
    <w:rPr>
      <w:rFonts w:eastAsiaTheme="minorEastAsia"/>
    </w:rPr>
  </w:style>
  <w:style w:type="paragraph" w:styleId="TOC7">
    <w:name w:val="toc 7"/>
    <w:basedOn w:val="a0"/>
    <w:next w:val="a0"/>
    <w:autoRedefine/>
    <w:uiPriority w:val="39"/>
    <w:unhideWhenUsed/>
    <w:rsid w:val="00A914D9"/>
    <w:pPr>
      <w:spacing w:after="100"/>
      <w:ind w:left="1320"/>
    </w:pPr>
    <w:rPr>
      <w:rFonts w:eastAsiaTheme="minorEastAsia"/>
    </w:rPr>
  </w:style>
  <w:style w:type="paragraph" w:styleId="TOC8">
    <w:name w:val="toc 8"/>
    <w:basedOn w:val="a0"/>
    <w:next w:val="a0"/>
    <w:autoRedefine/>
    <w:uiPriority w:val="39"/>
    <w:unhideWhenUsed/>
    <w:rsid w:val="00A914D9"/>
    <w:pPr>
      <w:spacing w:after="100"/>
      <w:ind w:left="1540"/>
    </w:pPr>
    <w:rPr>
      <w:rFonts w:eastAsiaTheme="minorEastAsia"/>
    </w:rPr>
  </w:style>
  <w:style w:type="paragraph" w:styleId="TOC9">
    <w:name w:val="toc 9"/>
    <w:basedOn w:val="a0"/>
    <w:next w:val="a0"/>
    <w:autoRedefine/>
    <w:uiPriority w:val="39"/>
    <w:unhideWhenUsed/>
    <w:rsid w:val="00A914D9"/>
    <w:pPr>
      <w:spacing w:after="100"/>
      <w:ind w:left="1760"/>
    </w:pPr>
    <w:rPr>
      <w:rFonts w:eastAsiaTheme="minorEastAsia"/>
    </w:rPr>
  </w:style>
  <w:style w:type="paragraph" w:styleId="a">
    <w:name w:val="List Number"/>
    <w:basedOn w:val="a0"/>
    <w:uiPriority w:val="99"/>
    <w:unhideWhenUsed/>
    <w:rsid w:val="002274A5"/>
    <w:pPr>
      <w:numPr>
        <w:numId w:val="12"/>
      </w:numPr>
      <w:spacing w:after="200" w:line="276" w:lineRule="auto"/>
      <w:contextualSpacing/>
    </w:pPr>
    <w:rPr>
      <w:rFonts w:ascii="Times New Roman" w:eastAsia="Times New Roman" w:hAnsi="Times New Roman"/>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4756568">
      <w:bodyDiv w:val="1"/>
      <w:marLeft w:val="0"/>
      <w:marRight w:val="0"/>
      <w:marTop w:val="0"/>
      <w:marBottom w:val="0"/>
      <w:divBdr>
        <w:top w:val="none" w:sz="0" w:space="0" w:color="auto"/>
        <w:left w:val="none" w:sz="0" w:space="0" w:color="auto"/>
        <w:bottom w:val="none" w:sz="0" w:space="0" w:color="auto"/>
        <w:right w:val="none" w:sz="0" w:space="0" w:color="auto"/>
      </w:divBdr>
      <w:divsChild>
        <w:div w:id="666713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146671">
      <w:bodyDiv w:val="1"/>
      <w:marLeft w:val="0"/>
      <w:marRight w:val="0"/>
      <w:marTop w:val="0"/>
      <w:marBottom w:val="0"/>
      <w:divBdr>
        <w:top w:val="none" w:sz="0" w:space="0" w:color="auto"/>
        <w:left w:val="none" w:sz="0" w:space="0" w:color="auto"/>
        <w:bottom w:val="none" w:sz="0" w:space="0" w:color="auto"/>
        <w:right w:val="none" w:sz="0" w:space="0" w:color="auto"/>
      </w:divBdr>
      <w:divsChild>
        <w:div w:id="1474326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4129033">
      <w:bodyDiv w:val="1"/>
      <w:marLeft w:val="0"/>
      <w:marRight w:val="0"/>
      <w:marTop w:val="0"/>
      <w:marBottom w:val="0"/>
      <w:divBdr>
        <w:top w:val="none" w:sz="0" w:space="0" w:color="auto"/>
        <w:left w:val="none" w:sz="0" w:space="0" w:color="auto"/>
        <w:bottom w:val="none" w:sz="0" w:space="0" w:color="auto"/>
        <w:right w:val="none" w:sz="0" w:space="0" w:color="auto"/>
      </w:divBdr>
      <w:divsChild>
        <w:div w:id="37030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8955500">
      <w:bodyDiv w:val="1"/>
      <w:marLeft w:val="0"/>
      <w:marRight w:val="0"/>
      <w:marTop w:val="0"/>
      <w:marBottom w:val="0"/>
      <w:divBdr>
        <w:top w:val="none" w:sz="0" w:space="0" w:color="auto"/>
        <w:left w:val="none" w:sz="0" w:space="0" w:color="auto"/>
        <w:bottom w:val="none" w:sz="0" w:space="0" w:color="auto"/>
        <w:right w:val="none" w:sz="0" w:space="0" w:color="auto"/>
      </w:divBdr>
      <w:divsChild>
        <w:div w:id="234323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2956470">
      <w:bodyDiv w:val="1"/>
      <w:marLeft w:val="0"/>
      <w:marRight w:val="0"/>
      <w:marTop w:val="0"/>
      <w:marBottom w:val="0"/>
      <w:divBdr>
        <w:top w:val="none" w:sz="0" w:space="0" w:color="auto"/>
        <w:left w:val="none" w:sz="0" w:space="0" w:color="auto"/>
        <w:bottom w:val="none" w:sz="0" w:space="0" w:color="auto"/>
        <w:right w:val="none" w:sz="0" w:space="0" w:color="auto"/>
      </w:divBdr>
      <w:divsChild>
        <w:div w:id="1008675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198205">
      <w:bodyDiv w:val="1"/>
      <w:marLeft w:val="0"/>
      <w:marRight w:val="0"/>
      <w:marTop w:val="0"/>
      <w:marBottom w:val="0"/>
      <w:divBdr>
        <w:top w:val="none" w:sz="0" w:space="0" w:color="auto"/>
        <w:left w:val="none" w:sz="0" w:space="0" w:color="auto"/>
        <w:bottom w:val="none" w:sz="0" w:space="0" w:color="auto"/>
        <w:right w:val="none" w:sz="0" w:space="0" w:color="auto"/>
      </w:divBdr>
      <w:divsChild>
        <w:div w:id="463737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2971135">
      <w:bodyDiv w:val="1"/>
      <w:marLeft w:val="0"/>
      <w:marRight w:val="0"/>
      <w:marTop w:val="0"/>
      <w:marBottom w:val="0"/>
      <w:divBdr>
        <w:top w:val="none" w:sz="0" w:space="0" w:color="auto"/>
        <w:left w:val="none" w:sz="0" w:space="0" w:color="auto"/>
        <w:bottom w:val="none" w:sz="0" w:space="0" w:color="auto"/>
        <w:right w:val="none" w:sz="0" w:space="0" w:color="auto"/>
      </w:divBdr>
      <w:divsChild>
        <w:div w:id="78146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371572">
      <w:bodyDiv w:val="1"/>
      <w:marLeft w:val="0"/>
      <w:marRight w:val="0"/>
      <w:marTop w:val="0"/>
      <w:marBottom w:val="0"/>
      <w:divBdr>
        <w:top w:val="none" w:sz="0" w:space="0" w:color="auto"/>
        <w:left w:val="none" w:sz="0" w:space="0" w:color="auto"/>
        <w:bottom w:val="none" w:sz="0" w:space="0" w:color="auto"/>
        <w:right w:val="none" w:sz="0" w:space="0" w:color="auto"/>
      </w:divBdr>
      <w:divsChild>
        <w:div w:id="274480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7139031">
      <w:bodyDiv w:val="1"/>
      <w:marLeft w:val="0"/>
      <w:marRight w:val="0"/>
      <w:marTop w:val="0"/>
      <w:marBottom w:val="0"/>
      <w:divBdr>
        <w:top w:val="none" w:sz="0" w:space="0" w:color="auto"/>
        <w:left w:val="none" w:sz="0" w:space="0" w:color="auto"/>
        <w:bottom w:val="none" w:sz="0" w:space="0" w:color="auto"/>
        <w:right w:val="none" w:sz="0" w:space="0" w:color="auto"/>
      </w:divBdr>
    </w:div>
    <w:div w:id="1188443476">
      <w:bodyDiv w:val="1"/>
      <w:marLeft w:val="0"/>
      <w:marRight w:val="0"/>
      <w:marTop w:val="0"/>
      <w:marBottom w:val="0"/>
      <w:divBdr>
        <w:top w:val="none" w:sz="0" w:space="0" w:color="auto"/>
        <w:left w:val="none" w:sz="0" w:space="0" w:color="auto"/>
        <w:bottom w:val="none" w:sz="0" w:space="0" w:color="auto"/>
        <w:right w:val="none" w:sz="0" w:space="0" w:color="auto"/>
      </w:divBdr>
      <w:divsChild>
        <w:div w:id="858397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253188">
      <w:bodyDiv w:val="1"/>
      <w:marLeft w:val="0"/>
      <w:marRight w:val="0"/>
      <w:marTop w:val="0"/>
      <w:marBottom w:val="0"/>
      <w:divBdr>
        <w:top w:val="none" w:sz="0" w:space="0" w:color="auto"/>
        <w:left w:val="none" w:sz="0" w:space="0" w:color="auto"/>
        <w:bottom w:val="none" w:sz="0" w:space="0" w:color="auto"/>
        <w:right w:val="none" w:sz="0" w:space="0" w:color="auto"/>
      </w:divBdr>
      <w:divsChild>
        <w:div w:id="219556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875689">
      <w:bodyDiv w:val="1"/>
      <w:marLeft w:val="0"/>
      <w:marRight w:val="0"/>
      <w:marTop w:val="0"/>
      <w:marBottom w:val="0"/>
      <w:divBdr>
        <w:top w:val="none" w:sz="0" w:space="0" w:color="auto"/>
        <w:left w:val="none" w:sz="0" w:space="0" w:color="auto"/>
        <w:bottom w:val="none" w:sz="0" w:space="0" w:color="auto"/>
        <w:right w:val="none" w:sz="0" w:space="0" w:color="auto"/>
      </w:divBdr>
      <w:divsChild>
        <w:div w:id="659774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6877448">
      <w:bodyDiv w:val="1"/>
      <w:marLeft w:val="0"/>
      <w:marRight w:val="0"/>
      <w:marTop w:val="0"/>
      <w:marBottom w:val="0"/>
      <w:divBdr>
        <w:top w:val="none" w:sz="0" w:space="0" w:color="auto"/>
        <w:left w:val="none" w:sz="0" w:space="0" w:color="auto"/>
        <w:bottom w:val="none" w:sz="0" w:space="0" w:color="auto"/>
        <w:right w:val="none" w:sz="0" w:space="0" w:color="auto"/>
      </w:divBdr>
      <w:divsChild>
        <w:div w:id="1896815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777500">
      <w:bodyDiv w:val="1"/>
      <w:marLeft w:val="0"/>
      <w:marRight w:val="0"/>
      <w:marTop w:val="0"/>
      <w:marBottom w:val="0"/>
      <w:divBdr>
        <w:top w:val="none" w:sz="0" w:space="0" w:color="auto"/>
        <w:left w:val="none" w:sz="0" w:space="0" w:color="auto"/>
        <w:bottom w:val="none" w:sz="0" w:space="0" w:color="auto"/>
        <w:right w:val="none" w:sz="0" w:space="0" w:color="auto"/>
      </w:divBdr>
      <w:divsChild>
        <w:div w:id="728306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144831">
      <w:bodyDiv w:val="1"/>
      <w:marLeft w:val="0"/>
      <w:marRight w:val="0"/>
      <w:marTop w:val="0"/>
      <w:marBottom w:val="0"/>
      <w:divBdr>
        <w:top w:val="none" w:sz="0" w:space="0" w:color="auto"/>
        <w:left w:val="none" w:sz="0" w:space="0" w:color="auto"/>
        <w:bottom w:val="none" w:sz="0" w:space="0" w:color="auto"/>
        <w:right w:val="none" w:sz="0" w:space="0" w:color="auto"/>
      </w:divBdr>
    </w:div>
    <w:div w:id="1622805651">
      <w:bodyDiv w:val="1"/>
      <w:marLeft w:val="0"/>
      <w:marRight w:val="0"/>
      <w:marTop w:val="0"/>
      <w:marBottom w:val="0"/>
      <w:divBdr>
        <w:top w:val="none" w:sz="0" w:space="0" w:color="auto"/>
        <w:left w:val="none" w:sz="0" w:space="0" w:color="auto"/>
        <w:bottom w:val="none" w:sz="0" w:space="0" w:color="auto"/>
        <w:right w:val="none" w:sz="0" w:space="0" w:color="auto"/>
      </w:divBdr>
    </w:div>
    <w:div w:id="1659650684">
      <w:bodyDiv w:val="1"/>
      <w:marLeft w:val="0"/>
      <w:marRight w:val="0"/>
      <w:marTop w:val="0"/>
      <w:marBottom w:val="0"/>
      <w:divBdr>
        <w:top w:val="none" w:sz="0" w:space="0" w:color="auto"/>
        <w:left w:val="none" w:sz="0" w:space="0" w:color="auto"/>
        <w:bottom w:val="none" w:sz="0" w:space="0" w:color="auto"/>
        <w:right w:val="none" w:sz="0" w:space="0" w:color="auto"/>
      </w:divBdr>
      <w:divsChild>
        <w:div w:id="149568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989732">
      <w:bodyDiv w:val="1"/>
      <w:marLeft w:val="0"/>
      <w:marRight w:val="0"/>
      <w:marTop w:val="0"/>
      <w:marBottom w:val="0"/>
      <w:divBdr>
        <w:top w:val="none" w:sz="0" w:space="0" w:color="auto"/>
        <w:left w:val="none" w:sz="0" w:space="0" w:color="auto"/>
        <w:bottom w:val="none" w:sz="0" w:space="0" w:color="auto"/>
        <w:right w:val="none" w:sz="0" w:space="0" w:color="auto"/>
      </w:divBdr>
      <w:divsChild>
        <w:div w:id="687945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400791">
      <w:bodyDiv w:val="1"/>
      <w:marLeft w:val="0"/>
      <w:marRight w:val="0"/>
      <w:marTop w:val="0"/>
      <w:marBottom w:val="0"/>
      <w:divBdr>
        <w:top w:val="none" w:sz="0" w:space="0" w:color="auto"/>
        <w:left w:val="none" w:sz="0" w:space="0" w:color="auto"/>
        <w:bottom w:val="none" w:sz="0" w:space="0" w:color="auto"/>
        <w:right w:val="none" w:sz="0" w:space="0" w:color="auto"/>
      </w:divBdr>
      <w:divsChild>
        <w:div w:id="1573464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s>
</file>

<file path=word/_rels/footnotes.xml.rels><?xml version="1.0" encoding="UTF-8" standalone="yes"?>
<Relationships xmlns="http://schemas.openxmlformats.org/package/2006/relationships"><Relationship Id="rId13" Type="http://schemas.openxmlformats.org/officeDocument/2006/relationships/hyperlink" Target="https://www.politico.eu/article/facebook-supreme-court-oversight-board-free-speech" TargetMode="External"/><Relationship Id="rId18" Type="http://schemas.openxmlformats.org/officeDocument/2006/relationships/hyperlink" Target="https://www.newamerica.org/planetary-politics/blog/meta-mandate-free-governance" TargetMode="External"/><Relationship Id="rId26" Type="http://schemas.openxmlformats.org/officeDocument/2006/relationships/hyperlink" Target="https://www.lexisnexisip.com/wp-content/uploads/2023/10/Who-is-Leading-the-5G-Patent-Race.-IPlytics-August-2023.pdf?utm_source=chatgpt.com" TargetMode="External"/><Relationship Id="rId39" Type="http://schemas.openxmlformats.org/officeDocument/2006/relationships/hyperlink" Target="https://www.congress.gov/crs-product/R47012" TargetMode="External"/><Relationship Id="rId21" Type="http://schemas.openxmlformats.org/officeDocument/2006/relationships/hyperlink" Target="https://www.hbs.edu/ris/Publication%20Files/CURH120827_01_Pearson_4ea34a0b-21d5-45af-a51a-c938eeeb6380.pdf" TargetMode="External"/><Relationship Id="rId34" Type="http://schemas.openxmlformats.org/officeDocument/2006/relationships/hyperlink" Target="https://www.americanprogress.org/article/solution-huawei-challenge/" TargetMode="External"/><Relationship Id="rId42" Type="http://schemas.openxmlformats.org/officeDocument/2006/relationships/hyperlink" Target="https://www.washingtonpost.com/world/national-security/for-huawei-the-5g-play-is-in-europe--and-the-us-is-pushing-hard-for-a-ban-there/2019/05/28/582a8ff6-78d4-11e9-b7ae-390de4259661_story.html?utm_source=chatgpt.com" TargetMode="External"/><Relationship Id="rId47" Type="http://schemas.openxmlformats.org/officeDocument/2006/relationships/hyperlink" Target="https://ec.europa.eu/commission/presscorner/detail/en/SPEECH_13_1025" TargetMode="External"/><Relationship Id="rId7" Type="http://schemas.openxmlformats.org/officeDocument/2006/relationships/hyperlink" Target="https://www.lawfareblog.com/metas-oversight-board-and-need-new-theory-online-speech" TargetMode="External"/><Relationship Id="rId2" Type="http://schemas.openxmlformats.org/officeDocument/2006/relationships/hyperlink" Target="https://www.researchgate.net/publication/228533084_The_New_Political_Role_of_Business_in_a_Globalized_World-A_Paradigm_Shift_in_CSR_and_its_Implications_for_the_Firm_Governance_and_Democracy" TargetMode="External"/><Relationship Id="rId16" Type="http://schemas.openxmlformats.org/officeDocument/2006/relationships/hyperlink" Target="https://www.theguardian.com/technology/2016/feb/08/india-facebook-free-basics-internet-org" TargetMode="External"/><Relationship Id="rId29" Type="http://schemas.openxmlformats.org/officeDocument/2006/relationships/hyperlink" Target="https://itif.org/publications/2021/11/08/mapping-international-5g-standards-landscape-and-how-it-impacts-us-strategy/" TargetMode="External"/><Relationship Id="rId1" Type="http://schemas.openxmlformats.org/officeDocument/2006/relationships/hyperlink" Target="https://www.techpolicy.press/tracking-recent-statements-on-the-enforcement-of-eu-tech-laws/" TargetMode="External"/><Relationship Id="rId6" Type="http://schemas.openxmlformats.org/officeDocument/2006/relationships/hyperlink" Target="https://oversightboard.com/decision/fb-691qamhj" TargetMode="External"/><Relationship Id="rId11" Type="http://schemas.openxmlformats.org/officeDocument/2006/relationships/hyperlink" Target="https://www.euronews.com/next/2025/02/18/meta-50000-km-subsea-cable" TargetMode="External"/><Relationship Id="rId24" Type="http://schemas.openxmlformats.org/officeDocument/2006/relationships/hyperlink" Target="https://www.asianstudies.org/publications/eaa/archives/chinas-national-champions-alibaba-tencent-and-huawei/" TargetMode="External"/><Relationship Id="rId32" Type="http://schemas.openxmlformats.org/officeDocument/2006/relationships/hyperlink" Target="https://www.timeshighereducation.com/hub/huawei/p/partnering-universities-new-era-research?utm_source=chatgpt.com" TargetMode="External"/><Relationship Id="rId37" Type="http://schemas.openxmlformats.org/officeDocument/2006/relationships/hyperlink" Target="https://www.reuters.com/article/technology/despite-political-headwinds-huawei-wins-5g-customers-in-europe-idUSKBN1WU2G2/" TargetMode="External"/><Relationship Id="rId40" Type="http://schemas.openxmlformats.org/officeDocument/2006/relationships/hyperlink" Target="https://www.congress.gov/crs-product/R47012?utm_source=chatgpt.com" TargetMode="External"/><Relationship Id="rId45" Type="http://schemas.openxmlformats.org/officeDocument/2006/relationships/hyperlink" Target="https://www.reuters.com/world/china/huawei-announces-royalty-rates-5g-phone-technology-2021-03-16/?utm_source=chatgpt.com" TargetMode="External"/><Relationship Id="rId5" Type="http://schemas.openxmlformats.org/officeDocument/2006/relationships/hyperlink" Target="https://ec.europa.eu/info/law/law-topic/data-protection_en" TargetMode="External"/><Relationship Id="rId15" Type="http://schemas.openxmlformats.org/officeDocument/2006/relationships/hyperlink" Target="https://www.reuters.com/technology/facebook-whatsapp-instagram-suffer-outage-2021-10-04/" TargetMode="External"/><Relationship Id="rId23" Type="http://schemas.openxmlformats.org/officeDocument/2006/relationships/hyperlink" Target="https://www.asianstudies.org/publications/eaa/archives/chinas-national-champions-alibaba-tencent-and-huawei/" TargetMode="External"/><Relationship Id="rId28" Type="http://schemas.openxmlformats.org/officeDocument/2006/relationships/hyperlink" Target="https://www.bjreview.com/Latest_Headlines/202309/t20230920_800342618.html?utm_source=chatgpt.com" TargetMode="External"/><Relationship Id="rId36" Type="http://schemas.openxmlformats.org/officeDocument/2006/relationships/hyperlink" Target="https://www.bloomberg.com/news/articles/2011-04-25/huawei-counts-on-30-billion-china-credit-to-open-doors-in-brazil-mexico?utm_source=chatgpt.com" TargetMode="External"/><Relationship Id="rId10" Type="http://schemas.openxmlformats.org/officeDocument/2006/relationships/hyperlink" Target="https://ai.meta.com/blog/llama-3-meta-generative-ai-models" TargetMode="External"/><Relationship Id="rId19" Type="http://schemas.openxmlformats.org/officeDocument/2006/relationships/hyperlink" Target="https://www.cnbc.com/2024/04/12/meta-tops-tech-lobbying-spend-q1-2024.html" TargetMode="External"/><Relationship Id="rId31" Type="http://schemas.openxmlformats.org/officeDocument/2006/relationships/hyperlink" Target="https://www.reuters.com/" TargetMode="External"/><Relationship Id="rId44" Type="http://schemas.openxmlformats.org/officeDocument/2006/relationships/hyperlink" Target="https://www.usascp.org/watching-huaweis-safe-cities/?utm_source=chatgpt.com" TargetMode="External"/><Relationship Id="rId4" Type="http://schemas.openxmlformats.org/officeDocument/2006/relationships/hyperlink" Target="https://fundamentals.weizenbaum-institut.de/en/digital-sovereignty/" TargetMode="External"/><Relationship Id="rId9" Type="http://schemas.openxmlformats.org/officeDocument/2006/relationships/hyperlink" Target="https://techcrunch.com/2023/07/26/facebook-3-billion-users" TargetMode="External"/><Relationship Id="rId14" Type="http://schemas.openxmlformats.org/officeDocument/2006/relationships/hyperlink" Target="https://www.theverge.com/2024/04/29/meta-lobbying-spending-q1" TargetMode="External"/><Relationship Id="rId22" Type="http://schemas.openxmlformats.org/officeDocument/2006/relationships/hyperlink" Target="https://www.hbs.edu/ris/Publication%20Files/CURH120827_01_Pearson_4ea34a0b-21d5-45af-a51a-c938eeeb6380.pdf" TargetMode="External"/><Relationship Id="rId27" Type="http://schemas.openxmlformats.org/officeDocument/2006/relationships/hyperlink" Target="https://www.bjreview.com/Latest_Headlines/202309/t20230920_800342618.html" TargetMode="External"/><Relationship Id="rId30" Type="http://schemas.openxmlformats.org/officeDocument/2006/relationships/hyperlink" Target="https://itif.org/publications/2021/11/08/mapping-international-5g-standards-landscape-and-how-it-impacts-us-strategy/" TargetMode="External"/><Relationship Id="rId35" Type="http://schemas.openxmlformats.org/officeDocument/2006/relationships/hyperlink" Target="https://www.bloomberg.com/news/articles/2011-04-25/huawei-counts-on-30-billion-china-credit-to-open-doors-in-brazil-mexico" TargetMode="External"/><Relationship Id="rId43" Type="http://schemas.openxmlformats.org/officeDocument/2006/relationships/hyperlink" Target="https://ecipe.org/publications/how-huawei-weathered-the-storm-resilience-market-conditions-or-failed-sanctions/" TargetMode="External"/><Relationship Id="rId8" Type="http://schemas.openxmlformats.org/officeDocument/2006/relationships/hyperlink" Target="https://www.newamerica.org/planetary-politics/blog/meta-mandate-free-governance" TargetMode="External"/><Relationship Id="rId3" Type="http://schemas.openxmlformats.org/officeDocument/2006/relationships/hyperlink" Target="https://stanleycenter.org/publications/working_papers/Non-stateActorsandGlobalGovernanceLiteratureReview.pdf" TargetMode="External"/><Relationship Id="rId12" Type="http://schemas.openxmlformats.org/officeDocument/2006/relationships/hyperlink" Target="https://www.euronews.com/my-europe/2023/09/11" TargetMode="External"/><Relationship Id="rId17" Type="http://schemas.openxmlformats.org/officeDocument/2006/relationships/hyperlink" Target="https://www.edelman.com/trust/2023/trust-in-technology" TargetMode="External"/><Relationship Id="rId25" Type="http://schemas.openxmlformats.org/officeDocument/2006/relationships/hyperlink" Target="https://www.lexisnexisip.com/wp-content/uploads/2023/10/Who-is-Leading-the-5G-Patent-Race.-IPlytics-August-2023.pdf" TargetMode="External"/><Relationship Id="rId33" Type="http://schemas.openxmlformats.org/officeDocument/2006/relationships/hyperlink" Target="https://www.americanprogress.org/article/solution-huawei-challenge/" TargetMode="External"/><Relationship Id="rId38" Type="http://schemas.openxmlformats.org/officeDocument/2006/relationships/hyperlink" Target="https://www.reuters.com/article/technology/despite-political-headwinds-huawei-wins-5g-customers-in-europe-idUSKBN1WU2G2/?utm_source=chatgpt.com" TargetMode="External"/><Relationship Id="rId46" Type="http://schemas.openxmlformats.org/officeDocument/2006/relationships/hyperlink" Target="https://www.theguardian.com/us-news/2019/may/15/donald-trump-national-emergency-telecoms-threats-huawei?utm_source=chatgpt.com" TargetMode="External"/><Relationship Id="rId20" Type="http://schemas.openxmlformats.org/officeDocument/2006/relationships/hyperlink" Target="https://www.politico.eu/article/meta-nick-clegg-digital-diplomacy/" TargetMode="External"/><Relationship Id="rId41" Type="http://schemas.openxmlformats.org/officeDocument/2006/relationships/hyperlink" Target="https://www.washingtonpost.com/world/national-security/for-huawei-the-5g-play-is-in-europe--and-the-us-is-pushing-hard-for-a-ban-there/2019/05/28/582a8ff6-78d4-11e9-b7ae-390de4259661_story.htm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E65F7-CF29-45D5-90D3-D7B8F277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292</Pages>
  <Words>87413</Words>
  <Characters>498259</Characters>
  <Application>Microsoft Office Word</Application>
  <DocSecurity>0</DocSecurity>
  <Lines>4152</Lines>
  <Paragraphs>1169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584503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 Barda Bareket</dc:creator>
  <cp:keywords/>
  <dc:description/>
  <cp:lastModifiedBy>Bella Barda Bareket</cp:lastModifiedBy>
  <cp:revision>8</cp:revision>
  <cp:lastPrinted>2026-02-22T10:20:00Z</cp:lastPrinted>
  <dcterms:created xsi:type="dcterms:W3CDTF">2026-02-22T09:19:00Z</dcterms:created>
  <dcterms:modified xsi:type="dcterms:W3CDTF">2026-02-22T10:30:00Z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a173038e-6d94-40fa-8f15-69f3eee66773</vt:lpwstr>
  </property>
</Properties>
</file>