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48C0A" w14:textId="77777777" w:rsidR="00E04446" w:rsidRPr="00B95E28" w:rsidRDefault="00E04446" w:rsidP="00557AB7">
      <w:pPr>
        <w:spacing w:line="480" w:lineRule="auto"/>
        <w:rPr>
          <w:color w:val="000000" w:themeColor="text1"/>
        </w:rPr>
      </w:pPr>
    </w:p>
    <w:p w14:paraId="00DD4968"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4455D23A"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noProof/>
          <w:color w:val="000000" w:themeColor="text1"/>
        </w:rPr>
        <w:drawing>
          <wp:inline distT="0" distB="0" distL="0" distR="0" wp14:anchorId="13CC8E6D" wp14:editId="29809A48">
            <wp:extent cx="1806521" cy="196730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06521" cy="1967309"/>
                    </a:xfrm>
                    <a:prstGeom prst="rect">
                      <a:avLst/>
                    </a:prstGeom>
                    <a:ln/>
                  </pic:spPr>
                </pic:pic>
              </a:graphicData>
            </a:graphic>
          </wp:inline>
        </w:drawing>
      </w:r>
    </w:p>
    <w:p w14:paraId="2B6EE4CC"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584C305D" w14:textId="7C39CB38" w:rsidR="00E04446" w:rsidRPr="00B95E28" w:rsidRDefault="00000000" w:rsidP="00557AB7">
      <w:pPr>
        <w:pBdr>
          <w:top w:val="nil"/>
          <w:left w:val="nil"/>
          <w:bottom w:val="nil"/>
          <w:right w:val="nil"/>
          <w:between w:val="nil"/>
        </w:pBdr>
        <w:spacing w:line="480" w:lineRule="auto"/>
        <w:jc w:val="center"/>
        <w:rPr>
          <w:b/>
          <w:color w:val="000000" w:themeColor="text1"/>
        </w:rPr>
      </w:pPr>
      <w:r w:rsidRPr="00B95E28">
        <w:rPr>
          <w:b/>
          <w:color w:val="000000" w:themeColor="text1"/>
        </w:rPr>
        <w:t xml:space="preserve"> </w:t>
      </w:r>
      <w:r w:rsidR="00B63600" w:rsidRPr="00B95E28">
        <w:rPr>
          <w:b/>
          <w:color w:val="000000" w:themeColor="text1"/>
        </w:rPr>
        <w:t>BUILDING REPEATABLE INTEGRATION CAPABILITY IN SERIAL ACQUIRERS</w:t>
      </w:r>
    </w:p>
    <w:p w14:paraId="7DE839D8" w14:textId="77777777" w:rsidR="00E04446" w:rsidRPr="00B95E28" w:rsidRDefault="00E04446" w:rsidP="00557AB7">
      <w:pPr>
        <w:pBdr>
          <w:top w:val="nil"/>
          <w:left w:val="nil"/>
          <w:bottom w:val="nil"/>
          <w:right w:val="nil"/>
          <w:between w:val="nil"/>
        </w:pBdr>
        <w:spacing w:line="480" w:lineRule="auto"/>
        <w:jc w:val="center"/>
        <w:rPr>
          <w:b/>
          <w:color w:val="000000" w:themeColor="text1"/>
        </w:rPr>
      </w:pPr>
    </w:p>
    <w:p w14:paraId="51002068"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0CE82940"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41832C34" w14:textId="77777777" w:rsidR="00E04446" w:rsidRPr="00B95E28" w:rsidRDefault="00E04446" w:rsidP="00557AB7">
      <w:pPr>
        <w:pBdr>
          <w:top w:val="nil"/>
          <w:left w:val="nil"/>
          <w:bottom w:val="nil"/>
          <w:right w:val="nil"/>
          <w:between w:val="nil"/>
        </w:pBdr>
        <w:spacing w:line="480" w:lineRule="auto"/>
        <w:rPr>
          <w:color w:val="000000" w:themeColor="text1"/>
        </w:rPr>
      </w:pPr>
    </w:p>
    <w:p w14:paraId="6043AA52"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1EE9E70E"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A Dissertation Presented</w:t>
      </w:r>
    </w:p>
    <w:p w14:paraId="0E51C0B5"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715A9134"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by</w:t>
      </w:r>
    </w:p>
    <w:p w14:paraId="3A817399"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133C8A3A" w14:textId="694A4C27" w:rsidR="00E04446" w:rsidRPr="00B95E28" w:rsidRDefault="00B63600" w:rsidP="00557AB7">
      <w:pPr>
        <w:pBdr>
          <w:top w:val="nil"/>
          <w:left w:val="nil"/>
          <w:bottom w:val="nil"/>
          <w:right w:val="nil"/>
          <w:between w:val="nil"/>
        </w:pBdr>
        <w:spacing w:line="480" w:lineRule="auto"/>
        <w:jc w:val="center"/>
        <w:rPr>
          <w:color w:val="000000" w:themeColor="text1"/>
        </w:rPr>
      </w:pPr>
      <w:r w:rsidRPr="00B95E28">
        <w:rPr>
          <w:color w:val="000000" w:themeColor="text1"/>
        </w:rPr>
        <w:t>AMANDA DAVID</w:t>
      </w:r>
    </w:p>
    <w:p w14:paraId="148F9E27"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64B2F1CB"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3FF2D85B" w14:textId="77777777" w:rsidR="00E04446" w:rsidRPr="00B95E28" w:rsidRDefault="00E04446" w:rsidP="00557AB7">
      <w:pPr>
        <w:pBdr>
          <w:top w:val="nil"/>
          <w:left w:val="nil"/>
          <w:bottom w:val="nil"/>
          <w:right w:val="nil"/>
          <w:between w:val="nil"/>
        </w:pBdr>
        <w:spacing w:line="480" w:lineRule="auto"/>
        <w:rPr>
          <w:color w:val="000000" w:themeColor="text1"/>
        </w:rPr>
      </w:pPr>
    </w:p>
    <w:p w14:paraId="6262EC34"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080C7C3B"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Submitted to the Swiss School of Business Research</w:t>
      </w:r>
    </w:p>
    <w:p w14:paraId="6206A824"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 xml:space="preserve"> in partial fulfillment</w:t>
      </w:r>
    </w:p>
    <w:p w14:paraId="346D5C93"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of the requirements for the degree of</w:t>
      </w:r>
    </w:p>
    <w:p w14:paraId="628531AA"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2ACF44CA"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6C8EC0C9"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DOCTOR OF BUSINESS ADMINISTRATION</w:t>
      </w:r>
    </w:p>
    <w:p w14:paraId="3B86E332"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(DBA)</w:t>
      </w:r>
    </w:p>
    <w:p w14:paraId="40C6B886"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22A1D1D6"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34FBBA76" w14:textId="074563EA" w:rsidR="00E04446" w:rsidRPr="00B95E28" w:rsidRDefault="00BF4F69" w:rsidP="00557AB7">
      <w:pPr>
        <w:pBdr>
          <w:top w:val="nil"/>
          <w:left w:val="nil"/>
          <w:bottom w:val="nil"/>
          <w:right w:val="nil"/>
          <w:between w:val="nil"/>
        </w:pBdr>
        <w:spacing w:line="480" w:lineRule="auto"/>
        <w:jc w:val="center"/>
        <w:rPr>
          <w:color w:val="000000" w:themeColor="text1"/>
        </w:rPr>
      </w:pPr>
      <w:r w:rsidRPr="00B95E28">
        <w:rPr>
          <w:color w:val="000000" w:themeColor="text1"/>
        </w:rPr>
        <w:t>June 2026</w:t>
      </w:r>
    </w:p>
    <w:p w14:paraId="382D11CA"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341052D1"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7145ECFF"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22A1E102" w14:textId="77777777" w:rsidR="00E04446" w:rsidRPr="00B95E28" w:rsidRDefault="00E04446" w:rsidP="00557AB7">
      <w:pPr>
        <w:pBdr>
          <w:top w:val="nil"/>
          <w:left w:val="nil"/>
          <w:bottom w:val="nil"/>
          <w:right w:val="nil"/>
          <w:between w:val="nil"/>
        </w:pBdr>
        <w:spacing w:line="480" w:lineRule="auto"/>
        <w:rPr>
          <w:color w:val="000000" w:themeColor="text1"/>
        </w:rPr>
      </w:pPr>
    </w:p>
    <w:p w14:paraId="3741D2A2" w14:textId="52E355A9"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 xml:space="preserve">© Copyright by </w:t>
      </w:r>
      <w:r w:rsidR="00B63600" w:rsidRPr="00B95E28">
        <w:rPr>
          <w:color w:val="000000" w:themeColor="text1"/>
        </w:rPr>
        <w:t>AMANDA DAVID 2026</w:t>
      </w:r>
    </w:p>
    <w:p w14:paraId="2197CB6F"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All Rights Reserved</w:t>
      </w:r>
    </w:p>
    <w:p w14:paraId="576427AE"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38532D8E" w14:textId="77777777" w:rsidR="00E04446" w:rsidRPr="00B95E28" w:rsidRDefault="00E04446" w:rsidP="00557AB7">
      <w:pPr>
        <w:pBdr>
          <w:top w:val="nil"/>
          <w:left w:val="nil"/>
          <w:bottom w:val="nil"/>
          <w:right w:val="nil"/>
          <w:between w:val="nil"/>
        </w:pBdr>
        <w:spacing w:line="480" w:lineRule="auto"/>
        <w:rPr>
          <w:color w:val="000000" w:themeColor="text1"/>
        </w:rPr>
      </w:pPr>
    </w:p>
    <w:p w14:paraId="6A077747"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36D2E366" w14:textId="77777777" w:rsidR="00BF4F69" w:rsidRPr="00B95E28" w:rsidRDefault="00BF4F69" w:rsidP="00557AB7">
      <w:pPr>
        <w:pBdr>
          <w:top w:val="nil"/>
          <w:left w:val="nil"/>
          <w:bottom w:val="nil"/>
          <w:right w:val="nil"/>
          <w:between w:val="nil"/>
        </w:pBdr>
        <w:spacing w:line="480" w:lineRule="auto"/>
        <w:jc w:val="center"/>
        <w:rPr>
          <w:b/>
          <w:color w:val="000000" w:themeColor="text1"/>
        </w:rPr>
      </w:pPr>
    </w:p>
    <w:p w14:paraId="4926965C" w14:textId="77777777" w:rsidR="00596217" w:rsidRDefault="00596217" w:rsidP="00557AB7">
      <w:pPr>
        <w:pBdr>
          <w:top w:val="nil"/>
          <w:left w:val="nil"/>
          <w:bottom w:val="nil"/>
          <w:right w:val="nil"/>
          <w:between w:val="nil"/>
        </w:pBdr>
        <w:spacing w:line="480" w:lineRule="auto"/>
        <w:jc w:val="center"/>
        <w:rPr>
          <w:b/>
          <w:color w:val="000000" w:themeColor="text1"/>
        </w:rPr>
      </w:pPr>
    </w:p>
    <w:p w14:paraId="6DA3EF68" w14:textId="77777777" w:rsidR="00596217" w:rsidRDefault="00596217" w:rsidP="00557AB7">
      <w:pPr>
        <w:pBdr>
          <w:top w:val="nil"/>
          <w:left w:val="nil"/>
          <w:bottom w:val="nil"/>
          <w:right w:val="nil"/>
          <w:between w:val="nil"/>
        </w:pBdr>
        <w:spacing w:line="480" w:lineRule="auto"/>
        <w:jc w:val="center"/>
        <w:rPr>
          <w:b/>
          <w:color w:val="000000" w:themeColor="text1"/>
        </w:rPr>
      </w:pPr>
    </w:p>
    <w:p w14:paraId="26E08A8C" w14:textId="3FA66600" w:rsidR="00B63600" w:rsidRPr="00B95E28" w:rsidRDefault="00B63600" w:rsidP="00557AB7">
      <w:pPr>
        <w:pBdr>
          <w:top w:val="nil"/>
          <w:left w:val="nil"/>
          <w:bottom w:val="nil"/>
          <w:right w:val="nil"/>
          <w:between w:val="nil"/>
        </w:pBdr>
        <w:spacing w:line="480" w:lineRule="auto"/>
        <w:jc w:val="center"/>
        <w:rPr>
          <w:b/>
          <w:color w:val="000000" w:themeColor="text1"/>
        </w:rPr>
      </w:pPr>
      <w:r w:rsidRPr="00B95E28">
        <w:rPr>
          <w:b/>
          <w:color w:val="000000" w:themeColor="text1"/>
        </w:rPr>
        <w:lastRenderedPageBreak/>
        <w:t>BUILDING REPEATABLE INTEGRATION CAPABILITY IN SERIAL ACQUIRERS</w:t>
      </w:r>
    </w:p>
    <w:p w14:paraId="6CA1CDBE"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A Dissertation Presented</w:t>
      </w:r>
    </w:p>
    <w:p w14:paraId="508E4EB3" w14:textId="77777777" w:rsidR="00E04446" w:rsidRPr="00B95E28" w:rsidRDefault="00000000" w:rsidP="00557AB7">
      <w:pPr>
        <w:pBdr>
          <w:top w:val="nil"/>
          <w:left w:val="nil"/>
          <w:bottom w:val="nil"/>
          <w:right w:val="nil"/>
          <w:between w:val="nil"/>
        </w:pBdr>
        <w:spacing w:line="480" w:lineRule="auto"/>
        <w:jc w:val="center"/>
        <w:rPr>
          <w:color w:val="000000" w:themeColor="text1"/>
        </w:rPr>
      </w:pPr>
      <w:r w:rsidRPr="00B95E28">
        <w:rPr>
          <w:color w:val="000000" w:themeColor="text1"/>
        </w:rPr>
        <w:t>by</w:t>
      </w:r>
    </w:p>
    <w:p w14:paraId="5F3F9B7F" w14:textId="56364A03" w:rsidR="00E04446" w:rsidRPr="00B95E28" w:rsidRDefault="00B63600" w:rsidP="00557AB7">
      <w:pPr>
        <w:pBdr>
          <w:top w:val="nil"/>
          <w:left w:val="nil"/>
          <w:bottom w:val="nil"/>
          <w:right w:val="nil"/>
          <w:between w:val="nil"/>
        </w:pBdr>
        <w:spacing w:line="480" w:lineRule="auto"/>
        <w:jc w:val="center"/>
        <w:rPr>
          <w:color w:val="000000" w:themeColor="text1"/>
        </w:rPr>
      </w:pPr>
      <w:r w:rsidRPr="00B95E28">
        <w:rPr>
          <w:color w:val="000000" w:themeColor="text1"/>
        </w:rPr>
        <w:t>AMANDA DAVID</w:t>
      </w:r>
    </w:p>
    <w:p w14:paraId="263D4BA7"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188C0A74"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4F79D43D"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0FD008AC"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3AE9602A" w14:textId="77777777" w:rsidR="00E04446" w:rsidRPr="00B95E28" w:rsidRDefault="00E04446" w:rsidP="00557AB7">
      <w:pPr>
        <w:pBdr>
          <w:top w:val="nil"/>
          <w:left w:val="nil"/>
          <w:bottom w:val="nil"/>
          <w:right w:val="nil"/>
          <w:between w:val="nil"/>
        </w:pBdr>
        <w:spacing w:line="480" w:lineRule="auto"/>
        <w:jc w:val="center"/>
        <w:rPr>
          <w:color w:val="000000" w:themeColor="text1"/>
        </w:rPr>
      </w:pPr>
    </w:p>
    <w:p w14:paraId="261AEF25" w14:textId="77777777" w:rsidR="00E04446" w:rsidRPr="00B95E28" w:rsidRDefault="00000000" w:rsidP="00557AB7">
      <w:pPr>
        <w:spacing w:line="480" w:lineRule="auto"/>
        <w:rPr>
          <w:color w:val="000000" w:themeColor="text1"/>
        </w:rPr>
      </w:pPr>
      <w:r w:rsidRPr="00B95E28">
        <w:rPr>
          <w:color w:val="000000" w:themeColor="text1"/>
        </w:rPr>
        <w:t>Approved as to style and content by:</w:t>
      </w:r>
    </w:p>
    <w:p w14:paraId="49F311AD" w14:textId="0C16AAEE" w:rsidR="00E04446" w:rsidRPr="00B95E28" w:rsidRDefault="00E04446" w:rsidP="00557AB7">
      <w:pPr>
        <w:tabs>
          <w:tab w:val="left" w:pos="4320"/>
        </w:tabs>
        <w:spacing w:line="480" w:lineRule="auto"/>
        <w:rPr>
          <w:color w:val="000000" w:themeColor="text1"/>
        </w:rPr>
      </w:pPr>
    </w:p>
    <w:p w14:paraId="0CFA07FF" w14:textId="77777777" w:rsidR="00E04446" w:rsidRPr="00B95E28" w:rsidRDefault="00000000" w:rsidP="00557AB7">
      <w:pPr>
        <w:tabs>
          <w:tab w:val="left" w:pos="5040"/>
        </w:tabs>
        <w:spacing w:line="480" w:lineRule="auto"/>
        <w:rPr>
          <w:color w:val="000000" w:themeColor="text1"/>
        </w:rPr>
      </w:pPr>
      <w:r w:rsidRPr="00B95E28">
        <w:rPr>
          <w:color w:val="000000" w:themeColor="text1"/>
        </w:rPr>
        <w:t>Dr Steve Mallon, Chair</w:t>
      </w:r>
    </w:p>
    <w:p w14:paraId="754964FC" w14:textId="77777777" w:rsidR="00E04446" w:rsidRPr="00B95E28" w:rsidRDefault="00000000" w:rsidP="00557AB7">
      <w:pPr>
        <w:tabs>
          <w:tab w:val="left" w:pos="4320"/>
        </w:tabs>
        <w:spacing w:line="480" w:lineRule="auto"/>
        <w:rPr>
          <w:color w:val="000000" w:themeColor="text1"/>
        </w:rPr>
      </w:pPr>
      <w:r w:rsidRPr="00B95E28">
        <w:rPr>
          <w:color w:val="000000" w:themeColor="text1"/>
        </w:rPr>
        <w:tab/>
      </w:r>
    </w:p>
    <w:p w14:paraId="1BB40E63" w14:textId="4D0AAD52" w:rsidR="00E04446" w:rsidRPr="00B95E28" w:rsidRDefault="00000000" w:rsidP="00557AB7">
      <w:pPr>
        <w:tabs>
          <w:tab w:val="left" w:pos="5040"/>
        </w:tabs>
        <w:spacing w:line="480" w:lineRule="auto"/>
        <w:rPr>
          <w:color w:val="000000" w:themeColor="text1"/>
        </w:rPr>
      </w:pPr>
      <w:r w:rsidRPr="00B95E28">
        <w:rPr>
          <w:color w:val="000000" w:themeColor="text1"/>
        </w:rPr>
        <w:t xml:space="preserve">Dr </w:t>
      </w:r>
      <w:r w:rsidR="00596217">
        <w:rPr>
          <w:color w:val="000000" w:themeColor="text1"/>
        </w:rPr>
        <w:t>Stephen Harrison</w:t>
      </w:r>
      <w:r w:rsidRPr="00B95E28">
        <w:rPr>
          <w:color w:val="000000" w:themeColor="text1"/>
        </w:rPr>
        <w:t xml:space="preserve">, </w:t>
      </w:r>
      <w:r w:rsidR="00596217">
        <w:rPr>
          <w:color w:val="000000" w:themeColor="text1"/>
        </w:rPr>
        <w:t>Dean</w:t>
      </w:r>
    </w:p>
    <w:p w14:paraId="66C95CC9" w14:textId="77777777" w:rsidR="00E04446" w:rsidRPr="00B95E28" w:rsidRDefault="00000000" w:rsidP="00557AB7">
      <w:pPr>
        <w:tabs>
          <w:tab w:val="left" w:pos="4320"/>
        </w:tabs>
        <w:spacing w:line="480" w:lineRule="auto"/>
        <w:rPr>
          <w:color w:val="000000" w:themeColor="text1"/>
        </w:rPr>
      </w:pPr>
      <w:r w:rsidRPr="00B95E28">
        <w:rPr>
          <w:color w:val="000000" w:themeColor="text1"/>
        </w:rPr>
        <w:tab/>
      </w:r>
    </w:p>
    <w:p w14:paraId="55F969BA" w14:textId="2B5F0D2F" w:rsidR="00E04446" w:rsidRPr="00B95E28" w:rsidRDefault="00000000" w:rsidP="00557AB7">
      <w:pPr>
        <w:tabs>
          <w:tab w:val="left" w:pos="5040"/>
        </w:tabs>
        <w:spacing w:line="480" w:lineRule="auto"/>
        <w:rPr>
          <w:color w:val="000000" w:themeColor="text1"/>
        </w:rPr>
      </w:pPr>
      <w:r w:rsidRPr="00B95E28">
        <w:rPr>
          <w:color w:val="000000" w:themeColor="text1"/>
        </w:rPr>
        <w:t xml:space="preserve">Dr </w:t>
      </w:r>
      <w:r w:rsidR="00596217">
        <w:rPr>
          <w:color w:val="000000" w:themeColor="text1"/>
        </w:rPr>
        <w:t>James Punch</w:t>
      </w:r>
      <w:r w:rsidRPr="00B95E28">
        <w:rPr>
          <w:color w:val="000000" w:themeColor="text1"/>
        </w:rPr>
        <w:t xml:space="preserve">, </w:t>
      </w:r>
      <w:r w:rsidR="00596217">
        <w:rPr>
          <w:color w:val="000000" w:themeColor="text1"/>
        </w:rPr>
        <w:t>Supervisor</w:t>
      </w:r>
    </w:p>
    <w:p w14:paraId="228C7114" w14:textId="77777777" w:rsidR="00E04446" w:rsidRPr="00B95E28" w:rsidRDefault="00E04446" w:rsidP="00557AB7">
      <w:pPr>
        <w:tabs>
          <w:tab w:val="left" w:pos="5040"/>
        </w:tabs>
        <w:spacing w:line="480" w:lineRule="auto"/>
        <w:rPr>
          <w:color w:val="000000" w:themeColor="text1"/>
        </w:rPr>
      </w:pPr>
    </w:p>
    <w:p w14:paraId="00DAD94C" w14:textId="77777777" w:rsidR="00E04446" w:rsidRPr="00B95E28" w:rsidRDefault="00E04446" w:rsidP="00557AB7">
      <w:pPr>
        <w:tabs>
          <w:tab w:val="left" w:pos="5040"/>
        </w:tabs>
        <w:spacing w:line="480" w:lineRule="auto"/>
        <w:rPr>
          <w:color w:val="000000" w:themeColor="text1"/>
        </w:rPr>
      </w:pPr>
    </w:p>
    <w:p w14:paraId="66CEF899" w14:textId="77777777" w:rsidR="00E04446" w:rsidRPr="00B95E28" w:rsidRDefault="00E04446" w:rsidP="00557AB7">
      <w:pPr>
        <w:tabs>
          <w:tab w:val="left" w:pos="5040"/>
        </w:tabs>
        <w:spacing w:line="480" w:lineRule="auto"/>
        <w:ind w:right="-291"/>
        <w:rPr>
          <w:color w:val="000000" w:themeColor="text1"/>
        </w:rPr>
      </w:pPr>
    </w:p>
    <w:p w14:paraId="2D23E412" w14:textId="77777777" w:rsidR="00E04446" w:rsidRPr="00B95E28" w:rsidRDefault="00000000" w:rsidP="00557AB7">
      <w:pPr>
        <w:tabs>
          <w:tab w:val="right" w:pos="8496"/>
        </w:tabs>
        <w:spacing w:line="480" w:lineRule="auto"/>
        <w:ind w:left="6096" w:right="-291"/>
        <w:rPr>
          <w:color w:val="000000" w:themeColor="text1"/>
          <w:u w:val="single"/>
        </w:rPr>
      </w:pPr>
      <w:r w:rsidRPr="00B95E28">
        <w:rPr>
          <w:color w:val="000000" w:themeColor="text1"/>
          <w:u w:val="single"/>
        </w:rPr>
        <w:t xml:space="preserve"> Dr. Stephen Harrison</w:t>
      </w:r>
    </w:p>
    <w:p w14:paraId="54F1475A" w14:textId="77777777" w:rsidR="00E04446" w:rsidRPr="00B95E28" w:rsidRDefault="00000000" w:rsidP="00557AB7">
      <w:pPr>
        <w:tabs>
          <w:tab w:val="right" w:pos="8496"/>
        </w:tabs>
        <w:spacing w:line="480" w:lineRule="auto"/>
        <w:ind w:left="6096" w:right="-291"/>
        <w:rPr>
          <w:color w:val="000000" w:themeColor="text1"/>
        </w:rPr>
      </w:pPr>
      <w:r w:rsidRPr="00B95E28">
        <w:rPr>
          <w:color w:val="000000" w:themeColor="text1"/>
        </w:rPr>
        <w:t xml:space="preserve">Dean </w:t>
      </w:r>
    </w:p>
    <w:p w14:paraId="474B261B" w14:textId="77777777" w:rsidR="00E04446" w:rsidRPr="00B95E28" w:rsidRDefault="00000000" w:rsidP="00557AB7">
      <w:pPr>
        <w:tabs>
          <w:tab w:val="right" w:pos="8496"/>
        </w:tabs>
        <w:spacing w:line="480" w:lineRule="auto"/>
        <w:ind w:left="6096" w:right="-291"/>
        <w:rPr>
          <w:color w:val="000000" w:themeColor="text1"/>
        </w:rPr>
      </w:pPr>
      <w:r w:rsidRPr="00B95E28">
        <w:rPr>
          <w:color w:val="000000" w:themeColor="text1"/>
        </w:rPr>
        <w:t>Swiss School of Business Research</w:t>
      </w:r>
    </w:p>
    <w:p w14:paraId="2901AE8E" w14:textId="77777777" w:rsidR="00E04446" w:rsidRPr="00B95E28" w:rsidRDefault="00000000" w:rsidP="00557AB7">
      <w:pPr>
        <w:pBdr>
          <w:top w:val="nil"/>
          <w:left w:val="nil"/>
          <w:bottom w:val="nil"/>
          <w:right w:val="nil"/>
          <w:between w:val="nil"/>
        </w:pBdr>
        <w:spacing w:line="480" w:lineRule="auto"/>
        <w:jc w:val="center"/>
        <w:rPr>
          <w:b/>
          <w:color w:val="000000" w:themeColor="text1"/>
        </w:rPr>
      </w:pPr>
      <w:r w:rsidRPr="00B95E28">
        <w:rPr>
          <w:color w:val="000000" w:themeColor="text1"/>
        </w:rPr>
        <w:br w:type="page"/>
      </w:r>
      <w:r w:rsidRPr="00B95E28">
        <w:rPr>
          <w:b/>
          <w:color w:val="000000" w:themeColor="text1"/>
        </w:rPr>
        <w:lastRenderedPageBreak/>
        <w:t>DEDICATION</w:t>
      </w:r>
    </w:p>
    <w:p w14:paraId="63E2AAD5" w14:textId="77777777" w:rsidR="00B63600" w:rsidRPr="00B95E28" w:rsidRDefault="00B63600" w:rsidP="00557AB7">
      <w:pPr>
        <w:pBdr>
          <w:top w:val="nil"/>
          <w:left w:val="nil"/>
          <w:bottom w:val="nil"/>
          <w:right w:val="nil"/>
          <w:between w:val="nil"/>
        </w:pBdr>
        <w:spacing w:line="480" w:lineRule="auto"/>
        <w:jc w:val="center"/>
        <w:rPr>
          <w:b/>
          <w:color w:val="000000" w:themeColor="text1"/>
        </w:rPr>
      </w:pPr>
    </w:p>
    <w:p w14:paraId="03EA0BFF" w14:textId="0A31A33C" w:rsidR="00B63600" w:rsidRPr="00B95E28" w:rsidRDefault="00B63600" w:rsidP="00557AB7">
      <w:pPr>
        <w:pBdr>
          <w:top w:val="nil"/>
          <w:left w:val="nil"/>
          <w:bottom w:val="nil"/>
          <w:right w:val="nil"/>
          <w:between w:val="nil"/>
        </w:pBdr>
        <w:spacing w:line="480" w:lineRule="auto"/>
        <w:jc w:val="center"/>
        <w:rPr>
          <w:color w:val="000000" w:themeColor="text1"/>
        </w:rPr>
      </w:pPr>
      <w:r w:rsidRPr="00B95E28">
        <w:rPr>
          <w:color w:val="000000" w:themeColor="text1"/>
        </w:rPr>
        <w:t xml:space="preserve">This work is dedicated to my husband, whose strength, patience, and unwavering belief in me have shaped not only this journey, but the person I have become through it. There is a saying that who we are before marriage reflects our </w:t>
      </w:r>
      <w:r w:rsidR="006D23F8" w:rsidRPr="00B95E28">
        <w:rPr>
          <w:color w:val="000000" w:themeColor="text1"/>
        </w:rPr>
        <w:t>parents</w:t>
      </w:r>
      <w:r w:rsidRPr="00B95E28">
        <w:rPr>
          <w:color w:val="000000" w:themeColor="text1"/>
        </w:rPr>
        <w:t xml:space="preserve">, and who we become after reflects our </w:t>
      </w:r>
      <w:r w:rsidR="006D23F8" w:rsidRPr="00B95E28">
        <w:rPr>
          <w:color w:val="000000" w:themeColor="text1"/>
        </w:rPr>
        <w:t>spouse</w:t>
      </w:r>
      <w:r w:rsidRPr="00B95E28">
        <w:rPr>
          <w:color w:val="000000" w:themeColor="text1"/>
        </w:rPr>
        <w:t>. If that is true, then this achievement carries your imprint in every page. You have been my steady ground in moments of doubt, my voice of reason in moments of overwhelm, and my constant reminder that I am capable of more.</w:t>
      </w:r>
    </w:p>
    <w:p w14:paraId="44DAEEBB" w14:textId="77777777" w:rsidR="00B63600" w:rsidRPr="00B95E28" w:rsidRDefault="00B63600" w:rsidP="00557AB7">
      <w:pPr>
        <w:pBdr>
          <w:top w:val="nil"/>
          <w:left w:val="nil"/>
          <w:bottom w:val="nil"/>
          <w:right w:val="nil"/>
          <w:between w:val="nil"/>
        </w:pBdr>
        <w:spacing w:line="480" w:lineRule="auto"/>
        <w:jc w:val="center"/>
        <w:rPr>
          <w:color w:val="000000" w:themeColor="text1"/>
        </w:rPr>
      </w:pPr>
    </w:p>
    <w:p w14:paraId="1E056583" w14:textId="77777777" w:rsidR="00B63600" w:rsidRPr="00B95E28" w:rsidRDefault="00B63600" w:rsidP="00557AB7">
      <w:pPr>
        <w:pBdr>
          <w:top w:val="nil"/>
          <w:left w:val="nil"/>
          <w:bottom w:val="nil"/>
          <w:right w:val="nil"/>
          <w:between w:val="nil"/>
        </w:pBdr>
        <w:spacing w:line="480" w:lineRule="auto"/>
        <w:jc w:val="center"/>
        <w:rPr>
          <w:color w:val="000000" w:themeColor="text1"/>
        </w:rPr>
      </w:pPr>
      <w:r w:rsidRPr="00B95E28">
        <w:rPr>
          <w:color w:val="000000" w:themeColor="text1"/>
        </w:rPr>
        <w:t>To my children, Alysha and Shaan, thank you for your patience, your understanding, and your quiet sacrifices along the way. You showed a level of compassion and support far beyond your years, and in doing so, you gave me the space and strength to see this through. Everything I do is, and will always be, for you.</w:t>
      </w:r>
    </w:p>
    <w:p w14:paraId="50140371" w14:textId="77777777" w:rsidR="00B63600" w:rsidRPr="00B95E28" w:rsidRDefault="00B63600" w:rsidP="00557AB7">
      <w:pPr>
        <w:pBdr>
          <w:top w:val="nil"/>
          <w:left w:val="nil"/>
          <w:bottom w:val="nil"/>
          <w:right w:val="nil"/>
          <w:between w:val="nil"/>
        </w:pBdr>
        <w:spacing w:line="480" w:lineRule="auto"/>
        <w:jc w:val="center"/>
        <w:rPr>
          <w:color w:val="000000" w:themeColor="text1"/>
        </w:rPr>
      </w:pPr>
    </w:p>
    <w:p w14:paraId="45F207A5" w14:textId="2AD4F060" w:rsidR="00E04446" w:rsidRPr="00B95E28" w:rsidRDefault="00B63600" w:rsidP="00557AB7">
      <w:pPr>
        <w:pBdr>
          <w:top w:val="nil"/>
          <w:left w:val="nil"/>
          <w:bottom w:val="nil"/>
          <w:right w:val="nil"/>
          <w:between w:val="nil"/>
        </w:pBdr>
        <w:spacing w:line="480" w:lineRule="auto"/>
        <w:jc w:val="center"/>
        <w:rPr>
          <w:b/>
          <w:color w:val="000000" w:themeColor="text1"/>
        </w:rPr>
      </w:pPr>
      <w:r w:rsidRPr="00B95E28">
        <w:rPr>
          <w:color w:val="000000" w:themeColor="text1"/>
        </w:rPr>
        <w:t>This accomplishment is not mine alone. It belongs to all of us.</w:t>
      </w:r>
    </w:p>
    <w:p w14:paraId="711C200D" w14:textId="77777777" w:rsidR="00E04446" w:rsidRPr="00B95E28" w:rsidRDefault="00E04446" w:rsidP="00557AB7">
      <w:pPr>
        <w:pBdr>
          <w:top w:val="nil"/>
          <w:left w:val="nil"/>
          <w:bottom w:val="nil"/>
          <w:right w:val="nil"/>
          <w:between w:val="nil"/>
        </w:pBdr>
        <w:spacing w:line="480" w:lineRule="auto"/>
        <w:jc w:val="center"/>
        <w:rPr>
          <w:b/>
          <w:color w:val="000000" w:themeColor="text1"/>
        </w:rPr>
        <w:sectPr w:rsidR="00E04446" w:rsidRPr="00B95E28" w:rsidSect="002E2532">
          <w:pgSz w:w="12240" w:h="15840"/>
          <w:pgMar w:top="1440" w:right="1440" w:bottom="1440" w:left="1440" w:header="720" w:footer="720" w:gutter="0"/>
          <w:pgNumType w:start="5"/>
          <w:cols w:space="720"/>
        </w:sectPr>
      </w:pPr>
    </w:p>
    <w:p w14:paraId="5F068E21" w14:textId="77777777" w:rsidR="00E04446" w:rsidRPr="00B95E28" w:rsidRDefault="00000000" w:rsidP="00557AB7">
      <w:pPr>
        <w:pStyle w:val="Heading1"/>
        <w:rPr>
          <w:color w:val="000000" w:themeColor="text1"/>
        </w:rPr>
      </w:pPr>
      <w:bookmarkStart w:id="0" w:name="_Toc230881406"/>
      <w:bookmarkStart w:id="1" w:name="_Toc232351805"/>
      <w:r w:rsidRPr="00B95E28">
        <w:rPr>
          <w:color w:val="000000" w:themeColor="text1"/>
        </w:rPr>
        <w:lastRenderedPageBreak/>
        <w:t>ACKNOWLEDGMENTS</w:t>
      </w:r>
      <w:bookmarkEnd w:id="0"/>
      <w:bookmarkEnd w:id="1"/>
    </w:p>
    <w:p w14:paraId="67EA5128" w14:textId="77777777" w:rsidR="006D23F8" w:rsidRPr="00B95E28" w:rsidRDefault="006D23F8" w:rsidP="00557AB7">
      <w:pPr>
        <w:spacing w:line="480" w:lineRule="auto"/>
        <w:rPr>
          <w:color w:val="000000" w:themeColor="text1"/>
          <w:lang w:val="en-CA"/>
        </w:rPr>
      </w:pPr>
      <w:r w:rsidRPr="00B95E28">
        <w:rPr>
          <w:color w:val="000000" w:themeColor="text1"/>
          <w:lang w:val="en-CA"/>
        </w:rPr>
        <w:t>I would like to express my sincere gratitude to my doctoral supervisor, Dr. James Punch, for his clear guidance, thoughtful feedback, and continued support throughout this research. His direction and perspective were instrumental in shaping both the structure and rigour of this dissertation.</w:t>
      </w:r>
    </w:p>
    <w:p w14:paraId="6E7EA41B" w14:textId="77777777" w:rsidR="006D23F8" w:rsidRPr="00B95E28" w:rsidRDefault="006D23F8" w:rsidP="00F8124F">
      <w:pPr>
        <w:rPr>
          <w:lang w:val="en-CA"/>
        </w:rPr>
      </w:pPr>
    </w:p>
    <w:p w14:paraId="23385E66" w14:textId="3794718F" w:rsidR="006D23F8" w:rsidRPr="00B95E28" w:rsidRDefault="006D23F8" w:rsidP="00557AB7">
      <w:pPr>
        <w:spacing w:line="480" w:lineRule="auto"/>
        <w:rPr>
          <w:color w:val="000000" w:themeColor="text1"/>
          <w:lang w:val="en-CA"/>
        </w:rPr>
      </w:pPr>
      <w:r w:rsidRPr="00B95E28">
        <w:rPr>
          <w:color w:val="000000" w:themeColor="text1"/>
          <w:lang w:val="en-CA"/>
        </w:rPr>
        <w:t>I am also grateful to Dr. Maurizio Zollo, Dr. Klint Kendrick, and Martin Howard, for their generous time, insight, and encouragement. Their perspectives on post-merger integration, organizational learning, and integration capability helped strengthen the practical and theoretical grounding of this research.</w:t>
      </w:r>
    </w:p>
    <w:p w14:paraId="12C05954" w14:textId="77777777" w:rsidR="006D23F8" w:rsidRPr="00B95E28" w:rsidRDefault="006D23F8" w:rsidP="00F8124F">
      <w:pPr>
        <w:rPr>
          <w:lang w:val="en-CA"/>
        </w:rPr>
      </w:pPr>
    </w:p>
    <w:p w14:paraId="448A33FD" w14:textId="0B6A941A" w:rsidR="006D23F8" w:rsidRPr="00B95E28" w:rsidRDefault="006D23F8" w:rsidP="00557AB7">
      <w:pPr>
        <w:spacing w:line="480" w:lineRule="auto"/>
        <w:rPr>
          <w:color w:val="000000" w:themeColor="text1"/>
          <w:lang w:val="en-CA"/>
        </w:rPr>
      </w:pPr>
      <w:r w:rsidRPr="00B95E28">
        <w:rPr>
          <w:color w:val="000000" w:themeColor="text1"/>
          <w:lang w:val="en-CA"/>
        </w:rPr>
        <w:t>I am deeply grateful to the practitioners and professionals who generously contributed their time and insights through interviews. This research would not have been possible without their openness, experience, and willingness to share candid perspectives on integration in practice.</w:t>
      </w:r>
    </w:p>
    <w:p w14:paraId="5657E36B" w14:textId="77777777" w:rsidR="006D23F8" w:rsidRPr="00B95E28" w:rsidRDefault="006D23F8" w:rsidP="00F8124F">
      <w:pPr>
        <w:rPr>
          <w:lang w:val="en-CA"/>
        </w:rPr>
      </w:pPr>
    </w:p>
    <w:p w14:paraId="04F94EF3" w14:textId="782FA19C" w:rsidR="006D23F8" w:rsidRPr="00B95E28" w:rsidRDefault="006D23F8" w:rsidP="00557AB7">
      <w:pPr>
        <w:spacing w:line="480" w:lineRule="auto"/>
        <w:rPr>
          <w:color w:val="000000" w:themeColor="text1"/>
          <w:lang w:val="en-CA"/>
        </w:rPr>
      </w:pPr>
      <w:r w:rsidRPr="00B95E28">
        <w:rPr>
          <w:color w:val="000000" w:themeColor="text1"/>
          <w:lang w:val="en-CA"/>
        </w:rPr>
        <w:t>I would also like to acknowledge the body of academic literature that has informed and strengthened this work. The contributions of scholars in the fields of mergers and acquisitions, integration, and organizational capability provided a critical foundation upon which this research builds.</w:t>
      </w:r>
    </w:p>
    <w:p w14:paraId="4A1D9D87" w14:textId="77777777" w:rsidR="006D23F8" w:rsidRPr="00B95E28" w:rsidRDefault="006D23F8" w:rsidP="00F8124F">
      <w:pPr>
        <w:rPr>
          <w:lang w:val="en-CA"/>
        </w:rPr>
      </w:pPr>
    </w:p>
    <w:p w14:paraId="19876820" w14:textId="751F4094" w:rsidR="00E04446" w:rsidRPr="00B95E28" w:rsidRDefault="006D23F8" w:rsidP="00557AB7">
      <w:pPr>
        <w:spacing w:line="480" w:lineRule="auto"/>
        <w:rPr>
          <w:color w:val="000000" w:themeColor="text1"/>
        </w:rPr>
      </w:pPr>
      <w:r w:rsidRPr="00B95E28">
        <w:rPr>
          <w:color w:val="000000" w:themeColor="text1"/>
          <w:lang w:val="en-CA"/>
        </w:rPr>
        <w:t>Finally, I extend my appreciation to all those who supported me throughout this journey, both directly and indirectly.</w:t>
      </w:r>
    </w:p>
    <w:p w14:paraId="7AB248D2" w14:textId="77777777" w:rsidR="00E04446" w:rsidRPr="00B95E28" w:rsidRDefault="00000000" w:rsidP="00557AB7">
      <w:pPr>
        <w:pStyle w:val="Heading1"/>
        <w:rPr>
          <w:color w:val="000000" w:themeColor="text1"/>
        </w:rPr>
      </w:pPr>
      <w:r w:rsidRPr="00B95E28">
        <w:rPr>
          <w:color w:val="000000" w:themeColor="text1"/>
        </w:rPr>
        <w:br w:type="page"/>
      </w:r>
      <w:bookmarkStart w:id="2" w:name="_Toc230881407"/>
      <w:bookmarkStart w:id="3" w:name="_Toc232351806"/>
      <w:r w:rsidRPr="00B95E28">
        <w:rPr>
          <w:color w:val="000000" w:themeColor="text1"/>
        </w:rPr>
        <w:lastRenderedPageBreak/>
        <w:t>ABSTRACT</w:t>
      </w:r>
      <w:bookmarkEnd w:id="2"/>
      <w:bookmarkEnd w:id="3"/>
    </w:p>
    <w:p w14:paraId="5D9E2167" w14:textId="77777777" w:rsidR="005917D3" w:rsidRPr="004E060A" w:rsidRDefault="005917D3" w:rsidP="005917D3">
      <w:pPr>
        <w:spacing w:line="480" w:lineRule="auto"/>
        <w:rPr>
          <w:color w:val="548DD4" w:themeColor="text2" w:themeTint="99"/>
          <w:lang w:val="en-CA"/>
        </w:rPr>
      </w:pPr>
      <w:r w:rsidRPr="004E060A">
        <w:rPr>
          <w:color w:val="548DD4" w:themeColor="text2" w:themeTint="99"/>
          <w:lang w:val="en-CA"/>
        </w:rPr>
        <w:t>Mergers and acquisitions remain a central mechanism through which organizations pursue growth, scale, market expansion, and capability development. Yet despite the availability of integration frameworks, playbooks, governance models, and best practices, many organizations continue to struggle to realize acquisition value consistently. This challenge is particularly significant for serial acquirers, where repeated acquisition activity should, in theory, lead to improved integration performance over time. In practice, however, acquisition experience does not automatically translate into integration capability.</w:t>
      </w:r>
    </w:p>
    <w:p w14:paraId="03C022FC" w14:textId="77777777" w:rsidR="005917D3" w:rsidRPr="004E060A" w:rsidRDefault="005917D3" w:rsidP="005917D3">
      <w:pPr>
        <w:rPr>
          <w:color w:val="548DD4" w:themeColor="text2" w:themeTint="99"/>
          <w:lang w:val="en-CA"/>
        </w:rPr>
      </w:pPr>
    </w:p>
    <w:p w14:paraId="167461D5" w14:textId="1E176D13" w:rsidR="005917D3" w:rsidRPr="004E060A" w:rsidRDefault="005917D3" w:rsidP="005917D3">
      <w:pPr>
        <w:spacing w:line="480" w:lineRule="auto"/>
        <w:rPr>
          <w:color w:val="548DD4" w:themeColor="text2" w:themeTint="99"/>
          <w:lang w:val="en-CA"/>
        </w:rPr>
      </w:pPr>
      <w:r w:rsidRPr="004E060A">
        <w:rPr>
          <w:color w:val="548DD4" w:themeColor="text2" w:themeTint="99"/>
          <w:lang w:val="en-CA"/>
        </w:rPr>
        <w:t>This dissertation examines how organizations develop repeatable post-merger integration capability across multiple acquisitions. It addresses the gap between integration knowledge and integration performance by reframing post-merger integration not as a transaction-specific process, but as an organizational capability that must be deliberately developed, governed, resourced, and reinforced over time. The study explores how governance structures, leadership authority, integration planning, execution discipline, technology integration, human capital alignment, and organizational learning interact to influence integration outcomes.</w:t>
      </w:r>
    </w:p>
    <w:p w14:paraId="25B14E59" w14:textId="77777777" w:rsidR="005917D3" w:rsidRPr="004E060A" w:rsidRDefault="005917D3" w:rsidP="005917D3">
      <w:pPr>
        <w:rPr>
          <w:color w:val="548DD4" w:themeColor="text2" w:themeTint="99"/>
          <w:lang w:val="en-CA"/>
        </w:rPr>
      </w:pPr>
    </w:p>
    <w:p w14:paraId="09D9F40F" w14:textId="3AC7FFE9" w:rsidR="005917D3" w:rsidRPr="004E060A" w:rsidRDefault="005917D3" w:rsidP="005917D3">
      <w:pPr>
        <w:spacing w:line="480" w:lineRule="auto"/>
        <w:rPr>
          <w:color w:val="548DD4" w:themeColor="text2" w:themeTint="99"/>
          <w:lang w:val="en-CA"/>
        </w:rPr>
      </w:pPr>
      <w:r w:rsidRPr="004E060A">
        <w:rPr>
          <w:color w:val="548DD4" w:themeColor="text2" w:themeTint="99"/>
          <w:lang w:val="en-CA"/>
        </w:rPr>
        <w:t>The research adopts a qualitative, interpretivist, and inductive design. Twenty-three semi-structured interviews were conducted with practitioners experienced in mergers and acquisitions, post-merger integration, corporate development, private equity, technology, finance, operations, human capital, and advisory roles. The data were analysed using thematic analysis, supported by cross-interview theme tracking and a structured thematic matrix.</w:t>
      </w:r>
    </w:p>
    <w:p w14:paraId="71DDF166" w14:textId="77777777" w:rsidR="005917D3" w:rsidRPr="004E060A" w:rsidRDefault="005917D3" w:rsidP="005917D3">
      <w:pPr>
        <w:rPr>
          <w:color w:val="548DD4" w:themeColor="text2" w:themeTint="99"/>
          <w:lang w:val="en-CA"/>
        </w:rPr>
      </w:pPr>
    </w:p>
    <w:p w14:paraId="0974A876" w14:textId="697CBFFB" w:rsidR="005917D3" w:rsidRPr="004E060A" w:rsidRDefault="005917D3" w:rsidP="005917D3">
      <w:pPr>
        <w:spacing w:line="480" w:lineRule="auto"/>
        <w:rPr>
          <w:color w:val="548DD4" w:themeColor="text2" w:themeTint="99"/>
          <w:lang w:val="en-CA"/>
        </w:rPr>
      </w:pPr>
      <w:r w:rsidRPr="004E060A">
        <w:rPr>
          <w:color w:val="548DD4" w:themeColor="text2" w:themeTint="99"/>
          <w:lang w:val="en-CA"/>
        </w:rPr>
        <w:t xml:space="preserve">The findings show that repeatable integration capability is shaped by six interdependent dimensions: governance and decision authority, pre-close integration planning, execution </w:t>
      </w:r>
      <w:r w:rsidRPr="004E060A">
        <w:rPr>
          <w:color w:val="548DD4" w:themeColor="text2" w:themeTint="99"/>
          <w:lang w:val="en-CA"/>
        </w:rPr>
        <w:lastRenderedPageBreak/>
        <w:t>discipline, technology and systems integration, human capital and organizational alignment, and organizational learning. The study finds that integration challenges often originate before close, when deal assumptions, operating model implications, technology risks, people considerations, and resource requirements are insufficiently tested. It also finds that governance structures are only effective when supported by clear decision rights, escalation paths, and accountable integration leadership. Most importantly, the research demonstrates that experience becomes capability only when lessons are captured, codified, transferred, and reused across subsequent acquisitions.</w:t>
      </w:r>
    </w:p>
    <w:p w14:paraId="22DC4689" w14:textId="77777777" w:rsidR="005917D3" w:rsidRPr="004E060A" w:rsidRDefault="005917D3" w:rsidP="005917D3">
      <w:pPr>
        <w:rPr>
          <w:color w:val="548DD4" w:themeColor="text2" w:themeTint="99"/>
          <w:lang w:val="en-CA"/>
        </w:rPr>
      </w:pPr>
    </w:p>
    <w:p w14:paraId="5B6F7582" w14:textId="7D0AD00C" w:rsidR="005917D3" w:rsidRPr="004E060A" w:rsidRDefault="005917D3" w:rsidP="005917D3">
      <w:pPr>
        <w:spacing w:line="480" w:lineRule="auto"/>
        <w:rPr>
          <w:color w:val="548DD4" w:themeColor="text2" w:themeTint="99"/>
          <w:lang w:val="en-CA"/>
        </w:rPr>
      </w:pPr>
      <w:r w:rsidRPr="004E060A">
        <w:rPr>
          <w:color w:val="548DD4" w:themeColor="text2" w:themeTint="99"/>
          <w:lang w:val="en-CA"/>
        </w:rPr>
        <w:t>The dissertation makes three primary contributions. First, it reframes integration as a capability continuity problem rather than a process execution problem. Second, it introduces the Integration Capability Loop, a model showing how acquisition readiness, pre-close planning, Day 1 stabilization, integration execution, and organizational learning reinforce capability across successive transactions. Third, it introduces the Integration Capability Engine, which identifies the structural enablers required to make the loop function in practice, including leadership, governance, playbooks, technology readiness, talent and change capability, and benefits realization.</w:t>
      </w:r>
    </w:p>
    <w:p w14:paraId="1FC4CDF4" w14:textId="77777777" w:rsidR="005917D3" w:rsidRPr="004E060A" w:rsidRDefault="005917D3" w:rsidP="005917D3">
      <w:pPr>
        <w:rPr>
          <w:color w:val="548DD4" w:themeColor="text2" w:themeTint="99"/>
          <w:lang w:val="en-CA"/>
        </w:rPr>
      </w:pPr>
    </w:p>
    <w:p w14:paraId="5DFBD05F" w14:textId="778AB814" w:rsidR="005917D3" w:rsidRPr="004E060A" w:rsidRDefault="005917D3" w:rsidP="005917D3">
      <w:pPr>
        <w:spacing w:line="480" w:lineRule="auto"/>
        <w:rPr>
          <w:color w:val="548DD4" w:themeColor="text2" w:themeTint="99"/>
          <w:lang w:val="en-CA"/>
        </w:rPr>
      </w:pPr>
      <w:r w:rsidRPr="004E060A">
        <w:rPr>
          <w:color w:val="548DD4" w:themeColor="text2" w:themeTint="99"/>
          <w:lang w:val="en-CA"/>
        </w:rPr>
        <w:t>The study contributes to M&amp;A, organizational learning, and dynamic capabilities literature by explaining how serial acquirers convert repeated acquisition activity into repeatable integration performance. Practically, it provides a framework, decision gates, and maturity diagnostic to help organizations assess, build, and sustain integration capability over time.</w:t>
      </w:r>
    </w:p>
    <w:p w14:paraId="20A112C7" w14:textId="77777777" w:rsidR="005917D3" w:rsidRDefault="005917D3" w:rsidP="005917D3"/>
    <w:p w14:paraId="124FACA0" w14:textId="5283AD6D" w:rsidR="00E04446" w:rsidRPr="00B95E28" w:rsidRDefault="00000000" w:rsidP="00DB4426">
      <w:pPr>
        <w:pStyle w:val="Heading1"/>
      </w:pPr>
      <w:r w:rsidRPr="005917D3">
        <w:br w:type="page"/>
      </w:r>
      <w:bookmarkStart w:id="4" w:name="_Toc230881408"/>
      <w:bookmarkStart w:id="5" w:name="_Toc232351807"/>
      <w:r w:rsidRPr="00B95E28">
        <w:lastRenderedPageBreak/>
        <w:t>TABLE OF CONTENTS</w:t>
      </w:r>
      <w:bookmarkEnd w:id="4"/>
      <w:bookmarkEnd w:id="5"/>
    </w:p>
    <w:sdt>
      <w:sdtPr>
        <w:rPr>
          <w:rFonts w:ascii="Times New Roman" w:eastAsia="Times New Roman" w:hAnsi="Times New Roman" w:cs="Times New Roman"/>
          <w:color w:val="000000" w:themeColor="text1"/>
          <w:sz w:val="24"/>
          <w:szCs w:val="24"/>
          <w:lang w:eastAsia="en-CA"/>
        </w:rPr>
        <w:id w:val="-2082744219"/>
        <w:docPartObj>
          <w:docPartGallery w:val="Table of Contents"/>
          <w:docPartUnique/>
        </w:docPartObj>
      </w:sdtPr>
      <w:sdtEndPr>
        <w:rPr>
          <w:b/>
          <w:bCs/>
          <w:noProof/>
        </w:rPr>
      </w:sdtEndPr>
      <w:sdtContent>
        <w:p w14:paraId="4E1A89DD" w14:textId="12CD693B" w:rsidR="00D76478" w:rsidRPr="00B95E28" w:rsidRDefault="00D76478" w:rsidP="00557AB7">
          <w:pPr>
            <w:pStyle w:val="TOCHeading"/>
            <w:spacing w:before="0" w:line="480" w:lineRule="auto"/>
            <w:rPr>
              <w:color w:val="000000" w:themeColor="text1"/>
            </w:rPr>
          </w:pPr>
        </w:p>
        <w:p w14:paraId="371B9A71" w14:textId="12F4CC78" w:rsidR="00CB5964" w:rsidRDefault="00D76478">
          <w:pPr>
            <w:pStyle w:val="TOC1"/>
            <w:rPr>
              <w:rFonts w:asciiTheme="minorHAnsi" w:eastAsiaTheme="minorEastAsia" w:hAnsiTheme="minorHAnsi" w:cstheme="minorBidi"/>
              <w:noProof/>
              <w:kern w:val="2"/>
              <w:lang w:val="en-CA"/>
              <w14:ligatures w14:val="standardContextual"/>
            </w:rPr>
          </w:pPr>
          <w:r w:rsidRPr="00B95E28">
            <w:rPr>
              <w:color w:val="000000" w:themeColor="text1"/>
            </w:rPr>
            <w:fldChar w:fldCharType="begin"/>
          </w:r>
          <w:r w:rsidRPr="00B95E28">
            <w:rPr>
              <w:color w:val="000000" w:themeColor="text1"/>
            </w:rPr>
            <w:instrText xml:space="preserve"> TOC \o "1-3" \h \z \u </w:instrText>
          </w:r>
          <w:r w:rsidRPr="00B95E28">
            <w:rPr>
              <w:color w:val="000000" w:themeColor="text1"/>
            </w:rPr>
            <w:fldChar w:fldCharType="separate"/>
          </w:r>
          <w:hyperlink w:anchor="_Toc232351805" w:history="1">
            <w:r w:rsidR="00CB5964" w:rsidRPr="00DD6118">
              <w:rPr>
                <w:rStyle w:val="Hyperlink"/>
                <w:noProof/>
              </w:rPr>
              <w:t>ACKNOWLEDGMENTS</w:t>
            </w:r>
            <w:r w:rsidR="00CB5964">
              <w:rPr>
                <w:noProof/>
                <w:webHidden/>
              </w:rPr>
              <w:tab/>
            </w:r>
            <w:r w:rsidR="00CB5964">
              <w:rPr>
                <w:noProof/>
                <w:webHidden/>
              </w:rPr>
              <w:fldChar w:fldCharType="begin"/>
            </w:r>
            <w:r w:rsidR="00CB5964">
              <w:rPr>
                <w:noProof/>
                <w:webHidden/>
              </w:rPr>
              <w:instrText xml:space="preserve"> PAGEREF _Toc232351805 \h </w:instrText>
            </w:r>
            <w:r w:rsidR="00CB5964">
              <w:rPr>
                <w:noProof/>
                <w:webHidden/>
              </w:rPr>
            </w:r>
            <w:r w:rsidR="00CB5964">
              <w:rPr>
                <w:noProof/>
                <w:webHidden/>
              </w:rPr>
              <w:fldChar w:fldCharType="separate"/>
            </w:r>
            <w:r w:rsidR="00CB5964">
              <w:rPr>
                <w:noProof/>
                <w:webHidden/>
              </w:rPr>
              <w:t>v</w:t>
            </w:r>
            <w:r w:rsidR="00CB5964">
              <w:rPr>
                <w:noProof/>
                <w:webHidden/>
              </w:rPr>
              <w:fldChar w:fldCharType="end"/>
            </w:r>
          </w:hyperlink>
        </w:p>
        <w:p w14:paraId="3900C2FC" w14:textId="568BC5DA" w:rsidR="00CB5964" w:rsidRDefault="00CB5964">
          <w:pPr>
            <w:pStyle w:val="TOC1"/>
            <w:rPr>
              <w:rFonts w:asciiTheme="minorHAnsi" w:eastAsiaTheme="minorEastAsia" w:hAnsiTheme="minorHAnsi" w:cstheme="minorBidi"/>
              <w:noProof/>
              <w:kern w:val="2"/>
              <w:lang w:val="en-CA"/>
              <w14:ligatures w14:val="standardContextual"/>
            </w:rPr>
          </w:pPr>
          <w:hyperlink w:anchor="_Toc232351806" w:history="1">
            <w:r w:rsidRPr="00DD6118">
              <w:rPr>
                <w:rStyle w:val="Hyperlink"/>
                <w:noProof/>
              </w:rPr>
              <w:t>ABSTRACT</w:t>
            </w:r>
            <w:r>
              <w:rPr>
                <w:noProof/>
                <w:webHidden/>
              </w:rPr>
              <w:tab/>
            </w:r>
            <w:r>
              <w:rPr>
                <w:noProof/>
                <w:webHidden/>
              </w:rPr>
              <w:fldChar w:fldCharType="begin"/>
            </w:r>
            <w:r>
              <w:rPr>
                <w:noProof/>
                <w:webHidden/>
              </w:rPr>
              <w:instrText xml:space="preserve"> PAGEREF _Toc232351806 \h </w:instrText>
            </w:r>
            <w:r>
              <w:rPr>
                <w:noProof/>
                <w:webHidden/>
              </w:rPr>
            </w:r>
            <w:r>
              <w:rPr>
                <w:noProof/>
                <w:webHidden/>
              </w:rPr>
              <w:fldChar w:fldCharType="separate"/>
            </w:r>
            <w:r>
              <w:rPr>
                <w:noProof/>
                <w:webHidden/>
              </w:rPr>
              <w:t>vi</w:t>
            </w:r>
            <w:r>
              <w:rPr>
                <w:noProof/>
                <w:webHidden/>
              </w:rPr>
              <w:fldChar w:fldCharType="end"/>
            </w:r>
          </w:hyperlink>
        </w:p>
        <w:p w14:paraId="6D450088" w14:textId="5EFC60FA" w:rsidR="00CB5964" w:rsidRDefault="00CB5964">
          <w:pPr>
            <w:pStyle w:val="TOC1"/>
            <w:rPr>
              <w:rFonts w:asciiTheme="minorHAnsi" w:eastAsiaTheme="minorEastAsia" w:hAnsiTheme="minorHAnsi" w:cstheme="minorBidi"/>
              <w:noProof/>
              <w:kern w:val="2"/>
              <w:lang w:val="en-CA"/>
              <w14:ligatures w14:val="standardContextual"/>
            </w:rPr>
          </w:pPr>
          <w:hyperlink w:anchor="_Toc232351807" w:history="1">
            <w:r w:rsidRPr="00DD6118">
              <w:rPr>
                <w:rStyle w:val="Hyperlink"/>
                <w:noProof/>
              </w:rPr>
              <w:t>TABLE OF CONTENTS</w:t>
            </w:r>
            <w:r>
              <w:rPr>
                <w:noProof/>
                <w:webHidden/>
              </w:rPr>
              <w:tab/>
            </w:r>
            <w:r>
              <w:rPr>
                <w:noProof/>
                <w:webHidden/>
              </w:rPr>
              <w:fldChar w:fldCharType="begin"/>
            </w:r>
            <w:r>
              <w:rPr>
                <w:noProof/>
                <w:webHidden/>
              </w:rPr>
              <w:instrText xml:space="preserve"> PAGEREF _Toc232351807 \h </w:instrText>
            </w:r>
            <w:r>
              <w:rPr>
                <w:noProof/>
                <w:webHidden/>
              </w:rPr>
            </w:r>
            <w:r>
              <w:rPr>
                <w:noProof/>
                <w:webHidden/>
              </w:rPr>
              <w:fldChar w:fldCharType="separate"/>
            </w:r>
            <w:r>
              <w:rPr>
                <w:noProof/>
                <w:webHidden/>
              </w:rPr>
              <w:t>viii</w:t>
            </w:r>
            <w:r>
              <w:rPr>
                <w:noProof/>
                <w:webHidden/>
              </w:rPr>
              <w:fldChar w:fldCharType="end"/>
            </w:r>
          </w:hyperlink>
        </w:p>
        <w:p w14:paraId="0B324A16" w14:textId="7FE6806D" w:rsidR="00CB5964" w:rsidRDefault="00CB5964">
          <w:pPr>
            <w:pStyle w:val="TOC1"/>
            <w:rPr>
              <w:rFonts w:asciiTheme="minorHAnsi" w:eastAsiaTheme="minorEastAsia" w:hAnsiTheme="minorHAnsi" w:cstheme="minorBidi"/>
              <w:noProof/>
              <w:kern w:val="2"/>
              <w:lang w:val="en-CA"/>
              <w14:ligatures w14:val="standardContextual"/>
            </w:rPr>
          </w:pPr>
          <w:hyperlink w:anchor="_Toc232351808" w:history="1">
            <w:r w:rsidRPr="00DD6118">
              <w:rPr>
                <w:rStyle w:val="Hyperlink"/>
                <w:noProof/>
              </w:rPr>
              <w:t>LIST OF TABLES</w:t>
            </w:r>
            <w:r>
              <w:rPr>
                <w:noProof/>
                <w:webHidden/>
              </w:rPr>
              <w:tab/>
            </w:r>
            <w:r>
              <w:rPr>
                <w:noProof/>
                <w:webHidden/>
              </w:rPr>
              <w:fldChar w:fldCharType="begin"/>
            </w:r>
            <w:r>
              <w:rPr>
                <w:noProof/>
                <w:webHidden/>
              </w:rPr>
              <w:instrText xml:space="preserve"> PAGEREF _Toc232351808 \h </w:instrText>
            </w:r>
            <w:r>
              <w:rPr>
                <w:noProof/>
                <w:webHidden/>
              </w:rPr>
            </w:r>
            <w:r>
              <w:rPr>
                <w:noProof/>
                <w:webHidden/>
              </w:rPr>
              <w:fldChar w:fldCharType="separate"/>
            </w:r>
            <w:r>
              <w:rPr>
                <w:noProof/>
                <w:webHidden/>
              </w:rPr>
              <w:t>xiii</w:t>
            </w:r>
            <w:r>
              <w:rPr>
                <w:noProof/>
                <w:webHidden/>
              </w:rPr>
              <w:fldChar w:fldCharType="end"/>
            </w:r>
          </w:hyperlink>
        </w:p>
        <w:p w14:paraId="2350D807" w14:textId="6975B96D" w:rsidR="00CB5964" w:rsidRDefault="00CB5964">
          <w:pPr>
            <w:pStyle w:val="TOC1"/>
            <w:rPr>
              <w:rFonts w:asciiTheme="minorHAnsi" w:eastAsiaTheme="minorEastAsia" w:hAnsiTheme="minorHAnsi" w:cstheme="minorBidi"/>
              <w:noProof/>
              <w:kern w:val="2"/>
              <w:lang w:val="en-CA"/>
              <w14:ligatures w14:val="standardContextual"/>
            </w:rPr>
          </w:pPr>
          <w:hyperlink w:anchor="_Toc232351809" w:history="1">
            <w:r w:rsidRPr="00DD6118">
              <w:rPr>
                <w:rStyle w:val="Hyperlink"/>
                <w:noProof/>
              </w:rPr>
              <w:t>LIST OF FIGURES</w:t>
            </w:r>
            <w:r>
              <w:rPr>
                <w:noProof/>
                <w:webHidden/>
              </w:rPr>
              <w:tab/>
            </w:r>
            <w:r>
              <w:rPr>
                <w:noProof/>
                <w:webHidden/>
              </w:rPr>
              <w:fldChar w:fldCharType="begin"/>
            </w:r>
            <w:r>
              <w:rPr>
                <w:noProof/>
                <w:webHidden/>
              </w:rPr>
              <w:instrText xml:space="preserve"> PAGEREF _Toc232351809 \h </w:instrText>
            </w:r>
            <w:r>
              <w:rPr>
                <w:noProof/>
                <w:webHidden/>
              </w:rPr>
            </w:r>
            <w:r>
              <w:rPr>
                <w:noProof/>
                <w:webHidden/>
              </w:rPr>
              <w:fldChar w:fldCharType="separate"/>
            </w:r>
            <w:r>
              <w:rPr>
                <w:noProof/>
                <w:webHidden/>
              </w:rPr>
              <w:t>xiv</w:t>
            </w:r>
            <w:r>
              <w:rPr>
                <w:noProof/>
                <w:webHidden/>
              </w:rPr>
              <w:fldChar w:fldCharType="end"/>
            </w:r>
          </w:hyperlink>
        </w:p>
        <w:p w14:paraId="6F7C5A8F" w14:textId="09447C63" w:rsidR="00CB5964" w:rsidRDefault="00CB5964">
          <w:pPr>
            <w:pStyle w:val="TOC1"/>
            <w:rPr>
              <w:rFonts w:asciiTheme="minorHAnsi" w:eastAsiaTheme="minorEastAsia" w:hAnsiTheme="minorHAnsi" w:cstheme="minorBidi"/>
              <w:noProof/>
              <w:kern w:val="2"/>
              <w:lang w:val="en-CA"/>
              <w14:ligatures w14:val="standardContextual"/>
            </w:rPr>
          </w:pPr>
          <w:hyperlink w:anchor="_Toc232351810" w:history="1">
            <w:r w:rsidRPr="00DD6118">
              <w:rPr>
                <w:rStyle w:val="Hyperlink"/>
                <w:noProof/>
              </w:rPr>
              <w:t>BUILDING REPEATABLE INTEGRATION CAPABILITY IN SERIAL ACQUIRERS</w:t>
            </w:r>
            <w:r>
              <w:rPr>
                <w:noProof/>
                <w:webHidden/>
              </w:rPr>
              <w:tab/>
            </w:r>
            <w:r>
              <w:rPr>
                <w:noProof/>
                <w:webHidden/>
              </w:rPr>
              <w:fldChar w:fldCharType="begin"/>
            </w:r>
            <w:r>
              <w:rPr>
                <w:noProof/>
                <w:webHidden/>
              </w:rPr>
              <w:instrText xml:space="preserve"> PAGEREF _Toc232351810 \h </w:instrText>
            </w:r>
            <w:r>
              <w:rPr>
                <w:noProof/>
                <w:webHidden/>
              </w:rPr>
            </w:r>
            <w:r>
              <w:rPr>
                <w:noProof/>
                <w:webHidden/>
              </w:rPr>
              <w:fldChar w:fldCharType="separate"/>
            </w:r>
            <w:r>
              <w:rPr>
                <w:noProof/>
                <w:webHidden/>
              </w:rPr>
              <w:t>1</w:t>
            </w:r>
            <w:r>
              <w:rPr>
                <w:noProof/>
                <w:webHidden/>
              </w:rPr>
              <w:fldChar w:fldCharType="end"/>
            </w:r>
          </w:hyperlink>
        </w:p>
        <w:p w14:paraId="10AB0DDF" w14:textId="65193DF8" w:rsidR="00CB5964" w:rsidRDefault="00CB5964">
          <w:pPr>
            <w:pStyle w:val="TOC1"/>
            <w:rPr>
              <w:rFonts w:asciiTheme="minorHAnsi" w:eastAsiaTheme="minorEastAsia" w:hAnsiTheme="minorHAnsi" w:cstheme="minorBidi"/>
              <w:noProof/>
              <w:kern w:val="2"/>
              <w:lang w:val="en-CA"/>
              <w14:ligatures w14:val="standardContextual"/>
            </w:rPr>
          </w:pPr>
          <w:hyperlink w:anchor="_Toc232351811" w:history="1">
            <w:r w:rsidRPr="00DD6118">
              <w:rPr>
                <w:rStyle w:val="Hyperlink"/>
                <w:noProof/>
              </w:rPr>
              <w:t>Chapter 1: Introduction</w:t>
            </w:r>
            <w:r>
              <w:rPr>
                <w:noProof/>
                <w:webHidden/>
              </w:rPr>
              <w:tab/>
            </w:r>
            <w:r>
              <w:rPr>
                <w:noProof/>
                <w:webHidden/>
              </w:rPr>
              <w:fldChar w:fldCharType="begin"/>
            </w:r>
            <w:r>
              <w:rPr>
                <w:noProof/>
                <w:webHidden/>
              </w:rPr>
              <w:instrText xml:space="preserve"> PAGEREF _Toc232351811 \h </w:instrText>
            </w:r>
            <w:r>
              <w:rPr>
                <w:noProof/>
                <w:webHidden/>
              </w:rPr>
            </w:r>
            <w:r>
              <w:rPr>
                <w:noProof/>
                <w:webHidden/>
              </w:rPr>
              <w:fldChar w:fldCharType="separate"/>
            </w:r>
            <w:r>
              <w:rPr>
                <w:noProof/>
                <w:webHidden/>
              </w:rPr>
              <w:t>1</w:t>
            </w:r>
            <w:r>
              <w:rPr>
                <w:noProof/>
                <w:webHidden/>
              </w:rPr>
              <w:fldChar w:fldCharType="end"/>
            </w:r>
          </w:hyperlink>
        </w:p>
        <w:p w14:paraId="0D3FE979" w14:textId="73AC84AF"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12" w:history="1">
            <w:r w:rsidRPr="00DD6118">
              <w:rPr>
                <w:rStyle w:val="Hyperlink"/>
                <w:noProof/>
              </w:rPr>
              <w:t>1.1 Background of the Study</w:t>
            </w:r>
            <w:r>
              <w:rPr>
                <w:noProof/>
                <w:webHidden/>
              </w:rPr>
              <w:tab/>
            </w:r>
            <w:r>
              <w:rPr>
                <w:noProof/>
                <w:webHidden/>
              </w:rPr>
              <w:fldChar w:fldCharType="begin"/>
            </w:r>
            <w:r>
              <w:rPr>
                <w:noProof/>
                <w:webHidden/>
              </w:rPr>
              <w:instrText xml:space="preserve"> PAGEREF _Toc232351812 \h </w:instrText>
            </w:r>
            <w:r>
              <w:rPr>
                <w:noProof/>
                <w:webHidden/>
              </w:rPr>
            </w:r>
            <w:r>
              <w:rPr>
                <w:noProof/>
                <w:webHidden/>
              </w:rPr>
              <w:fldChar w:fldCharType="separate"/>
            </w:r>
            <w:r>
              <w:rPr>
                <w:noProof/>
                <w:webHidden/>
              </w:rPr>
              <w:t>3</w:t>
            </w:r>
            <w:r>
              <w:rPr>
                <w:noProof/>
                <w:webHidden/>
              </w:rPr>
              <w:fldChar w:fldCharType="end"/>
            </w:r>
          </w:hyperlink>
        </w:p>
        <w:p w14:paraId="67EC890B" w14:textId="769CDEE7"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13" w:history="1">
            <w:r w:rsidRPr="00DD6118">
              <w:rPr>
                <w:rStyle w:val="Hyperlink"/>
                <w:noProof/>
                <w:lang w:val="en-CA"/>
              </w:rPr>
              <w:t>1.2 Research Problem</w:t>
            </w:r>
            <w:r>
              <w:rPr>
                <w:noProof/>
                <w:webHidden/>
              </w:rPr>
              <w:tab/>
            </w:r>
            <w:r>
              <w:rPr>
                <w:noProof/>
                <w:webHidden/>
              </w:rPr>
              <w:fldChar w:fldCharType="begin"/>
            </w:r>
            <w:r>
              <w:rPr>
                <w:noProof/>
                <w:webHidden/>
              </w:rPr>
              <w:instrText xml:space="preserve"> PAGEREF _Toc232351813 \h </w:instrText>
            </w:r>
            <w:r>
              <w:rPr>
                <w:noProof/>
                <w:webHidden/>
              </w:rPr>
            </w:r>
            <w:r>
              <w:rPr>
                <w:noProof/>
                <w:webHidden/>
              </w:rPr>
              <w:fldChar w:fldCharType="separate"/>
            </w:r>
            <w:r>
              <w:rPr>
                <w:noProof/>
                <w:webHidden/>
              </w:rPr>
              <w:t>8</w:t>
            </w:r>
            <w:r>
              <w:rPr>
                <w:noProof/>
                <w:webHidden/>
              </w:rPr>
              <w:fldChar w:fldCharType="end"/>
            </w:r>
          </w:hyperlink>
        </w:p>
        <w:p w14:paraId="78524CC6" w14:textId="1D94E599"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14" w:history="1">
            <w:r w:rsidRPr="00DD6118">
              <w:rPr>
                <w:rStyle w:val="Hyperlink"/>
                <w:noProof/>
                <w:lang w:val="en-CA"/>
              </w:rPr>
              <w:t>1.3 Aim &amp; Objectives</w:t>
            </w:r>
            <w:r>
              <w:rPr>
                <w:noProof/>
                <w:webHidden/>
              </w:rPr>
              <w:tab/>
            </w:r>
            <w:r>
              <w:rPr>
                <w:noProof/>
                <w:webHidden/>
              </w:rPr>
              <w:fldChar w:fldCharType="begin"/>
            </w:r>
            <w:r>
              <w:rPr>
                <w:noProof/>
                <w:webHidden/>
              </w:rPr>
              <w:instrText xml:space="preserve"> PAGEREF _Toc232351814 \h </w:instrText>
            </w:r>
            <w:r>
              <w:rPr>
                <w:noProof/>
                <w:webHidden/>
              </w:rPr>
            </w:r>
            <w:r>
              <w:rPr>
                <w:noProof/>
                <w:webHidden/>
              </w:rPr>
              <w:fldChar w:fldCharType="separate"/>
            </w:r>
            <w:r>
              <w:rPr>
                <w:noProof/>
                <w:webHidden/>
              </w:rPr>
              <w:t>11</w:t>
            </w:r>
            <w:r>
              <w:rPr>
                <w:noProof/>
                <w:webHidden/>
              </w:rPr>
              <w:fldChar w:fldCharType="end"/>
            </w:r>
          </w:hyperlink>
        </w:p>
        <w:p w14:paraId="085849B6" w14:textId="4507424A"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15" w:history="1">
            <w:r w:rsidRPr="00DD6118">
              <w:rPr>
                <w:rStyle w:val="Hyperlink"/>
                <w:noProof/>
                <w:lang w:val="en-CA"/>
              </w:rPr>
              <w:t>1.3.1 Research Aim</w:t>
            </w:r>
            <w:r>
              <w:rPr>
                <w:noProof/>
                <w:webHidden/>
              </w:rPr>
              <w:tab/>
            </w:r>
            <w:r>
              <w:rPr>
                <w:noProof/>
                <w:webHidden/>
              </w:rPr>
              <w:fldChar w:fldCharType="begin"/>
            </w:r>
            <w:r>
              <w:rPr>
                <w:noProof/>
                <w:webHidden/>
              </w:rPr>
              <w:instrText xml:space="preserve"> PAGEREF _Toc232351815 \h </w:instrText>
            </w:r>
            <w:r>
              <w:rPr>
                <w:noProof/>
                <w:webHidden/>
              </w:rPr>
            </w:r>
            <w:r>
              <w:rPr>
                <w:noProof/>
                <w:webHidden/>
              </w:rPr>
              <w:fldChar w:fldCharType="separate"/>
            </w:r>
            <w:r>
              <w:rPr>
                <w:noProof/>
                <w:webHidden/>
              </w:rPr>
              <w:t>12</w:t>
            </w:r>
            <w:r>
              <w:rPr>
                <w:noProof/>
                <w:webHidden/>
              </w:rPr>
              <w:fldChar w:fldCharType="end"/>
            </w:r>
          </w:hyperlink>
        </w:p>
        <w:p w14:paraId="3E106F4F" w14:textId="4F03F491"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16" w:history="1">
            <w:r w:rsidRPr="00DD6118">
              <w:rPr>
                <w:rStyle w:val="Hyperlink"/>
                <w:noProof/>
                <w:lang w:val="en-CA"/>
              </w:rPr>
              <w:t>1.3.2 Research Objectives</w:t>
            </w:r>
            <w:r>
              <w:rPr>
                <w:noProof/>
                <w:webHidden/>
              </w:rPr>
              <w:tab/>
            </w:r>
            <w:r>
              <w:rPr>
                <w:noProof/>
                <w:webHidden/>
              </w:rPr>
              <w:fldChar w:fldCharType="begin"/>
            </w:r>
            <w:r>
              <w:rPr>
                <w:noProof/>
                <w:webHidden/>
              </w:rPr>
              <w:instrText xml:space="preserve"> PAGEREF _Toc232351816 \h </w:instrText>
            </w:r>
            <w:r>
              <w:rPr>
                <w:noProof/>
                <w:webHidden/>
              </w:rPr>
            </w:r>
            <w:r>
              <w:rPr>
                <w:noProof/>
                <w:webHidden/>
              </w:rPr>
              <w:fldChar w:fldCharType="separate"/>
            </w:r>
            <w:r>
              <w:rPr>
                <w:noProof/>
                <w:webHidden/>
              </w:rPr>
              <w:t>12</w:t>
            </w:r>
            <w:r>
              <w:rPr>
                <w:noProof/>
                <w:webHidden/>
              </w:rPr>
              <w:fldChar w:fldCharType="end"/>
            </w:r>
          </w:hyperlink>
        </w:p>
        <w:p w14:paraId="178AF947" w14:textId="18B63F56"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17" w:history="1">
            <w:r w:rsidRPr="00DD6118">
              <w:rPr>
                <w:rStyle w:val="Hyperlink"/>
                <w:noProof/>
              </w:rPr>
              <w:t>1.4 Core Thesis Statement</w:t>
            </w:r>
            <w:r>
              <w:rPr>
                <w:noProof/>
                <w:webHidden/>
              </w:rPr>
              <w:tab/>
            </w:r>
            <w:r>
              <w:rPr>
                <w:noProof/>
                <w:webHidden/>
              </w:rPr>
              <w:fldChar w:fldCharType="begin"/>
            </w:r>
            <w:r>
              <w:rPr>
                <w:noProof/>
                <w:webHidden/>
              </w:rPr>
              <w:instrText xml:space="preserve"> PAGEREF _Toc232351817 \h </w:instrText>
            </w:r>
            <w:r>
              <w:rPr>
                <w:noProof/>
                <w:webHidden/>
              </w:rPr>
            </w:r>
            <w:r>
              <w:rPr>
                <w:noProof/>
                <w:webHidden/>
              </w:rPr>
              <w:fldChar w:fldCharType="separate"/>
            </w:r>
            <w:r>
              <w:rPr>
                <w:noProof/>
                <w:webHidden/>
              </w:rPr>
              <w:t>14</w:t>
            </w:r>
            <w:r>
              <w:rPr>
                <w:noProof/>
                <w:webHidden/>
              </w:rPr>
              <w:fldChar w:fldCharType="end"/>
            </w:r>
          </w:hyperlink>
        </w:p>
        <w:p w14:paraId="4989C886" w14:textId="367A40B0"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18" w:history="1">
            <w:r w:rsidRPr="00DD6118">
              <w:rPr>
                <w:rStyle w:val="Hyperlink"/>
                <w:noProof/>
              </w:rPr>
              <w:t>1.5 Primary Research Questions</w:t>
            </w:r>
            <w:r>
              <w:rPr>
                <w:noProof/>
                <w:webHidden/>
              </w:rPr>
              <w:tab/>
            </w:r>
            <w:r>
              <w:rPr>
                <w:noProof/>
                <w:webHidden/>
              </w:rPr>
              <w:fldChar w:fldCharType="begin"/>
            </w:r>
            <w:r>
              <w:rPr>
                <w:noProof/>
                <w:webHidden/>
              </w:rPr>
              <w:instrText xml:space="preserve"> PAGEREF _Toc232351818 \h </w:instrText>
            </w:r>
            <w:r>
              <w:rPr>
                <w:noProof/>
                <w:webHidden/>
              </w:rPr>
            </w:r>
            <w:r>
              <w:rPr>
                <w:noProof/>
                <w:webHidden/>
              </w:rPr>
              <w:fldChar w:fldCharType="separate"/>
            </w:r>
            <w:r>
              <w:rPr>
                <w:noProof/>
                <w:webHidden/>
              </w:rPr>
              <w:t>15</w:t>
            </w:r>
            <w:r>
              <w:rPr>
                <w:noProof/>
                <w:webHidden/>
              </w:rPr>
              <w:fldChar w:fldCharType="end"/>
            </w:r>
          </w:hyperlink>
        </w:p>
        <w:p w14:paraId="45DE8B34" w14:textId="0E738321"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19" w:history="1">
            <w:r w:rsidRPr="00DD6118">
              <w:rPr>
                <w:rStyle w:val="Hyperlink"/>
                <w:noProof/>
              </w:rPr>
              <w:t>1.6 Significance of the Study</w:t>
            </w:r>
            <w:r>
              <w:rPr>
                <w:noProof/>
                <w:webHidden/>
              </w:rPr>
              <w:tab/>
            </w:r>
            <w:r>
              <w:rPr>
                <w:noProof/>
                <w:webHidden/>
              </w:rPr>
              <w:fldChar w:fldCharType="begin"/>
            </w:r>
            <w:r>
              <w:rPr>
                <w:noProof/>
                <w:webHidden/>
              </w:rPr>
              <w:instrText xml:space="preserve"> PAGEREF _Toc232351819 \h </w:instrText>
            </w:r>
            <w:r>
              <w:rPr>
                <w:noProof/>
                <w:webHidden/>
              </w:rPr>
            </w:r>
            <w:r>
              <w:rPr>
                <w:noProof/>
                <w:webHidden/>
              </w:rPr>
              <w:fldChar w:fldCharType="separate"/>
            </w:r>
            <w:r>
              <w:rPr>
                <w:noProof/>
                <w:webHidden/>
              </w:rPr>
              <w:t>16</w:t>
            </w:r>
            <w:r>
              <w:rPr>
                <w:noProof/>
                <w:webHidden/>
              </w:rPr>
              <w:fldChar w:fldCharType="end"/>
            </w:r>
          </w:hyperlink>
        </w:p>
        <w:p w14:paraId="058F3185" w14:textId="6C79F262"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20" w:history="1">
            <w:r w:rsidRPr="00DD6118">
              <w:rPr>
                <w:rStyle w:val="Hyperlink"/>
                <w:noProof/>
              </w:rPr>
              <w:t>1.7 Structure of the Dissertation</w:t>
            </w:r>
            <w:r>
              <w:rPr>
                <w:noProof/>
                <w:webHidden/>
              </w:rPr>
              <w:tab/>
            </w:r>
            <w:r>
              <w:rPr>
                <w:noProof/>
                <w:webHidden/>
              </w:rPr>
              <w:fldChar w:fldCharType="begin"/>
            </w:r>
            <w:r>
              <w:rPr>
                <w:noProof/>
                <w:webHidden/>
              </w:rPr>
              <w:instrText xml:space="preserve"> PAGEREF _Toc232351820 \h </w:instrText>
            </w:r>
            <w:r>
              <w:rPr>
                <w:noProof/>
                <w:webHidden/>
              </w:rPr>
            </w:r>
            <w:r>
              <w:rPr>
                <w:noProof/>
                <w:webHidden/>
              </w:rPr>
              <w:fldChar w:fldCharType="separate"/>
            </w:r>
            <w:r>
              <w:rPr>
                <w:noProof/>
                <w:webHidden/>
              </w:rPr>
              <w:t>20</w:t>
            </w:r>
            <w:r>
              <w:rPr>
                <w:noProof/>
                <w:webHidden/>
              </w:rPr>
              <w:fldChar w:fldCharType="end"/>
            </w:r>
          </w:hyperlink>
        </w:p>
        <w:p w14:paraId="616B76CF" w14:textId="4F13AE59" w:rsidR="00CB5964" w:rsidRDefault="00CB5964">
          <w:pPr>
            <w:pStyle w:val="TOC1"/>
            <w:rPr>
              <w:rFonts w:asciiTheme="minorHAnsi" w:eastAsiaTheme="minorEastAsia" w:hAnsiTheme="minorHAnsi" w:cstheme="minorBidi"/>
              <w:noProof/>
              <w:kern w:val="2"/>
              <w:lang w:val="en-CA"/>
              <w14:ligatures w14:val="standardContextual"/>
            </w:rPr>
          </w:pPr>
          <w:hyperlink w:anchor="_Toc232351821" w:history="1">
            <w:r w:rsidRPr="00DD6118">
              <w:rPr>
                <w:rStyle w:val="Hyperlink"/>
                <w:noProof/>
              </w:rPr>
              <w:t>LITERATURE REVIEW</w:t>
            </w:r>
            <w:r>
              <w:rPr>
                <w:noProof/>
                <w:webHidden/>
              </w:rPr>
              <w:tab/>
            </w:r>
            <w:r>
              <w:rPr>
                <w:noProof/>
                <w:webHidden/>
              </w:rPr>
              <w:fldChar w:fldCharType="begin"/>
            </w:r>
            <w:r>
              <w:rPr>
                <w:noProof/>
                <w:webHidden/>
              </w:rPr>
              <w:instrText xml:space="preserve"> PAGEREF _Toc232351821 \h </w:instrText>
            </w:r>
            <w:r>
              <w:rPr>
                <w:noProof/>
                <w:webHidden/>
              </w:rPr>
            </w:r>
            <w:r>
              <w:rPr>
                <w:noProof/>
                <w:webHidden/>
              </w:rPr>
              <w:fldChar w:fldCharType="separate"/>
            </w:r>
            <w:r>
              <w:rPr>
                <w:noProof/>
                <w:webHidden/>
              </w:rPr>
              <w:t>23</w:t>
            </w:r>
            <w:r>
              <w:rPr>
                <w:noProof/>
                <w:webHidden/>
              </w:rPr>
              <w:fldChar w:fldCharType="end"/>
            </w:r>
          </w:hyperlink>
        </w:p>
        <w:p w14:paraId="72B9C594" w14:textId="490A7BDA"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22" w:history="1">
            <w:r w:rsidRPr="00DD6118">
              <w:rPr>
                <w:rStyle w:val="Hyperlink"/>
                <w:noProof/>
              </w:rPr>
              <w:t>Chapter 2: Introduction</w:t>
            </w:r>
            <w:r>
              <w:rPr>
                <w:noProof/>
                <w:webHidden/>
              </w:rPr>
              <w:tab/>
            </w:r>
            <w:r>
              <w:rPr>
                <w:noProof/>
                <w:webHidden/>
              </w:rPr>
              <w:fldChar w:fldCharType="begin"/>
            </w:r>
            <w:r>
              <w:rPr>
                <w:noProof/>
                <w:webHidden/>
              </w:rPr>
              <w:instrText xml:space="preserve"> PAGEREF _Toc232351822 \h </w:instrText>
            </w:r>
            <w:r>
              <w:rPr>
                <w:noProof/>
                <w:webHidden/>
              </w:rPr>
            </w:r>
            <w:r>
              <w:rPr>
                <w:noProof/>
                <w:webHidden/>
              </w:rPr>
              <w:fldChar w:fldCharType="separate"/>
            </w:r>
            <w:r>
              <w:rPr>
                <w:noProof/>
                <w:webHidden/>
              </w:rPr>
              <w:t>23</w:t>
            </w:r>
            <w:r>
              <w:rPr>
                <w:noProof/>
                <w:webHidden/>
              </w:rPr>
              <w:fldChar w:fldCharType="end"/>
            </w:r>
          </w:hyperlink>
        </w:p>
        <w:p w14:paraId="5BDDAB8F" w14:textId="16C0F60F"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23" w:history="1">
            <w:r w:rsidRPr="00DD6118">
              <w:rPr>
                <w:rStyle w:val="Hyperlink"/>
                <w:noProof/>
              </w:rPr>
              <w:t>2.1 Literature Search Strategy</w:t>
            </w:r>
            <w:r>
              <w:rPr>
                <w:noProof/>
                <w:webHidden/>
              </w:rPr>
              <w:tab/>
            </w:r>
            <w:r>
              <w:rPr>
                <w:noProof/>
                <w:webHidden/>
              </w:rPr>
              <w:fldChar w:fldCharType="begin"/>
            </w:r>
            <w:r>
              <w:rPr>
                <w:noProof/>
                <w:webHidden/>
              </w:rPr>
              <w:instrText xml:space="preserve"> PAGEREF _Toc232351823 \h </w:instrText>
            </w:r>
            <w:r>
              <w:rPr>
                <w:noProof/>
                <w:webHidden/>
              </w:rPr>
            </w:r>
            <w:r>
              <w:rPr>
                <w:noProof/>
                <w:webHidden/>
              </w:rPr>
              <w:fldChar w:fldCharType="separate"/>
            </w:r>
            <w:r>
              <w:rPr>
                <w:noProof/>
                <w:webHidden/>
              </w:rPr>
              <w:t>24</w:t>
            </w:r>
            <w:r>
              <w:rPr>
                <w:noProof/>
                <w:webHidden/>
              </w:rPr>
              <w:fldChar w:fldCharType="end"/>
            </w:r>
          </w:hyperlink>
        </w:p>
        <w:p w14:paraId="620B8342" w14:textId="04110CA1"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24" w:history="1">
            <w:r w:rsidRPr="00DD6118">
              <w:rPr>
                <w:rStyle w:val="Hyperlink"/>
                <w:noProof/>
              </w:rPr>
              <w:t>2.2 Overview of Mergers and Acquisitions</w:t>
            </w:r>
            <w:r>
              <w:rPr>
                <w:noProof/>
                <w:webHidden/>
              </w:rPr>
              <w:tab/>
            </w:r>
            <w:r>
              <w:rPr>
                <w:noProof/>
                <w:webHidden/>
              </w:rPr>
              <w:fldChar w:fldCharType="begin"/>
            </w:r>
            <w:r>
              <w:rPr>
                <w:noProof/>
                <w:webHidden/>
              </w:rPr>
              <w:instrText xml:space="preserve"> PAGEREF _Toc232351824 \h </w:instrText>
            </w:r>
            <w:r>
              <w:rPr>
                <w:noProof/>
                <w:webHidden/>
              </w:rPr>
            </w:r>
            <w:r>
              <w:rPr>
                <w:noProof/>
                <w:webHidden/>
              </w:rPr>
              <w:fldChar w:fldCharType="separate"/>
            </w:r>
            <w:r>
              <w:rPr>
                <w:noProof/>
                <w:webHidden/>
              </w:rPr>
              <w:t>29</w:t>
            </w:r>
            <w:r>
              <w:rPr>
                <w:noProof/>
                <w:webHidden/>
              </w:rPr>
              <w:fldChar w:fldCharType="end"/>
            </w:r>
          </w:hyperlink>
        </w:p>
        <w:p w14:paraId="6EB773E9" w14:textId="284E5D7C"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25" w:history="1">
            <w:r w:rsidRPr="00DD6118">
              <w:rPr>
                <w:rStyle w:val="Hyperlink"/>
                <w:noProof/>
              </w:rPr>
              <w:t>2.3 M&amp;A Performance and Value Realization</w:t>
            </w:r>
            <w:r>
              <w:rPr>
                <w:noProof/>
                <w:webHidden/>
              </w:rPr>
              <w:tab/>
            </w:r>
            <w:r>
              <w:rPr>
                <w:noProof/>
                <w:webHidden/>
              </w:rPr>
              <w:fldChar w:fldCharType="begin"/>
            </w:r>
            <w:r>
              <w:rPr>
                <w:noProof/>
                <w:webHidden/>
              </w:rPr>
              <w:instrText xml:space="preserve"> PAGEREF _Toc232351825 \h </w:instrText>
            </w:r>
            <w:r>
              <w:rPr>
                <w:noProof/>
                <w:webHidden/>
              </w:rPr>
            </w:r>
            <w:r>
              <w:rPr>
                <w:noProof/>
                <w:webHidden/>
              </w:rPr>
              <w:fldChar w:fldCharType="separate"/>
            </w:r>
            <w:r>
              <w:rPr>
                <w:noProof/>
                <w:webHidden/>
              </w:rPr>
              <w:t>32</w:t>
            </w:r>
            <w:r>
              <w:rPr>
                <w:noProof/>
                <w:webHidden/>
              </w:rPr>
              <w:fldChar w:fldCharType="end"/>
            </w:r>
          </w:hyperlink>
        </w:p>
        <w:p w14:paraId="0EE691EE" w14:textId="003B1261"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26" w:history="1">
            <w:r w:rsidRPr="00DD6118">
              <w:rPr>
                <w:rStyle w:val="Hyperlink"/>
                <w:noProof/>
              </w:rPr>
              <w:t>2.4 Serial Acquirers and Programmatic M&amp;A</w:t>
            </w:r>
            <w:r>
              <w:rPr>
                <w:noProof/>
                <w:webHidden/>
              </w:rPr>
              <w:tab/>
            </w:r>
            <w:r>
              <w:rPr>
                <w:noProof/>
                <w:webHidden/>
              </w:rPr>
              <w:fldChar w:fldCharType="begin"/>
            </w:r>
            <w:r>
              <w:rPr>
                <w:noProof/>
                <w:webHidden/>
              </w:rPr>
              <w:instrText xml:space="preserve"> PAGEREF _Toc232351826 \h </w:instrText>
            </w:r>
            <w:r>
              <w:rPr>
                <w:noProof/>
                <w:webHidden/>
              </w:rPr>
            </w:r>
            <w:r>
              <w:rPr>
                <w:noProof/>
                <w:webHidden/>
              </w:rPr>
              <w:fldChar w:fldCharType="separate"/>
            </w:r>
            <w:r>
              <w:rPr>
                <w:noProof/>
                <w:webHidden/>
              </w:rPr>
              <w:t>35</w:t>
            </w:r>
            <w:r>
              <w:rPr>
                <w:noProof/>
                <w:webHidden/>
              </w:rPr>
              <w:fldChar w:fldCharType="end"/>
            </w:r>
          </w:hyperlink>
        </w:p>
        <w:p w14:paraId="3E791AAC" w14:textId="354D26ED"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27" w:history="1">
            <w:r w:rsidRPr="00DD6118">
              <w:rPr>
                <w:rStyle w:val="Hyperlink"/>
                <w:noProof/>
              </w:rPr>
              <w:t>2.4.1 Acquisition Experience Versus Integration Capability</w:t>
            </w:r>
            <w:r>
              <w:rPr>
                <w:noProof/>
                <w:webHidden/>
              </w:rPr>
              <w:tab/>
            </w:r>
            <w:r>
              <w:rPr>
                <w:noProof/>
                <w:webHidden/>
              </w:rPr>
              <w:fldChar w:fldCharType="begin"/>
            </w:r>
            <w:r>
              <w:rPr>
                <w:noProof/>
                <w:webHidden/>
              </w:rPr>
              <w:instrText xml:space="preserve"> PAGEREF _Toc232351827 \h </w:instrText>
            </w:r>
            <w:r>
              <w:rPr>
                <w:noProof/>
                <w:webHidden/>
              </w:rPr>
            </w:r>
            <w:r>
              <w:rPr>
                <w:noProof/>
                <w:webHidden/>
              </w:rPr>
              <w:fldChar w:fldCharType="separate"/>
            </w:r>
            <w:r>
              <w:rPr>
                <w:noProof/>
                <w:webHidden/>
              </w:rPr>
              <w:t>37</w:t>
            </w:r>
            <w:r>
              <w:rPr>
                <w:noProof/>
                <w:webHidden/>
              </w:rPr>
              <w:fldChar w:fldCharType="end"/>
            </w:r>
          </w:hyperlink>
        </w:p>
        <w:p w14:paraId="47010FB3" w14:textId="4FE7023E"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28" w:history="1">
            <w:r w:rsidRPr="00DD6118">
              <w:rPr>
                <w:rStyle w:val="Hyperlink"/>
                <w:noProof/>
              </w:rPr>
              <w:t>2.5 Organizational Learning in M&amp;A</w:t>
            </w:r>
            <w:r>
              <w:rPr>
                <w:noProof/>
                <w:webHidden/>
              </w:rPr>
              <w:tab/>
            </w:r>
            <w:r>
              <w:rPr>
                <w:noProof/>
                <w:webHidden/>
              </w:rPr>
              <w:fldChar w:fldCharType="begin"/>
            </w:r>
            <w:r>
              <w:rPr>
                <w:noProof/>
                <w:webHidden/>
              </w:rPr>
              <w:instrText xml:space="preserve"> PAGEREF _Toc232351828 \h </w:instrText>
            </w:r>
            <w:r>
              <w:rPr>
                <w:noProof/>
                <w:webHidden/>
              </w:rPr>
            </w:r>
            <w:r>
              <w:rPr>
                <w:noProof/>
                <w:webHidden/>
              </w:rPr>
              <w:fldChar w:fldCharType="separate"/>
            </w:r>
            <w:r>
              <w:rPr>
                <w:noProof/>
                <w:webHidden/>
              </w:rPr>
              <w:t>38</w:t>
            </w:r>
            <w:r>
              <w:rPr>
                <w:noProof/>
                <w:webHidden/>
              </w:rPr>
              <w:fldChar w:fldCharType="end"/>
            </w:r>
          </w:hyperlink>
        </w:p>
        <w:p w14:paraId="0EC4305B" w14:textId="01CE6DAB"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29" w:history="1">
            <w:r w:rsidRPr="00DD6118">
              <w:rPr>
                <w:rStyle w:val="Hyperlink"/>
                <w:noProof/>
              </w:rPr>
              <w:t>2.5.1 From Lessons Learned to Institutional Learning</w:t>
            </w:r>
            <w:r>
              <w:rPr>
                <w:noProof/>
                <w:webHidden/>
              </w:rPr>
              <w:tab/>
            </w:r>
            <w:r>
              <w:rPr>
                <w:noProof/>
                <w:webHidden/>
              </w:rPr>
              <w:fldChar w:fldCharType="begin"/>
            </w:r>
            <w:r>
              <w:rPr>
                <w:noProof/>
                <w:webHidden/>
              </w:rPr>
              <w:instrText xml:space="preserve"> PAGEREF _Toc232351829 \h </w:instrText>
            </w:r>
            <w:r>
              <w:rPr>
                <w:noProof/>
                <w:webHidden/>
              </w:rPr>
            </w:r>
            <w:r>
              <w:rPr>
                <w:noProof/>
                <w:webHidden/>
              </w:rPr>
              <w:fldChar w:fldCharType="separate"/>
            </w:r>
            <w:r>
              <w:rPr>
                <w:noProof/>
                <w:webHidden/>
              </w:rPr>
              <w:t>40</w:t>
            </w:r>
            <w:r>
              <w:rPr>
                <w:noProof/>
                <w:webHidden/>
              </w:rPr>
              <w:fldChar w:fldCharType="end"/>
            </w:r>
          </w:hyperlink>
        </w:p>
        <w:p w14:paraId="177FBCDF" w14:textId="4DC8F16D"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30" w:history="1">
            <w:r w:rsidRPr="00DD6118">
              <w:rPr>
                <w:rStyle w:val="Hyperlink"/>
                <w:noProof/>
              </w:rPr>
              <w:t>2.6 Integration Governance and Decision Authority</w:t>
            </w:r>
            <w:r>
              <w:rPr>
                <w:noProof/>
                <w:webHidden/>
              </w:rPr>
              <w:tab/>
            </w:r>
            <w:r>
              <w:rPr>
                <w:noProof/>
                <w:webHidden/>
              </w:rPr>
              <w:fldChar w:fldCharType="begin"/>
            </w:r>
            <w:r>
              <w:rPr>
                <w:noProof/>
                <w:webHidden/>
              </w:rPr>
              <w:instrText xml:space="preserve"> PAGEREF _Toc232351830 \h </w:instrText>
            </w:r>
            <w:r>
              <w:rPr>
                <w:noProof/>
                <w:webHidden/>
              </w:rPr>
            </w:r>
            <w:r>
              <w:rPr>
                <w:noProof/>
                <w:webHidden/>
              </w:rPr>
              <w:fldChar w:fldCharType="separate"/>
            </w:r>
            <w:r>
              <w:rPr>
                <w:noProof/>
                <w:webHidden/>
              </w:rPr>
              <w:t>41</w:t>
            </w:r>
            <w:r>
              <w:rPr>
                <w:noProof/>
                <w:webHidden/>
              </w:rPr>
              <w:fldChar w:fldCharType="end"/>
            </w:r>
          </w:hyperlink>
        </w:p>
        <w:p w14:paraId="1A7D7821" w14:textId="07D3AA4D"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31" w:history="1">
            <w:r w:rsidRPr="00DD6118">
              <w:rPr>
                <w:rStyle w:val="Hyperlink"/>
                <w:noProof/>
              </w:rPr>
              <w:t>2.7 Post-Merger Integration</w:t>
            </w:r>
            <w:r>
              <w:rPr>
                <w:noProof/>
                <w:webHidden/>
              </w:rPr>
              <w:tab/>
            </w:r>
            <w:r>
              <w:rPr>
                <w:noProof/>
                <w:webHidden/>
              </w:rPr>
              <w:fldChar w:fldCharType="begin"/>
            </w:r>
            <w:r>
              <w:rPr>
                <w:noProof/>
                <w:webHidden/>
              </w:rPr>
              <w:instrText xml:space="preserve"> PAGEREF _Toc232351831 \h </w:instrText>
            </w:r>
            <w:r>
              <w:rPr>
                <w:noProof/>
                <w:webHidden/>
              </w:rPr>
            </w:r>
            <w:r>
              <w:rPr>
                <w:noProof/>
                <w:webHidden/>
              </w:rPr>
              <w:fldChar w:fldCharType="separate"/>
            </w:r>
            <w:r>
              <w:rPr>
                <w:noProof/>
                <w:webHidden/>
              </w:rPr>
              <w:t>42</w:t>
            </w:r>
            <w:r>
              <w:rPr>
                <w:noProof/>
                <w:webHidden/>
              </w:rPr>
              <w:fldChar w:fldCharType="end"/>
            </w:r>
          </w:hyperlink>
        </w:p>
        <w:p w14:paraId="5A76378B" w14:textId="49D265CA"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32" w:history="1">
            <w:r w:rsidRPr="00DD6118">
              <w:rPr>
                <w:rStyle w:val="Hyperlink"/>
                <w:noProof/>
              </w:rPr>
              <w:t>2.8 Integration Governance</w:t>
            </w:r>
            <w:r>
              <w:rPr>
                <w:noProof/>
                <w:webHidden/>
              </w:rPr>
              <w:tab/>
            </w:r>
            <w:r>
              <w:rPr>
                <w:noProof/>
                <w:webHidden/>
              </w:rPr>
              <w:fldChar w:fldCharType="begin"/>
            </w:r>
            <w:r>
              <w:rPr>
                <w:noProof/>
                <w:webHidden/>
              </w:rPr>
              <w:instrText xml:space="preserve"> PAGEREF _Toc232351832 \h </w:instrText>
            </w:r>
            <w:r>
              <w:rPr>
                <w:noProof/>
                <w:webHidden/>
              </w:rPr>
            </w:r>
            <w:r>
              <w:rPr>
                <w:noProof/>
                <w:webHidden/>
              </w:rPr>
              <w:fldChar w:fldCharType="separate"/>
            </w:r>
            <w:r>
              <w:rPr>
                <w:noProof/>
                <w:webHidden/>
              </w:rPr>
              <w:t>45</w:t>
            </w:r>
            <w:r>
              <w:rPr>
                <w:noProof/>
                <w:webHidden/>
              </w:rPr>
              <w:fldChar w:fldCharType="end"/>
            </w:r>
          </w:hyperlink>
        </w:p>
        <w:p w14:paraId="043DBA1F" w14:textId="04755F65"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33" w:history="1">
            <w:r w:rsidRPr="00DD6118">
              <w:rPr>
                <w:rStyle w:val="Hyperlink"/>
                <w:noProof/>
              </w:rPr>
              <w:t>2.9 Integration Planning</w:t>
            </w:r>
            <w:r>
              <w:rPr>
                <w:noProof/>
                <w:webHidden/>
              </w:rPr>
              <w:tab/>
            </w:r>
            <w:r>
              <w:rPr>
                <w:noProof/>
                <w:webHidden/>
              </w:rPr>
              <w:fldChar w:fldCharType="begin"/>
            </w:r>
            <w:r>
              <w:rPr>
                <w:noProof/>
                <w:webHidden/>
              </w:rPr>
              <w:instrText xml:space="preserve"> PAGEREF _Toc232351833 \h </w:instrText>
            </w:r>
            <w:r>
              <w:rPr>
                <w:noProof/>
                <w:webHidden/>
              </w:rPr>
            </w:r>
            <w:r>
              <w:rPr>
                <w:noProof/>
                <w:webHidden/>
              </w:rPr>
              <w:fldChar w:fldCharType="separate"/>
            </w:r>
            <w:r>
              <w:rPr>
                <w:noProof/>
                <w:webHidden/>
              </w:rPr>
              <w:t>50</w:t>
            </w:r>
            <w:r>
              <w:rPr>
                <w:noProof/>
                <w:webHidden/>
              </w:rPr>
              <w:fldChar w:fldCharType="end"/>
            </w:r>
          </w:hyperlink>
        </w:p>
        <w:p w14:paraId="4F19FCF2" w14:textId="1CF9C6E9"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34" w:history="1">
            <w:r w:rsidRPr="00DD6118">
              <w:rPr>
                <w:rStyle w:val="Hyperlink"/>
                <w:noProof/>
              </w:rPr>
              <w:t>2.10 Integration Execution</w:t>
            </w:r>
            <w:r>
              <w:rPr>
                <w:noProof/>
                <w:webHidden/>
              </w:rPr>
              <w:tab/>
            </w:r>
            <w:r>
              <w:rPr>
                <w:noProof/>
                <w:webHidden/>
              </w:rPr>
              <w:fldChar w:fldCharType="begin"/>
            </w:r>
            <w:r>
              <w:rPr>
                <w:noProof/>
                <w:webHidden/>
              </w:rPr>
              <w:instrText xml:space="preserve"> PAGEREF _Toc232351834 \h </w:instrText>
            </w:r>
            <w:r>
              <w:rPr>
                <w:noProof/>
                <w:webHidden/>
              </w:rPr>
            </w:r>
            <w:r>
              <w:rPr>
                <w:noProof/>
                <w:webHidden/>
              </w:rPr>
              <w:fldChar w:fldCharType="separate"/>
            </w:r>
            <w:r>
              <w:rPr>
                <w:noProof/>
                <w:webHidden/>
              </w:rPr>
              <w:t>54</w:t>
            </w:r>
            <w:r>
              <w:rPr>
                <w:noProof/>
                <w:webHidden/>
              </w:rPr>
              <w:fldChar w:fldCharType="end"/>
            </w:r>
          </w:hyperlink>
        </w:p>
        <w:p w14:paraId="3309A6E8" w14:textId="6ED72A86"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35" w:history="1">
            <w:r w:rsidRPr="00DD6118">
              <w:rPr>
                <w:rStyle w:val="Hyperlink"/>
                <w:noProof/>
              </w:rPr>
              <w:t>2.11 Technology and Systems Integration</w:t>
            </w:r>
            <w:r>
              <w:rPr>
                <w:noProof/>
                <w:webHidden/>
              </w:rPr>
              <w:tab/>
            </w:r>
            <w:r>
              <w:rPr>
                <w:noProof/>
                <w:webHidden/>
              </w:rPr>
              <w:fldChar w:fldCharType="begin"/>
            </w:r>
            <w:r>
              <w:rPr>
                <w:noProof/>
                <w:webHidden/>
              </w:rPr>
              <w:instrText xml:space="preserve"> PAGEREF _Toc232351835 \h </w:instrText>
            </w:r>
            <w:r>
              <w:rPr>
                <w:noProof/>
                <w:webHidden/>
              </w:rPr>
            </w:r>
            <w:r>
              <w:rPr>
                <w:noProof/>
                <w:webHidden/>
              </w:rPr>
              <w:fldChar w:fldCharType="separate"/>
            </w:r>
            <w:r>
              <w:rPr>
                <w:noProof/>
                <w:webHidden/>
              </w:rPr>
              <w:t>60</w:t>
            </w:r>
            <w:r>
              <w:rPr>
                <w:noProof/>
                <w:webHidden/>
              </w:rPr>
              <w:fldChar w:fldCharType="end"/>
            </w:r>
          </w:hyperlink>
        </w:p>
        <w:p w14:paraId="1454E7B4" w14:textId="16258D8A"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36" w:history="1">
            <w:r w:rsidRPr="00DD6118">
              <w:rPr>
                <w:rStyle w:val="Hyperlink"/>
                <w:noProof/>
              </w:rPr>
              <w:t>2.12 Organizational Learning in M&amp;A</w:t>
            </w:r>
            <w:r>
              <w:rPr>
                <w:noProof/>
                <w:webHidden/>
              </w:rPr>
              <w:tab/>
            </w:r>
            <w:r>
              <w:rPr>
                <w:noProof/>
                <w:webHidden/>
              </w:rPr>
              <w:fldChar w:fldCharType="begin"/>
            </w:r>
            <w:r>
              <w:rPr>
                <w:noProof/>
                <w:webHidden/>
              </w:rPr>
              <w:instrText xml:space="preserve"> PAGEREF _Toc232351836 \h </w:instrText>
            </w:r>
            <w:r>
              <w:rPr>
                <w:noProof/>
                <w:webHidden/>
              </w:rPr>
            </w:r>
            <w:r>
              <w:rPr>
                <w:noProof/>
                <w:webHidden/>
              </w:rPr>
              <w:fldChar w:fldCharType="separate"/>
            </w:r>
            <w:r>
              <w:rPr>
                <w:noProof/>
                <w:webHidden/>
              </w:rPr>
              <w:t>67</w:t>
            </w:r>
            <w:r>
              <w:rPr>
                <w:noProof/>
                <w:webHidden/>
              </w:rPr>
              <w:fldChar w:fldCharType="end"/>
            </w:r>
          </w:hyperlink>
        </w:p>
        <w:p w14:paraId="18499A91" w14:textId="3A6A4268"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37" w:history="1">
            <w:r w:rsidRPr="00DD6118">
              <w:rPr>
                <w:rStyle w:val="Hyperlink"/>
                <w:noProof/>
              </w:rPr>
              <w:t>2.13 Research Gap</w:t>
            </w:r>
            <w:r>
              <w:rPr>
                <w:noProof/>
                <w:webHidden/>
              </w:rPr>
              <w:tab/>
            </w:r>
            <w:r>
              <w:rPr>
                <w:noProof/>
                <w:webHidden/>
              </w:rPr>
              <w:fldChar w:fldCharType="begin"/>
            </w:r>
            <w:r>
              <w:rPr>
                <w:noProof/>
                <w:webHidden/>
              </w:rPr>
              <w:instrText xml:space="preserve"> PAGEREF _Toc232351837 \h </w:instrText>
            </w:r>
            <w:r>
              <w:rPr>
                <w:noProof/>
                <w:webHidden/>
              </w:rPr>
            </w:r>
            <w:r>
              <w:rPr>
                <w:noProof/>
                <w:webHidden/>
              </w:rPr>
              <w:fldChar w:fldCharType="separate"/>
            </w:r>
            <w:r>
              <w:rPr>
                <w:noProof/>
                <w:webHidden/>
              </w:rPr>
              <w:t>75</w:t>
            </w:r>
            <w:r>
              <w:rPr>
                <w:noProof/>
                <w:webHidden/>
              </w:rPr>
              <w:fldChar w:fldCharType="end"/>
            </w:r>
          </w:hyperlink>
        </w:p>
        <w:p w14:paraId="5ABB6CAA" w14:textId="3785D3B0" w:rsidR="00CB5964" w:rsidRDefault="00CB5964">
          <w:pPr>
            <w:pStyle w:val="TOC1"/>
            <w:rPr>
              <w:rFonts w:asciiTheme="minorHAnsi" w:eastAsiaTheme="minorEastAsia" w:hAnsiTheme="minorHAnsi" w:cstheme="minorBidi"/>
              <w:noProof/>
              <w:kern w:val="2"/>
              <w:lang w:val="en-CA"/>
              <w14:ligatures w14:val="standardContextual"/>
            </w:rPr>
          </w:pPr>
          <w:hyperlink w:anchor="_Toc232351838" w:history="1">
            <w:r w:rsidRPr="00DD6118">
              <w:rPr>
                <w:rStyle w:val="Hyperlink"/>
                <w:noProof/>
              </w:rPr>
              <w:t>RESEARCH METHODOLOGY</w:t>
            </w:r>
            <w:r>
              <w:rPr>
                <w:noProof/>
                <w:webHidden/>
              </w:rPr>
              <w:tab/>
            </w:r>
            <w:r>
              <w:rPr>
                <w:noProof/>
                <w:webHidden/>
              </w:rPr>
              <w:fldChar w:fldCharType="begin"/>
            </w:r>
            <w:r>
              <w:rPr>
                <w:noProof/>
                <w:webHidden/>
              </w:rPr>
              <w:instrText xml:space="preserve"> PAGEREF _Toc232351838 \h </w:instrText>
            </w:r>
            <w:r>
              <w:rPr>
                <w:noProof/>
                <w:webHidden/>
              </w:rPr>
            </w:r>
            <w:r>
              <w:rPr>
                <w:noProof/>
                <w:webHidden/>
              </w:rPr>
              <w:fldChar w:fldCharType="separate"/>
            </w:r>
            <w:r>
              <w:rPr>
                <w:noProof/>
                <w:webHidden/>
              </w:rPr>
              <w:t>82</w:t>
            </w:r>
            <w:r>
              <w:rPr>
                <w:noProof/>
                <w:webHidden/>
              </w:rPr>
              <w:fldChar w:fldCharType="end"/>
            </w:r>
          </w:hyperlink>
        </w:p>
        <w:p w14:paraId="6344943E" w14:textId="1E329307"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39" w:history="1">
            <w:r w:rsidRPr="00DD6118">
              <w:rPr>
                <w:rStyle w:val="Hyperlink"/>
                <w:noProof/>
              </w:rPr>
              <w:t>Chapter 3: Introduction</w:t>
            </w:r>
            <w:r>
              <w:rPr>
                <w:noProof/>
                <w:webHidden/>
              </w:rPr>
              <w:tab/>
            </w:r>
            <w:r>
              <w:rPr>
                <w:noProof/>
                <w:webHidden/>
              </w:rPr>
              <w:fldChar w:fldCharType="begin"/>
            </w:r>
            <w:r>
              <w:rPr>
                <w:noProof/>
                <w:webHidden/>
              </w:rPr>
              <w:instrText xml:space="preserve"> PAGEREF _Toc232351839 \h </w:instrText>
            </w:r>
            <w:r>
              <w:rPr>
                <w:noProof/>
                <w:webHidden/>
              </w:rPr>
            </w:r>
            <w:r>
              <w:rPr>
                <w:noProof/>
                <w:webHidden/>
              </w:rPr>
              <w:fldChar w:fldCharType="separate"/>
            </w:r>
            <w:r>
              <w:rPr>
                <w:noProof/>
                <w:webHidden/>
              </w:rPr>
              <w:t>82</w:t>
            </w:r>
            <w:r>
              <w:rPr>
                <w:noProof/>
                <w:webHidden/>
              </w:rPr>
              <w:fldChar w:fldCharType="end"/>
            </w:r>
          </w:hyperlink>
        </w:p>
        <w:p w14:paraId="58F7EA3C" w14:textId="324D220D"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40" w:history="1">
            <w:r w:rsidRPr="00DD6118">
              <w:rPr>
                <w:rStyle w:val="Hyperlink"/>
                <w:noProof/>
              </w:rPr>
              <w:t>3.1 Research Philosophy</w:t>
            </w:r>
            <w:r>
              <w:rPr>
                <w:noProof/>
                <w:webHidden/>
              </w:rPr>
              <w:tab/>
            </w:r>
            <w:r>
              <w:rPr>
                <w:noProof/>
                <w:webHidden/>
              </w:rPr>
              <w:fldChar w:fldCharType="begin"/>
            </w:r>
            <w:r>
              <w:rPr>
                <w:noProof/>
                <w:webHidden/>
              </w:rPr>
              <w:instrText xml:space="preserve"> PAGEREF _Toc232351840 \h </w:instrText>
            </w:r>
            <w:r>
              <w:rPr>
                <w:noProof/>
                <w:webHidden/>
              </w:rPr>
            </w:r>
            <w:r>
              <w:rPr>
                <w:noProof/>
                <w:webHidden/>
              </w:rPr>
              <w:fldChar w:fldCharType="separate"/>
            </w:r>
            <w:r>
              <w:rPr>
                <w:noProof/>
                <w:webHidden/>
              </w:rPr>
              <w:t>83</w:t>
            </w:r>
            <w:r>
              <w:rPr>
                <w:noProof/>
                <w:webHidden/>
              </w:rPr>
              <w:fldChar w:fldCharType="end"/>
            </w:r>
          </w:hyperlink>
        </w:p>
        <w:p w14:paraId="39E1E639" w14:textId="6E326DFA"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41" w:history="1">
            <w:r w:rsidRPr="00DD6118">
              <w:rPr>
                <w:rStyle w:val="Hyperlink"/>
                <w:noProof/>
              </w:rPr>
              <w:t>3.2 Research Design</w:t>
            </w:r>
            <w:r>
              <w:rPr>
                <w:noProof/>
                <w:webHidden/>
              </w:rPr>
              <w:tab/>
            </w:r>
            <w:r>
              <w:rPr>
                <w:noProof/>
                <w:webHidden/>
              </w:rPr>
              <w:fldChar w:fldCharType="begin"/>
            </w:r>
            <w:r>
              <w:rPr>
                <w:noProof/>
                <w:webHidden/>
              </w:rPr>
              <w:instrText xml:space="preserve"> PAGEREF _Toc232351841 \h </w:instrText>
            </w:r>
            <w:r>
              <w:rPr>
                <w:noProof/>
                <w:webHidden/>
              </w:rPr>
            </w:r>
            <w:r>
              <w:rPr>
                <w:noProof/>
                <w:webHidden/>
              </w:rPr>
              <w:fldChar w:fldCharType="separate"/>
            </w:r>
            <w:r>
              <w:rPr>
                <w:noProof/>
                <w:webHidden/>
              </w:rPr>
              <w:t>83</w:t>
            </w:r>
            <w:r>
              <w:rPr>
                <w:noProof/>
                <w:webHidden/>
              </w:rPr>
              <w:fldChar w:fldCharType="end"/>
            </w:r>
          </w:hyperlink>
        </w:p>
        <w:p w14:paraId="2A49FE29" w14:textId="0AB383A9"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42" w:history="1">
            <w:r w:rsidRPr="00DD6118">
              <w:rPr>
                <w:rStyle w:val="Hyperlink"/>
                <w:noProof/>
              </w:rPr>
              <w:t>3.3 Research Approach</w:t>
            </w:r>
            <w:r>
              <w:rPr>
                <w:noProof/>
                <w:webHidden/>
              </w:rPr>
              <w:tab/>
            </w:r>
            <w:r>
              <w:rPr>
                <w:noProof/>
                <w:webHidden/>
              </w:rPr>
              <w:fldChar w:fldCharType="begin"/>
            </w:r>
            <w:r>
              <w:rPr>
                <w:noProof/>
                <w:webHidden/>
              </w:rPr>
              <w:instrText xml:space="preserve"> PAGEREF _Toc232351842 \h </w:instrText>
            </w:r>
            <w:r>
              <w:rPr>
                <w:noProof/>
                <w:webHidden/>
              </w:rPr>
            </w:r>
            <w:r>
              <w:rPr>
                <w:noProof/>
                <w:webHidden/>
              </w:rPr>
              <w:fldChar w:fldCharType="separate"/>
            </w:r>
            <w:r>
              <w:rPr>
                <w:noProof/>
                <w:webHidden/>
              </w:rPr>
              <w:t>87</w:t>
            </w:r>
            <w:r>
              <w:rPr>
                <w:noProof/>
                <w:webHidden/>
              </w:rPr>
              <w:fldChar w:fldCharType="end"/>
            </w:r>
          </w:hyperlink>
        </w:p>
        <w:p w14:paraId="73A8427C" w14:textId="4906E01F"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43" w:history="1">
            <w:r w:rsidRPr="00DD6118">
              <w:rPr>
                <w:rStyle w:val="Hyperlink"/>
                <w:noProof/>
              </w:rPr>
              <w:t>3.4 Researcher Positionality</w:t>
            </w:r>
            <w:r>
              <w:rPr>
                <w:noProof/>
                <w:webHidden/>
              </w:rPr>
              <w:tab/>
            </w:r>
            <w:r>
              <w:rPr>
                <w:noProof/>
                <w:webHidden/>
              </w:rPr>
              <w:fldChar w:fldCharType="begin"/>
            </w:r>
            <w:r>
              <w:rPr>
                <w:noProof/>
                <w:webHidden/>
              </w:rPr>
              <w:instrText xml:space="preserve"> PAGEREF _Toc232351843 \h </w:instrText>
            </w:r>
            <w:r>
              <w:rPr>
                <w:noProof/>
                <w:webHidden/>
              </w:rPr>
            </w:r>
            <w:r>
              <w:rPr>
                <w:noProof/>
                <w:webHidden/>
              </w:rPr>
              <w:fldChar w:fldCharType="separate"/>
            </w:r>
            <w:r>
              <w:rPr>
                <w:noProof/>
                <w:webHidden/>
              </w:rPr>
              <w:t>89</w:t>
            </w:r>
            <w:r>
              <w:rPr>
                <w:noProof/>
                <w:webHidden/>
              </w:rPr>
              <w:fldChar w:fldCharType="end"/>
            </w:r>
          </w:hyperlink>
        </w:p>
        <w:p w14:paraId="190B75DA" w14:textId="152B01AD"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44" w:history="1">
            <w:r w:rsidRPr="00DD6118">
              <w:rPr>
                <w:rStyle w:val="Hyperlink"/>
                <w:noProof/>
                <w:lang w:val="en-CA"/>
              </w:rPr>
              <w:t>3.5 Participant Selection</w:t>
            </w:r>
            <w:r>
              <w:rPr>
                <w:noProof/>
                <w:webHidden/>
              </w:rPr>
              <w:tab/>
            </w:r>
            <w:r>
              <w:rPr>
                <w:noProof/>
                <w:webHidden/>
              </w:rPr>
              <w:fldChar w:fldCharType="begin"/>
            </w:r>
            <w:r>
              <w:rPr>
                <w:noProof/>
                <w:webHidden/>
              </w:rPr>
              <w:instrText xml:space="preserve"> PAGEREF _Toc232351844 \h </w:instrText>
            </w:r>
            <w:r>
              <w:rPr>
                <w:noProof/>
                <w:webHidden/>
              </w:rPr>
            </w:r>
            <w:r>
              <w:rPr>
                <w:noProof/>
                <w:webHidden/>
              </w:rPr>
              <w:fldChar w:fldCharType="separate"/>
            </w:r>
            <w:r>
              <w:rPr>
                <w:noProof/>
                <w:webHidden/>
              </w:rPr>
              <w:t>90</w:t>
            </w:r>
            <w:r>
              <w:rPr>
                <w:noProof/>
                <w:webHidden/>
              </w:rPr>
              <w:fldChar w:fldCharType="end"/>
            </w:r>
          </w:hyperlink>
        </w:p>
        <w:p w14:paraId="67B4E7C3" w14:textId="55531D6E"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45" w:history="1">
            <w:r w:rsidRPr="00DD6118">
              <w:rPr>
                <w:rStyle w:val="Hyperlink"/>
                <w:noProof/>
                <w:lang w:val="en-CA"/>
              </w:rPr>
              <w:t>3.6 Data Collection</w:t>
            </w:r>
            <w:r>
              <w:rPr>
                <w:noProof/>
                <w:webHidden/>
              </w:rPr>
              <w:tab/>
            </w:r>
            <w:r>
              <w:rPr>
                <w:noProof/>
                <w:webHidden/>
              </w:rPr>
              <w:fldChar w:fldCharType="begin"/>
            </w:r>
            <w:r>
              <w:rPr>
                <w:noProof/>
                <w:webHidden/>
              </w:rPr>
              <w:instrText xml:space="preserve"> PAGEREF _Toc232351845 \h </w:instrText>
            </w:r>
            <w:r>
              <w:rPr>
                <w:noProof/>
                <w:webHidden/>
              </w:rPr>
            </w:r>
            <w:r>
              <w:rPr>
                <w:noProof/>
                <w:webHidden/>
              </w:rPr>
              <w:fldChar w:fldCharType="separate"/>
            </w:r>
            <w:r>
              <w:rPr>
                <w:noProof/>
                <w:webHidden/>
              </w:rPr>
              <w:t>95</w:t>
            </w:r>
            <w:r>
              <w:rPr>
                <w:noProof/>
                <w:webHidden/>
              </w:rPr>
              <w:fldChar w:fldCharType="end"/>
            </w:r>
          </w:hyperlink>
        </w:p>
        <w:p w14:paraId="222C0D31" w14:textId="4EBCFD64"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46" w:history="1">
            <w:r w:rsidRPr="00DD6118">
              <w:rPr>
                <w:rStyle w:val="Hyperlink"/>
                <w:noProof/>
                <w:lang w:val="en-CA"/>
              </w:rPr>
              <w:t>3.7 Interview Structure</w:t>
            </w:r>
            <w:r>
              <w:rPr>
                <w:noProof/>
                <w:webHidden/>
              </w:rPr>
              <w:tab/>
            </w:r>
            <w:r>
              <w:rPr>
                <w:noProof/>
                <w:webHidden/>
              </w:rPr>
              <w:fldChar w:fldCharType="begin"/>
            </w:r>
            <w:r>
              <w:rPr>
                <w:noProof/>
                <w:webHidden/>
              </w:rPr>
              <w:instrText xml:space="preserve"> PAGEREF _Toc232351846 \h </w:instrText>
            </w:r>
            <w:r>
              <w:rPr>
                <w:noProof/>
                <w:webHidden/>
              </w:rPr>
            </w:r>
            <w:r>
              <w:rPr>
                <w:noProof/>
                <w:webHidden/>
              </w:rPr>
              <w:fldChar w:fldCharType="separate"/>
            </w:r>
            <w:r>
              <w:rPr>
                <w:noProof/>
                <w:webHidden/>
              </w:rPr>
              <w:t>97</w:t>
            </w:r>
            <w:r>
              <w:rPr>
                <w:noProof/>
                <w:webHidden/>
              </w:rPr>
              <w:fldChar w:fldCharType="end"/>
            </w:r>
          </w:hyperlink>
        </w:p>
        <w:p w14:paraId="0F02D31E" w14:textId="34810AE0"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47" w:history="1">
            <w:r w:rsidRPr="00DD6118">
              <w:rPr>
                <w:rStyle w:val="Hyperlink"/>
                <w:noProof/>
                <w:lang w:val="en-CA"/>
              </w:rPr>
              <w:t>3.7.1 Alignment of Interview Design with Research Questions</w:t>
            </w:r>
            <w:r>
              <w:rPr>
                <w:noProof/>
                <w:webHidden/>
              </w:rPr>
              <w:tab/>
            </w:r>
            <w:r>
              <w:rPr>
                <w:noProof/>
                <w:webHidden/>
              </w:rPr>
              <w:fldChar w:fldCharType="begin"/>
            </w:r>
            <w:r>
              <w:rPr>
                <w:noProof/>
                <w:webHidden/>
              </w:rPr>
              <w:instrText xml:space="preserve"> PAGEREF _Toc232351847 \h </w:instrText>
            </w:r>
            <w:r>
              <w:rPr>
                <w:noProof/>
                <w:webHidden/>
              </w:rPr>
            </w:r>
            <w:r>
              <w:rPr>
                <w:noProof/>
                <w:webHidden/>
              </w:rPr>
              <w:fldChar w:fldCharType="separate"/>
            </w:r>
            <w:r>
              <w:rPr>
                <w:noProof/>
                <w:webHidden/>
              </w:rPr>
              <w:t>100</w:t>
            </w:r>
            <w:r>
              <w:rPr>
                <w:noProof/>
                <w:webHidden/>
              </w:rPr>
              <w:fldChar w:fldCharType="end"/>
            </w:r>
          </w:hyperlink>
        </w:p>
        <w:p w14:paraId="7A69CFDB" w14:textId="53C2FA6D"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48" w:history="1">
            <w:r w:rsidRPr="00DD6118">
              <w:rPr>
                <w:rStyle w:val="Hyperlink"/>
                <w:noProof/>
                <w:lang w:val="en-CA"/>
              </w:rPr>
              <w:t>3.8 Data Analysis</w:t>
            </w:r>
            <w:r>
              <w:rPr>
                <w:noProof/>
                <w:webHidden/>
              </w:rPr>
              <w:tab/>
            </w:r>
            <w:r>
              <w:rPr>
                <w:noProof/>
                <w:webHidden/>
              </w:rPr>
              <w:fldChar w:fldCharType="begin"/>
            </w:r>
            <w:r>
              <w:rPr>
                <w:noProof/>
                <w:webHidden/>
              </w:rPr>
              <w:instrText xml:space="preserve"> PAGEREF _Toc232351848 \h </w:instrText>
            </w:r>
            <w:r>
              <w:rPr>
                <w:noProof/>
                <w:webHidden/>
              </w:rPr>
            </w:r>
            <w:r>
              <w:rPr>
                <w:noProof/>
                <w:webHidden/>
              </w:rPr>
              <w:fldChar w:fldCharType="separate"/>
            </w:r>
            <w:r>
              <w:rPr>
                <w:noProof/>
                <w:webHidden/>
              </w:rPr>
              <w:t>102</w:t>
            </w:r>
            <w:r>
              <w:rPr>
                <w:noProof/>
                <w:webHidden/>
              </w:rPr>
              <w:fldChar w:fldCharType="end"/>
            </w:r>
          </w:hyperlink>
        </w:p>
        <w:p w14:paraId="4857F9F9" w14:textId="0756EBFC"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49" w:history="1">
            <w:r w:rsidRPr="00DD6118">
              <w:rPr>
                <w:rStyle w:val="Hyperlink"/>
                <w:noProof/>
              </w:rPr>
              <w:t>3.9 Research Limitations</w:t>
            </w:r>
            <w:r>
              <w:rPr>
                <w:noProof/>
                <w:webHidden/>
              </w:rPr>
              <w:tab/>
            </w:r>
            <w:r>
              <w:rPr>
                <w:noProof/>
                <w:webHidden/>
              </w:rPr>
              <w:fldChar w:fldCharType="begin"/>
            </w:r>
            <w:r>
              <w:rPr>
                <w:noProof/>
                <w:webHidden/>
              </w:rPr>
              <w:instrText xml:space="preserve"> PAGEREF _Toc232351849 \h </w:instrText>
            </w:r>
            <w:r>
              <w:rPr>
                <w:noProof/>
                <w:webHidden/>
              </w:rPr>
            </w:r>
            <w:r>
              <w:rPr>
                <w:noProof/>
                <w:webHidden/>
              </w:rPr>
              <w:fldChar w:fldCharType="separate"/>
            </w:r>
            <w:r>
              <w:rPr>
                <w:noProof/>
                <w:webHidden/>
              </w:rPr>
              <w:t>108</w:t>
            </w:r>
            <w:r>
              <w:rPr>
                <w:noProof/>
                <w:webHidden/>
              </w:rPr>
              <w:fldChar w:fldCharType="end"/>
            </w:r>
          </w:hyperlink>
        </w:p>
        <w:p w14:paraId="721D9135" w14:textId="3B241460"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50" w:history="1">
            <w:r w:rsidRPr="00DD6118">
              <w:rPr>
                <w:rStyle w:val="Hyperlink"/>
                <w:noProof/>
                <w:lang w:val="en-CA"/>
              </w:rPr>
              <w:t>3.10 Reliability and Validity</w:t>
            </w:r>
            <w:r>
              <w:rPr>
                <w:noProof/>
                <w:webHidden/>
              </w:rPr>
              <w:tab/>
            </w:r>
            <w:r>
              <w:rPr>
                <w:noProof/>
                <w:webHidden/>
              </w:rPr>
              <w:fldChar w:fldCharType="begin"/>
            </w:r>
            <w:r>
              <w:rPr>
                <w:noProof/>
                <w:webHidden/>
              </w:rPr>
              <w:instrText xml:space="preserve"> PAGEREF _Toc232351850 \h </w:instrText>
            </w:r>
            <w:r>
              <w:rPr>
                <w:noProof/>
                <w:webHidden/>
              </w:rPr>
            </w:r>
            <w:r>
              <w:rPr>
                <w:noProof/>
                <w:webHidden/>
              </w:rPr>
              <w:fldChar w:fldCharType="separate"/>
            </w:r>
            <w:r>
              <w:rPr>
                <w:noProof/>
                <w:webHidden/>
              </w:rPr>
              <w:t>109</w:t>
            </w:r>
            <w:r>
              <w:rPr>
                <w:noProof/>
                <w:webHidden/>
              </w:rPr>
              <w:fldChar w:fldCharType="end"/>
            </w:r>
          </w:hyperlink>
        </w:p>
        <w:p w14:paraId="73589097" w14:textId="794129DC"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51" w:history="1">
            <w:r w:rsidRPr="00DD6118">
              <w:rPr>
                <w:rStyle w:val="Hyperlink"/>
                <w:noProof/>
                <w:lang w:val="en-CA"/>
              </w:rPr>
              <w:t>3.11 Ethical Considerations</w:t>
            </w:r>
            <w:r>
              <w:rPr>
                <w:noProof/>
                <w:webHidden/>
              </w:rPr>
              <w:tab/>
            </w:r>
            <w:r>
              <w:rPr>
                <w:noProof/>
                <w:webHidden/>
              </w:rPr>
              <w:fldChar w:fldCharType="begin"/>
            </w:r>
            <w:r>
              <w:rPr>
                <w:noProof/>
                <w:webHidden/>
              </w:rPr>
              <w:instrText xml:space="preserve"> PAGEREF _Toc232351851 \h </w:instrText>
            </w:r>
            <w:r>
              <w:rPr>
                <w:noProof/>
                <w:webHidden/>
              </w:rPr>
            </w:r>
            <w:r>
              <w:rPr>
                <w:noProof/>
                <w:webHidden/>
              </w:rPr>
              <w:fldChar w:fldCharType="separate"/>
            </w:r>
            <w:r>
              <w:rPr>
                <w:noProof/>
                <w:webHidden/>
              </w:rPr>
              <w:t>112</w:t>
            </w:r>
            <w:r>
              <w:rPr>
                <w:noProof/>
                <w:webHidden/>
              </w:rPr>
              <w:fldChar w:fldCharType="end"/>
            </w:r>
          </w:hyperlink>
        </w:p>
        <w:p w14:paraId="27AFF841" w14:textId="35B7D2B7" w:rsidR="00CB5964" w:rsidRDefault="00CB5964">
          <w:pPr>
            <w:pStyle w:val="TOC1"/>
            <w:rPr>
              <w:rFonts w:asciiTheme="minorHAnsi" w:eastAsiaTheme="minorEastAsia" w:hAnsiTheme="minorHAnsi" w:cstheme="minorBidi"/>
              <w:noProof/>
              <w:kern w:val="2"/>
              <w:lang w:val="en-CA"/>
              <w14:ligatures w14:val="standardContextual"/>
            </w:rPr>
          </w:pPr>
          <w:hyperlink w:anchor="_Toc232351852" w:history="1">
            <w:r w:rsidRPr="00DD6118">
              <w:rPr>
                <w:rStyle w:val="Hyperlink"/>
                <w:noProof/>
              </w:rPr>
              <w:t>RESEARCH FINDINGS</w:t>
            </w:r>
            <w:r>
              <w:rPr>
                <w:noProof/>
                <w:webHidden/>
              </w:rPr>
              <w:tab/>
            </w:r>
            <w:r>
              <w:rPr>
                <w:noProof/>
                <w:webHidden/>
              </w:rPr>
              <w:fldChar w:fldCharType="begin"/>
            </w:r>
            <w:r>
              <w:rPr>
                <w:noProof/>
                <w:webHidden/>
              </w:rPr>
              <w:instrText xml:space="preserve"> PAGEREF _Toc232351852 \h </w:instrText>
            </w:r>
            <w:r>
              <w:rPr>
                <w:noProof/>
                <w:webHidden/>
              </w:rPr>
            </w:r>
            <w:r>
              <w:rPr>
                <w:noProof/>
                <w:webHidden/>
              </w:rPr>
              <w:fldChar w:fldCharType="separate"/>
            </w:r>
            <w:r>
              <w:rPr>
                <w:noProof/>
                <w:webHidden/>
              </w:rPr>
              <w:t>114</w:t>
            </w:r>
            <w:r>
              <w:rPr>
                <w:noProof/>
                <w:webHidden/>
              </w:rPr>
              <w:fldChar w:fldCharType="end"/>
            </w:r>
          </w:hyperlink>
        </w:p>
        <w:p w14:paraId="24D391C8" w14:textId="039395F1"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53" w:history="1">
            <w:r w:rsidRPr="00DD6118">
              <w:rPr>
                <w:rStyle w:val="Hyperlink"/>
                <w:noProof/>
              </w:rPr>
              <w:t>Chapter 4: Overview of Participants</w:t>
            </w:r>
            <w:r>
              <w:rPr>
                <w:noProof/>
                <w:webHidden/>
              </w:rPr>
              <w:tab/>
            </w:r>
            <w:r>
              <w:rPr>
                <w:noProof/>
                <w:webHidden/>
              </w:rPr>
              <w:fldChar w:fldCharType="begin"/>
            </w:r>
            <w:r>
              <w:rPr>
                <w:noProof/>
                <w:webHidden/>
              </w:rPr>
              <w:instrText xml:space="preserve"> PAGEREF _Toc232351853 \h </w:instrText>
            </w:r>
            <w:r>
              <w:rPr>
                <w:noProof/>
                <w:webHidden/>
              </w:rPr>
            </w:r>
            <w:r>
              <w:rPr>
                <w:noProof/>
                <w:webHidden/>
              </w:rPr>
              <w:fldChar w:fldCharType="separate"/>
            </w:r>
            <w:r>
              <w:rPr>
                <w:noProof/>
                <w:webHidden/>
              </w:rPr>
              <w:t>114</w:t>
            </w:r>
            <w:r>
              <w:rPr>
                <w:noProof/>
                <w:webHidden/>
              </w:rPr>
              <w:fldChar w:fldCharType="end"/>
            </w:r>
          </w:hyperlink>
        </w:p>
        <w:p w14:paraId="638C7A06" w14:textId="27E7BCC8"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54" w:history="1">
            <w:r w:rsidRPr="00DD6118">
              <w:rPr>
                <w:rStyle w:val="Hyperlink"/>
                <w:noProof/>
              </w:rPr>
              <w:t>4.1 Integration Governance Themes</w:t>
            </w:r>
            <w:r>
              <w:rPr>
                <w:noProof/>
                <w:webHidden/>
              </w:rPr>
              <w:tab/>
            </w:r>
            <w:r>
              <w:rPr>
                <w:noProof/>
                <w:webHidden/>
              </w:rPr>
              <w:fldChar w:fldCharType="begin"/>
            </w:r>
            <w:r>
              <w:rPr>
                <w:noProof/>
                <w:webHidden/>
              </w:rPr>
              <w:instrText xml:space="preserve"> PAGEREF _Toc232351854 \h </w:instrText>
            </w:r>
            <w:r>
              <w:rPr>
                <w:noProof/>
                <w:webHidden/>
              </w:rPr>
            </w:r>
            <w:r>
              <w:rPr>
                <w:noProof/>
                <w:webHidden/>
              </w:rPr>
              <w:fldChar w:fldCharType="separate"/>
            </w:r>
            <w:r>
              <w:rPr>
                <w:noProof/>
                <w:webHidden/>
              </w:rPr>
              <w:t>116</w:t>
            </w:r>
            <w:r>
              <w:rPr>
                <w:noProof/>
                <w:webHidden/>
              </w:rPr>
              <w:fldChar w:fldCharType="end"/>
            </w:r>
          </w:hyperlink>
        </w:p>
        <w:p w14:paraId="1F322640" w14:textId="7E3D9D7E"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55" w:history="1">
            <w:r w:rsidRPr="00DD6118">
              <w:rPr>
                <w:rStyle w:val="Hyperlink"/>
                <w:noProof/>
              </w:rPr>
              <w:t>4.2 Integration Planning Practices</w:t>
            </w:r>
            <w:r>
              <w:rPr>
                <w:noProof/>
                <w:webHidden/>
              </w:rPr>
              <w:tab/>
            </w:r>
            <w:r>
              <w:rPr>
                <w:noProof/>
                <w:webHidden/>
              </w:rPr>
              <w:fldChar w:fldCharType="begin"/>
            </w:r>
            <w:r>
              <w:rPr>
                <w:noProof/>
                <w:webHidden/>
              </w:rPr>
              <w:instrText xml:space="preserve"> PAGEREF _Toc232351855 \h </w:instrText>
            </w:r>
            <w:r>
              <w:rPr>
                <w:noProof/>
                <w:webHidden/>
              </w:rPr>
            </w:r>
            <w:r>
              <w:rPr>
                <w:noProof/>
                <w:webHidden/>
              </w:rPr>
              <w:fldChar w:fldCharType="separate"/>
            </w:r>
            <w:r>
              <w:rPr>
                <w:noProof/>
                <w:webHidden/>
              </w:rPr>
              <w:t>121</w:t>
            </w:r>
            <w:r>
              <w:rPr>
                <w:noProof/>
                <w:webHidden/>
              </w:rPr>
              <w:fldChar w:fldCharType="end"/>
            </w:r>
          </w:hyperlink>
        </w:p>
        <w:p w14:paraId="61F23892" w14:textId="70C6A9BF"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56" w:history="1">
            <w:r w:rsidRPr="00DD6118">
              <w:rPr>
                <w:rStyle w:val="Hyperlink"/>
                <w:noProof/>
              </w:rPr>
              <w:t>4.3 Integration Execution Practices</w:t>
            </w:r>
            <w:r>
              <w:rPr>
                <w:noProof/>
                <w:webHidden/>
              </w:rPr>
              <w:tab/>
            </w:r>
            <w:r>
              <w:rPr>
                <w:noProof/>
                <w:webHidden/>
              </w:rPr>
              <w:fldChar w:fldCharType="begin"/>
            </w:r>
            <w:r>
              <w:rPr>
                <w:noProof/>
                <w:webHidden/>
              </w:rPr>
              <w:instrText xml:space="preserve"> PAGEREF _Toc232351856 \h </w:instrText>
            </w:r>
            <w:r>
              <w:rPr>
                <w:noProof/>
                <w:webHidden/>
              </w:rPr>
            </w:r>
            <w:r>
              <w:rPr>
                <w:noProof/>
                <w:webHidden/>
              </w:rPr>
              <w:fldChar w:fldCharType="separate"/>
            </w:r>
            <w:r>
              <w:rPr>
                <w:noProof/>
                <w:webHidden/>
              </w:rPr>
              <w:t>126</w:t>
            </w:r>
            <w:r>
              <w:rPr>
                <w:noProof/>
                <w:webHidden/>
              </w:rPr>
              <w:fldChar w:fldCharType="end"/>
            </w:r>
          </w:hyperlink>
        </w:p>
        <w:p w14:paraId="24711248" w14:textId="708E355C"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57" w:history="1">
            <w:r w:rsidRPr="00DD6118">
              <w:rPr>
                <w:rStyle w:val="Hyperlink"/>
                <w:noProof/>
              </w:rPr>
              <w:t>4.4 Technology Integration</w:t>
            </w:r>
            <w:r>
              <w:rPr>
                <w:noProof/>
                <w:webHidden/>
              </w:rPr>
              <w:tab/>
            </w:r>
            <w:r>
              <w:rPr>
                <w:noProof/>
                <w:webHidden/>
              </w:rPr>
              <w:fldChar w:fldCharType="begin"/>
            </w:r>
            <w:r>
              <w:rPr>
                <w:noProof/>
                <w:webHidden/>
              </w:rPr>
              <w:instrText xml:space="preserve"> PAGEREF _Toc232351857 \h </w:instrText>
            </w:r>
            <w:r>
              <w:rPr>
                <w:noProof/>
                <w:webHidden/>
              </w:rPr>
            </w:r>
            <w:r>
              <w:rPr>
                <w:noProof/>
                <w:webHidden/>
              </w:rPr>
              <w:fldChar w:fldCharType="separate"/>
            </w:r>
            <w:r>
              <w:rPr>
                <w:noProof/>
                <w:webHidden/>
              </w:rPr>
              <w:t>130</w:t>
            </w:r>
            <w:r>
              <w:rPr>
                <w:noProof/>
                <w:webHidden/>
              </w:rPr>
              <w:fldChar w:fldCharType="end"/>
            </w:r>
          </w:hyperlink>
        </w:p>
        <w:p w14:paraId="20D71472" w14:textId="563F0548"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58" w:history="1">
            <w:r w:rsidRPr="00DD6118">
              <w:rPr>
                <w:rStyle w:val="Hyperlink"/>
                <w:noProof/>
              </w:rPr>
              <w:t>4.5 Human Capital and Organizational Factors</w:t>
            </w:r>
            <w:r>
              <w:rPr>
                <w:noProof/>
                <w:webHidden/>
              </w:rPr>
              <w:tab/>
            </w:r>
            <w:r>
              <w:rPr>
                <w:noProof/>
                <w:webHidden/>
              </w:rPr>
              <w:fldChar w:fldCharType="begin"/>
            </w:r>
            <w:r>
              <w:rPr>
                <w:noProof/>
                <w:webHidden/>
              </w:rPr>
              <w:instrText xml:space="preserve"> PAGEREF _Toc232351858 \h </w:instrText>
            </w:r>
            <w:r>
              <w:rPr>
                <w:noProof/>
                <w:webHidden/>
              </w:rPr>
            </w:r>
            <w:r>
              <w:rPr>
                <w:noProof/>
                <w:webHidden/>
              </w:rPr>
              <w:fldChar w:fldCharType="separate"/>
            </w:r>
            <w:r>
              <w:rPr>
                <w:noProof/>
                <w:webHidden/>
              </w:rPr>
              <w:t>133</w:t>
            </w:r>
            <w:r>
              <w:rPr>
                <w:noProof/>
                <w:webHidden/>
              </w:rPr>
              <w:fldChar w:fldCharType="end"/>
            </w:r>
          </w:hyperlink>
        </w:p>
        <w:p w14:paraId="76382D68" w14:textId="6F0A4217"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59" w:history="1">
            <w:r w:rsidRPr="00DD6118">
              <w:rPr>
                <w:rStyle w:val="Hyperlink"/>
                <w:noProof/>
              </w:rPr>
              <w:t>4.6 Organizational Learning</w:t>
            </w:r>
            <w:r>
              <w:rPr>
                <w:noProof/>
                <w:webHidden/>
              </w:rPr>
              <w:tab/>
            </w:r>
            <w:r>
              <w:rPr>
                <w:noProof/>
                <w:webHidden/>
              </w:rPr>
              <w:fldChar w:fldCharType="begin"/>
            </w:r>
            <w:r>
              <w:rPr>
                <w:noProof/>
                <w:webHidden/>
              </w:rPr>
              <w:instrText xml:space="preserve"> PAGEREF _Toc232351859 \h </w:instrText>
            </w:r>
            <w:r>
              <w:rPr>
                <w:noProof/>
                <w:webHidden/>
              </w:rPr>
            </w:r>
            <w:r>
              <w:rPr>
                <w:noProof/>
                <w:webHidden/>
              </w:rPr>
              <w:fldChar w:fldCharType="separate"/>
            </w:r>
            <w:r>
              <w:rPr>
                <w:noProof/>
                <w:webHidden/>
              </w:rPr>
              <w:t>138</w:t>
            </w:r>
            <w:r>
              <w:rPr>
                <w:noProof/>
                <w:webHidden/>
              </w:rPr>
              <w:fldChar w:fldCharType="end"/>
            </w:r>
          </w:hyperlink>
        </w:p>
        <w:p w14:paraId="6432E05F" w14:textId="5DF27C99"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60" w:history="1">
            <w:r w:rsidRPr="00DD6118">
              <w:rPr>
                <w:rStyle w:val="Hyperlink"/>
                <w:noProof/>
              </w:rPr>
              <w:t>4.7 Success Factors in Serial Acquisitions</w:t>
            </w:r>
            <w:r>
              <w:rPr>
                <w:noProof/>
                <w:webHidden/>
              </w:rPr>
              <w:tab/>
            </w:r>
            <w:r>
              <w:rPr>
                <w:noProof/>
                <w:webHidden/>
              </w:rPr>
              <w:fldChar w:fldCharType="begin"/>
            </w:r>
            <w:r>
              <w:rPr>
                <w:noProof/>
                <w:webHidden/>
              </w:rPr>
              <w:instrText xml:space="preserve"> PAGEREF _Toc232351860 \h </w:instrText>
            </w:r>
            <w:r>
              <w:rPr>
                <w:noProof/>
                <w:webHidden/>
              </w:rPr>
            </w:r>
            <w:r>
              <w:rPr>
                <w:noProof/>
                <w:webHidden/>
              </w:rPr>
              <w:fldChar w:fldCharType="separate"/>
            </w:r>
            <w:r>
              <w:rPr>
                <w:noProof/>
                <w:webHidden/>
              </w:rPr>
              <w:t>143</w:t>
            </w:r>
            <w:r>
              <w:rPr>
                <w:noProof/>
                <w:webHidden/>
              </w:rPr>
              <w:fldChar w:fldCharType="end"/>
            </w:r>
          </w:hyperlink>
        </w:p>
        <w:p w14:paraId="0ED68471" w14:textId="15C90E90"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61" w:history="1">
            <w:r w:rsidRPr="00DD6118">
              <w:rPr>
                <w:rStyle w:val="Hyperlink"/>
                <w:noProof/>
                <w:lang w:val="en-CA"/>
              </w:rPr>
              <w:t>4.8 Synthesis of Cross-Theme Findings</w:t>
            </w:r>
            <w:r>
              <w:rPr>
                <w:noProof/>
                <w:webHidden/>
              </w:rPr>
              <w:tab/>
            </w:r>
            <w:r>
              <w:rPr>
                <w:noProof/>
                <w:webHidden/>
              </w:rPr>
              <w:fldChar w:fldCharType="begin"/>
            </w:r>
            <w:r>
              <w:rPr>
                <w:noProof/>
                <w:webHidden/>
              </w:rPr>
              <w:instrText xml:space="preserve"> PAGEREF _Toc232351861 \h </w:instrText>
            </w:r>
            <w:r>
              <w:rPr>
                <w:noProof/>
                <w:webHidden/>
              </w:rPr>
            </w:r>
            <w:r>
              <w:rPr>
                <w:noProof/>
                <w:webHidden/>
              </w:rPr>
              <w:fldChar w:fldCharType="separate"/>
            </w:r>
            <w:r>
              <w:rPr>
                <w:noProof/>
                <w:webHidden/>
              </w:rPr>
              <w:t>146</w:t>
            </w:r>
            <w:r>
              <w:rPr>
                <w:noProof/>
                <w:webHidden/>
              </w:rPr>
              <w:fldChar w:fldCharType="end"/>
            </w:r>
          </w:hyperlink>
        </w:p>
        <w:p w14:paraId="56A3940E" w14:textId="08F92475"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62" w:history="1">
            <w:r w:rsidRPr="00DD6118">
              <w:rPr>
                <w:rStyle w:val="Hyperlink"/>
                <w:noProof/>
              </w:rPr>
              <w:t>4.9 Cross-Theme Patterns Across Interviews</w:t>
            </w:r>
            <w:r>
              <w:rPr>
                <w:noProof/>
                <w:webHidden/>
              </w:rPr>
              <w:tab/>
            </w:r>
            <w:r>
              <w:rPr>
                <w:noProof/>
                <w:webHidden/>
              </w:rPr>
              <w:fldChar w:fldCharType="begin"/>
            </w:r>
            <w:r>
              <w:rPr>
                <w:noProof/>
                <w:webHidden/>
              </w:rPr>
              <w:instrText xml:space="preserve"> PAGEREF _Toc232351862 \h </w:instrText>
            </w:r>
            <w:r>
              <w:rPr>
                <w:noProof/>
                <w:webHidden/>
              </w:rPr>
            </w:r>
            <w:r>
              <w:rPr>
                <w:noProof/>
                <w:webHidden/>
              </w:rPr>
              <w:fldChar w:fldCharType="separate"/>
            </w:r>
            <w:r>
              <w:rPr>
                <w:noProof/>
                <w:webHidden/>
              </w:rPr>
              <w:t>149</w:t>
            </w:r>
            <w:r>
              <w:rPr>
                <w:noProof/>
                <w:webHidden/>
              </w:rPr>
              <w:fldChar w:fldCharType="end"/>
            </w:r>
          </w:hyperlink>
        </w:p>
        <w:p w14:paraId="5C73AEFB" w14:textId="471039A7"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63" w:history="1">
            <w:r w:rsidRPr="00DD6118">
              <w:rPr>
                <w:rStyle w:val="Hyperlink"/>
                <w:noProof/>
              </w:rPr>
              <w:t>4.10 Illustrative Integration Vignettes</w:t>
            </w:r>
            <w:r>
              <w:rPr>
                <w:noProof/>
                <w:webHidden/>
              </w:rPr>
              <w:tab/>
            </w:r>
            <w:r>
              <w:rPr>
                <w:noProof/>
                <w:webHidden/>
              </w:rPr>
              <w:fldChar w:fldCharType="begin"/>
            </w:r>
            <w:r>
              <w:rPr>
                <w:noProof/>
                <w:webHidden/>
              </w:rPr>
              <w:instrText xml:space="preserve"> PAGEREF _Toc232351863 \h </w:instrText>
            </w:r>
            <w:r>
              <w:rPr>
                <w:noProof/>
                <w:webHidden/>
              </w:rPr>
            </w:r>
            <w:r>
              <w:rPr>
                <w:noProof/>
                <w:webHidden/>
              </w:rPr>
              <w:fldChar w:fldCharType="separate"/>
            </w:r>
            <w:r>
              <w:rPr>
                <w:noProof/>
                <w:webHidden/>
              </w:rPr>
              <w:t>152</w:t>
            </w:r>
            <w:r>
              <w:rPr>
                <w:noProof/>
                <w:webHidden/>
              </w:rPr>
              <w:fldChar w:fldCharType="end"/>
            </w:r>
          </w:hyperlink>
        </w:p>
        <w:p w14:paraId="5D0CC17A" w14:textId="628A3E31" w:rsidR="00CB5964" w:rsidRDefault="00CB5964">
          <w:pPr>
            <w:pStyle w:val="TOC1"/>
            <w:rPr>
              <w:rFonts w:asciiTheme="minorHAnsi" w:eastAsiaTheme="minorEastAsia" w:hAnsiTheme="minorHAnsi" w:cstheme="minorBidi"/>
              <w:noProof/>
              <w:kern w:val="2"/>
              <w:lang w:val="en-CA"/>
              <w14:ligatures w14:val="standardContextual"/>
            </w:rPr>
          </w:pPr>
          <w:hyperlink w:anchor="_Toc232351864" w:history="1">
            <w:r w:rsidRPr="00DD6118">
              <w:rPr>
                <w:rStyle w:val="Hyperlink"/>
                <w:noProof/>
              </w:rPr>
              <w:t>ANALYSIS AND DISCUSSION</w:t>
            </w:r>
            <w:r>
              <w:rPr>
                <w:noProof/>
                <w:webHidden/>
              </w:rPr>
              <w:tab/>
            </w:r>
            <w:r>
              <w:rPr>
                <w:noProof/>
                <w:webHidden/>
              </w:rPr>
              <w:fldChar w:fldCharType="begin"/>
            </w:r>
            <w:r>
              <w:rPr>
                <w:noProof/>
                <w:webHidden/>
              </w:rPr>
              <w:instrText xml:space="preserve"> PAGEREF _Toc232351864 \h </w:instrText>
            </w:r>
            <w:r>
              <w:rPr>
                <w:noProof/>
                <w:webHidden/>
              </w:rPr>
            </w:r>
            <w:r>
              <w:rPr>
                <w:noProof/>
                <w:webHidden/>
              </w:rPr>
              <w:fldChar w:fldCharType="separate"/>
            </w:r>
            <w:r>
              <w:rPr>
                <w:noProof/>
                <w:webHidden/>
              </w:rPr>
              <w:t>154</w:t>
            </w:r>
            <w:r>
              <w:rPr>
                <w:noProof/>
                <w:webHidden/>
              </w:rPr>
              <w:fldChar w:fldCharType="end"/>
            </w:r>
          </w:hyperlink>
        </w:p>
        <w:p w14:paraId="4D674D8C" w14:textId="24143D98"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65" w:history="1">
            <w:r w:rsidRPr="00DD6118">
              <w:rPr>
                <w:rStyle w:val="Hyperlink"/>
                <w:rFonts w:eastAsia="MS Gothic"/>
                <w:noProof/>
              </w:rPr>
              <w:t>Chapter 5: Introduction</w:t>
            </w:r>
            <w:r>
              <w:rPr>
                <w:noProof/>
                <w:webHidden/>
              </w:rPr>
              <w:tab/>
            </w:r>
            <w:r>
              <w:rPr>
                <w:noProof/>
                <w:webHidden/>
              </w:rPr>
              <w:fldChar w:fldCharType="begin"/>
            </w:r>
            <w:r>
              <w:rPr>
                <w:noProof/>
                <w:webHidden/>
              </w:rPr>
              <w:instrText xml:space="preserve"> PAGEREF _Toc232351865 \h </w:instrText>
            </w:r>
            <w:r>
              <w:rPr>
                <w:noProof/>
                <w:webHidden/>
              </w:rPr>
            </w:r>
            <w:r>
              <w:rPr>
                <w:noProof/>
                <w:webHidden/>
              </w:rPr>
              <w:fldChar w:fldCharType="separate"/>
            </w:r>
            <w:r>
              <w:rPr>
                <w:noProof/>
                <w:webHidden/>
              </w:rPr>
              <w:t>154</w:t>
            </w:r>
            <w:r>
              <w:rPr>
                <w:noProof/>
                <w:webHidden/>
              </w:rPr>
              <w:fldChar w:fldCharType="end"/>
            </w:r>
          </w:hyperlink>
        </w:p>
        <w:p w14:paraId="0F16C0BD" w14:textId="043EA7E4"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66" w:history="1">
            <w:r w:rsidRPr="00DD6118">
              <w:rPr>
                <w:rStyle w:val="Hyperlink"/>
                <w:rFonts w:eastAsia="MS Gothic"/>
                <w:noProof/>
              </w:rPr>
              <w:t>5.1 Integration as an Organizational Capability</w:t>
            </w:r>
            <w:r>
              <w:rPr>
                <w:noProof/>
                <w:webHidden/>
              </w:rPr>
              <w:tab/>
            </w:r>
            <w:r>
              <w:rPr>
                <w:noProof/>
                <w:webHidden/>
              </w:rPr>
              <w:fldChar w:fldCharType="begin"/>
            </w:r>
            <w:r>
              <w:rPr>
                <w:noProof/>
                <w:webHidden/>
              </w:rPr>
              <w:instrText xml:space="preserve"> PAGEREF _Toc232351866 \h </w:instrText>
            </w:r>
            <w:r>
              <w:rPr>
                <w:noProof/>
                <w:webHidden/>
              </w:rPr>
            </w:r>
            <w:r>
              <w:rPr>
                <w:noProof/>
                <w:webHidden/>
              </w:rPr>
              <w:fldChar w:fldCharType="separate"/>
            </w:r>
            <w:r>
              <w:rPr>
                <w:noProof/>
                <w:webHidden/>
              </w:rPr>
              <w:t>156</w:t>
            </w:r>
            <w:r>
              <w:rPr>
                <w:noProof/>
                <w:webHidden/>
              </w:rPr>
              <w:fldChar w:fldCharType="end"/>
            </w:r>
          </w:hyperlink>
        </w:p>
        <w:p w14:paraId="76ECD412" w14:textId="1E81132B"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67" w:history="1">
            <w:r w:rsidRPr="00DD6118">
              <w:rPr>
                <w:rStyle w:val="Hyperlink"/>
                <w:rFonts w:eastAsia="MS Mincho"/>
                <w:noProof/>
              </w:rPr>
              <w:t>5.1.1 Repeatability Does Not Mean Standardization</w:t>
            </w:r>
            <w:r>
              <w:rPr>
                <w:noProof/>
                <w:webHidden/>
              </w:rPr>
              <w:tab/>
            </w:r>
            <w:r>
              <w:rPr>
                <w:noProof/>
                <w:webHidden/>
              </w:rPr>
              <w:fldChar w:fldCharType="begin"/>
            </w:r>
            <w:r>
              <w:rPr>
                <w:noProof/>
                <w:webHidden/>
              </w:rPr>
              <w:instrText xml:space="preserve"> PAGEREF _Toc232351867 \h </w:instrText>
            </w:r>
            <w:r>
              <w:rPr>
                <w:noProof/>
                <w:webHidden/>
              </w:rPr>
            </w:r>
            <w:r>
              <w:rPr>
                <w:noProof/>
                <w:webHidden/>
              </w:rPr>
              <w:fldChar w:fldCharType="separate"/>
            </w:r>
            <w:r>
              <w:rPr>
                <w:noProof/>
                <w:webHidden/>
              </w:rPr>
              <w:t>161</w:t>
            </w:r>
            <w:r>
              <w:rPr>
                <w:noProof/>
                <w:webHidden/>
              </w:rPr>
              <w:fldChar w:fldCharType="end"/>
            </w:r>
          </w:hyperlink>
        </w:p>
        <w:p w14:paraId="7690A654" w14:textId="34606711"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68" w:history="1">
            <w:r w:rsidRPr="00DD6118">
              <w:rPr>
                <w:rStyle w:val="Hyperlink"/>
                <w:rFonts w:eastAsia="MS Mincho"/>
                <w:noProof/>
              </w:rPr>
              <w:t>5.2 Why Capability Fails to Form in Practice</w:t>
            </w:r>
            <w:r>
              <w:rPr>
                <w:noProof/>
                <w:webHidden/>
              </w:rPr>
              <w:tab/>
            </w:r>
            <w:r>
              <w:rPr>
                <w:noProof/>
                <w:webHidden/>
              </w:rPr>
              <w:fldChar w:fldCharType="begin"/>
            </w:r>
            <w:r>
              <w:rPr>
                <w:noProof/>
                <w:webHidden/>
              </w:rPr>
              <w:instrText xml:space="preserve"> PAGEREF _Toc232351868 \h </w:instrText>
            </w:r>
            <w:r>
              <w:rPr>
                <w:noProof/>
                <w:webHidden/>
              </w:rPr>
            </w:r>
            <w:r>
              <w:rPr>
                <w:noProof/>
                <w:webHidden/>
              </w:rPr>
              <w:fldChar w:fldCharType="separate"/>
            </w:r>
            <w:r>
              <w:rPr>
                <w:noProof/>
                <w:webHidden/>
              </w:rPr>
              <w:t>163</w:t>
            </w:r>
            <w:r>
              <w:rPr>
                <w:noProof/>
                <w:webHidden/>
              </w:rPr>
              <w:fldChar w:fldCharType="end"/>
            </w:r>
          </w:hyperlink>
        </w:p>
        <w:p w14:paraId="2649E505" w14:textId="5946C902"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69" w:history="1">
            <w:r w:rsidRPr="00DD6118">
              <w:rPr>
                <w:rStyle w:val="Hyperlink"/>
                <w:rFonts w:eastAsia="MS Mincho"/>
                <w:noProof/>
              </w:rPr>
              <w:t>5.2.1 The Compounding Nature of Integration Constraints</w:t>
            </w:r>
            <w:r>
              <w:rPr>
                <w:noProof/>
                <w:webHidden/>
              </w:rPr>
              <w:tab/>
            </w:r>
            <w:r>
              <w:rPr>
                <w:noProof/>
                <w:webHidden/>
              </w:rPr>
              <w:fldChar w:fldCharType="begin"/>
            </w:r>
            <w:r>
              <w:rPr>
                <w:noProof/>
                <w:webHidden/>
              </w:rPr>
              <w:instrText xml:space="preserve"> PAGEREF _Toc232351869 \h </w:instrText>
            </w:r>
            <w:r>
              <w:rPr>
                <w:noProof/>
                <w:webHidden/>
              </w:rPr>
            </w:r>
            <w:r>
              <w:rPr>
                <w:noProof/>
                <w:webHidden/>
              </w:rPr>
              <w:fldChar w:fldCharType="separate"/>
            </w:r>
            <w:r>
              <w:rPr>
                <w:noProof/>
                <w:webHidden/>
              </w:rPr>
              <w:t>165</w:t>
            </w:r>
            <w:r>
              <w:rPr>
                <w:noProof/>
                <w:webHidden/>
              </w:rPr>
              <w:fldChar w:fldCharType="end"/>
            </w:r>
          </w:hyperlink>
        </w:p>
        <w:p w14:paraId="7BE3B812" w14:textId="37F00409"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70" w:history="1">
            <w:r w:rsidRPr="00DD6118">
              <w:rPr>
                <w:rStyle w:val="Hyperlink"/>
                <w:rFonts w:eastAsia="MS Gothic"/>
                <w:noProof/>
              </w:rPr>
              <w:t>5.3 The Integration Capability Loop (ICL)</w:t>
            </w:r>
            <w:r>
              <w:rPr>
                <w:noProof/>
                <w:webHidden/>
              </w:rPr>
              <w:tab/>
            </w:r>
            <w:r>
              <w:rPr>
                <w:noProof/>
                <w:webHidden/>
              </w:rPr>
              <w:fldChar w:fldCharType="begin"/>
            </w:r>
            <w:r>
              <w:rPr>
                <w:noProof/>
                <w:webHidden/>
              </w:rPr>
              <w:instrText xml:space="preserve"> PAGEREF _Toc232351870 \h </w:instrText>
            </w:r>
            <w:r>
              <w:rPr>
                <w:noProof/>
                <w:webHidden/>
              </w:rPr>
            </w:r>
            <w:r>
              <w:rPr>
                <w:noProof/>
                <w:webHidden/>
              </w:rPr>
              <w:fldChar w:fldCharType="separate"/>
            </w:r>
            <w:r>
              <w:rPr>
                <w:noProof/>
                <w:webHidden/>
              </w:rPr>
              <w:t>166</w:t>
            </w:r>
            <w:r>
              <w:rPr>
                <w:noProof/>
                <w:webHidden/>
              </w:rPr>
              <w:fldChar w:fldCharType="end"/>
            </w:r>
          </w:hyperlink>
        </w:p>
        <w:p w14:paraId="6A1980C6" w14:textId="215B9B13"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71" w:history="1">
            <w:r w:rsidRPr="00DD6118">
              <w:rPr>
                <w:rStyle w:val="Hyperlink"/>
                <w:rFonts w:eastAsia="MS Gothic"/>
                <w:noProof/>
              </w:rPr>
              <w:t>5.4 Phase Analysis (Readiness to Learning)</w:t>
            </w:r>
            <w:r>
              <w:rPr>
                <w:noProof/>
                <w:webHidden/>
              </w:rPr>
              <w:tab/>
            </w:r>
            <w:r>
              <w:rPr>
                <w:noProof/>
                <w:webHidden/>
              </w:rPr>
              <w:fldChar w:fldCharType="begin"/>
            </w:r>
            <w:r>
              <w:rPr>
                <w:noProof/>
                <w:webHidden/>
              </w:rPr>
              <w:instrText xml:space="preserve"> PAGEREF _Toc232351871 \h </w:instrText>
            </w:r>
            <w:r>
              <w:rPr>
                <w:noProof/>
                <w:webHidden/>
              </w:rPr>
            </w:r>
            <w:r>
              <w:rPr>
                <w:noProof/>
                <w:webHidden/>
              </w:rPr>
              <w:fldChar w:fldCharType="separate"/>
            </w:r>
            <w:r>
              <w:rPr>
                <w:noProof/>
                <w:webHidden/>
              </w:rPr>
              <w:t>170</w:t>
            </w:r>
            <w:r>
              <w:rPr>
                <w:noProof/>
                <w:webHidden/>
              </w:rPr>
              <w:fldChar w:fldCharType="end"/>
            </w:r>
          </w:hyperlink>
        </w:p>
        <w:p w14:paraId="6F6E1E0B" w14:textId="3A1239CD"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72" w:history="1">
            <w:r w:rsidRPr="00DD6118">
              <w:rPr>
                <w:rStyle w:val="Hyperlink"/>
                <w:rFonts w:eastAsia="MS Gothic"/>
                <w:noProof/>
              </w:rPr>
              <w:t>5.5 Thematic Structure of Integration Capability</w:t>
            </w:r>
            <w:r>
              <w:rPr>
                <w:noProof/>
                <w:webHidden/>
              </w:rPr>
              <w:tab/>
            </w:r>
            <w:r>
              <w:rPr>
                <w:noProof/>
                <w:webHidden/>
              </w:rPr>
              <w:fldChar w:fldCharType="begin"/>
            </w:r>
            <w:r>
              <w:rPr>
                <w:noProof/>
                <w:webHidden/>
              </w:rPr>
              <w:instrText xml:space="preserve"> PAGEREF _Toc232351872 \h </w:instrText>
            </w:r>
            <w:r>
              <w:rPr>
                <w:noProof/>
                <w:webHidden/>
              </w:rPr>
            </w:r>
            <w:r>
              <w:rPr>
                <w:noProof/>
                <w:webHidden/>
              </w:rPr>
              <w:fldChar w:fldCharType="separate"/>
            </w:r>
            <w:r>
              <w:rPr>
                <w:noProof/>
                <w:webHidden/>
              </w:rPr>
              <w:t>180</w:t>
            </w:r>
            <w:r>
              <w:rPr>
                <w:noProof/>
                <w:webHidden/>
              </w:rPr>
              <w:fldChar w:fldCharType="end"/>
            </w:r>
          </w:hyperlink>
        </w:p>
        <w:p w14:paraId="6E837E56" w14:textId="0524D7ED"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73" w:history="1">
            <w:r w:rsidRPr="00DD6118">
              <w:rPr>
                <w:rStyle w:val="Hyperlink"/>
                <w:noProof/>
              </w:rPr>
              <w:t>5.5.1 The Acquired-Firm Perspective in Integration Capability</w:t>
            </w:r>
            <w:r>
              <w:rPr>
                <w:noProof/>
                <w:webHidden/>
              </w:rPr>
              <w:tab/>
            </w:r>
            <w:r>
              <w:rPr>
                <w:noProof/>
                <w:webHidden/>
              </w:rPr>
              <w:fldChar w:fldCharType="begin"/>
            </w:r>
            <w:r>
              <w:rPr>
                <w:noProof/>
                <w:webHidden/>
              </w:rPr>
              <w:instrText xml:space="preserve"> PAGEREF _Toc232351873 \h </w:instrText>
            </w:r>
            <w:r>
              <w:rPr>
                <w:noProof/>
                <w:webHidden/>
              </w:rPr>
            </w:r>
            <w:r>
              <w:rPr>
                <w:noProof/>
                <w:webHidden/>
              </w:rPr>
              <w:fldChar w:fldCharType="separate"/>
            </w:r>
            <w:r>
              <w:rPr>
                <w:noProof/>
                <w:webHidden/>
              </w:rPr>
              <w:t>182</w:t>
            </w:r>
            <w:r>
              <w:rPr>
                <w:noProof/>
                <w:webHidden/>
              </w:rPr>
              <w:fldChar w:fldCharType="end"/>
            </w:r>
          </w:hyperlink>
        </w:p>
        <w:p w14:paraId="45928A46" w14:textId="4C418300"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74" w:history="1">
            <w:r w:rsidRPr="00DD6118">
              <w:rPr>
                <w:rStyle w:val="Hyperlink"/>
                <w:rFonts w:eastAsia="MS Gothic"/>
                <w:noProof/>
              </w:rPr>
              <w:t>5.6 The Integration Capability Engine (Core Enablers)</w:t>
            </w:r>
            <w:r>
              <w:rPr>
                <w:noProof/>
                <w:webHidden/>
              </w:rPr>
              <w:tab/>
            </w:r>
            <w:r>
              <w:rPr>
                <w:noProof/>
                <w:webHidden/>
              </w:rPr>
              <w:fldChar w:fldCharType="begin"/>
            </w:r>
            <w:r>
              <w:rPr>
                <w:noProof/>
                <w:webHidden/>
              </w:rPr>
              <w:instrText xml:space="preserve"> PAGEREF _Toc232351874 \h </w:instrText>
            </w:r>
            <w:r>
              <w:rPr>
                <w:noProof/>
                <w:webHidden/>
              </w:rPr>
            </w:r>
            <w:r>
              <w:rPr>
                <w:noProof/>
                <w:webHidden/>
              </w:rPr>
              <w:fldChar w:fldCharType="separate"/>
            </w:r>
            <w:r>
              <w:rPr>
                <w:noProof/>
                <w:webHidden/>
              </w:rPr>
              <w:t>183</w:t>
            </w:r>
            <w:r>
              <w:rPr>
                <w:noProof/>
                <w:webHidden/>
              </w:rPr>
              <w:fldChar w:fldCharType="end"/>
            </w:r>
          </w:hyperlink>
        </w:p>
        <w:p w14:paraId="21CF81F6" w14:textId="533A227F"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75" w:history="1">
            <w:r w:rsidRPr="00DD6118">
              <w:rPr>
                <w:rStyle w:val="Hyperlink"/>
                <w:rFonts w:eastAsia="MS Gothic"/>
                <w:noProof/>
              </w:rPr>
              <w:t>5.7 Analytical Relationships Across the Integration Lifecycle</w:t>
            </w:r>
            <w:r>
              <w:rPr>
                <w:noProof/>
                <w:webHidden/>
              </w:rPr>
              <w:tab/>
            </w:r>
            <w:r>
              <w:rPr>
                <w:noProof/>
                <w:webHidden/>
              </w:rPr>
              <w:fldChar w:fldCharType="begin"/>
            </w:r>
            <w:r>
              <w:rPr>
                <w:noProof/>
                <w:webHidden/>
              </w:rPr>
              <w:instrText xml:space="preserve"> PAGEREF _Toc232351875 \h </w:instrText>
            </w:r>
            <w:r>
              <w:rPr>
                <w:noProof/>
                <w:webHidden/>
              </w:rPr>
            </w:r>
            <w:r>
              <w:rPr>
                <w:noProof/>
                <w:webHidden/>
              </w:rPr>
              <w:fldChar w:fldCharType="separate"/>
            </w:r>
            <w:r>
              <w:rPr>
                <w:noProof/>
                <w:webHidden/>
              </w:rPr>
              <w:t>191</w:t>
            </w:r>
            <w:r>
              <w:rPr>
                <w:noProof/>
                <w:webHidden/>
              </w:rPr>
              <w:fldChar w:fldCharType="end"/>
            </w:r>
          </w:hyperlink>
        </w:p>
        <w:p w14:paraId="30B98EBD" w14:textId="56ABCC4C"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76" w:history="1">
            <w:r w:rsidRPr="00DD6118">
              <w:rPr>
                <w:rStyle w:val="Hyperlink"/>
                <w:rFonts w:eastAsia="MS Mincho"/>
                <w:noProof/>
              </w:rPr>
              <w:t>5.7.1 Decision-Making Under Uncertainty</w:t>
            </w:r>
            <w:r>
              <w:rPr>
                <w:noProof/>
                <w:webHidden/>
              </w:rPr>
              <w:tab/>
            </w:r>
            <w:r>
              <w:rPr>
                <w:noProof/>
                <w:webHidden/>
              </w:rPr>
              <w:fldChar w:fldCharType="begin"/>
            </w:r>
            <w:r>
              <w:rPr>
                <w:noProof/>
                <w:webHidden/>
              </w:rPr>
              <w:instrText xml:space="preserve"> PAGEREF _Toc232351876 \h </w:instrText>
            </w:r>
            <w:r>
              <w:rPr>
                <w:noProof/>
                <w:webHidden/>
              </w:rPr>
            </w:r>
            <w:r>
              <w:rPr>
                <w:noProof/>
                <w:webHidden/>
              </w:rPr>
              <w:fldChar w:fldCharType="separate"/>
            </w:r>
            <w:r>
              <w:rPr>
                <w:noProof/>
                <w:webHidden/>
              </w:rPr>
              <w:t>198</w:t>
            </w:r>
            <w:r>
              <w:rPr>
                <w:noProof/>
                <w:webHidden/>
              </w:rPr>
              <w:fldChar w:fldCharType="end"/>
            </w:r>
          </w:hyperlink>
        </w:p>
        <w:p w14:paraId="59A5B05E" w14:textId="231A5B36"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77" w:history="1">
            <w:r w:rsidRPr="00DD6118">
              <w:rPr>
                <w:rStyle w:val="Hyperlink"/>
                <w:rFonts w:eastAsia="MS Mincho"/>
                <w:noProof/>
              </w:rPr>
              <w:t>5.7.2 The Weakest Link: Execution to Learning</w:t>
            </w:r>
            <w:r>
              <w:rPr>
                <w:noProof/>
                <w:webHidden/>
              </w:rPr>
              <w:tab/>
            </w:r>
            <w:r>
              <w:rPr>
                <w:noProof/>
                <w:webHidden/>
              </w:rPr>
              <w:fldChar w:fldCharType="begin"/>
            </w:r>
            <w:r>
              <w:rPr>
                <w:noProof/>
                <w:webHidden/>
              </w:rPr>
              <w:instrText xml:space="preserve"> PAGEREF _Toc232351877 \h </w:instrText>
            </w:r>
            <w:r>
              <w:rPr>
                <w:noProof/>
                <w:webHidden/>
              </w:rPr>
            </w:r>
            <w:r>
              <w:rPr>
                <w:noProof/>
                <w:webHidden/>
              </w:rPr>
              <w:fldChar w:fldCharType="separate"/>
            </w:r>
            <w:r>
              <w:rPr>
                <w:noProof/>
                <w:webHidden/>
              </w:rPr>
              <w:t>199</w:t>
            </w:r>
            <w:r>
              <w:rPr>
                <w:noProof/>
                <w:webHidden/>
              </w:rPr>
              <w:fldChar w:fldCharType="end"/>
            </w:r>
          </w:hyperlink>
        </w:p>
        <w:p w14:paraId="446BD978" w14:textId="71785E33"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78" w:history="1">
            <w:r w:rsidRPr="00DD6118">
              <w:rPr>
                <w:rStyle w:val="Hyperlink"/>
                <w:rFonts w:eastAsia="MS Gothic"/>
                <w:noProof/>
              </w:rPr>
              <w:t>5.8 Comparison with Existing Literature</w:t>
            </w:r>
            <w:r>
              <w:rPr>
                <w:noProof/>
                <w:webHidden/>
              </w:rPr>
              <w:tab/>
            </w:r>
            <w:r>
              <w:rPr>
                <w:noProof/>
                <w:webHidden/>
              </w:rPr>
              <w:fldChar w:fldCharType="begin"/>
            </w:r>
            <w:r>
              <w:rPr>
                <w:noProof/>
                <w:webHidden/>
              </w:rPr>
              <w:instrText xml:space="preserve"> PAGEREF _Toc232351878 \h </w:instrText>
            </w:r>
            <w:r>
              <w:rPr>
                <w:noProof/>
                <w:webHidden/>
              </w:rPr>
            </w:r>
            <w:r>
              <w:rPr>
                <w:noProof/>
                <w:webHidden/>
              </w:rPr>
              <w:fldChar w:fldCharType="separate"/>
            </w:r>
            <w:r>
              <w:rPr>
                <w:noProof/>
                <w:webHidden/>
              </w:rPr>
              <w:t>201</w:t>
            </w:r>
            <w:r>
              <w:rPr>
                <w:noProof/>
                <w:webHidden/>
              </w:rPr>
              <w:fldChar w:fldCharType="end"/>
            </w:r>
          </w:hyperlink>
        </w:p>
        <w:p w14:paraId="7882A9D5" w14:textId="15FCDB4F"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79" w:history="1">
            <w:r w:rsidRPr="00DD6118">
              <w:rPr>
                <w:rStyle w:val="Hyperlink"/>
                <w:rFonts w:eastAsia="MS Mincho"/>
                <w:noProof/>
              </w:rPr>
              <w:t>5.9 Limitations of Existing Integration and Capability Perspectives</w:t>
            </w:r>
            <w:r>
              <w:rPr>
                <w:noProof/>
                <w:webHidden/>
              </w:rPr>
              <w:tab/>
            </w:r>
            <w:r>
              <w:rPr>
                <w:noProof/>
                <w:webHidden/>
              </w:rPr>
              <w:fldChar w:fldCharType="begin"/>
            </w:r>
            <w:r>
              <w:rPr>
                <w:noProof/>
                <w:webHidden/>
              </w:rPr>
              <w:instrText xml:space="preserve"> PAGEREF _Toc232351879 \h </w:instrText>
            </w:r>
            <w:r>
              <w:rPr>
                <w:noProof/>
                <w:webHidden/>
              </w:rPr>
            </w:r>
            <w:r>
              <w:rPr>
                <w:noProof/>
                <w:webHidden/>
              </w:rPr>
              <w:fldChar w:fldCharType="separate"/>
            </w:r>
            <w:r>
              <w:rPr>
                <w:noProof/>
                <w:webHidden/>
              </w:rPr>
              <w:t>203</w:t>
            </w:r>
            <w:r>
              <w:rPr>
                <w:noProof/>
                <w:webHidden/>
              </w:rPr>
              <w:fldChar w:fldCharType="end"/>
            </w:r>
          </w:hyperlink>
        </w:p>
        <w:p w14:paraId="47BA3708" w14:textId="6E433E6C"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80" w:history="1">
            <w:r w:rsidRPr="00DD6118">
              <w:rPr>
                <w:rStyle w:val="Hyperlink"/>
                <w:rFonts w:eastAsia="MS Gothic"/>
                <w:noProof/>
              </w:rPr>
              <w:t>5.10 Synthesis and Theoretical Contribution</w:t>
            </w:r>
            <w:r>
              <w:rPr>
                <w:noProof/>
                <w:webHidden/>
              </w:rPr>
              <w:tab/>
            </w:r>
            <w:r>
              <w:rPr>
                <w:noProof/>
                <w:webHidden/>
              </w:rPr>
              <w:fldChar w:fldCharType="begin"/>
            </w:r>
            <w:r>
              <w:rPr>
                <w:noProof/>
                <w:webHidden/>
              </w:rPr>
              <w:instrText xml:space="preserve"> PAGEREF _Toc232351880 \h </w:instrText>
            </w:r>
            <w:r>
              <w:rPr>
                <w:noProof/>
                <w:webHidden/>
              </w:rPr>
            </w:r>
            <w:r>
              <w:rPr>
                <w:noProof/>
                <w:webHidden/>
              </w:rPr>
              <w:fldChar w:fldCharType="separate"/>
            </w:r>
            <w:r>
              <w:rPr>
                <w:noProof/>
                <w:webHidden/>
              </w:rPr>
              <w:t>204</w:t>
            </w:r>
            <w:r>
              <w:rPr>
                <w:noProof/>
                <w:webHidden/>
              </w:rPr>
              <w:fldChar w:fldCharType="end"/>
            </w:r>
          </w:hyperlink>
        </w:p>
        <w:p w14:paraId="4DDE020D" w14:textId="4071DBD2"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81" w:history="1">
            <w:r w:rsidRPr="00DD6118">
              <w:rPr>
                <w:rStyle w:val="Hyperlink"/>
                <w:rFonts w:eastAsia="MS Gothic"/>
                <w:noProof/>
              </w:rPr>
              <w:t>5.11 Conclusion</w:t>
            </w:r>
            <w:r>
              <w:rPr>
                <w:noProof/>
                <w:webHidden/>
              </w:rPr>
              <w:tab/>
            </w:r>
            <w:r>
              <w:rPr>
                <w:noProof/>
                <w:webHidden/>
              </w:rPr>
              <w:fldChar w:fldCharType="begin"/>
            </w:r>
            <w:r>
              <w:rPr>
                <w:noProof/>
                <w:webHidden/>
              </w:rPr>
              <w:instrText xml:space="preserve"> PAGEREF _Toc232351881 \h </w:instrText>
            </w:r>
            <w:r>
              <w:rPr>
                <w:noProof/>
                <w:webHidden/>
              </w:rPr>
            </w:r>
            <w:r>
              <w:rPr>
                <w:noProof/>
                <w:webHidden/>
              </w:rPr>
              <w:fldChar w:fldCharType="separate"/>
            </w:r>
            <w:r>
              <w:rPr>
                <w:noProof/>
                <w:webHidden/>
              </w:rPr>
              <w:t>209</w:t>
            </w:r>
            <w:r>
              <w:rPr>
                <w:noProof/>
                <w:webHidden/>
              </w:rPr>
              <w:fldChar w:fldCharType="end"/>
            </w:r>
          </w:hyperlink>
        </w:p>
        <w:p w14:paraId="590185E3" w14:textId="1B23A3E5" w:rsidR="00CB5964" w:rsidRDefault="00CB5964">
          <w:pPr>
            <w:pStyle w:val="TOC1"/>
            <w:rPr>
              <w:rFonts w:asciiTheme="minorHAnsi" w:eastAsiaTheme="minorEastAsia" w:hAnsiTheme="minorHAnsi" w:cstheme="minorBidi"/>
              <w:noProof/>
              <w:kern w:val="2"/>
              <w:lang w:val="en-CA"/>
              <w14:ligatures w14:val="standardContextual"/>
            </w:rPr>
          </w:pPr>
          <w:hyperlink w:anchor="_Toc232351882" w:history="1">
            <w:r w:rsidRPr="00DD6118">
              <w:rPr>
                <w:rStyle w:val="Hyperlink"/>
                <w:noProof/>
              </w:rPr>
              <w:t>OPERATIONALIZING THE INTEGRATION CAPABILITY LOOP</w:t>
            </w:r>
            <w:r>
              <w:rPr>
                <w:noProof/>
                <w:webHidden/>
              </w:rPr>
              <w:tab/>
            </w:r>
            <w:r>
              <w:rPr>
                <w:noProof/>
                <w:webHidden/>
              </w:rPr>
              <w:fldChar w:fldCharType="begin"/>
            </w:r>
            <w:r>
              <w:rPr>
                <w:noProof/>
                <w:webHidden/>
              </w:rPr>
              <w:instrText xml:space="preserve"> PAGEREF _Toc232351882 \h </w:instrText>
            </w:r>
            <w:r>
              <w:rPr>
                <w:noProof/>
                <w:webHidden/>
              </w:rPr>
            </w:r>
            <w:r>
              <w:rPr>
                <w:noProof/>
                <w:webHidden/>
              </w:rPr>
              <w:fldChar w:fldCharType="separate"/>
            </w:r>
            <w:r>
              <w:rPr>
                <w:noProof/>
                <w:webHidden/>
              </w:rPr>
              <w:t>212</w:t>
            </w:r>
            <w:r>
              <w:rPr>
                <w:noProof/>
                <w:webHidden/>
              </w:rPr>
              <w:fldChar w:fldCharType="end"/>
            </w:r>
          </w:hyperlink>
        </w:p>
        <w:p w14:paraId="2A7A3526" w14:textId="3507740C"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83" w:history="1">
            <w:r w:rsidRPr="00DD6118">
              <w:rPr>
                <w:rStyle w:val="Hyperlink"/>
                <w:rFonts w:eastAsia="MS Gothic"/>
                <w:noProof/>
              </w:rPr>
              <w:t>Chapter 6: Overview of the Integration Capability Loop in Practice</w:t>
            </w:r>
            <w:r>
              <w:rPr>
                <w:noProof/>
                <w:webHidden/>
              </w:rPr>
              <w:tab/>
            </w:r>
            <w:r>
              <w:rPr>
                <w:noProof/>
                <w:webHidden/>
              </w:rPr>
              <w:fldChar w:fldCharType="begin"/>
            </w:r>
            <w:r>
              <w:rPr>
                <w:noProof/>
                <w:webHidden/>
              </w:rPr>
              <w:instrText xml:space="preserve"> PAGEREF _Toc232351883 \h </w:instrText>
            </w:r>
            <w:r>
              <w:rPr>
                <w:noProof/>
                <w:webHidden/>
              </w:rPr>
            </w:r>
            <w:r>
              <w:rPr>
                <w:noProof/>
                <w:webHidden/>
              </w:rPr>
              <w:fldChar w:fldCharType="separate"/>
            </w:r>
            <w:r>
              <w:rPr>
                <w:noProof/>
                <w:webHidden/>
              </w:rPr>
              <w:t>212</w:t>
            </w:r>
            <w:r>
              <w:rPr>
                <w:noProof/>
                <w:webHidden/>
              </w:rPr>
              <w:fldChar w:fldCharType="end"/>
            </w:r>
          </w:hyperlink>
        </w:p>
        <w:p w14:paraId="2D55CAEC" w14:textId="4A806419"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84" w:history="1">
            <w:r w:rsidRPr="00DD6118">
              <w:rPr>
                <w:rStyle w:val="Hyperlink"/>
                <w:noProof/>
              </w:rPr>
              <w:t>6.0.1 Theoretical Contribution of the Operational Model</w:t>
            </w:r>
            <w:r>
              <w:rPr>
                <w:noProof/>
                <w:webHidden/>
              </w:rPr>
              <w:tab/>
            </w:r>
            <w:r>
              <w:rPr>
                <w:noProof/>
                <w:webHidden/>
              </w:rPr>
              <w:fldChar w:fldCharType="begin"/>
            </w:r>
            <w:r>
              <w:rPr>
                <w:noProof/>
                <w:webHidden/>
              </w:rPr>
              <w:instrText xml:space="preserve"> PAGEREF _Toc232351884 \h </w:instrText>
            </w:r>
            <w:r>
              <w:rPr>
                <w:noProof/>
                <w:webHidden/>
              </w:rPr>
            </w:r>
            <w:r>
              <w:rPr>
                <w:noProof/>
                <w:webHidden/>
              </w:rPr>
              <w:fldChar w:fldCharType="separate"/>
            </w:r>
            <w:r>
              <w:rPr>
                <w:noProof/>
                <w:webHidden/>
              </w:rPr>
              <w:t>219</w:t>
            </w:r>
            <w:r>
              <w:rPr>
                <w:noProof/>
                <w:webHidden/>
              </w:rPr>
              <w:fldChar w:fldCharType="end"/>
            </w:r>
          </w:hyperlink>
        </w:p>
        <w:p w14:paraId="4F568A96" w14:textId="4AB1F3AF"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85" w:history="1">
            <w:r w:rsidRPr="00DD6118">
              <w:rPr>
                <w:rStyle w:val="Hyperlink"/>
                <w:noProof/>
              </w:rPr>
              <w:t>6.0.2 Role of Decision Gates in Enforcing Integration Discipline</w:t>
            </w:r>
            <w:r>
              <w:rPr>
                <w:noProof/>
                <w:webHidden/>
              </w:rPr>
              <w:tab/>
            </w:r>
            <w:r>
              <w:rPr>
                <w:noProof/>
                <w:webHidden/>
              </w:rPr>
              <w:fldChar w:fldCharType="begin"/>
            </w:r>
            <w:r>
              <w:rPr>
                <w:noProof/>
                <w:webHidden/>
              </w:rPr>
              <w:instrText xml:space="preserve"> PAGEREF _Toc232351885 \h </w:instrText>
            </w:r>
            <w:r>
              <w:rPr>
                <w:noProof/>
                <w:webHidden/>
              </w:rPr>
            </w:r>
            <w:r>
              <w:rPr>
                <w:noProof/>
                <w:webHidden/>
              </w:rPr>
              <w:fldChar w:fldCharType="separate"/>
            </w:r>
            <w:r>
              <w:rPr>
                <w:noProof/>
                <w:webHidden/>
              </w:rPr>
              <w:t>220</w:t>
            </w:r>
            <w:r>
              <w:rPr>
                <w:noProof/>
                <w:webHidden/>
              </w:rPr>
              <w:fldChar w:fldCharType="end"/>
            </w:r>
          </w:hyperlink>
        </w:p>
        <w:p w14:paraId="460F87F0" w14:textId="17762F3C"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86" w:history="1">
            <w:r w:rsidRPr="00DD6118">
              <w:rPr>
                <w:rStyle w:val="Hyperlink"/>
                <w:noProof/>
              </w:rPr>
              <w:t>6.0.3 Interdependencies Across Integration Phases</w:t>
            </w:r>
            <w:r>
              <w:rPr>
                <w:noProof/>
                <w:webHidden/>
              </w:rPr>
              <w:tab/>
            </w:r>
            <w:r>
              <w:rPr>
                <w:noProof/>
                <w:webHidden/>
              </w:rPr>
              <w:fldChar w:fldCharType="begin"/>
            </w:r>
            <w:r>
              <w:rPr>
                <w:noProof/>
                <w:webHidden/>
              </w:rPr>
              <w:instrText xml:space="preserve"> PAGEREF _Toc232351886 \h </w:instrText>
            </w:r>
            <w:r>
              <w:rPr>
                <w:noProof/>
                <w:webHidden/>
              </w:rPr>
            </w:r>
            <w:r>
              <w:rPr>
                <w:noProof/>
                <w:webHidden/>
              </w:rPr>
              <w:fldChar w:fldCharType="separate"/>
            </w:r>
            <w:r>
              <w:rPr>
                <w:noProof/>
                <w:webHidden/>
              </w:rPr>
              <w:t>224</w:t>
            </w:r>
            <w:r>
              <w:rPr>
                <w:noProof/>
                <w:webHidden/>
              </w:rPr>
              <w:fldChar w:fldCharType="end"/>
            </w:r>
          </w:hyperlink>
        </w:p>
        <w:p w14:paraId="5CDEEE28" w14:textId="6AA7E179"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87" w:history="1">
            <w:r w:rsidRPr="00DD6118">
              <w:rPr>
                <w:rStyle w:val="Hyperlink"/>
                <w:noProof/>
              </w:rPr>
              <w:t>6.0.4 Applying the Integration Capability Loop by Acquisition Maturity Level</w:t>
            </w:r>
            <w:r>
              <w:rPr>
                <w:noProof/>
                <w:webHidden/>
              </w:rPr>
              <w:tab/>
            </w:r>
            <w:r>
              <w:rPr>
                <w:noProof/>
                <w:webHidden/>
              </w:rPr>
              <w:fldChar w:fldCharType="begin"/>
            </w:r>
            <w:r>
              <w:rPr>
                <w:noProof/>
                <w:webHidden/>
              </w:rPr>
              <w:instrText xml:space="preserve"> PAGEREF _Toc232351887 \h </w:instrText>
            </w:r>
            <w:r>
              <w:rPr>
                <w:noProof/>
                <w:webHidden/>
              </w:rPr>
            </w:r>
            <w:r>
              <w:rPr>
                <w:noProof/>
                <w:webHidden/>
              </w:rPr>
              <w:fldChar w:fldCharType="separate"/>
            </w:r>
            <w:r>
              <w:rPr>
                <w:noProof/>
                <w:webHidden/>
              </w:rPr>
              <w:t>225</w:t>
            </w:r>
            <w:r>
              <w:rPr>
                <w:noProof/>
                <w:webHidden/>
              </w:rPr>
              <w:fldChar w:fldCharType="end"/>
            </w:r>
          </w:hyperlink>
        </w:p>
        <w:p w14:paraId="6F636AEA" w14:textId="22B135B0"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88" w:history="1">
            <w:r w:rsidRPr="00DD6118">
              <w:rPr>
                <w:rStyle w:val="Hyperlink"/>
                <w:noProof/>
              </w:rPr>
              <w:t>6.0.5 Integration Capability Maturity Diagnostic</w:t>
            </w:r>
            <w:r>
              <w:rPr>
                <w:noProof/>
                <w:webHidden/>
              </w:rPr>
              <w:tab/>
            </w:r>
            <w:r>
              <w:rPr>
                <w:noProof/>
                <w:webHidden/>
              </w:rPr>
              <w:fldChar w:fldCharType="begin"/>
            </w:r>
            <w:r>
              <w:rPr>
                <w:noProof/>
                <w:webHidden/>
              </w:rPr>
              <w:instrText xml:space="preserve"> PAGEREF _Toc232351888 \h </w:instrText>
            </w:r>
            <w:r>
              <w:rPr>
                <w:noProof/>
                <w:webHidden/>
              </w:rPr>
            </w:r>
            <w:r>
              <w:rPr>
                <w:noProof/>
                <w:webHidden/>
              </w:rPr>
              <w:fldChar w:fldCharType="separate"/>
            </w:r>
            <w:r>
              <w:rPr>
                <w:noProof/>
                <w:webHidden/>
              </w:rPr>
              <w:t>227</w:t>
            </w:r>
            <w:r>
              <w:rPr>
                <w:noProof/>
                <w:webHidden/>
              </w:rPr>
              <w:fldChar w:fldCharType="end"/>
            </w:r>
          </w:hyperlink>
        </w:p>
        <w:p w14:paraId="540992E9" w14:textId="65CB057B"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89" w:history="1">
            <w:r w:rsidRPr="00DD6118">
              <w:rPr>
                <w:rStyle w:val="Hyperlink"/>
                <w:noProof/>
              </w:rPr>
              <w:t>6.0.6 Practical Adoption Considerations</w:t>
            </w:r>
            <w:r>
              <w:rPr>
                <w:noProof/>
                <w:webHidden/>
              </w:rPr>
              <w:tab/>
            </w:r>
            <w:r>
              <w:rPr>
                <w:noProof/>
                <w:webHidden/>
              </w:rPr>
              <w:fldChar w:fldCharType="begin"/>
            </w:r>
            <w:r>
              <w:rPr>
                <w:noProof/>
                <w:webHidden/>
              </w:rPr>
              <w:instrText xml:space="preserve"> PAGEREF _Toc232351889 \h </w:instrText>
            </w:r>
            <w:r>
              <w:rPr>
                <w:noProof/>
                <w:webHidden/>
              </w:rPr>
            </w:r>
            <w:r>
              <w:rPr>
                <w:noProof/>
                <w:webHidden/>
              </w:rPr>
              <w:fldChar w:fldCharType="separate"/>
            </w:r>
            <w:r>
              <w:rPr>
                <w:noProof/>
                <w:webHidden/>
              </w:rPr>
              <w:t>229</w:t>
            </w:r>
            <w:r>
              <w:rPr>
                <w:noProof/>
                <w:webHidden/>
              </w:rPr>
              <w:fldChar w:fldCharType="end"/>
            </w:r>
          </w:hyperlink>
        </w:p>
        <w:p w14:paraId="0E55D0E2" w14:textId="29538128"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890" w:history="1">
            <w:r w:rsidRPr="00DD6118">
              <w:rPr>
                <w:rStyle w:val="Hyperlink"/>
                <w:rFonts w:eastAsia="MS Gothic"/>
                <w:noProof/>
              </w:rPr>
              <w:t>6.1 Phase 1: Acquisition Readiness</w:t>
            </w:r>
            <w:r>
              <w:rPr>
                <w:noProof/>
                <w:webHidden/>
              </w:rPr>
              <w:tab/>
            </w:r>
            <w:r>
              <w:rPr>
                <w:noProof/>
                <w:webHidden/>
              </w:rPr>
              <w:fldChar w:fldCharType="begin"/>
            </w:r>
            <w:r>
              <w:rPr>
                <w:noProof/>
                <w:webHidden/>
              </w:rPr>
              <w:instrText xml:space="preserve"> PAGEREF _Toc232351890 \h </w:instrText>
            </w:r>
            <w:r>
              <w:rPr>
                <w:noProof/>
                <w:webHidden/>
              </w:rPr>
            </w:r>
            <w:r>
              <w:rPr>
                <w:noProof/>
                <w:webHidden/>
              </w:rPr>
              <w:fldChar w:fldCharType="separate"/>
            </w:r>
            <w:r>
              <w:rPr>
                <w:noProof/>
                <w:webHidden/>
              </w:rPr>
              <w:t>231</w:t>
            </w:r>
            <w:r>
              <w:rPr>
                <w:noProof/>
                <w:webHidden/>
              </w:rPr>
              <w:fldChar w:fldCharType="end"/>
            </w:r>
          </w:hyperlink>
        </w:p>
        <w:p w14:paraId="0D3B3895" w14:textId="12CB6677"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91" w:history="1">
            <w:r w:rsidRPr="00DD6118">
              <w:rPr>
                <w:rStyle w:val="Hyperlink"/>
                <w:rFonts w:eastAsia="MS Gothic"/>
                <w:noProof/>
              </w:rPr>
              <w:t>6.1.1 Objectives of the Phase</w:t>
            </w:r>
            <w:r>
              <w:rPr>
                <w:noProof/>
                <w:webHidden/>
              </w:rPr>
              <w:tab/>
            </w:r>
            <w:r>
              <w:rPr>
                <w:noProof/>
                <w:webHidden/>
              </w:rPr>
              <w:fldChar w:fldCharType="begin"/>
            </w:r>
            <w:r>
              <w:rPr>
                <w:noProof/>
                <w:webHidden/>
              </w:rPr>
              <w:instrText xml:space="preserve"> PAGEREF _Toc232351891 \h </w:instrText>
            </w:r>
            <w:r>
              <w:rPr>
                <w:noProof/>
                <w:webHidden/>
              </w:rPr>
            </w:r>
            <w:r>
              <w:rPr>
                <w:noProof/>
                <w:webHidden/>
              </w:rPr>
              <w:fldChar w:fldCharType="separate"/>
            </w:r>
            <w:r>
              <w:rPr>
                <w:noProof/>
                <w:webHidden/>
              </w:rPr>
              <w:t>232</w:t>
            </w:r>
            <w:r>
              <w:rPr>
                <w:noProof/>
                <w:webHidden/>
              </w:rPr>
              <w:fldChar w:fldCharType="end"/>
            </w:r>
          </w:hyperlink>
        </w:p>
        <w:p w14:paraId="33F674BC" w14:textId="054D99F6"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92" w:history="1">
            <w:r w:rsidRPr="00DD6118">
              <w:rPr>
                <w:rStyle w:val="Hyperlink"/>
                <w:rFonts w:eastAsia="MS Gothic"/>
                <w:noProof/>
              </w:rPr>
              <w:t>6.1.2 Key Activities</w:t>
            </w:r>
            <w:r>
              <w:rPr>
                <w:noProof/>
                <w:webHidden/>
              </w:rPr>
              <w:tab/>
            </w:r>
            <w:r>
              <w:rPr>
                <w:noProof/>
                <w:webHidden/>
              </w:rPr>
              <w:fldChar w:fldCharType="begin"/>
            </w:r>
            <w:r>
              <w:rPr>
                <w:noProof/>
                <w:webHidden/>
              </w:rPr>
              <w:instrText xml:space="preserve"> PAGEREF _Toc232351892 \h </w:instrText>
            </w:r>
            <w:r>
              <w:rPr>
                <w:noProof/>
                <w:webHidden/>
              </w:rPr>
            </w:r>
            <w:r>
              <w:rPr>
                <w:noProof/>
                <w:webHidden/>
              </w:rPr>
              <w:fldChar w:fldCharType="separate"/>
            </w:r>
            <w:r>
              <w:rPr>
                <w:noProof/>
                <w:webHidden/>
              </w:rPr>
              <w:t>232</w:t>
            </w:r>
            <w:r>
              <w:rPr>
                <w:noProof/>
                <w:webHidden/>
              </w:rPr>
              <w:fldChar w:fldCharType="end"/>
            </w:r>
          </w:hyperlink>
        </w:p>
        <w:p w14:paraId="10E92A84" w14:textId="735696CB"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93" w:history="1">
            <w:r w:rsidRPr="00DD6118">
              <w:rPr>
                <w:rStyle w:val="Hyperlink"/>
                <w:rFonts w:eastAsia="MS Gothic"/>
                <w:noProof/>
              </w:rPr>
              <w:t>6.1.3 Governance and Leadership Requirements</w:t>
            </w:r>
            <w:r>
              <w:rPr>
                <w:noProof/>
                <w:webHidden/>
              </w:rPr>
              <w:tab/>
            </w:r>
            <w:r>
              <w:rPr>
                <w:noProof/>
                <w:webHidden/>
              </w:rPr>
              <w:fldChar w:fldCharType="begin"/>
            </w:r>
            <w:r>
              <w:rPr>
                <w:noProof/>
                <w:webHidden/>
              </w:rPr>
              <w:instrText xml:space="preserve"> PAGEREF _Toc232351893 \h </w:instrText>
            </w:r>
            <w:r>
              <w:rPr>
                <w:noProof/>
                <w:webHidden/>
              </w:rPr>
            </w:r>
            <w:r>
              <w:rPr>
                <w:noProof/>
                <w:webHidden/>
              </w:rPr>
              <w:fldChar w:fldCharType="separate"/>
            </w:r>
            <w:r>
              <w:rPr>
                <w:noProof/>
                <w:webHidden/>
              </w:rPr>
              <w:t>233</w:t>
            </w:r>
            <w:r>
              <w:rPr>
                <w:noProof/>
                <w:webHidden/>
              </w:rPr>
              <w:fldChar w:fldCharType="end"/>
            </w:r>
          </w:hyperlink>
        </w:p>
        <w:p w14:paraId="5C10B1BD" w14:textId="4E17C91D"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94" w:history="1">
            <w:r w:rsidRPr="00DD6118">
              <w:rPr>
                <w:rStyle w:val="Hyperlink"/>
                <w:rFonts w:eastAsia="MS Gothic"/>
                <w:noProof/>
              </w:rPr>
              <w:t>6.1.4 Key Outputs / Deliverables</w:t>
            </w:r>
            <w:r>
              <w:rPr>
                <w:noProof/>
                <w:webHidden/>
              </w:rPr>
              <w:tab/>
            </w:r>
            <w:r>
              <w:rPr>
                <w:noProof/>
                <w:webHidden/>
              </w:rPr>
              <w:fldChar w:fldCharType="begin"/>
            </w:r>
            <w:r>
              <w:rPr>
                <w:noProof/>
                <w:webHidden/>
              </w:rPr>
              <w:instrText xml:space="preserve"> PAGEREF _Toc232351894 \h </w:instrText>
            </w:r>
            <w:r>
              <w:rPr>
                <w:noProof/>
                <w:webHidden/>
              </w:rPr>
            </w:r>
            <w:r>
              <w:rPr>
                <w:noProof/>
                <w:webHidden/>
              </w:rPr>
              <w:fldChar w:fldCharType="separate"/>
            </w:r>
            <w:r>
              <w:rPr>
                <w:noProof/>
                <w:webHidden/>
              </w:rPr>
              <w:t>234</w:t>
            </w:r>
            <w:r>
              <w:rPr>
                <w:noProof/>
                <w:webHidden/>
              </w:rPr>
              <w:fldChar w:fldCharType="end"/>
            </w:r>
          </w:hyperlink>
        </w:p>
        <w:p w14:paraId="077F8AD0" w14:textId="578CF061"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95" w:history="1">
            <w:r w:rsidRPr="00DD6118">
              <w:rPr>
                <w:rStyle w:val="Hyperlink"/>
                <w:rFonts w:eastAsia="MS Gothic"/>
                <w:noProof/>
              </w:rPr>
              <w:t>6.1.5 Risks and Failure Points</w:t>
            </w:r>
            <w:r>
              <w:rPr>
                <w:noProof/>
                <w:webHidden/>
              </w:rPr>
              <w:tab/>
            </w:r>
            <w:r>
              <w:rPr>
                <w:noProof/>
                <w:webHidden/>
              </w:rPr>
              <w:fldChar w:fldCharType="begin"/>
            </w:r>
            <w:r>
              <w:rPr>
                <w:noProof/>
                <w:webHidden/>
              </w:rPr>
              <w:instrText xml:space="preserve"> PAGEREF _Toc232351895 \h </w:instrText>
            </w:r>
            <w:r>
              <w:rPr>
                <w:noProof/>
                <w:webHidden/>
              </w:rPr>
            </w:r>
            <w:r>
              <w:rPr>
                <w:noProof/>
                <w:webHidden/>
              </w:rPr>
              <w:fldChar w:fldCharType="separate"/>
            </w:r>
            <w:r>
              <w:rPr>
                <w:noProof/>
                <w:webHidden/>
              </w:rPr>
              <w:t>235</w:t>
            </w:r>
            <w:r>
              <w:rPr>
                <w:noProof/>
                <w:webHidden/>
              </w:rPr>
              <w:fldChar w:fldCharType="end"/>
            </w:r>
          </w:hyperlink>
        </w:p>
        <w:p w14:paraId="42FCF74C" w14:textId="601FDCCE"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96" w:history="1">
            <w:r w:rsidRPr="00DD6118">
              <w:rPr>
                <w:rStyle w:val="Hyperlink"/>
                <w:rFonts w:eastAsia="MS Gothic"/>
                <w:noProof/>
              </w:rPr>
              <w:t>6.2 Phase 2: Pre-Close Integration Planning</w:t>
            </w:r>
            <w:r>
              <w:rPr>
                <w:noProof/>
                <w:webHidden/>
              </w:rPr>
              <w:tab/>
            </w:r>
            <w:r>
              <w:rPr>
                <w:noProof/>
                <w:webHidden/>
              </w:rPr>
              <w:fldChar w:fldCharType="begin"/>
            </w:r>
            <w:r>
              <w:rPr>
                <w:noProof/>
                <w:webHidden/>
              </w:rPr>
              <w:instrText xml:space="preserve"> PAGEREF _Toc232351896 \h </w:instrText>
            </w:r>
            <w:r>
              <w:rPr>
                <w:noProof/>
                <w:webHidden/>
              </w:rPr>
            </w:r>
            <w:r>
              <w:rPr>
                <w:noProof/>
                <w:webHidden/>
              </w:rPr>
              <w:fldChar w:fldCharType="separate"/>
            </w:r>
            <w:r>
              <w:rPr>
                <w:noProof/>
                <w:webHidden/>
              </w:rPr>
              <w:t>236</w:t>
            </w:r>
            <w:r>
              <w:rPr>
                <w:noProof/>
                <w:webHidden/>
              </w:rPr>
              <w:fldChar w:fldCharType="end"/>
            </w:r>
          </w:hyperlink>
        </w:p>
        <w:p w14:paraId="7DA7FF1D" w14:textId="1B82FE9B"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97" w:history="1">
            <w:r w:rsidRPr="00DD6118">
              <w:rPr>
                <w:rStyle w:val="Hyperlink"/>
                <w:rFonts w:eastAsia="MS Gothic"/>
                <w:noProof/>
              </w:rPr>
              <w:t>6.2.1 Objectives of the Phase</w:t>
            </w:r>
            <w:r>
              <w:rPr>
                <w:noProof/>
                <w:webHidden/>
              </w:rPr>
              <w:tab/>
            </w:r>
            <w:r>
              <w:rPr>
                <w:noProof/>
                <w:webHidden/>
              </w:rPr>
              <w:fldChar w:fldCharType="begin"/>
            </w:r>
            <w:r>
              <w:rPr>
                <w:noProof/>
                <w:webHidden/>
              </w:rPr>
              <w:instrText xml:space="preserve"> PAGEREF _Toc232351897 \h </w:instrText>
            </w:r>
            <w:r>
              <w:rPr>
                <w:noProof/>
                <w:webHidden/>
              </w:rPr>
            </w:r>
            <w:r>
              <w:rPr>
                <w:noProof/>
                <w:webHidden/>
              </w:rPr>
              <w:fldChar w:fldCharType="separate"/>
            </w:r>
            <w:r>
              <w:rPr>
                <w:noProof/>
                <w:webHidden/>
              </w:rPr>
              <w:t>236</w:t>
            </w:r>
            <w:r>
              <w:rPr>
                <w:noProof/>
                <w:webHidden/>
              </w:rPr>
              <w:fldChar w:fldCharType="end"/>
            </w:r>
          </w:hyperlink>
        </w:p>
        <w:p w14:paraId="30F2F9F1" w14:textId="2054DA35"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98" w:history="1">
            <w:r w:rsidRPr="00DD6118">
              <w:rPr>
                <w:rStyle w:val="Hyperlink"/>
                <w:rFonts w:eastAsia="MS Gothic"/>
                <w:noProof/>
              </w:rPr>
              <w:t>6.2.2 Key Activities</w:t>
            </w:r>
            <w:r>
              <w:rPr>
                <w:noProof/>
                <w:webHidden/>
              </w:rPr>
              <w:tab/>
            </w:r>
            <w:r>
              <w:rPr>
                <w:noProof/>
                <w:webHidden/>
              </w:rPr>
              <w:fldChar w:fldCharType="begin"/>
            </w:r>
            <w:r>
              <w:rPr>
                <w:noProof/>
                <w:webHidden/>
              </w:rPr>
              <w:instrText xml:space="preserve"> PAGEREF _Toc232351898 \h </w:instrText>
            </w:r>
            <w:r>
              <w:rPr>
                <w:noProof/>
                <w:webHidden/>
              </w:rPr>
            </w:r>
            <w:r>
              <w:rPr>
                <w:noProof/>
                <w:webHidden/>
              </w:rPr>
              <w:fldChar w:fldCharType="separate"/>
            </w:r>
            <w:r>
              <w:rPr>
                <w:noProof/>
                <w:webHidden/>
              </w:rPr>
              <w:t>237</w:t>
            </w:r>
            <w:r>
              <w:rPr>
                <w:noProof/>
                <w:webHidden/>
              </w:rPr>
              <w:fldChar w:fldCharType="end"/>
            </w:r>
          </w:hyperlink>
        </w:p>
        <w:p w14:paraId="746B5682" w14:textId="326BB4C2"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899" w:history="1">
            <w:r w:rsidRPr="00DD6118">
              <w:rPr>
                <w:rStyle w:val="Hyperlink"/>
                <w:rFonts w:eastAsia="MS Gothic"/>
                <w:noProof/>
              </w:rPr>
              <w:t>6.2.3 Governance and Leadership Requirements</w:t>
            </w:r>
            <w:r>
              <w:rPr>
                <w:noProof/>
                <w:webHidden/>
              </w:rPr>
              <w:tab/>
            </w:r>
            <w:r>
              <w:rPr>
                <w:noProof/>
                <w:webHidden/>
              </w:rPr>
              <w:fldChar w:fldCharType="begin"/>
            </w:r>
            <w:r>
              <w:rPr>
                <w:noProof/>
                <w:webHidden/>
              </w:rPr>
              <w:instrText xml:space="preserve"> PAGEREF _Toc232351899 \h </w:instrText>
            </w:r>
            <w:r>
              <w:rPr>
                <w:noProof/>
                <w:webHidden/>
              </w:rPr>
            </w:r>
            <w:r>
              <w:rPr>
                <w:noProof/>
                <w:webHidden/>
              </w:rPr>
              <w:fldChar w:fldCharType="separate"/>
            </w:r>
            <w:r>
              <w:rPr>
                <w:noProof/>
                <w:webHidden/>
              </w:rPr>
              <w:t>239</w:t>
            </w:r>
            <w:r>
              <w:rPr>
                <w:noProof/>
                <w:webHidden/>
              </w:rPr>
              <w:fldChar w:fldCharType="end"/>
            </w:r>
          </w:hyperlink>
        </w:p>
        <w:p w14:paraId="54E2AFC3" w14:textId="171B18C2"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00" w:history="1">
            <w:r w:rsidRPr="00DD6118">
              <w:rPr>
                <w:rStyle w:val="Hyperlink"/>
                <w:rFonts w:eastAsia="MS Gothic"/>
                <w:noProof/>
              </w:rPr>
              <w:t>6.2.4 Key Outputs / Deliverables</w:t>
            </w:r>
            <w:r>
              <w:rPr>
                <w:noProof/>
                <w:webHidden/>
              </w:rPr>
              <w:tab/>
            </w:r>
            <w:r>
              <w:rPr>
                <w:noProof/>
                <w:webHidden/>
              </w:rPr>
              <w:fldChar w:fldCharType="begin"/>
            </w:r>
            <w:r>
              <w:rPr>
                <w:noProof/>
                <w:webHidden/>
              </w:rPr>
              <w:instrText xml:space="preserve"> PAGEREF _Toc232351900 \h </w:instrText>
            </w:r>
            <w:r>
              <w:rPr>
                <w:noProof/>
                <w:webHidden/>
              </w:rPr>
            </w:r>
            <w:r>
              <w:rPr>
                <w:noProof/>
                <w:webHidden/>
              </w:rPr>
              <w:fldChar w:fldCharType="separate"/>
            </w:r>
            <w:r>
              <w:rPr>
                <w:noProof/>
                <w:webHidden/>
              </w:rPr>
              <w:t>240</w:t>
            </w:r>
            <w:r>
              <w:rPr>
                <w:noProof/>
                <w:webHidden/>
              </w:rPr>
              <w:fldChar w:fldCharType="end"/>
            </w:r>
          </w:hyperlink>
        </w:p>
        <w:p w14:paraId="177DB378" w14:textId="3B6B765D"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01" w:history="1">
            <w:r w:rsidRPr="00DD6118">
              <w:rPr>
                <w:rStyle w:val="Hyperlink"/>
                <w:rFonts w:eastAsia="MS Gothic"/>
                <w:noProof/>
              </w:rPr>
              <w:t>6.2.5 Risks and Failure Points</w:t>
            </w:r>
            <w:r>
              <w:rPr>
                <w:noProof/>
                <w:webHidden/>
              </w:rPr>
              <w:tab/>
            </w:r>
            <w:r>
              <w:rPr>
                <w:noProof/>
                <w:webHidden/>
              </w:rPr>
              <w:fldChar w:fldCharType="begin"/>
            </w:r>
            <w:r>
              <w:rPr>
                <w:noProof/>
                <w:webHidden/>
              </w:rPr>
              <w:instrText xml:space="preserve"> PAGEREF _Toc232351901 \h </w:instrText>
            </w:r>
            <w:r>
              <w:rPr>
                <w:noProof/>
                <w:webHidden/>
              </w:rPr>
            </w:r>
            <w:r>
              <w:rPr>
                <w:noProof/>
                <w:webHidden/>
              </w:rPr>
              <w:fldChar w:fldCharType="separate"/>
            </w:r>
            <w:r>
              <w:rPr>
                <w:noProof/>
                <w:webHidden/>
              </w:rPr>
              <w:t>241</w:t>
            </w:r>
            <w:r>
              <w:rPr>
                <w:noProof/>
                <w:webHidden/>
              </w:rPr>
              <w:fldChar w:fldCharType="end"/>
            </w:r>
          </w:hyperlink>
        </w:p>
        <w:p w14:paraId="4C5ABE16" w14:textId="72D21236"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02" w:history="1">
            <w:r w:rsidRPr="00DD6118">
              <w:rPr>
                <w:rStyle w:val="Hyperlink"/>
                <w:rFonts w:eastAsia="MS Gothic"/>
                <w:noProof/>
              </w:rPr>
              <w:t>6.3 Phase 3: Day 1 Stabilization</w:t>
            </w:r>
            <w:r>
              <w:rPr>
                <w:noProof/>
                <w:webHidden/>
              </w:rPr>
              <w:tab/>
            </w:r>
            <w:r>
              <w:rPr>
                <w:noProof/>
                <w:webHidden/>
              </w:rPr>
              <w:fldChar w:fldCharType="begin"/>
            </w:r>
            <w:r>
              <w:rPr>
                <w:noProof/>
                <w:webHidden/>
              </w:rPr>
              <w:instrText xml:space="preserve"> PAGEREF _Toc232351902 \h </w:instrText>
            </w:r>
            <w:r>
              <w:rPr>
                <w:noProof/>
                <w:webHidden/>
              </w:rPr>
            </w:r>
            <w:r>
              <w:rPr>
                <w:noProof/>
                <w:webHidden/>
              </w:rPr>
              <w:fldChar w:fldCharType="separate"/>
            </w:r>
            <w:r>
              <w:rPr>
                <w:noProof/>
                <w:webHidden/>
              </w:rPr>
              <w:t>242</w:t>
            </w:r>
            <w:r>
              <w:rPr>
                <w:noProof/>
                <w:webHidden/>
              </w:rPr>
              <w:fldChar w:fldCharType="end"/>
            </w:r>
          </w:hyperlink>
        </w:p>
        <w:p w14:paraId="503B345F" w14:textId="3E1B16D0"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03" w:history="1">
            <w:r w:rsidRPr="00DD6118">
              <w:rPr>
                <w:rStyle w:val="Hyperlink"/>
                <w:rFonts w:eastAsia="MS Gothic"/>
                <w:noProof/>
              </w:rPr>
              <w:t>6.3.1 Objectives</w:t>
            </w:r>
            <w:r>
              <w:rPr>
                <w:noProof/>
                <w:webHidden/>
              </w:rPr>
              <w:tab/>
            </w:r>
            <w:r>
              <w:rPr>
                <w:noProof/>
                <w:webHidden/>
              </w:rPr>
              <w:fldChar w:fldCharType="begin"/>
            </w:r>
            <w:r>
              <w:rPr>
                <w:noProof/>
                <w:webHidden/>
              </w:rPr>
              <w:instrText xml:space="preserve"> PAGEREF _Toc232351903 \h </w:instrText>
            </w:r>
            <w:r>
              <w:rPr>
                <w:noProof/>
                <w:webHidden/>
              </w:rPr>
            </w:r>
            <w:r>
              <w:rPr>
                <w:noProof/>
                <w:webHidden/>
              </w:rPr>
              <w:fldChar w:fldCharType="separate"/>
            </w:r>
            <w:r>
              <w:rPr>
                <w:noProof/>
                <w:webHidden/>
              </w:rPr>
              <w:t>243</w:t>
            </w:r>
            <w:r>
              <w:rPr>
                <w:noProof/>
                <w:webHidden/>
              </w:rPr>
              <w:fldChar w:fldCharType="end"/>
            </w:r>
          </w:hyperlink>
        </w:p>
        <w:p w14:paraId="0A550D50" w14:textId="30EFB37E"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04" w:history="1">
            <w:r w:rsidRPr="00DD6118">
              <w:rPr>
                <w:rStyle w:val="Hyperlink"/>
                <w:rFonts w:eastAsia="MS Gothic"/>
                <w:noProof/>
              </w:rPr>
              <w:t>6.3.2 Key Activities</w:t>
            </w:r>
            <w:r>
              <w:rPr>
                <w:noProof/>
                <w:webHidden/>
              </w:rPr>
              <w:tab/>
            </w:r>
            <w:r>
              <w:rPr>
                <w:noProof/>
                <w:webHidden/>
              </w:rPr>
              <w:fldChar w:fldCharType="begin"/>
            </w:r>
            <w:r>
              <w:rPr>
                <w:noProof/>
                <w:webHidden/>
              </w:rPr>
              <w:instrText xml:space="preserve"> PAGEREF _Toc232351904 \h </w:instrText>
            </w:r>
            <w:r>
              <w:rPr>
                <w:noProof/>
                <w:webHidden/>
              </w:rPr>
            </w:r>
            <w:r>
              <w:rPr>
                <w:noProof/>
                <w:webHidden/>
              </w:rPr>
              <w:fldChar w:fldCharType="separate"/>
            </w:r>
            <w:r>
              <w:rPr>
                <w:noProof/>
                <w:webHidden/>
              </w:rPr>
              <w:t>243</w:t>
            </w:r>
            <w:r>
              <w:rPr>
                <w:noProof/>
                <w:webHidden/>
              </w:rPr>
              <w:fldChar w:fldCharType="end"/>
            </w:r>
          </w:hyperlink>
        </w:p>
        <w:p w14:paraId="7BEC5FA5" w14:textId="1B35394E"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05" w:history="1">
            <w:r w:rsidRPr="00DD6118">
              <w:rPr>
                <w:rStyle w:val="Hyperlink"/>
                <w:rFonts w:eastAsia="MS Gothic"/>
                <w:noProof/>
              </w:rPr>
              <w:t>6.3.3 Governance and Leadership</w:t>
            </w:r>
            <w:r>
              <w:rPr>
                <w:noProof/>
                <w:webHidden/>
              </w:rPr>
              <w:tab/>
            </w:r>
            <w:r>
              <w:rPr>
                <w:noProof/>
                <w:webHidden/>
              </w:rPr>
              <w:fldChar w:fldCharType="begin"/>
            </w:r>
            <w:r>
              <w:rPr>
                <w:noProof/>
                <w:webHidden/>
              </w:rPr>
              <w:instrText xml:space="preserve"> PAGEREF _Toc232351905 \h </w:instrText>
            </w:r>
            <w:r>
              <w:rPr>
                <w:noProof/>
                <w:webHidden/>
              </w:rPr>
            </w:r>
            <w:r>
              <w:rPr>
                <w:noProof/>
                <w:webHidden/>
              </w:rPr>
              <w:fldChar w:fldCharType="separate"/>
            </w:r>
            <w:r>
              <w:rPr>
                <w:noProof/>
                <w:webHidden/>
              </w:rPr>
              <w:t>244</w:t>
            </w:r>
            <w:r>
              <w:rPr>
                <w:noProof/>
                <w:webHidden/>
              </w:rPr>
              <w:fldChar w:fldCharType="end"/>
            </w:r>
          </w:hyperlink>
        </w:p>
        <w:p w14:paraId="361E35E0" w14:textId="434A9632"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06" w:history="1">
            <w:r w:rsidRPr="00DD6118">
              <w:rPr>
                <w:rStyle w:val="Hyperlink"/>
                <w:rFonts w:eastAsia="MS Gothic"/>
                <w:noProof/>
              </w:rPr>
              <w:t>6.3.4 Outputs / Deliverables</w:t>
            </w:r>
            <w:r>
              <w:rPr>
                <w:noProof/>
                <w:webHidden/>
              </w:rPr>
              <w:tab/>
            </w:r>
            <w:r>
              <w:rPr>
                <w:noProof/>
                <w:webHidden/>
              </w:rPr>
              <w:fldChar w:fldCharType="begin"/>
            </w:r>
            <w:r>
              <w:rPr>
                <w:noProof/>
                <w:webHidden/>
              </w:rPr>
              <w:instrText xml:space="preserve"> PAGEREF _Toc232351906 \h </w:instrText>
            </w:r>
            <w:r>
              <w:rPr>
                <w:noProof/>
                <w:webHidden/>
              </w:rPr>
            </w:r>
            <w:r>
              <w:rPr>
                <w:noProof/>
                <w:webHidden/>
              </w:rPr>
              <w:fldChar w:fldCharType="separate"/>
            </w:r>
            <w:r>
              <w:rPr>
                <w:noProof/>
                <w:webHidden/>
              </w:rPr>
              <w:t>245</w:t>
            </w:r>
            <w:r>
              <w:rPr>
                <w:noProof/>
                <w:webHidden/>
              </w:rPr>
              <w:fldChar w:fldCharType="end"/>
            </w:r>
          </w:hyperlink>
        </w:p>
        <w:p w14:paraId="4005B2CF" w14:textId="47FF6854"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07" w:history="1">
            <w:r w:rsidRPr="00DD6118">
              <w:rPr>
                <w:rStyle w:val="Hyperlink"/>
                <w:rFonts w:eastAsia="MS Gothic"/>
                <w:noProof/>
              </w:rPr>
              <w:t>6.3.5 Risks and Failure Points</w:t>
            </w:r>
            <w:r>
              <w:rPr>
                <w:noProof/>
                <w:webHidden/>
              </w:rPr>
              <w:tab/>
            </w:r>
            <w:r>
              <w:rPr>
                <w:noProof/>
                <w:webHidden/>
              </w:rPr>
              <w:fldChar w:fldCharType="begin"/>
            </w:r>
            <w:r>
              <w:rPr>
                <w:noProof/>
                <w:webHidden/>
              </w:rPr>
              <w:instrText xml:space="preserve"> PAGEREF _Toc232351907 \h </w:instrText>
            </w:r>
            <w:r>
              <w:rPr>
                <w:noProof/>
                <w:webHidden/>
              </w:rPr>
            </w:r>
            <w:r>
              <w:rPr>
                <w:noProof/>
                <w:webHidden/>
              </w:rPr>
              <w:fldChar w:fldCharType="separate"/>
            </w:r>
            <w:r>
              <w:rPr>
                <w:noProof/>
                <w:webHidden/>
              </w:rPr>
              <w:t>245</w:t>
            </w:r>
            <w:r>
              <w:rPr>
                <w:noProof/>
                <w:webHidden/>
              </w:rPr>
              <w:fldChar w:fldCharType="end"/>
            </w:r>
          </w:hyperlink>
        </w:p>
        <w:p w14:paraId="35A98046" w14:textId="66FE671C"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08" w:history="1">
            <w:r w:rsidRPr="00DD6118">
              <w:rPr>
                <w:rStyle w:val="Hyperlink"/>
                <w:rFonts w:eastAsia="MS Gothic"/>
                <w:noProof/>
              </w:rPr>
              <w:t>6.4 Phase 4: Integration Execution</w:t>
            </w:r>
            <w:r>
              <w:rPr>
                <w:noProof/>
                <w:webHidden/>
              </w:rPr>
              <w:tab/>
            </w:r>
            <w:r>
              <w:rPr>
                <w:noProof/>
                <w:webHidden/>
              </w:rPr>
              <w:fldChar w:fldCharType="begin"/>
            </w:r>
            <w:r>
              <w:rPr>
                <w:noProof/>
                <w:webHidden/>
              </w:rPr>
              <w:instrText xml:space="preserve"> PAGEREF _Toc232351908 \h </w:instrText>
            </w:r>
            <w:r>
              <w:rPr>
                <w:noProof/>
                <w:webHidden/>
              </w:rPr>
            </w:r>
            <w:r>
              <w:rPr>
                <w:noProof/>
                <w:webHidden/>
              </w:rPr>
              <w:fldChar w:fldCharType="separate"/>
            </w:r>
            <w:r>
              <w:rPr>
                <w:noProof/>
                <w:webHidden/>
              </w:rPr>
              <w:t>246</w:t>
            </w:r>
            <w:r>
              <w:rPr>
                <w:noProof/>
                <w:webHidden/>
              </w:rPr>
              <w:fldChar w:fldCharType="end"/>
            </w:r>
          </w:hyperlink>
        </w:p>
        <w:p w14:paraId="42AAC570" w14:textId="06008404"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09" w:history="1">
            <w:r w:rsidRPr="00DD6118">
              <w:rPr>
                <w:rStyle w:val="Hyperlink"/>
                <w:rFonts w:eastAsia="MS Gothic"/>
                <w:noProof/>
              </w:rPr>
              <w:t>6.4.1 Objectives</w:t>
            </w:r>
            <w:r>
              <w:rPr>
                <w:noProof/>
                <w:webHidden/>
              </w:rPr>
              <w:tab/>
            </w:r>
            <w:r>
              <w:rPr>
                <w:noProof/>
                <w:webHidden/>
              </w:rPr>
              <w:fldChar w:fldCharType="begin"/>
            </w:r>
            <w:r>
              <w:rPr>
                <w:noProof/>
                <w:webHidden/>
              </w:rPr>
              <w:instrText xml:space="preserve"> PAGEREF _Toc232351909 \h </w:instrText>
            </w:r>
            <w:r>
              <w:rPr>
                <w:noProof/>
                <w:webHidden/>
              </w:rPr>
            </w:r>
            <w:r>
              <w:rPr>
                <w:noProof/>
                <w:webHidden/>
              </w:rPr>
              <w:fldChar w:fldCharType="separate"/>
            </w:r>
            <w:r>
              <w:rPr>
                <w:noProof/>
                <w:webHidden/>
              </w:rPr>
              <w:t>247</w:t>
            </w:r>
            <w:r>
              <w:rPr>
                <w:noProof/>
                <w:webHidden/>
              </w:rPr>
              <w:fldChar w:fldCharType="end"/>
            </w:r>
          </w:hyperlink>
        </w:p>
        <w:p w14:paraId="2C652285" w14:textId="7E39A455"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10" w:history="1">
            <w:r w:rsidRPr="00DD6118">
              <w:rPr>
                <w:rStyle w:val="Hyperlink"/>
                <w:rFonts w:eastAsia="MS Gothic"/>
                <w:noProof/>
              </w:rPr>
              <w:t>6.4.2 Key Activities</w:t>
            </w:r>
            <w:r>
              <w:rPr>
                <w:noProof/>
                <w:webHidden/>
              </w:rPr>
              <w:tab/>
            </w:r>
            <w:r>
              <w:rPr>
                <w:noProof/>
                <w:webHidden/>
              </w:rPr>
              <w:fldChar w:fldCharType="begin"/>
            </w:r>
            <w:r>
              <w:rPr>
                <w:noProof/>
                <w:webHidden/>
              </w:rPr>
              <w:instrText xml:space="preserve"> PAGEREF _Toc232351910 \h </w:instrText>
            </w:r>
            <w:r>
              <w:rPr>
                <w:noProof/>
                <w:webHidden/>
              </w:rPr>
            </w:r>
            <w:r>
              <w:rPr>
                <w:noProof/>
                <w:webHidden/>
              </w:rPr>
              <w:fldChar w:fldCharType="separate"/>
            </w:r>
            <w:r>
              <w:rPr>
                <w:noProof/>
                <w:webHidden/>
              </w:rPr>
              <w:t>247</w:t>
            </w:r>
            <w:r>
              <w:rPr>
                <w:noProof/>
                <w:webHidden/>
              </w:rPr>
              <w:fldChar w:fldCharType="end"/>
            </w:r>
          </w:hyperlink>
        </w:p>
        <w:p w14:paraId="3EEA1112" w14:textId="4C1515A2"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11" w:history="1">
            <w:r w:rsidRPr="00DD6118">
              <w:rPr>
                <w:rStyle w:val="Hyperlink"/>
                <w:rFonts w:eastAsia="MS Gothic"/>
                <w:noProof/>
              </w:rPr>
              <w:t>6.4.3 Governance and Leadership</w:t>
            </w:r>
            <w:r>
              <w:rPr>
                <w:noProof/>
                <w:webHidden/>
              </w:rPr>
              <w:tab/>
            </w:r>
            <w:r>
              <w:rPr>
                <w:noProof/>
                <w:webHidden/>
              </w:rPr>
              <w:fldChar w:fldCharType="begin"/>
            </w:r>
            <w:r>
              <w:rPr>
                <w:noProof/>
                <w:webHidden/>
              </w:rPr>
              <w:instrText xml:space="preserve"> PAGEREF _Toc232351911 \h </w:instrText>
            </w:r>
            <w:r>
              <w:rPr>
                <w:noProof/>
                <w:webHidden/>
              </w:rPr>
            </w:r>
            <w:r>
              <w:rPr>
                <w:noProof/>
                <w:webHidden/>
              </w:rPr>
              <w:fldChar w:fldCharType="separate"/>
            </w:r>
            <w:r>
              <w:rPr>
                <w:noProof/>
                <w:webHidden/>
              </w:rPr>
              <w:t>249</w:t>
            </w:r>
            <w:r>
              <w:rPr>
                <w:noProof/>
                <w:webHidden/>
              </w:rPr>
              <w:fldChar w:fldCharType="end"/>
            </w:r>
          </w:hyperlink>
        </w:p>
        <w:p w14:paraId="349DC7B1" w14:textId="72025A03"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12" w:history="1">
            <w:r w:rsidRPr="00DD6118">
              <w:rPr>
                <w:rStyle w:val="Hyperlink"/>
                <w:rFonts w:eastAsia="MS Gothic"/>
                <w:noProof/>
              </w:rPr>
              <w:t>6.4.4 Outputs / Deliverables</w:t>
            </w:r>
            <w:r>
              <w:rPr>
                <w:noProof/>
                <w:webHidden/>
              </w:rPr>
              <w:tab/>
            </w:r>
            <w:r>
              <w:rPr>
                <w:noProof/>
                <w:webHidden/>
              </w:rPr>
              <w:fldChar w:fldCharType="begin"/>
            </w:r>
            <w:r>
              <w:rPr>
                <w:noProof/>
                <w:webHidden/>
              </w:rPr>
              <w:instrText xml:space="preserve"> PAGEREF _Toc232351912 \h </w:instrText>
            </w:r>
            <w:r>
              <w:rPr>
                <w:noProof/>
                <w:webHidden/>
              </w:rPr>
            </w:r>
            <w:r>
              <w:rPr>
                <w:noProof/>
                <w:webHidden/>
              </w:rPr>
              <w:fldChar w:fldCharType="separate"/>
            </w:r>
            <w:r>
              <w:rPr>
                <w:noProof/>
                <w:webHidden/>
              </w:rPr>
              <w:t>250</w:t>
            </w:r>
            <w:r>
              <w:rPr>
                <w:noProof/>
                <w:webHidden/>
              </w:rPr>
              <w:fldChar w:fldCharType="end"/>
            </w:r>
          </w:hyperlink>
        </w:p>
        <w:p w14:paraId="24029736" w14:textId="555D144C"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13" w:history="1">
            <w:r w:rsidRPr="00DD6118">
              <w:rPr>
                <w:rStyle w:val="Hyperlink"/>
                <w:rFonts w:eastAsia="MS Gothic"/>
                <w:noProof/>
              </w:rPr>
              <w:t>6.4.5 Risks and Failure Points</w:t>
            </w:r>
            <w:r>
              <w:rPr>
                <w:noProof/>
                <w:webHidden/>
              </w:rPr>
              <w:tab/>
            </w:r>
            <w:r>
              <w:rPr>
                <w:noProof/>
                <w:webHidden/>
              </w:rPr>
              <w:fldChar w:fldCharType="begin"/>
            </w:r>
            <w:r>
              <w:rPr>
                <w:noProof/>
                <w:webHidden/>
              </w:rPr>
              <w:instrText xml:space="preserve"> PAGEREF _Toc232351913 \h </w:instrText>
            </w:r>
            <w:r>
              <w:rPr>
                <w:noProof/>
                <w:webHidden/>
              </w:rPr>
            </w:r>
            <w:r>
              <w:rPr>
                <w:noProof/>
                <w:webHidden/>
              </w:rPr>
              <w:fldChar w:fldCharType="separate"/>
            </w:r>
            <w:r>
              <w:rPr>
                <w:noProof/>
                <w:webHidden/>
              </w:rPr>
              <w:t>250</w:t>
            </w:r>
            <w:r>
              <w:rPr>
                <w:noProof/>
                <w:webHidden/>
              </w:rPr>
              <w:fldChar w:fldCharType="end"/>
            </w:r>
          </w:hyperlink>
        </w:p>
        <w:p w14:paraId="126FB827" w14:textId="3922E44C"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14" w:history="1">
            <w:r w:rsidRPr="00DD6118">
              <w:rPr>
                <w:rStyle w:val="Hyperlink"/>
                <w:rFonts w:eastAsia="MS Gothic"/>
                <w:noProof/>
              </w:rPr>
              <w:t>6.5 Phase 5: Organizational Learning and Capability Development</w:t>
            </w:r>
            <w:r>
              <w:rPr>
                <w:noProof/>
                <w:webHidden/>
              </w:rPr>
              <w:tab/>
            </w:r>
            <w:r>
              <w:rPr>
                <w:noProof/>
                <w:webHidden/>
              </w:rPr>
              <w:fldChar w:fldCharType="begin"/>
            </w:r>
            <w:r>
              <w:rPr>
                <w:noProof/>
                <w:webHidden/>
              </w:rPr>
              <w:instrText xml:space="preserve"> PAGEREF _Toc232351914 \h </w:instrText>
            </w:r>
            <w:r>
              <w:rPr>
                <w:noProof/>
                <w:webHidden/>
              </w:rPr>
            </w:r>
            <w:r>
              <w:rPr>
                <w:noProof/>
                <w:webHidden/>
              </w:rPr>
              <w:fldChar w:fldCharType="separate"/>
            </w:r>
            <w:r>
              <w:rPr>
                <w:noProof/>
                <w:webHidden/>
              </w:rPr>
              <w:t>251</w:t>
            </w:r>
            <w:r>
              <w:rPr>
                <w:noProof/>
                <w:webHidden/>
              </w:rPr>
              <w:fldChar w:fldCharType="end"/>
            </w:r>
          </w:hyperlink>
        </w:p>
        <w:p w14:paraId="62F87939" w14:textId="486DE688"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15" w:history="1">
            <w:r w:rsidRPr="00DD6118">
              <w:rPr>
                <w:rStyle w:val="Hyperlink"/>
                <w:rFonts w:eastAsia="MS Gothic"/>
                <w:noProof/>
              </w:rPr>
              <w:t>6.5.1 Objectives</w:t>
            </w:r>
            <w:r>
              <w:rPr>
                <w:noProof/>
                <w:webHidden/>
              </w:rPr>
              <w:tab/>
            </w:r>
            <w:r>
              <w:rPr>
                <w:noProof/>
                <w:webHidden/>
              </w:rPr>
              <w:fldChar w:fldCharType="begin"/>
            </w:r>
            <w:r>
              <w:rPr>
                <w:noProof/>
                <w:webHidden/>
              </w:rPr>
              <w:instrText xml:space="preserve"> PAGEREF _Toc232351915 \h </w:instrText>
            </w:r>
            <w:r>
              <w:rPr>
                <w:noProof/>
                <w:webHidden/>
              </w:rPr>
            </w:r>
            <w:r>
              <w:rPr>
                <w:noProof/>
                <w:webHidden/>
              </w:rPr>
              <w:fldChar w:fldCharType="separate"/>
            </w:r>
            <w:r>
              <w:rPr>
                <w:noProof/>
                <w:webHidden/>
              </w:rPr>
              <w:t>252</w:t>
            </w:r>
            <w:r>
              <w:rPr>
                <w:noProof/>
                <w:webHidden/>
              </w:rPr>
              <w:fldChar w:fldCharType="end"/>
            </w:r>
          </w:hyperlink>
        </w:p>
        <w:p w14:paraId="714F5D5D" w14:textId="0291AA14"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16" w:history="1">
            <w:r w:rsidRPr="00DD6118">
              <w:rPr>
                <w:rStyle w:val="Hyperlink"/>
                <w:rFonts w:eastAsia="MS Gothic"/>
                <w:noProof/>
              </w:rPr>
              <w:t>6.5.2 Key Activities</w:t>
            </w:r>
            <w:r>
              <w:rPr>
                <w:noProof/>
                <w:webHidden/>
              </w:rPr>
              <w:tab/>
            </w:r>
            <w:r>
              <w:rPr>
                <w:noProof/>
                <w:webHidden/>
              </w:rPr>
              <w:fldChar w:fldCharType="begin"/>
            </w:r>
            <w:r>
              <w:rPr>
                <w:noProof/>
                <w:webHidden/>
              </w:rPr>
              <w:instrText xml:space="preserve"> PAGEREF _Toc232351916 \h </w:instrText>
            </w:r>
            <w:r>
              <w:rPr>
                <w:noProof/>
                <w:webHidden/>
              </w:rPr>
            </w:r>
            <w:r>
              <w:rPr>
                <w:noProof/>
                <w:webHidden/>
              </w:rPr>
              <w:fldChar w:fldCharType="separate"/>
            </w:r>
            <w:r>
              <w:rPr>
                <w:noProof/>
                <w:webHidden/>
              </w:rPr>
              <w:t>253</w:t>
            </w:r>
            <w:r>
              <w:rPr>
                <w:noProof/>
                <w:webHidden/>
              </w:rPr>
              <w:fldChar w:fldCharType="end"/>
            </w:r>
          </w:hyperlink>
        </w:p>
        <w:p w14:paraId="0CBDBAF0" w14:textId="2643D011"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17" w:history="1">
            <w:r w:rsidRPr="00DD6118">
              <w:rPr>
                <w:rStyle w:val="Hyperlink"/>
                <w:rFonts w:eastAsia="MS Gothic"/>
                <w:noProof/>
              </w:rPr>
              <w:t>6.5.3 Governance and Leadership Requirements</w:t>
            </w:r>
            <w:r>
              <w:rPr>
                <w:noProof/>
                <w:webHidden/>
              </w:rPr>
              <w:tab/>
            </w:r>
            <w:r>
              <w:rPr>
                <w:noProof/>
                <w:webHidden/>
              </w:rPr>
              <w:fldChar w:fldCharType="begin"/>
            </w:r>
            <w:r>
              <w:rPr>
                <w:noProof/>
                <w:webHidden/>
              </w:rPr>
              <w:instrText xml:space="preserve"> PAGEREF _Toc232351917 \h </w:instrText>
            </w:r>
            <w:r>
              <w:rPr>
                <w:noProof/>
                <w:webHidden/>
              </w:rPr>
            </w:r>
            <w:r>
              <w:rPr>
                <w:noProof/>
                <w:webHidden/>
              </w:rPr>
              <w:fldChar w:fldCharType="separate"/>
            </w:r>
            <w:r>
              <w:rPr>
                <w:noProof/>
                <w:webHidden/>
              </w:rPr>
              <w:t>254</w:t>
            </w:r>
            <w:r>
              <w:rPr>
                <w:noProof/>
                <w:webHidden/>
              </w:rPr>
              <w:fldChar w:fldCharType="end"/>
            </w:r>
          </w:hyperlink>
        </w:p>
        <w:p w14:paraId="65B9504B" w14:textId="0095974C"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18" w:history="1">
            <w:r w:rsidRPr="00DD6118">
              <w:rPr>
                <w:rStyle w:val="Hyperlink"/>
                <w:rFonts w:eastAsia="MS Gothic"/>
                <w:noProof/>
              </w:rPr>
              <w:t>6.5.4 Outputs / Deliverables</w:t>
            </w:r>
            <w:r>
              <w:rPr>
                <w:noProof/>
                <w:webHidden/>
              </w:rPr>
              <w:tab/>
            </w:r>
            <w:r>
              <w:rPr>
                <w:noProof/>
                <w:webHidden/>
              </w:rPr>
              <w:fldChar w:fldCharType="begin"/>
            </w:r>
            <w:r>
              <w:rPr>
                <w:noProof/>
                <w:webHidden/>
              </w:rPr>
              <w:instrText xml:space="preserve"> PAGEREF _Toc232351918 \h </w:instrText>
            </w:r>
            <w:r>
              <w:rPr>
                <w:noProof/>
                <w:webHidden/>
              </w:rPr>
            </w:r>
            <w:r>
              <w:rPr>
                <w:noProof/>
                <w:webHidden/>
              </w:rPr>
              <w:fldChar w:fldCharType="separate"/>
            </w:r>
            <w:r>
              <w:rPr>
                <w:noProof/>
                <w:webHidden/>
              </w:rPr>
              <w:t>255</w:t>
            </w:r>
            <w:r>
              <w:rPr>
                <w:noProof/>
                <w:webHidden/>
              </w:rPr>
              <w:fldChar w:fldCharType="end"/>
            </w:r>
          </w:hyperlink>
        </w:p>
        <w:p w14:paraId="114A358D" w14:textId="171A514B"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19" w:history="1">
            <w:r w:rsidRPr="00DD6118">
              <w:rPr>
                <w:rStyle w:val="Hyperlink"/>
                <w:rFonts w:eastAsia="MS Gothic"/>
                <w:noProof/>
              </w:rPr>
              <w:t>6.5.5 Risks and Failure Points</w:t>
            </w:r>
            <w:r>
              <w:rPr>
                <w:noProof/>
                <w:webHidden/>
              </w:rPr>
              <w:tab/>
            </w:r>
            <w:r>
              <w:rPr>
                <w:noProof/>
                <w:webHidden/>
              </w:rPr>
              <w:fldChar w:fldCharType="begin"/>
            </w:r>
            <w:r>
              <w:rPr>
                <w:noProof/>
                <w:webHidden/>
              </w:rPr>
              <w:instrText xml:space="preserve"> PAGEREF _Toc232351919 \h </w:instrText>
            </w:r>
            <w:r>
              <w:rPr>
                <w:noProof/>
                <w:webHidden/>
              </w:rPr>
            </w:r>
            <w:r>
              <w:rPr>
                <w:noProof/>
                <w:webHidden/>
              </w:rPr>
              <w:fldChar w:fldCharType="separate"/>
            </w:r>
            <w:r>
              <w:rPr>
                <w:noProof/>
                <w:webHidden/>
              </w:rPr>
              <w:t>255</w:t>
            </w:r>
            <w:r>
              <w:rPr>
                <w:noProof/>
                <w:webHidden/>
              </w:rPr>
              <w:fldChar w:fldCharType="end"/>
            </w:r>
          </w:hyperlink>
        </w:p>
        <w:p w14:paraId="66F50FB4" w14:textId="04FD6746"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20" w:history="1">
            <w:r w:rsidRPr="00DD6118">
              <w:rPr>
                <w:rStyle w:val="Hyperlink"/>
                <w:noProof/>
              </w:rPr>
              <w:t>6.5.6 From Execution to Capability Development</w:t>
            </w:r>
            <w:r>
              <w:rPr>
                <w:noProof/>
                <w:webHidden/>
              </w:rPr>
              <w:tab/>
            </w:r>
            <w:r>
              <w:rPr>
                <w:noProof/>
                <w:webHidden/>
              </w:rPr>
              <w:fldChar w:fldCharType="begin"/>
            </w:r>
            <w:r>
              <w:rPr>
                <w:noProof/>
                <w:webHidden/>
              </w:rPr>
              <w:instrText xml:space="preserve"> PAGEREF _Toc232351920 \h </w:instrText>
            </w:r>
            <w:r>
              <w:rPr>
                <w:noProof/>
                <w:webHidden/>
              </w:rPr>
            </w:r>
            <w:r>
              <w:rPr>
                <w:noProof/>
                <w:webHidden/>
              </w:rPr>
              <w:fldChar w:fldCharType="separate"/>
            </w:r>
            <w:r>
              <w:rPr>
                <w:noProof/>
                <w:webHidden/>
              </w:rPr>
              <w:t>256</w:t>
            </w:r>
            <w:r>
              <w:rPr>
                <w:noProof/>
                <w:webHidden/>
              </w:rPr>
              <w:fldChar w:fldCharType="end"/>
            </w:r>
          </w:hyperlink>
        </w:p>
        <w:p w14:paraId="6268500B" w14:textId="3CEAE2E2"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21" w:history="1">
            <w:r w:rsidRPr="00DD6118">
              <w:rPr>
                <w:rStyle w:val="Hyperlink"/>
                <w:noProof/>
              </w:rPr>
              <w:t>6.5.7 Institutionalizing Integration Learning</w:t>
            </w:r>
            <w:r>
              <w:rPr>
                <w:noProof/>
                <w:webHidden/>
              </w:rPr>
              <w:tab/>
            </w:r>
            <w:r>
              <w:rPr>
                <w:noProof/>
                <w:webHidden/>
              </w:rPr>
              <w:fldChar w:fldCharType="begin"/>
            </w:r>
            <w:r>
              <w:rPr>
                <w:noProof/>
                <w:webHidden/>
              </w:rPr>
              <w:instrText xml:space="preserve"> PAGEREF _Toc232351921 \h </w:instrText>
            </w:r>
            <w:r>
              <w:rPr>
                <w:noProof/>
                <w:webHidden/>
              </w:rPr>
            </w:r>
            <w:r>
              <w:rPr>
                <w:noProof/>
                <w:webHidden/>
              </w:rPr>
              <w:fldChar w:fldCharType="separate"/>
            </w:r>
            <w:r>
              <w:rPr>
                <w:noProof/>
                <w:webHidden/>
              </w:rPr>
              <w:t>257</w:t>
            </w:r>
            <w:r>
              <w:rPr>
                <w:noProof/>
                <w:webHidden/>
              </w:rPr>
              <w:fldChar w:fldCharType="end"/>
            </w:r>
          </w:hyperlink>
        </w:p>
        <w:p w14:paraId="56D3A62A" w14:textId="47258A60"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22" w:history="1">
            <w:r w:rsidRPr="00DD6118">
              <w:rPr>
                <w:rStyle w:val="Hyperlink"/>
                <w:rFonts w:eastAsia="MS Gothic"/>
                <w:noProof/>
              </w:rPr>
              <w:t>6.6 Summary of the Operational Model</w:t>
            </w:r>
            <w:r>
              <w:rPr>
                <w:noProof/>
                <w:webHidden/>
              </w:rPr>
              <w:tab/>
            </w:r>
            <w:r>
              <w:rPr>
                <w:noProof/>
                <w:webHidden/>
              </w:rPr>
              <w:fldChar w:fldCharType="begin"/>
            </w:r>
            <w:r>
              <w:rPr>
                <w:noProof/>
                <w:webHidden/>
              </w:rPr>
              <w:instrText xml:space="preserve"> PAGEREF _Toc232351922 \h </w:instrText>
            </w:r>
            <w:r>
              <w:rPr>
                <w:noProof/>
                <w:webHidden/>
              </w:rPr>
            </w:r>
            <w:r>
              <w:rPr>
                <w:noProof/>
                <w:webHidden/>
              </w:rPr>
              <w:fldChar w:fldCharType="separate"/>
            </w:r>
            <w:r>
              <w:rPr>
                <w:noProof/>
                <w:webHidden/>
              </w:rPr>
              <w:t>259</w:t>
            </w:r>
            <w:r>
              <w:rPr>
                <w:noProof/>
                <w:webHidden/>
              </w:rPr>
              <w:fldChar w:fldCharType="end"/>
            </w:r>
          </w:hyperlink>
        </w:p>
        <w:p w14:paraId="109A6FE1" w14:textId="0941D94B" w:rsidR="00CB5964" w:rsidRDefault="00CB5964">
          <w:pPr>
            <w:pStyle w:val="TOC1"/>
            <w:rPr>
              <w:rFonts w:asciiTheme="minorHAnsi" w:eastAsiaTheme="minorEastAsia" w:hAnsiTheme="minorHAnsi" w:cstheme="minorBidi"/>
              <w:noProof/>
              <w:kern w:val="2"/>
              <w:lang w:val="en-CA"/>
              <w14:ligatures w14:val="standardContextual"/>
            </w:rPr>
          </w:pPr>
          <w:hyperlink w:anchor="_Toc232351923" w:history="1">
            <w:r w:rsidRPr="00DD6118">
              <w:rPr>
                <w:rStyle w:val="Hyperlink"/>
                <w:noProof/>
              </w:rPr>
              <w:t>CONCLUSION</w:t>
            </w:r>
            <w:r>
              <w:rPr>
                <w:noProof/>
                <w:webHidden/>
              </w:rPr>
              <w:tab/>
            </w:r>
            <w:r>
              <w:rPr>
                <w:noProof/>
                <w:webHidden/>
              </w:rPr>
              <w:fldChar w:fldCharType="begin"/>
            </w:r>
            <w:r>
              <w:rPr>
                <w:noProof/>
                <w:webHidden/>
              </w:rPr>
              <w:instrText xml:space="preserve"> PAGEREF _Toc232351923 \h </w:instrText>
            </w:r>
            <w:r>
              <w:rPr>
                <w:noProof/>
                <w:webHidden/>
              </w:rPr>
            </w:r>
            <w:r>
              <w:rPr>
                <w:noProof/>
                <w:webHidden/>
              </w:rPr>
              <w:fldChar w:fldCharType="separate"/>
            </w:r>
            <w:r>
              <w:rPr>
                <w:noProof/>
                <w:webHidden/>
              </w:rPr>
              <w:t>261</w:t>
            </w:r>
            <w:r>
              <w:rPr>
                <w:noProof/>
                <w:webHidden/>
              </w:rPr>
              <w:fldChar w:fldCharType="end"/>
            </w:r>
          </w:hyperlink>
        </w:p>
        <w:p w14:paraId="0FC2BD51" w14:textId="492F5E35"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24" w:history="1">
            <w:r w:rsidRPr="00DD6118">
              <w:rPr>
                <w:rStyle w:val="Hyperlink"/>
                <w:noProof/>
              </w:rPr>
              <w:t>Chapter 7: Overview</w:t>
            </w:r>
            <w:r>
              <w:rPr>
                <w:noProof/>
                <w:webHidden/>
              </w:rPr>
              <w:tab/>
            </w:r>
            <w:r>
              <w:rPr>
                <w:noProof/>
                <w:webHidden/>
              </w:rPr>
              <w:fldChar w:fldCharType="begin"/>
            </w:r>
            <w:r>
              <w:rPr>
                <w:noProof/>
                <w:webHidden/>
              </w:rPr>
              <w:instrText xml:space="preserve"> PAGEREF _Toc232351924 \h </w:instrText>
            </w:r>
            <w:r>
              <w:rPr>
                <w:noProof/>
                <w:webHidden/>
              </w:rPr>
            </w:r>
            <w:r>
              <w:rPr>
                <w:noProof/>
                <w:webHidden/>
              </w:rPr>
              <w:fldChar w:fldCharType="separate"/>
            </w:r>
            <w:r>
              <w:rPr>
                <w:noProof/>
                <w:webHidden/>
              </w:rPr>
              <w:t>261</w:t>
            </w:r>
            <w:r>
              <w:rPr>
                <w:noProof/>
                <w:webHidden/>
              </w:rPr>
              <w:fldChar w:fldCharType="end"/>
            </w:r>
          </w:hyperlink>
        </w:p>
        <w:p w14:paraId="3CE59734" w14:textId="17E3FC91"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25" w:history="1">
            <w:r w:rsidRPr="00DD6118">
              <w:rPr>
                <w:rStyle w:val="Hyperlink"/>
                <w:noProof/>
              </w:rPr>
              <w:t>7.1 Summary of Research Findings</w:t>
            </w:r>
            <w:r>
              <w:rPr>
                <w:noProof/>
                <w:webHidden/>
              </w:rPr>
              <w:tab/>
            </w:r>
            <w:r>
              <w:rPr>
                <w:noProof/>
                <w:webHidden/>
              </w:rPr>
              <w:fldChar w:fldCharType="begin"/>
            </w:r>
            <w:r>
              <w:rPr>
                <w:noProof/>
                <w:webHidden/>
              </w:rPr>
              <w:instrText xml:space="preserve"> PAGEREF _Toc232351925 \h </w:instrText>
            </w:r>
            <w:r>
              <w:rPr>
                <w:noProof/>
                <w:webHidden/>
              </w:rPr>
            </w:r>
            <w:r>
              <w:rPr>
                <w:noProof/>
                <w:webHidden/>
              </w:rPr>
              <w:fldChar w:fldCharType="separate"/>
            </w:r>
            <w:r>
              <w:rPr>
                <w:noProof/>
                <w:webHidden/>
              </w:rPr>
              <w:t>263</w:t>
            </w:r>
            <w:r>
              <w:rPr>
                <w:noProof/>
                <w:webHidden/>
              </w:rPr>
              <w:fldChar w:fldCharType="end"/>
            </w:r>
          </w:hyperlink>
        </w:p>
        <w:p w14:paraId="4EE68A5E" w14:textId="2B9928F6"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26" w:history="1">
            <w:r w:rsidRPr="00DD6118">
              <w:rPr>
                <w:rStyle w:val="Hyperlink"/>
                <w:noProof/>
              </w:rPr>
              <w:t>7.1.1 Answer to the Primary Research Question</w:t>
            </w:r>
            <w:r>
              <w:rPr>
                <w:noProof/>
                <w:webHidden/>
              </w:rPr>
              <w:tab/>
            </w:r>
            <w:r>
              <w:rPr>
                <w:noProof/>
                <w:webHidden/>
              </w:rPr>
              <w:fldChar w:fldCharType="begin"/>
            </w:r>
            <w:r>
              <w:rPr>
                <w:noProof/>
                <w:webHidden/>
              </w:rPr>
              <w:instrText xml:space="preserve"> PAGEREF _Toc232351926 \h </w:instrText>
            </w:r>
            <w:r>
              <w:rPr>
                <w:noProof/>
                <w:webHidden/>
              </w:rPr>
            </w:r>
            <w:r>
              <w:rPr>
                <w:noProof/>
                <w:webHidden/>
              </w:rPr>
              <w:fldChar w:fldCharType="separate"/>
            </w:r>
            <w:r>
              <w:rPr>
                <w:noProof/>
                <w:webHidden/>
              </w:rPr>
              <w:t>266</w:t>
            </w:r>
            <w:r>
              <w:rPr>
                <w:noProof/>
                <w:webHidden/>
              </w:rPr>
              <w:fldChar w:fldCharType="end"/>
            </w:r>
          </w:hyperlink>
        </w:p>
        <w:p w14:paraId="7D57283D" w14:textId="7F1753F6"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27" w:history="1">
            <w:r w:rsidRPr="00DD6118">
              <w:rPr>
                <w:rStyle w:val="Hyperlink"/>
                <w:noProof/>
              </w:rPr>
              <w:t>7.2 Mechanisms of Integration Capability Development</w:t>
            </w:r>
            <w:r>
              <w:rPr>
                <w:noProof/>
                <w:webHidden/>
              </w:rPr>
              <w:tab/>
            </w:r>
            <w:r>
              <w:rPr>
                <w:noProof/>
                <w:webHidden/>
              </w:rPr>
              <w:fldChar w:fldCharType="begin"/>
            </w:r>
            <w:r>
              <w:rPr>
                <w:noProof/>
                <w:webHidden/>
              </w:rPr>
              <w:instrText xml:space="preserve"> PAGEREF _Toc232351927 \h </w:instrText>
            </w:r>
            <w:r>
              <w:rPr>
                <w:noProof/>
                <w:webHidden/>
              </w:rPr>
            </w:r>
            <w:r>
              <w:rPr>
                <w:noProof/>
                <w:webHidden/>
              </w:rPr>
              <w:fldChar w:fldCharType="separate"/>
            </w:r>
            <w:r>
              <w:rPr>
                <w:noProof/>
                <w:webHidden/>
              </w:rPr>
              <w:t>267</w:t>
            </w:r>
            <w:r>
              <w:rPr>
                <w:noProof/>
                <w:webHidden/>
              </w:rPr>
              <w:fldChar w:fldCharType="end"/>
            </w:r>
          </w:hyperlink>
        </w:p>
        <w:p w14:paraId="13AFA22D" w14:textId="52F85786"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28" w:history="1">
            <w:r w:rsidRPr="00DD6118">
              <w:rPr>
                <w:rStyle w:val="Hyperlink"/>
                <w:noProof/>
              </w:rPr>
              <w:t>7.3 Contributions to Theory</w:t>
            </w:r>
            <w:r>
              <w:rPr>
                <w:noProof/>
                <w:webHidden/>
              </w:rPr>
              <w:tab/>
            </w:r>
            <w:r>
              <w:rPr>
                <w:noProof/>
                <w:webHidden/>
              </w:rPr>
              <w:fldChar w:fldCharType="begin"/>
            </w:r>
            <w:r>
              <w:rPr>
                <w:noProof/>
                <w:webHidden/>
              </w:rPr>
              <w:instrText xml:space="preserve"> PAGEREF _Toc232351928 \h </w:instrText>
            </w:r>
            <w:r>
              <w:rPr>
                <w:noProof/>
                <w:webHidden/>
              </w:rPr>
            </w:r>
            <w:r>
              <w:rPr>
                <w:noProof/>
                <w:webHidden/>
              </w:rPr>
              <w:fldChar w:fldCharType="separate"/>
            </w:r>
            <w:r>
              <w:rPr>
                <w:noProof/>
                <w:webHidden/>
              </w:rPr>
              <w:t>271</w:t>
            </w:r>
            <w:r>
              <w:rPr>
                <w:noProof/>
                <w:webHidden/>
              </w:rPr>
              <w:fldChar w:fldCharType="end"/>
            </w:r>
          </w:hyperlink>
        </w:p>
        <w:p w14:paraId="53ED4F1F" w14:textId="4279C445"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29" w:history="1">
            <w:r w:rsidRPr="00DD6118">
              <w:rPr>
                <w:rStyle w:val="Hyperlink"/>
                <w:noProof/>
              </w:rPr>
              <w:t>7.3.1 Integration as an Organizational Capability</w:t>
            </w:r>
            <w:r>
              <w:rPr>
                <w:noProof/>
                <w:webHidden/>
              </w:rPr>
              <w:tab/>
            </w:r>
            <w:r>
              <w:rPr>
                <w:noProof/>
                <w:webHidden/>
              </w:rPr>
              <w:fldChar w:fldCharType="begin"/>
            </w:r>
            <w:r>
              <w:rPr>
                <w:noProof/>
                <w:webHidden/>
              </w:rPr>
              <w:instrText xml:space="preserve"> PAGEREF _Toc232351929 \h </w:instrText>
            </w:r>
            <w:r>
              <w:rPr>
                <w:noProof/>
                <w:webHidden/>
              </w:rPr>
            </w:r>
            <w:r>
              <w:rPr>
                <w:noProof/>
                <w:webHidden/>
              </w:rPr>
              <w:fldChar w:fldCharType="separate"/>
            </w:r>
            <w:r>
              <w:rPr>
                <w:noProof/>
                <w:webHidden/>
              </w:rPr>
              <w:t>272</w:t>
            </w:r>
            <w:r>
              <w:rPr>
                <w:noProof/>
                <w:webHidden/>
              </w:rPr>
              <w:fldChar w:fldCharType="end"/>
            </w:r>
          </w:hyperlink>
        </w:p>
        <w:p w14:paraId="520129A2" w14:textId="35F41680"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30" w:history="1">
            <w:r w:rsidRPr="00DD6118">
              <w:rPr>
                <w:rStyle w:val="Hyperlink"/>
                <w:noProof/>
              </w:rPr>
              <w:t>7.3.2 The Integration Capability Loop (ICL)</w:t>
            </w:r>
            <w:r>
              <w:rPr>
                <w:noProof/>
                <w:webHidden/>
              </w:rPr>
              <w:tab/>
            </w:r>
            <w:r>
              <w:rPr>
                <w:noProof/>
                <w:webHidden/>
              </w:rPr>
              <w:fldChar w:fldCharType="begin"/>
            </w:r>
            <w:r>
              <w:rPr>
                <w:noProof/>
                <w:webHidden/>
              </w:rPr>
              <w:instrText xml:space="preserve"> PAGEREF _Toc232351930 \h </w:instrText>
            </w:r>
            <w:r>
              <w:rPr>
                <w:noProof/>
                <w:webHidden/>
              </w:rPr>
            </w:r>
            <w:r>
              <w:rPr>
                <w:noProof/>
                <w:webHidden/>
              </w:rPr>
              <w:fldChar w:fldCharType="separate"/>
            </w:r>
            <w:r>
              <w:rPr>
                <w:noProof/>
                <w:webHidden/>
              </w:rPr>
              <w:t>273</w:t>
            </w:r>
            <w:r>
              <w:rPr>
                <w:noProof/>
                <w:webHidden/>
              </w:rPr>
              <w:fldChar w:fldCharType="end"/>
            </w:r>
          </w:hyperlink>
        </w:p>
        <w:p w14:paraId="11A70FBC" w14:textId="2E691077"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31" w:history="1">
            <w:r w:rsidRPr="00DD6118">
              <w:rPr>
                <w:rStyle w:val="Hyperlink"/>
                <w:noProof/>
              </w:rPr>
              <w:t>7.3.3 The Integration Capability Engine (ICE)</w:t>
            </w:r>
            <w:r>
              <w:rPr>
                <w:noProof/>
                <w:webHidden/>
              </w:rPr>
              <w:tab/>
            </w:r>
            <w:r>
              <w:rPr>
                <w:noProof/>
                <w:webHidden/>
              </w:rPr>
              <w:fldChar w:fldCharType="begin"/>
            </w:r>
            <w:r>
              <w:rPr>
                <w:noProof/>
                <w:webHidden/>
              </w:rPr>
              <w:instrText xml:space="preserve"> PAGEREF _Toc232351931 \h </w:instrText>
            </w:r>
            <w:r>
              <w:rPr>
                <w:noProof/>
                <w:webHidden/>
              </w:rPr>
            </w:r>
            <w:r>
              <w:rPr>
                <w:noProof/>
                <w:webHidden/>
              </w:rPr>
              <w:fldChar w:fldCharType="separate"/>
            </w:r>
            <w:r>
              <w:rPr>
                <w:noProof/>
                <w:webHidden/>
              </w:rPr>
              <w:t>273</w:t>
            </w:r>
            <w:r>
              <w:rPr>
                <w:noProof/>
                <w:webHidden/>
              </w:rPr>
              <w:fldChar w:fldCharType="end"/>
            </w:r>
          </w:hyperlink>
        </w:p>
        <w:p w14:paraId="511357A4" w14:textId="71D645BB"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32" w:history="1">
            <w:r w:rsidRPr="00DD6118">
              <w:rPr>
                <w:rStyle w:val="Hyperlink"/>
                <w:noProof/>
              </w:rPr>
              <w:t>7.3.4 Extending Existing Perspectives on Integration and Capability Development</w:t>
            </w:r>
            <w:r>
              <w:rPr>
                <w:noProof/>
                <w:webHidden/>
              </w:rPr>
              <w:tab/>
            </w:r>
            <w:r>
              <w:rPr>
                <w:noProof/>
                <w:webHidden/>
              </w:rPr>
              <w:fldChar w:fldCharType="begin"/>
            </w:r>
            <w:r>
              <w:rPr>
                <w:noProof/>
                <w:webHidden/>
              </w:rPr>
              <w:instrText xml:space="preserve"> PAGEREF _Toc232351932 \h </w:instrText>
            </w:r>
            <w:r>
              <w:rPr>
                <w:noProof/>
                <w:webHidden/>
              </w:rPr>
            </w:r>
            <w:r>
              <w:rPr>
                <w:noProof/>
                <w:webHidden/>
              </w:rPr>
              <w:fldChar w:fldCharType="separate"/>
            </w:r>
            <w:r>
              <w:rPr>
                <w:noProof/>
                <w:webHidden/>
              </w:rPr>
              <w:t>274</w:t>
            </w:r>
            <w:r>
              <w:rPr>
                <w:noProof/>
                <w:webHidden/>
              </w:rPr>
              <w:fldChar w:fldCharType="end"/>
            </w:r>
          </w:hyperlink>
        </w:p>
        <w:p w14:paraId="6E161F31" w14:textId="193ED72D"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33" w:history="1">
            <w:r w:rsidRPr="00DD6118">
              <w:rPr>
                <w:rStyle w:val="Hyperlink"/>
                <w:noProof/>
              </w:rPr>
              <w:t>7.4 Practical Implications</w:t>
            </w:r>
            <w:r>
              <w:rPr>
                <w:noProof/>
                <w:webHidden/>
              </w:rPr>
              <w:tab/>
            </w:r>
            <w:r>
              <w:rPr>
                <w:noProof/>
                <w:webHidden/>
              </w:rPr>
              <w:fldChar w:fldCharType="begin"/>
            </w:r>
            <w:r>
              <w:rPr>
                <w:noProof/>
                <w:webHidden/>
              </w:rPr>
              <w:instrText xml:space="preserve"> PAGEREF _Toc232351933 \h </w:instrText>
            </w:r>
            <w:r>
              <w:rPr>
                <w:noProof/>
                <w:webHidden/>
              </w:rPr>
            </w:r>
            <w:r>
              <w:rPr>
                <w:noProof/>
                <w:webHidden/>
              </w:rPr>
              <w:fldChar w:fldCharType="separate"/>
            </w:r>
            <w:r>
              <w:rPr>
                <w:noProof/>
                <w:webHidden/>
              </w:rPr>
              <w:t>275</w:t>
            </w:r>
            <w:r>
              <w:rPr>
                <w:noProof/>
                <w:webHidden/>
              </w:rPr>
              <w:fldChar w:fldCharType="end"/>
            </w:r>
          </w:hyperlink>
        </w:p>
        <w:p w14:paraId="61B79B3A" w14:textId="76D48CA3"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34" w:history="1">
            <w:r w:rsidRPr="00DD6118">
              <w:rPr>
                <w:rStyle w:val="Hyperlink"/>
                <w:noProof/>
              </w:rPr>
              <w:t>7.4.1 Implications for Senior Leadership</w:t>
            </w:r>
            <w:r>
              <w:rPr>
                <w:noProof/>
                <w:webHidden/>
              </w:rPr>
              <w:tab/>
            </w:r>
            <w:r>
              <w:rPr>
                <w:noProof/>
                <w:webHidden/>
              </w:rPr>
              <w:fldChar w:fldCharType="begin"/>
            </w:r>
            <w:r>
              <w:rPr>
                <w:noProof/>
                <w:webHidden/>
              </w:rPr>
              <w:instrText xml:space="preserve"> PAGEREF _Toc232351934 \h </w:instrText>
            </w:r>
            <w:r>
              <w:rPr>
                <w:noProof/>
                <w:webHidden/>
              </w:rPr>
            </w:r>
            <w:r>
              <w:rPr>
                <w:noProof/>
                <w:webHidden/>
              </w:rPr>
              <w:fldChar w:fldCharType="separate"/>
            </w:r>
            <w:r>
              <w:rPr>
                <w:noProof/>
                <w:webHidden/>
              </w:rPr>
              <w:t>275</w:t>
            </w:r>
            <w:r>
              <w:rPr>
                <w:noProof/>
                <w:webHidden/>
              </w:rPr>
              <w:fldChar w:fldCharType="end"/>
            </w:r>
          </w:hyperlink>
        </w:p>
        <w:p w14:paraId="5BCAE6CC" w14:textId="303B958D"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35" w:history="1">
            <w:r w:rsidRPr="00DD6118">
              <w:rPr>
                <w:rStyle w:val="Hyperlink"/>
                <w:noProof/>
              </w:rPr>
              <w:t>7.4.2 Implications for Integration Leaders</w:t>
            </w:r>
            <w:r>
              <w:rPr>
                <w:noProof/>
                <w:webHidden/>
              </w:rPr>
              <w:tab/>
            </w:r>
            <w:r>
              <w:rPr>
                <w:noProof/>
                <w:webHidden/>
              </w:rPr>
              <w:fldChar w:fldCharType="begin"/>
            </w:r>
            <w:r>
              <w:rPr>
                <w:noProof/>
                <w:webHidden/>
              </w:rPr>
              <w:instrText xml:space="preserve"> PAGEREF _Toc232351935 \h </w:instrText>
            </w:r>
            <w:r>
              <w:rPr>
                <w:noProof/>
                <w:webHidden/>
              </w:rPr>
            </w:r>
            <w:r>
              <w:rPr>
                <w:noProof/>
                <w:webHidden/>
              </w:rPr>
              <w:fldChar w:fldCharType="separate"/>
            </w:r>
            <w:r>
              <w:rPr>
                <w:noProof/>
                <w:webHidden/>
              </w:rPr>
              <w:t>276</w:t>
            </w:r>
            <w:r>
              <w:rPr>
                <w:noProof/>
                <w:webHidden/>
              </w:rPr>
              <w:fldChar w:fldCharType="end"/>
            </w:r>
          </w:hyperlink>
        </w:p>
        <w:p w14:paraId="1204FB13" w14:textId="059B2435"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36" w:history="1">
            <w:r w:rsidRPr="00DD6118">
              <w:rPr>
                <w:rStyle w:val="Hyperlink"/>
                <w:noProof/>
              </w:rPr>
              <w:t>7.4.3 Implications for Organizational Design</w:t>
            </w:r>
            <w:r>
              <w:rPr>
                <w:noProof/>
                <w:webHidden/>
              </w:rPr>
              <w:tab/>
            </w:r>
            <w:r>
              <w:rPr>
                <w:noProof/>
                <w:webHidden/>
              </w:rPr>
              <w:fldChar w:fldCharType="begin"/>
            </w:r>
            <w:r>
              <w:rPr>
                <w:noProof/>
                <w:webHidden/>
              </w:rPr>
              <w:instrText xml:space="preserve"> PAGEREF _Toc232351936 \h </w:instrText>
            </w:r>
            <w:r>
              <w:rPr>
                <w:noProof/>
                <w:webHidden/>
              </w:rPr>
            </w:r>
            <w:r>
              <w:rPr>
                <w:noProof/>
                <w:webHidden/>
              </w:rPr>
              <w:fldChar w:fldCharType="separate"/>
            </w:r>
            <w:r>
              <w:rPr>
                <w:noProof/>
                <w:webHidden/>
              </w:rPr>
              <w:t>276</w:t>
            </w:r>
            <w:r>
              <w:rPr>
                <w:noProof/>
                <w:webHidden/>
              </w:rPr>
              <w:fldChar w:fldCharType="end"/>
            </w:r>
          </w:hyperlink>
        </w:p>
        <w:p w14:paraId="6420CF02" w14:textId="4F5AE47C"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37" w:history="1">
            <w:r w:rsidRPr="00DD6118">
              <w:rPr>
                <w:rStyle w:val="Hyperlink"/>
                <w:noProof/>
              </w:rPr>
              <w:t>7.4.4 Implications for Performance Measurement</w:t>
            </w:r>
            <w:r>
              <w:rPr>
                <w:noProof/>
                <w:webHidden/>
              </w:rPr>
              <w:tab/>
            </w:r>
            <w:r>
              <w:rPr>
                <w:noProof/>
                <w:webHidden/>
              </w:rPr>
              <w:fldChar w:fldCharType="begin"/>
            </w:r>
            <w:r>
              <w:rPr>
                <w:noProof/>
                <w:webHidden/>
              </w:rPr>
              <w:instrText xml:space="preserve"> PAGEREF _Toc232351937 \h </w:instrText>
            </w:r>
            <w:r>
              <w:rPr>
                <w:noProof/>
                <w:webHidden/>
              </w:rPr>
            </w:r>
            <w:r>
              <w:rPr>
                <w:noProof/>
                <w:webHidden/>
              </w:rPr>
              <w:fldChar w:fldCharType="separate"/>
            </w:r>
            <w:r>
              <w:rPr>
                <w:noProof/>
                <w:webHidden/>
              </w:rPr>
              <w:t>277</w:t>
            </w:r>
            <w:r>
              <w:rPr>
                <w:noProof/>
                <w:webHidden/>
              </w:rPr>
              <w:fldChar w:fldCharType="end"/>
            </w:r>
          </w:hyperlink>
        </w:p>
        <w:p w14:paraId="59B26807" w14:textId="232EE0B1"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38" w:history="1">
            <w:r w:rsidRPr="00DD6118">
              <w:rPr>
                <w:rStyle w:val="Hyperlink"/>
                <w:noProof/>
              </w:rPr>
              <w:t>7.4.5 Practical Recommendations for Serial Acquirers</w:t>
            </w:r>
            <w:r>
              <w:rPr>
                <w:noProof/>
                <w:webHidden/>
              </w:rPr>
              <w:tab/>
            </w:r>
            <w:r>
              <w:rPr>
                <w:noProof/>
                <w:webHidden/>
              </w:rPr>
              <w:fldChar w:fldCharType="begin"/>
            </w:r>
            <w:r>
              <w:rPr>
                <w:noProof/>
                <w:webHidden/>
              </w:rPr>
              <w:instrText xml:space="preserve"> PAGEREF _Toc232351938 \h </w:instrText>
            </w:r>
            <w:r>
              <w:rPr>
                <w:noProof/>
                <w:webHidden/>
              </w:rPr>
            </w:r>
            <w:r>
              <w:rPr>
                <w:noProof/>
                <w:webHidden/>
              </w:rPr>
              <w:fldChar w:fldCharType="separate"/>
            </w:r>
            <w:r>
              <w:rPr>
                <w:noProof/>
                <w:webHidden/>
              </w:rPr>
              <w:t>278</w:t>
            </w:r>
            <w:r>
              <w:rPr>
                <w:noProof/>
                <w:webHidden/>
              </w:rPr>
              <w:fldChar w:fldCharType="end"/>
            </w:r>
          </w:hyperlink>
        </w:p>
        <w:p w14:paraId="2C4DA864" w14:textId="2A5287D3" w:rsidR="00CB5964" w:rsidRDefault="00CB5964">
          <w:pPr>
            <w:pStyle w:val="TOC3"/>
            <w:tabs>
              <w:tab w:val="right" w:pos="9350"/>
            </w:tabs>
            <w:rPr>
              <w:rFonts w:asciiTheme="minorHAnsi" w:eastAsiaTheme="minorEastAsia" w:hAnsiTheme="minorHAnsi" w:cstheme="minorBidi"/>
              <w:noProof/>
              <w:kern w:val="2"/>
              <w:lang w:val="en-CA"/>
              <w14:ligatures w14:val="standardContextual"/>
            </w:rPr>
          </w:pPr>
          <w:hyperlink w:anchor="_Toc232351939" w:history="1">
            <w:r w:rsidRPr="00DD6118">
              <w:rPr>
                <w:rStyle w:val="Hyperlink"/>
                <w:noProof/>
              </w:rPr>
              <w:t>7.4.6 From Framework to Management Discipline</w:t>
            </w:r>
            <w:r>
              <w:rPr>
                <w:noProof/>
                <w:webHidden/>
              </w:rPr>
              <w:tab/>
            </w:r>
            <w:r>
              <w:rPr>
                <w:noProof/>
                <w:webHidden/>
              </w:rPr>
              <w:fldChar w:fldCharType="begin"/>
            </w:r>
            <w:r>
              <w:rPr>
                <w:noProof/>
                <w:webHidden/>
              </w:rPr>
              <w:instrText xml:space="preserve"> PAGEREF _Toc232351939 \h </w:instrText>
            </w:r>
            <w:r>
              <w:rPr>
                <w:noProof/>
                <w:webHidden/>
              </w:rPr>
            </w:r>
            <w:r>
              <w:rPr>
                <w:noProof/>
                <w:webHidden/>
              </w:rPr>
              <w:fldChar w:fldCharType="separate"/>
            </w:r>
            <w:r>
              <w:rPr>
                <w:noProof/>
                <w:webHidden/>
              </w:rPr>
              <w:t>281</w:t>
            </w:r>
            <w:r>
              <w:rPr>
                <w:noProof/>
                <w:webHidden/>
              </w:rPr>
              <w:fldChar w:fldCharType="end"/>
            </w:r>
          </w:hyperlink>
        </w:p>
        <w:p w14:paraId="3A41C19F" w14:textId="70C5C189"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40" w:history="1">
            <w:r w:rsidRPr="00DD6118">
              <w:rPr>
                <w:rStyle w:val="Hyperlink"/>
                <w:noProof/>
              </w:rPr>
              <w:t>7.5 Boundary Conditions</w:t>
            </w:r>
            <w:r>
              <w:rPr>
                <w:noProof/>
                <w:webHidden/>
              </w:rPr>
              <w:tab/>
            </w:r>
            <w:r>
              <w:rPr>
                <w:noProof/>
                <w:webHidden/>
              </w:rPr>
              <w:fldChar w:fldCharType="begin"/>
            </w:r>
            <w:r>
              <w:rPr>
                <w:noProof/>
                <w:webHidden/>
              </w:rPr>
              <w:instrText xml:space="preserve"> PAGEREF _Toc232351940 \h </w:instrText>
            </w:r>
            <w:r>
              <w:rPr>
                <w:noProof/>
                <w:webHidden/>
              </w:rPr>
            </w:r>
            <w:r>
              <w:rPr>
                <w:noProof/>
                <w:webHidden/>
              </w:rPr>
              <w:fldChar w:fldCharType="separate"/>
            </w:r>
            <w:r>
              <w:rPr>
                <w:noProof/>
                <w:webHidden/>
              </w:rPr>
              <w:t>282</w:t>
            </w:r>
            <w:r>
              <w:rPr>
                <w:noProof/>
                <w:webHidden/>
              </w:rPr>
              <w:fldChar w:fldCharType="end"/>
            </w:r>
          </w:hyperlink>
        </w:p>
        <w:p w14:paraId="07ADBA92" w14:textId="78BBC6C1"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41" w:history="1">
            <w:r w:rsidRPr="00DD6118">
              <w:rPr>
                <w:rStyle w:val="Hyperlink"/>
                <w:noProof/>
              </w:rPr>
              <w:t>7.6 Limitations of the Study</w:t>
            </w:r>
            <w:r>
              <w:rPr>
                <w:noProof/>
                <w:webHidden/>
              </w:rPr>
              <w:tab/>
            </w:r>
            <w:r>
              <w:rPr>
                <w:noProof/>
                <w:webHidden/>
              </w:rPr>
              <w:fldChar w:fldCharType="begin"/>
            </w:r>
            <w:r>
              <w:rPr>
                <w:noProof/>
                <w:webHidden/>
              </w:rPr>
              <w:instrText xml:space="preserve"> PAGEREF _Toc232351941 \h </w:instrText>
            </w:r>
            <w:r>
              <w:rPr>
                <w:noProof/>
                <w:webHidden/>
              </w:rPr>
            </w:r>
            <w:r>
              <w:rPr>
                <w:noProof/>
                <w:webHidden/>
              </w:rPr>
              <w:fldChar w:fldCharType="separate"/>
            </w:r>
            <w:r>
              <w:rPr>
                <w:noProof/>
                <w:webHidden/>
              </w:rPr>
              <w:t>284</w:t>
            </w:r>
            <w:r>
              <w:rPr>
                <w:noProof/>
                <w:webHidden/>
              </w:rPr>
              <w:fldChar w:fldCharType="end"/>
            </w:r>
          </w:hyperlink>
        </w:p>
        <w:p w14:paraId="2EDB234B" w14:textId="58852C58"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42" w:history="1">
            <w:r w:rsidRPr="00DD6118">
              <w:rPr>
                <w:rStyle w:val="Hyperlink"/>
                <w:noProof/>
              </w:rPr>
              <w:t>7.7 Recommendations for Future Research</w:t>
            </w:r>
            <w:r>
              <w:rPr>
                <w:noProof/>
                <w:webHidden/>
              </w:rPr>
              <w:tab/>
            </w:r>
            <w:r>
              <w:rPr>
                <w:noProof/>
                <w:webHidden/>
              </w:rPr>
              <w:fldChar w:fldCharType="begin"/>
            </w:r>
            <w:r>
              <w:rPr>
                <w:noProof/>
                <w:webHidden/>
              </w:rPr>
              <w:instrText xml:space="preserve"> PAGEREF _Toc232351942 \h </w:instrText>
            </w:r>
            <w:r>
              <w:rPr>
                <w:noProof/>
                <w:webHidden/>
              </w:rPr>
            </w:r>
            <w:r>
              <w:rPr>
                <w:noProof/>
                <w:webHidden/>
              </w:rPr>
              <w:fldChar w:fldCharType="separate"/>
            </w:r>
            <w:r>
              <w:rPr>
                <w:noProof/>
                <w:webHidden/>
              </w:rPr>
              <w:t>287</w:t>
            </w:r>
            <w:r>
              <w:rPr>
                <w:noProof/>
                <w:webHidden/>
              </w:rPr>
              <w:fldChar w:fldCharType="end"/>
            </w:r>
          </w:hyperlink>
        </w:p>
        <w:p w14:paraId="27E5CD30" w14:textId="79B1A8F5"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43" w:history="1">
            <w:r w:rsidRPr="00DD6118">
              <w:rPr>
                <w:rStyle w:val="Hyperlink"/>
                <w:noProof/>
              </w:rPr>
              <w:t>7.8 Final Reflection on the Study’s Contribution</w:t>
            </w:r>
            <w:r>
              <w:rPr>
                <w:noProof/>
                <w:webHidden/>
              </w:rPr>
              <w:tab/>
            </w:r>
            <w:r>
              <w:rPr>
                <w:noProof/>
                <w:webHidden/>
              </w:rPr>
              <w:fldChar w:fldCharType="begin"/>
            </w:r>
            <w:r>
              <w:rPr>
                <w:noProof/>
                <w:webHidden/>
              </w:rPr>
              <w:instrText xml:space="preserve"> PAGEREF _Toc232351943 \h </w:instrText>
            </w:r>
            <w:r>
              <w:rPr>
                <w:noProof/>
                <w:webHidden/>
              </w:rPr>
            </w:r>
            <w:r>
              <w:rPr>
                <w:noProof/>
                <w:webHidden/>
              </w:rPr>
              <w:fldChar w:fldCharType="separate"/>
            </w:r>
            <w:r>
              <w:rPr>
                <w:noProof/>
                <w:webHidden/>
              </w:rPr>
              <w:t>290</w:t>
            </w:r>
            <w:r>
              <w:rPr>
                <w:noProof/>
                <w:webHidden/>
              </w:rPr>
              <w:fldChar w:fldCharType="end"/>
            </w:r>
          </w:hyperlink>
        </w:p>
        <w:p w14:paraId="35FD7538" w14:textId="6CA1F11A"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44" w:history="1">
            <w:r w:rsidRPr="00DD6118">
              <w:rPr>
                <w:rStyle w:val="Hyperlink"/>
                <w:noProof/>
              </w:rPr>
              <w:t>7.9 Final Conclusion</w:t>
            </w:r>
            <w:r>
              <w:rPr>
                <w:noProof/>
                <w:webHidden/>
              </w:rPr>
              <w:tab/>
            </w:r>
            <w:r>
              <w:rPr>
                <w:noProof/>
                <w:webHidden/>
              </w:rPr>
              <w:fldChar w:fldCharType="begin"/>
            </w:r>
            <w:r>
              <w:rPr>
                <w:noProof/>
                <w:webHidden/>
              </w:rPr>
              <w:instrText xml:space="preserve"> PAGEREF _Toc232351944 \h </w:instrText>
            </w:r>
            <w:r>
              <w:rPr>
                <w:noProof/>
                <w:webHidden/>
              </w:rPr>
            </w:r>
            <w:r>
              <w:rPr>
                <w:noProof/>
                <w:webHidden/>
              </w:rPr>
              <w:fldChar w:fldCharType="separate"/>
            </w:r>
            <w:r>
              <w:rPr>
                <w:noProof/>
                <w:webHidden/>
              </w:rPr>
              <w:t>291</w:t>
            </w:r>
            <w:r>
              <w:rPr>
                <w:noProof/>
                <w:webHidden/>
              </w:rPr>
              <w:fldChar w:fldCharType="end"/>
            </w:r>
          </w:hyperlink>
        </w:p>
        <w:p w14:paraId="5786A375" w14:textId="1996D06F" w:rsidR="00CB5964" w:rsidRDefault="00CB5964">
          <w:pPr>
            <w:pStyle w:val="TOC1"/>
            <w:rPr>
              <w:rFonts w:asciiTheme="minorHAnsi" w:eastAsiaTheme="minorEastAsia" w:hAnsiTheme="minorHAnsi" w:cstheme="minorBidi"/>
              <w:noProof/>
              <w:kern w:val="2"/>
              <w:lang w:val="en-CA"/>
              <w14:ligatures w14:val="standardContextual"/>
            </w:rPr>
          </w:pPr>
          <w:hyperlink w:anchor="_Toc232351945" w:history="1">
            <w:r w:rsidRPr="00DD6118">
              <w:rPr>
                <w:rStyle w:val="Hyperlink"/>
                <w:noProof/>
              </w:rPr>
              <w:t>BIBLIOGRAPHY</w:t>
            </w:r>
            <w:r>
              <w:rPr>
                <w:noProof/>
                <w:webHidden/>
              </w:rPr>
              <w:tab/>
            </w:r>
            <w:r>
              <w:rPr>
                <w:noProof/>
                <w:webHidden/>
              </w:rPr>
              <w:fldChar w:fldCharType="begin"/>
            </w:r>
            <w:r>
              <w:rPr>
                <w:noProof/>
                <w:webHidden/>
              </w:rPr>
              <w:instrText xml:space="preserve"> PAGEREF _Toc232351945 \h </w:instrText>
            </w:r>
            <w:r>
              <w:rPr>
                <w:noProof/>
                <w:webHidden/>
              </w:rPr>
            </w:r>
            <w:r>
              <w:rPr>
                <w:noProof/>
                <w:webHidden/>
              </w:rPr>
              <w:fldChar w:fldCharType="separate"/>
            </w:r>
            <w:r>
              <w:rPr>
                <w:noProof/>
                <w:webHidden/>
              </w:rPr>
              <w:t>293</w:t>
            </w:r>
            <w:r>
              <w:rPr>
                <w:noProof/>
                <w:webHidden/>
              </w:rPr>
              <w:fldChar w:fldCharType="end"/>
            </w:r>
          </w:hyperlink>
        </w:p>
        <w:p w14:paraId="6339AF98" w14:textId="6FA9CCC9" w:rsidR="00CB5964" w:rsidRDefault="00CB5964">
          <w:pPr>
            <w:pStyle w:val="TOC1"/>
            <w:rPr>
              <w:rFonts w:asciiTheme="minorHAnsi" w:eastAsiaTheme="minorEastAsia" w:hAnsiTheme="minorHAnsi" w:cstheme="minorBidi"/>
              <w:noProof/>
              <w:kern w:val="2"/>
              <w:lang w:val="en-CA"/>
              <w14:ligatures w14:val="standardContextual"/>
            </w:rPr>
          </w:pPr>
          <w:hyperlink w:anchor="_Toc232351946" w:history="1">
            <w:r w:rsidRPr="00DD6118">
              <w:rPr>
                <w:rStyle w:val="Hyperlink"/>
                <w:noProof/>
              </w:rPr>
              <w:t>APPENDICES</w:t>
            </w:r>
            <w:r>
              <w:rPr>
                <w:noProof/>
                <w:webHidden/>
              </w:rPr>
              <w:tab/>
            </w:r>
            <w:r>
              <w:rPr>
                <w:noProof/>
                <w:webHidden/>
              </w:rPr>
              <w:fldChar w:fldCharType="begin"/>
            </w:r>
            <w:r>
              <w:rPr>
                <w:noProof/>
                <w:webHidden/>
              </w:rPr>
              <w:instrText xml:space="preserve"> PAGEREF _Toc232351946 \h </w:instrText>
            </w:r>
            <w:r>
              <w:rPr>
                <w:noProof/>
                <w:webHidden/>
              </w:rPr>
            </w:r>
            <w:r>
              <w:rPr>
                <w:noProof/>
                <w:webHidden/>
              </w:rPr>
              <w:fldChar w:fldCharType="separate"/>
            </w:r>
            <w:r>
              <w:rPr>
                <w:noProof/>
                <w:webHidden/>
              </w:rPr>
              <w:t>296</w:t>
            </w:r>
            <w:r>
              <w:rPr>
                <w:noProof/>
                <w:webHidden/>
              </w:rPr>
              <w:fldChar w:fldCharType="end"/>
            </w:r>
          </w:hyperlink>
        </w:p>
        <w:p w14:paraId="3712503B" w14:textId="1CA5A71D"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47" w:history="1">
            <w:r w:rsidRPr="00DD6118">
              <w:rPr>
                <w:rStyle w:val="Hyperlink"/>
                <w:noProof/>
              </w:rPr>
              <w:t>APPENDIX A: INTERVIEW GUIDE</w:t>
            </w:r>
            <w:r>
              <w:rPr>
                <w:noProof/>
                <w:webHidden/>
              </w:rPr>
              <w:tab/>
            </w:r>
            <w:r>
              <w:rPr>
                <w:noProof/>
                <w:webHidden/>
              </w:rPr>
              <w:fldChar w:fldCharType="begin"/>
            </w:r>
            <w:r>
              <w:rPr>
                <w:noProof/>
                <w:webHidden/>
              </w:rPr>
              <w:instrText xml:space="preserve"> PAGEREF _Toc232351947 \h </w:instrText>
            </w:r>
            <w:r>
              <w:rPr>
                <w:noProof/>
                <w:webHidden/>
              </w:rPr>
            </w:r>
            <w:r>
              <w:rPr>
                <w:noProof/>
                <w:webHidden/>
              </w:rPr>
              <w:fldChar w:fldCharType="separate"/>
            </w:r>
            <w:r>
              <w:rPr>
                <w:noProof/>
                <w:webHidden/>
              </w:rPr>
              <w:t>296</w:t>
            </w:r>
            <w:r>
              <w:rPr>
                <w:noProof/>
                <w:webHidden/>
              </w:rPr>
              <w:fldChar w:fldCharType="end"/>
            </w:r>
          </w:hyperlink>
        </w:p>
        <w:p w14:paraId="549CC47E" w14:textId="5DEE4267"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48" w:history="1">
            <w:r w:rsidRPr="00DD6118">
              <w:rPr>
                <w:rStyle w:val="Hyperlink"/>
                <w:noProof/>
              </w:rPr>
              <w:t>APPENDIX B: INTERVIEW CONSENT FORMS</w:t>
            </w:r>
            <w:r>
              <w:rPr>
                <w:noProof/>
                <w:webHidden/>
              </w:rPr>
              <w:tab/>
            </w:r>
            <w:r>
              <w:rPr>
                <w:noProof/>
                <w:webHidden/>
              </w:rPr>
              <w:fldChar w:fldCharType="begin"/>
            </w:r>
            <w:r>
              <w:rPr>
                <w:noProof/>
                <w:webHidden/>
              </w:rPr>
              <w:instrText xml:space="preserve"> PAGEREF _Toc232351948 \h </w:instrText>
            </w:r>
            <w:r>
              <w:rPr>
                <w:noProof/>
                <w:webHidden/>
              </w:rPr>
            </w:r>
            <w:r>
              <w:rPr>
                <w:noProof/>
                <w:webHidden/>
              </w:rPr>
              <w:fldChar w:fldCharType="separate"/>
            </w:r>
            <w:r>
              <w:rPr>
                <w:noProof/>
                <w:webHidden/>
              </w:rPr>
              <w:t>297</w:t>
            </w:r>
            <w:r>
              <w:rPr>
                <w:noProof/>
                <w:webHidden/>
              </w:rPr>
              <w:fldChar w:fldCharType="end"/>
            </w:r>
          </w:hyperlink>
        </w:p>
        <w:p w14:paraId="1D2B068B" w14:textId="0F7744B1"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49" w:history="1">
            <w:r w:rsidRPr="00DD6118">
              <w:rPr>
                <w:rStyle w:val="Hyperlink"/>
                <w:noProof/>
              </w:rPr>
              <w:t>APPENDIX C: INTERVIEW THEME CODING FRAMEWORK</w:t>
            </w:r>
            <w:r>
              <w:rPr>
                <w:noProof/>
                <w:webHidden/>
              </w:rPr>
              <w:tab/>
            </w:r>
            <w:r>
              <w:rPr>
                <w:noProof/>
                <w:webHidden/>
              </w:rPr>
              <w:fldChar w:fldCharType="begin"/>
            </w:r>
            <w:r>
              <w:rPr>
                <w:noProof/>
                <w:webHidden/>
              </w:rPr>
              <w:instrText xml:space="preserve"> PAGEREF _Toc232351949 \h </w:instrText>
            </w:r>
            <w:r>
              <w:rPr>
                <w:noProof/>
                <w:webHidden/>
              </w:rPr>
            </w:r>
            <w:r>
              <w:rPr>
                <w:noProof/>
                <w:webHidden/>
              </w:rPr>
              <w:fldChar w:fldCharType="separate"/>
            </w:r>
            <w:r>
              <w:rPr>
                <w:noProof/>
                <w:webHidden/>
              </w:rPr>
              <w:t>298</w:t>
            </w:r>
            <w:r>
              <w:rPr>
                <w:noProof/>
                <w:webHidden/>
              </w:rPr>
              <w:fldChar w:fldCharType="end"/>
            </w:r>
          </w:hyperlink>
        </w:p>
        <w:p w14:paraId="16A6C423" w14:textId="378AEA8B" w:rsidR="00CB5964" w:rsidRDefault="00CB5964">
          <w:pPr>
            <w:pStyle w:val="TOC2"/>
            <w:tabs>
              <w:tab w:val="right" w:pos="9350"/>
            </w:tabs>
            <w:rPr>
              <w:rFonts w:asciiTheme="minorHAnsi" w:eastAsiaTheme="minorEastAsia" w:hAnsiTheme="minorHAnsi" w:cstheme="minorBidi"/>
              <w:noProof/>
              <w:kern w:val="2"/>
              <w:lang w:val="en-CA"/>
              <w14:ligatures w14:val="standardContextual"/>
            </w:rPr>
          </w:pPr>
          <w:hyperlink w:anchor="_Toc232351950" w:history="1">
            <w:r w:rsidRPr="00DD6118">
              <w:rPr>
                <w:rStyle w:val="Hyperlink"/>
                <w:noProof/>
              </w:rPr>
              <w:t>APPENDIX D: LITERATURE REVIEW</w:t>
            </w:r>
            <w:r>
              <w:rPr>
                <w:noProof/>
                <w:webHidden/>
              </w:rPr>
              <w:tab/>
            </w:r>
            <w:r>
              <w:rPr>
                <w:noProof/>
                <w:webHidden/>
              </w:rPr>
              <w:fldChar w:fldCharType="begin"/>
            </w:r>
            <w:r>
              <w:rPr>
                <w:noProof/>
                <w:webHidden/>
              </w:rPr>
              <w:instrText xml:space="preserve"> PAGEREF _Toc232351950 \h </w:instrText>
            </w:r>
            <w:r>
              <w:rPr>
                <w:noProof/>
                <w:webHidden/>
              </w:rPr>
            </w:r>
            <w:r>
              <w:rPr>
                <w:noProof/>
                <w:webHidden/>
              </w:rPr>
              <w:fldChar w:fldCharType="separate"/>
            </w:r>
            <w:r>
              <w:rPr>
                <w:noProof/>
                <w:webHidden/>
              </w:rPr>
              <w:t>298</w:t>
            </w:r>
            <w:r>
              <w:rPr>
                <w:noProof/>
                <w:webHidden/>
              </w:rPr>
              <w:fldChar w:fldCharType="end"/>
            </w:r>
          </w:hyperlink>
        </w:p>
        <w:p w14:paraId="6B27CF54" w14:textId="16BF2AB0" w:rsidR="00D76478" w:rsidRPr="00B95E28" w:rsidRDefault="00D76478" w:rsidP="00557AB7">
          <w:pPr>
            <w:spacing w:line="480" w:lineRule="auto"/>
            <w:rPr>
              <w:color w:val="000000" w:themeColor="text1"/>
            </w:rPr>
          </w:pPr>
          <w:r w:rsidRPr="00B95E28">
            <w:rPr>
              <w:b/>
              <w:bCs/>
              <w:noProof/>
              <w:color w:val="000000" w:themeColor="text1"/>
            </w:rPr>
            <w:fldChar w:fldCharType="end"/>
          </w:r>
        </w:p>
      </w:sdtContent>
    </w:sdt>
    <w:p w14:paraId="33BAEE59" w14:textId="4B38CE1F" w:rsidR="00BB23B7" w:rsidRPr="00B95E28" w:rsidRDefault="00BB23B7" w:rsidP="00557AB7">
      <w:pPr>
        <w:spacing w:line="480" w:lineRule="auto"/>
        <w:rPr>
          <w:color w:val="000000" w:themeColor="text1"/>
        </w:rPr>
      </w:pPr>
      <w:r w:rsidRPr="00B95E28">
        <w:rPr>
          <w:color w:val="000000" w:themeColor="text1"/>
        </w:rPr>
        <w:br w:type="page"/>
      </w:r>
    </w:p>
    <w:p w14:paraId="239BA570" w14:textId="09C1F390" w:rsidR="00BF4F69" w:rsidRPr="00B95E28" w:rsidRDefault="00D76478" w:rsidP="00557AB7">
      <w:pPr>
        <w:pStyle w:val="Heading1"/>
        <w:rPr>
          <w:color w:val="000000" w:themeColor="text1"/>
        </w:rPr>
      </w:pPr>
      <w:bookmarkStart w:id="6" w:name="_Toc230881409"/>
      <w:bookmarkStart w:id="7" w:name="_Toc232351808"/>
      <w:r w:rsidRPr="00B95E28">
        <w:rPr>
          <w:color w:val="000000" w:themeColor="text1"/>
        </w:rPr>
        <w:lastRenderedPageBreak/>
        <w:t>LIST OF TABLES</w:t>
      </w:r>
      <w:bookmarkStart w:id="8" w:name="_rfv9hfmyly3f" w:colFirst="0" w:colLast="0"/>
      <w:bookmarkEnd w:id="6"/>
      <w:bookmarkEnd w:id="7"/>
      <w:bookmarkEnd w:id="8"/>
    </w:p>
    <w:bookmarkStart w:id="9" w:name="_Toc230881410"/>
    <w:p w14:paraId="0CC36D66" w14:textId="62040D49" w:rsidR="003E681A" w:rsidRDefault="0047230D"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r w:rsidRPr="00B95E28">
        <w:rPr>
          <w:color w:val="000000" w:themeColor="text1"/>
        </w:rPr>
        <w:fldChar w:fldCharType="begin"/>
      </w:r>
      <w:r w:rsidRPr="00B95E28">
        <w:rPr>
          <w:color w:val="000000" w:themeColor="text1"/>
        </w:rPr>
        <w:instrText xml:space="preserve"> TOC \h \z \c "Table" </w:instrText>
      </w:r>
      <w:r w:rsidRPr="00B95E28">
        <w:rPr>
          <w:color w:val="000000" w:themeColor="text1"/>
        </w:rPr>
        <w:fldChar w:fldCharType="separate"/>
      </w:r>
      <w:hyperlink w:anchor="_Toc232351969" w:history="1">
        <w:r w:rsidR="003E681A" w:rsidRPr="006D7469">
          <w:rPr>
            <w:rStyle w:val="Hyperlink"/>
            <w:noProof/>
          </w:rPr>
          <w:t xml:space="preserve">1: Table 2.1: M&amp;A Lifecycle and Point of Value Realization </w:t>
        </w:r>
        <w:r w:rsidR="003E681A">
          <w:rPr>
            <w:noProof/>
            <w:webHidden/>
          </w:rPr>
          <w:tab/>
        </w:r>
        <w:r w:rsidR="003E681A">
          <w:rPr>
            <w:noProof/>
            <w:webHidden/>
          </w:rPr>
          <w:fldChar w:fldCharType="begin"/>
        </w:r>
        <w:r w:rsidR="003E681A">
          <w:rPr>
            <w:noProof/>
            <w:webHidden/>
          </w:rPr>
          <w:instrText xml:space="preserve"> PAGEREF _Toc232351969 \h </w:instrText>
        </w:r>
        <w:r w:rsidR="003E681A">
          <w:rPr>
            <w:noProof/>
            <w:webHidden/>
          </w:rPr>
        </w:r>
        <w:r w:rsidR="003E681A">
          <w:rPr>
            <w:noProof/>
            <w:webHidden/>
          </w:rPr>
          <w:fldChar w:fldCharType="separate"/>
        </w:r>
        <w:r w:rsidR="003E681A">
          <w:rPr>
            <w:noProof/>
            <w:webHidden/>
          </w:rPr>
          <w:t>33</w:t>
        </w:r>
        <w:r w:rsidR="003E681A">
          <w:rPr>
            <w:noProof/>
            <w:webHidden/>
          </w:rPr>
          <w:fldChar w:fldCharType="end"/>
        </w:r>
      </w:hyperlink>
    </w:p>
    <w:p w14:paraId="40488964" w14:textId="507E87EE"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0" w:history="1">
        <w:r w:rsidRPr="006D7469">
          <w:rPr>
            <w:rStyle w:val="Hyperlink"/>
            <w:noProof/>
          </w:rPr>
          <w:t xml:space="preserve">2: Table 2.2: The Integration Capability Gap in Existing Literature </w:t>
        </w:r>
        <w:r>
          <w:rPr>
            <w:noProof/>
            <w:webHidden/>
          </w:rPr>
          <w:tab/>
        </w:r>
        <w:r>
          <w:rPr>
            <w:noProof/>
            <w:webHidden/>
          </w:rPr>
          <w:fldChar w:fldCharType="begin"/>
        </w:r>
        <w:r>
          <w:rPr>
            <w:noProof/>
            <w:webHidden/>
          </w:rPr>
          <w:instrText xml:space="preserve"> PAGEREF _Toc232351970 \h </w:instrText>
        </w:r>
        <w:r>
          <w:rPr>
            <w:noProof/>
            <w:webHidden/>
          </w:rPr>
        </w:r>
        <w:r>
          <w:rPr>
            <w:noProof/>
            <w:webHidden/>
          </w:rPr>
          <w:fldChar w:fldCharType="separate"/>
        </w:r>
        <w:r>
          <w:rPr>
            <w:noProof/>
            <w:webHidden/>
          </w:rPr>
          <w:t>78</w:t>
        </w:r>
        <w:r>
          <w:rPr>
            <w:noProof/>
            <w:webHidden/>
          </w:rPr>
          <w:fldChar w:fldCharType="end"/>
        </w:r>
      </w:hyperlink>
    </w:p>
    <w:p w14:paraId="39CBA908" w14:textId="62924B90"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1" w:history="1">
        <w:r w:rsidRPr="006D7469">
          <w:rPr>
            <w:rStyle w:val="Hyperlink"/>
            <w:noProof/>
          </w:rPr>
          <w:t>3: Table 3.1: Mapping of Research Questions to Interview Themes</w:t>
        </w:r>
        <w:r>
          <w:rPr>
            <w:rStyle w:val="Hyperlink"/>
            <w:noProof/>
          </w:rPr>
          <w:t xml:space="preserve"> &amp;</w:t>
        </w:r>
        <w:r w:rsidRPr="006D7469">
          <w:rPr>
            <w:rStyle w:val="Hyperlink"/>
            <w:noProof/>
          </w:rPr>
          <w:t xml:space="preserve"> Data Collection Focus </w:t>
        </w:r>
        <w:r>
          <w:rPr>
            <w:rStyle w:val="Hyperlink"/>
            <w:noProof/>
          </w:rPr>
          <w:tab/>
        </w:r>
        <w:r>
          <w:rPr>
            <w:noProof/>
            <w:webHidden/>
          </w:rPr>
          <w:fldChar w:fldCharType="begin"/>
        </w:r>
        <w:r>
          <w:rPr>
            <w:noProof/>
            <w:webHidden/>
          </w:rPr>
          <w:instrText xml:space="preserve"> PAGEREF _Toc232351971 \h </w:instrText>
        </w:r>
        <w:r>
          <w:rPr>
            <w:noProof/>
            <w:webHidden/>
          </w:rPr>
        </w:r>
        <w:r>
          <w:rPr>
            <w:noProof/>
            <w:webHidden/>
          </w:rPr>
          <w:fldChar w:fldCharType="separate"/>
        </w:r>
        <w:r>
          <w:rPr>
            <w:noProof/>
            <w:webHidden/>
          </w:rPr>
          <w:t>102</w:t>
        </w:r>
        <w:r>
          <w:rPr>
            <w:noProof/>
            <w:webHidden/>
          </w:rPr>
          <w:fldChar w:fldCharType="end"/>
        </w:r>
      </w:hyperlink>
    </w:p>
    <w:p w14:paraId="55205A5E" w14:textId="048FD771"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2" w:history="1">
        <w:r w:rsidRPr="006D7469">
          <w:rPr>
            <w:rStyle w:val="Hyperlink"/>
            <w:noProof/>
          </w:rPr>
          <w:t>4: Table 4.1: Frequency of Themes Across Interviews</w:t>
        </w:r>
        <w:r>
          <w:rPr>
            <w:noProof/>
            <w:webHidden/>
          </w:rPr>
          <w:tab/>
        </w:r>
        <w:r>
          <w:rPr>
            <w:noProof/>
            <w:webHidden/>
          </w:rPr>
          <w:fldChar w:fldCharType="begin"/>
        </w:r>
        <w:r>
          <w:rPr>
            <w:noProof/>
            <w:webHidden/>
          </w:rPr>
          <w:instrText xml:space="preserve"> PAGEREF _Toc232351972 \h </w:instrText>
        </w:r>
        <w:r>
          <w:rPr>
            <w:noProof/>
            <w:webHidden/>
          </w:rPr>
        </w:r>
        <w:r>
          <w:rPr>
            <w:noProof/>
            <w:webHidden/>
          </w:rPr>
          <w:fldChar w:fldCharType="separate"/>
        </w:r>
        <w:r>
          <w:rPr>
            <w:noProof/>
            <w:webHidden/>
          </w:rPr>
          <w:t>116</w:t>
        </w:r>
        <w:r>
          <w:rPr>
            <w:noProof/>
            <w:webHidden/>
          </w:rPr>
          <w:fldChar w:fldCharType="end"/>
        </w:r>
      </w:hyperlink>
    </w:p>
    <w:p w14:paraId="5537A668" w14:textId="1D48C8C5"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3" w:history="1">
        <w:r w:rsidRPr="006D7469">
          <w:rPr>
            <w:rStyle w:val="Hyperlink"/>
            <w:noProof/>
          </w:rPr>
          <w:t>5: Table 4.2: Cross-Theme Relationships Across Findings</w:t>
        </w:r>
        <w:r>
          <w:rPr>
            <w:noProof/>
            <w:webHidden/>
          </w:rPr>
          <w:tab/>
        </w:r>
        <w:r>
          <w:rPr>
            <w:noProof/>
            <w:webHidden/>
          </w:rPr>
          <w:fldChar w:fldCharType="begin"/>
        </w:r>
        <w:r>
          <w:rPr>
            <w:noProof/>
            <w:webHidden/>
          </w:rPr>
          <w:instrText xml:space="preserve"> PAGEREF _Toc232351973 \h </w:instrText>
        </w:r>
        <w:r>
          <w:rPr>
            <w:noProof/>
            <w:webHidden/>
          </w:rPr>
        </w:r>
        <w:r>
          <w:rPr>
            <w:noProof/>
            <w:webHidden/>
          </w:rPr>
          <w:fldChar w:fldCharType="separate"/>
        </w:r>
        <w:r>
          <w:rPr>
            <w:noProof/>
            <w:webHidden/>
          </w:rPr>
          <w:t>148</w:t>
        </w:r>
        <w:r>
          <w:rPr>
            <w:noProof/>
            <w:webHidden/>
          </w:rPr>
          <w:fldChar w:fldCharType="end"/>
        </w:r>
      </w:hyperlink>
    </w:p>
    <w:p w14:paraId="52F7D0F3" w14:textId="0C4AE252"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4" w:history="1">
        <w:r w:rsidRPr="006D7469">
          <w:rPr>
            <w:rStyle w:val="Hyperlink"/>
            <w:noProof/>
          </w:rPr>
          <w:t>6: Table 4.3: Cross-Theme Relationships Identified Across Interviews</w:t>
        </w:r>
        <w:r>
          <w:rPr>
            <w:noProof/>
            <w:webHidden/>
          </w:rPr>
          <w:tab/>
        </w:r>
        <w:r>
          <w:rPr>
            <w:noProof/>
            <w:webHidden/>
          </w:rPr>
          <w:fldChar w:fldCharType="begin"/>
        </w:r>
        <w:r>
          <w:rPr>
            <w:noProof/>
            <w:webHidden/>
          </w:rPr>
          <w:instrText xml:space="preserve"> PAGEREF _Toc232351974 \h </w:instrText>
        </w:r>
        <w:r>
          <w:rPr>
            <w:noProof/>
            <w:webHidden/>
          </w:rPr>
        </w:r>
        <w:r>
          <w:rPr>
            <w:noProof/>
            <w:webHidden/>
          </w:rPr>
          <w:fldChar w:fldCharType="separate"/>
        </w:r>
        <w:r>
          <w:rPr>
            <w:noProof/>
            <w:webHidden/>
          </w:rPr>
          <w:t>151</w:t>
        </w:r>
        <w:r>
          <w:rPr>
            <w:noProof/>
            <w:webHidden/>
          </w:rPr>
          <w:fldChar w:fldCharType="end"/>
        </w:r>
      </w:hyperlink>
    </w:p>
    <w:p w14:paraId="0817ED12" w14:textId="2FD91279"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5" w:history="1">
        <w:r w:rsidRPr="006D7469">
          <w:rPr>
            <w:rStyle w:val="Hyperlink"/>
            <w:noProof/>
          </w:rPr>
          <w:t xml:space="preserve">7: Table 5.1: Distinction Between Structured Integration Process and Integration Capability </w:t>
        </w:r>
        <w:r>
          <w:rPr>
            <w:noProof/>
            <w:webHidden/>
          </w:rPr>
          <w:tab/>
        </w:r>
        <w:r>
          <w:rPr>
            <w:noProof/>
            <w:webHidden/>
          </w:rPr>
          <w:fldChar w:fldCharType="begin"/>
        </w:r>
        <w:r>
          <w:rPr>
            <w:noProof/>
            <w:webHidden/>
          </w:rPr>
          <w:instrText xml:space="preserve"> PAGEREF _Toc232351975 \h </w:instrText>
        </w:r>
        <w:r>
          <w:rPr>
            <w:noProof/>
            <w:webHidden/>
          </w:rPr>
        </w:r>
        <w:r>
          <w:rPr>
            <w:noProof/>
            <w:webHidden/>
          </w:rPr>
          <w:fldChar w:fldCharType="separate"/>
        </w:r>
        <w:r>
          <w:rPr>
            <w:noProof/>
            <w:webHidden/>
          </w:rPr>
          <w:t>157</w:t>
        </w:r>
        <w:r>
          <w:rPr>
            <w:noProof/>
            <w:webHidden/>
          </w:rPr>
          <w:fldChar w:fldCharType="end"/>
        </w:r>
      </w:hyperlink>
    </w:p>
    <w:p w14:paraId="18EE8982" w14:textId="35A665A7"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6" w:history="1">
        <w:r w:rsidRPr="006D7469">
          <w:rPr>
            <w:rStyle w:val="Hyperlink"/>
            <w:noProof/>
          </w:rPr>
          <w:t>8: Table 5.2: Process View vs Capability View of Integration</w:t>
        </w:r>
        <w:r>
          <w:rPr>
            <w:noProof/>
            <w:webHidden/>
          </w:rPr>
          <w:tab/>
        </w:r>
        <w:r>
          <w:rPr>
            <w:noProof/>
            <w:webHidden/>
          </w:rPr>
          <w:fldChar w:fldCharType="begin"/>
        </w:r>
        <w:r>
          <w:rPr>
            <w:noProof/>
            <w:webHidden/>
          </w:rPr>
          <w:instrText xml:space="preserve"> PAGEREF _Toc232351976 \h </w:instrText>
        </w:r>
        <w:r>
          <w:rPr>
            <w:noProof/>
            <w:webHidden/>
          </w:rPr>
        </w:r>
        <w:r>
          <w:rPr>
            <w:noProof/>
            <w:webHidden/>
          </w:rPr>
          <w:fldChar w:fldCharType="separate"/>
        </w:r>
        <w:r>
          <w:rPr>
            <w:noProof/>
            <w:webHidden/>
          </w:rPr>
          <w:t>159</w:t>
        </w:r>
        <w:r>
          <w:rPr>
            <w:noProof/>
            <w:webHidden/>
          </w:rPr>
          <w:fldChar w:fldCharType="end"/>
        </w:r>
      </w:hyperlink>
    </w:p>
    <w:p w14:paraId="121DFC06" w14:textId="4B968C43"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7" w:history="1">
        <w:r w:rsidRPr="006D7469">
          <w:rPr>
            <w:rStyle w:val="Hyperlink"/>
            <w:noProof/>
          </w:rPr>
          <w:t xml:space="preserve">9: Table 5.3: Integration Capability Dimensions </w:t>
        </w:r>
        <w:r>
          <w:rPr>
            <w:noProof/>
            <w:webHidden/>
          </w:rPr>
          <w:tab/>
        </w:r>
        <w:r>
          <w:rPr>
            <w:noProof/>
            <w:webHidden/>
          </w:rPr>
          <w:fldChar w:fldCharType="begin"/>
        </w:r>
        <w:r>
          <w:rPr>
            <w:noProof/>
            <w:webHidden/>
          </w:rPr>
          <w:instrText xml:space="preserve"> PAGEREF _Toc232351977 \h </w:instrText>
        </w:r>
        <w:r>
          <w:rPr>
            <w:noProof/>
            <w:webHidden/>
          </w:rPr>
        </w:r>
        <w:r>
          <w:rPr>
            <w:noProof/>
            <w:webHidden/>
          </w:rPr>
          <w:fldChar w:fldCharType="separate"/>
        </w:r>
        <w:r>
          <w:rPr>
            <w:noProof/>
            <w:webHidden/>
          </w:rPr>
          <w:t>180</w:t>
        </w:r>
        <w:r>
          <w:rPr>
            <w:noProof/>
            <w:webHidden/>
          </w:rPr>
          <w:fldChar w:fldCharType="end"/>
        </w:r>
      </w:hyperlink>
    </w:p>
    <w:p w14:paraId="235A23B6" w14:textId="698FC2F3"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8" w:history="1">
        <w:r w:rsidRPr="006D7469">
          <w:rPr>
            <w:rStyle w:val="Hyperlink"/>
            <w:noProof/>
          </w:rPr>
          <w:t>10: Table 5.4: Analytical Relationships Across the Integration Lifecycle</w:t>
        </w:r>
        <w:r>
          <w:rPr>
            <w:noProof/>
            <w:webHidden/>
          </w:rPr>
          <w:tab/>
        </w:r>
        <w:r>
          <w:rPr>
            <w:noProof/>
            <w:webHidden/>
          </w:rPr>
          <w:fldChar w:fldCharType="begin"/>
        </w:r>
        <w:r>
          <w:rPr>
            <w:noProof/>
            <w:webHidden/>
          </w:rPr>
          <w:instrText xml:space="preserve"> PAGEREF _Toc232351978 \h </w:instrText>
        </w:r>
        <w:r>
          <w:rPr>
            <w:noProof/>
            <w:webHidden/>
          </w:rPr>
        </w:r>
        <w:r>
          <w:rPr>
            <w:noProof/>
            <w:webHidden/>
          </w:rPr>
          <w:fldChar w:fldCharType="separate"/>
        </w:r>
        <w:r>
          <w:rPr>
            <w:noProof/>
            <w:webHidden/>
          </w:rPr>
          <w:t>192</w:t>
        </w:r>
        <w:r>
          <w:rPr>
            <w:noProof/>
            <w:webHidden/>
          </w:rPr>
          <w:fldChar w:fldCharType="end"/>
        </w:r>
      </w:hyperlink>
    </w:p>
    <w:p w14:paraId="5418B311" w14:textId="4B36D199"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79" w:history="1">
        <w:r w:rsidRPr="006D7469">
          <w:rPr>
            <w:rStyle w:val="Hyperlink"/>
            <w:noProof/>
          </w:rPr>
          <w:t xml:space="preserve">11: Table 5.5 Heat Map </w:t>
        </w:r>
        <w:r>
          <w:rPr>
            <w:noProof/>
            <w:webHidden/>
          </w:rPr>
          <w:tab/>
        </w:r>
        <w:r>
          <w:rPr>
            <w:noProof/>
            <w:webHidden/>
          </w:rPr>
          <w:fldChar w:fldCharType="begin"/>
        </w:r>
        <w:r>
          <w:rPr>
            <w:noProof/>
            <w:webHidden/>
          </w:rPr>
          <w:instrText xml:space="preserve"> PAGEREF _Toc232351979 \h </w:instrText>
        </w:r>
        <w:r>
          <w:rPr>
            <w:noProof/>
            <w:webHidden/>
          </w:rPr>
        </w:r>
        <w:r>
          <w:rPr>
            <w:noProof/>
            <w:webHidden/>
          </w:rPr>
          <w:fldChar w:fldCharType="separate"/>
        </w:r>
        <w:r>
          <w:rPr>
            <w:noProof/>
            <w:webHidden/>
          </w:rPr>
          <w:t>193</w:t>
        </w:r>
        <w:r>
          <w:rPr>
            <w:noProof/>
            <w:webHidden/>
          </w:rPr>
          <w:fldChar w:fldCharType="end"/>
        </w:r>
      </w:hyperlink>
    </w:p>
    <w:p w14:paraId="529A649F" w14:textId="1113B4F3"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80" w:history="1">
        <w:r w:rsidRPr="006D7469">
          <w:rPr>
            <w:rStyle w:val="Hyperlink"/>
            <w:noProof/>
          </w:rPr>
          <w:t>12: Table 6.1: Operational Summary of the Integration Capability Loop</w:t>
        </w:r>
        <w:r>
          <w:rPr>
            <w:noProof/>
            <w:webHidden/>
          </w:rPr>
          <w:tab/>
        </w:r>
        <w:r>
          <w:rPr>
            <w:noProof/>
            <w:webHidden/>
          </w:rPr>
          <w:fldChar w:fldCharType="begin"/>
        </w:r>
        <w:r>
          <w:rPr>
            <w:noProof/>
            <w:webHidden/>
          </w:rPr>
          <w:instrText xml:space="preserve"> PAGEREF _Toc232351980 \h </w:instrText>
        </w:r>
        <w:r>
          <w:rPr>
            <w:noProof/>
            <w:webHidden/>
          </w:rPr>
        </w:r>
        <w:r>
          <w:rPr>
            <w:noProof/>
            <w:webHidden/>
          </w:rPr>
          <w:fldChar w:fldCharType="separate"/>
        </w:r>
        <w:r>
          <w:rPr>
            <w:noProof/>
            <w:webHidden/>
          </w:rPr>
          <w:t>217</w:t>
        </w:r>
        <w:r>
          <w:rPr>
            <w:noProof/>
            <w:webHidden/>
          </w:rPr>
          <w:fldChar w:fldCharType="end"/>
        </w:r>
      </w:hyperlink>
    </w:p>
    <w:p w14:paraId="0813129D" w14:textId="3C118400"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81" w:history="1">
        <w:r w:rsidRPr="006D7469">
          <w:rPr>
            <w:rStyle w:val="Hyperlink"/>
            <w:noProof/>
          </w:rPr>
          <w:t xml:space="preserve">13: Table 6.2: Decision Gate Criteria Within the Integration Capability Loop </w:t>
        </w:r>
        <w:r>
          <w:rPr>
            <w:noProof/>
            <w:webHidden/>
          </w:rPr>
          <w:tab/>
        </w:r>
        <w:r>
          <w:rPr>
            <w:noProof/>
            <w:webHidden/>
          </w:rPr>
          <w:fldChar w:fldCharType="begin"/>
        </w:r>
        <w:r>
          <w:rPr>
            <w:noProof/>
            <w:webHidden/>
          </w:rPr>
          <w:instrText xml:space="preserve"> PAGEREF _Toc232351981 \h </w:instrText>
        </w:r>
        <w:r>
          <w:rPr>
            <w:noProof/>
            <w:webHidden/>
          </w:rPr>
        </w:r>
        <w:r>
          <w:rPr>
            <w:noProof/>
            <w:webHidden/>
          </w:rPr>
          <w:fldChar w:fldCharType="separate"/>
        </w:r>
        <w:r>
          <w:rPr>
            <w:noProof/>
            <w:webHidden/>
          </w:rPr>
          <w:t>223</w:t>
        </w:r>
        <w:r>
          <w:rPr>
            <w:noProof/>
            <w:webHidden/>
          </w:rPr>
          <w:fldChar w:fldCharType="end"/>
        </w:r>
      </w:hyperlink>
    </w:p>
    <w:p w14:paraId="5EBDC542" w14:textId="6C9E5320"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82" w:history="1">
        <w:r w:rsidRPr="006D7469">
          <w:rPr>
            <w:rStyle w:val="Hyperlink"/>
            <w:noProof/>
          </w:rPr>
          <w:t xml:space="preserve">14: Table 6.3: Applying the Integration Capability Loop by Acquisition Maturity Level </w:t>
        </w:r>
        <w:r>
          <w:rPr>
            <w:rStyle w:val="Hyperlink"/>
            <w:noProof/>
          </w:rPr>
          <w:tab/>
        </w:r>
        <w:r>
          <w:rPr>
            <w:noProof/>
            <w:webHidden/>
          </w:rPr>
          <w:fldChar w:fldCharType="begin"/>
        </w:r>
        <w:r>
          <w:rPr>
            <w:noProof/>
            <w:webHidden/>
          </w:rPr>
          <w:instrText xml:space="preserve"> PAGEREF _Toc232351982 \h </w:instrText>
        </w:r>
        <w:r>
          <w:rPr>
            <w:noProof/>
            <w:webHidden/>
          </w:rPr>
        </w:r>
        <w:r>
          <w:rPr>
            <w:noProof/>
            <w:webHidden/>
          </w:rPr>
          <w:fldChar w:fldCharType="separate"/>
        </w:r>
        <w:r>
          <w:rPr>
            <w:noProof/>
            <w:webHidden/>
          </w:rPr>
          <w:t>226</w:t>
        </w:r>
        <w:r>
          <w:rPr>
            <w:noProof/>
            <w:webHidden/>
          </w:rPr>
          <w:fldChar w:fldCharType="end"/>
        </w:r>
      </w:hyperlink>
    </w:p>
    <w:p w14:paraId="314565F8" w14:textId="004F77FE"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83" w:history="1">
        <w:r w:rsidRPr="006D7469">
          <w:rPr>
            <w:rStyle w:val="Hyperlink"/>
            <w:noProof/>
          </w:rPr>
          <w:t>15: Table 6.4: Integration Capability Maturity Diagnostic</w:t>
        </w:r>
        <w:r>
          <w:rPr>
            <w:noProof/>
            <w:webHidden/>
          </w:rPr>
          <w:tab/>
        </w:r>
        <w:r>
          <w:rPr>
            <w:noProof/>
            <w:webHidden/>
          </w:rPr>
          <w:fldChar w:fldCharType="begin"/>
        </w:r>
        <w:r>
          <w:rPr>
            <w:noProof/>
            <w:webHidden/>
          </w:rPr>
          <w:instrText xml:space="preserve"> PAGEREF _Toc232351983 \h </w:instrText>
        </w:r>
        <w:r>
          <w:rPr>
            <w:noProof/>
            <w:webHidden/>
          </w:rPr>
        </w:r>
        <w:r>
          <w:rPr>
            <w:noProof/>
            <w:webHidden/>
          </w:rPr>
          <w:fldChar w:fldCharType="separate"/>
        </w:r>
        <w:r>
          <w:rPr>
            <w:noProof/>
            <w:webHidden/>
          </w:rPr>
          <w:t>228</w:t>
        </w:r>
        <w:r>
          <w:rPr>
            <w:noProof/>
            <w:webHidden/>
          </w:rPr>
          <w:fldChar w:fldCharType="end"/>
        </w:r>
      </w:hyperlink>
    </w:p>
    <w:p w14:paraId="4E65B1A3" w14:textId="3A13632C"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84" w:history="1">
        <w:r w:rsidRPr="006D7469">
          <w:rPr>
            <w:rStyle w:val="Hyperlink"/>
            <w:noProof/>
          </w:rPr>
          <w:t>16: Table 6.5 - Capability-to-Outcome</w:t>
        </w:r>
        <w:r>
          <w:rPr>
            <w:noProof/>
            <w:webHidden/>
          </w:rPr>
          <w:tab/>
        </w:r>
        <w:r>
          <w:rPr>
            <w:noProof/>
            <w:webHidden/>
          </w:rPr>
          <w:fldChar w:fldCharType="begin"/>
        </w:r>
        <w:r>
          <w:rPr>
            <w:noProof/>
            <w:webHidden/>
          </w:rPr>
          <w:instrText xml:space="preserve"> PAGEREF _Toc232351984 \h </w:instrText>
        </w:r>
        <w:r>
          <w:rPr>
            <w:noProof/>
            <w:webHidden/>
          </w:rPr>
        </w:r>
        <w:r>
          <w:rPr>
            <w:noProof/>
            <w:webHidden/>
          </w:rPr>
          <w:fldChar w:fldCharType="separate"/>
        </w:r>
        <w:r>
          <w:rPr>
            <w:noProof/>
            <w:webHidden/>
          </w:rPr>
          <w:t>229</w:t>
        </w:r>
        <w:r>
          <w:rPr>
            <w:noProof/>
            <w:webHidden/>
          </w:rPr>
          <w:fldChar w:fldCharType="end"/>
        </w:r>
      </w:hyperlink>
    </w:p>
    <w:p w14:paraId="2E5C8C30" w14:textId="10E7F275"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85" w:history="1">
        <w:r w:rsidRPr="006D7469">
          <w:rPr>
            <w:rStyle w:val="Hyperlink"/>
            <w:noProof/>
          </w:rPr>
          <w:t xml:space="preserve">17: Table 7.1: Summary of Key Findings </w:t>
        </w:r>
        <w:r>
          <w:rPr>
            <w:noProof/>
            <w:webHidden/>
          </w:rPr>
          <w:tab/>
        </w:r>
        <w:r>
          <w:rPr>
            <w:noProof/>
            <w:webHidden/>
          </w:rPr>
          <w:fldChar w:fldCharType="begin"/>
        </w:r>
        <w:r>
          <w:rPr>
            <w:noProof/>
            <w:webHidden/>
          </w:rPr>
          <w:instrText xml:space="preserve"> PAGEREF _Toc232351985 \h </w:instrText>
        </w:r>
        <w:r>
          <w:rPr>
            <w:noProof/>
            <w:webHidden/>
          </w:rPr>
        </w:r>
        <w:r>
          <w:rPr>
            <w:noProof/>
            <w:webHidden/>
          </w:rPr>
          <w:fldChar w:fldCharType="separate"/>
        </w:r>
        <w:r>
          <w:rPr>
            <w:noProof/>
            <w:webHidden/>
          </w:rPr>
          <w:t>265</w:t>
        </w:r>
        <w:r>
          <w:rPr>
            <w:noProof/>
            <w:webHidden/>
          </w:rPr>
          <w:fldChar w:fldCharType="end"/>
        </w:r>
      </w:hyperlink>
    </w:p>
    <w:p w14:paraId="2F7ADC57" w14:textId="2D4D217C" w:rsidR="003E681A" w:rsidRDefault="003E681A" w:rsidP="003E681A">
      <w:pPr>
        <w:pStyle w:val="TableofFigures"/>
        <w:tabs>
          <w:tab w:val="right" w:pos="9350"/>
        </w:tabs>
        <w:spacing w:line="480" w:lineRule="auto"/>
        <w:rPr>
          <w:rFonts w:asciiTheme="minorHAnsi" w:eastAsiaTheme="minorEastAsia" w:hAnsiTheme="minorHAnsi" w:cstheme="minorBidi"/>
          <w:noProof/>
          <w:kern w:val="2"/>
          <w:lang w:val="en-CA"/>
          <w14:ligatures w14:val="standardContextual"/>
        </w:rPr>
      </w:pPr>
      <w:hyperlink w:anchor="_Toc232351986" w:history="1">
        <w:r w:rsidRPr="006D7469">
          <w:rPr>
            <w:rStyle w:val="Hyperlink"/>
            <w:noProof/>
          </w:rPr>
          <w:t>18: Table 7.2: Summary of Theoretical Contributions</w:t>
        </w:r>
        <w:r>
          <w:rPr>
            <w:noProof/>
            <w:webHidden/>
          </w:rPr>
          <w:tab/>
        </w:r>
        <w:r>
          <w:rPr>
            <w:noProof/>
            <w:webHidden/>
          </w:rPr>
          <w:fldChar w:fldCharType="begin"/>
        </w:r>
        <w:r>
          <w:rPr>
            <w:noProof/>
            <w:webHidden/>
          </w:rPr>
          <w:instrText xml:space="preserve"> PAGEREF _Toc232351986 \h </w:instrText>
        </w:r>
        <w:r>
          <w:rPr>
            <w:noProof/>
            <w:webHidden/>
          </w:rPr>
        </w:r>
        <w:r>
          <w:rPr>
            <w:noProof/>
            <w:webHidden/>
          </w:rPr>
          <w:fldChar w:fldCharType="separate"/>
        </w:r>
        <w:r>
          <w:rPr>
            <w:noProof/>
            <w:webHidden/>
          </w:rPr>
          <w:t>270</w:t>
        </w:r>
        <w:r>
          <w:rPr>
            <w:noProof/>
            <w:webHidden/>
          </w:rPr>
          <w:fldChar w:fldCharType="end"/>
        </w:r>
      </w:hyperlink>
    </w:p>
    <w:p w14:paraId="300E1067" w14:textId="1763B359" w:rsidR="00FF0C0E" w:rsidRPr="00B95E28" w:rsidRDefault="0047230D" w:rsidP="00FF0C0E">
      <w:pPr>
        <w:rPr>
          <w:color w:val="000000" w:themeColor="text1"/>
        </w:rPr>
      </w:pPr>
      <w:r w:rsidRPr="00B95E28">
        <w:rPr>
          <w:color w:val="000000" w:themeColor="text1"/>
        </w:rPr>
        <w:fldChar w:fldCharType="end"/>
      </w:r>
    </w:p>
    <w:p w14:paraId="2FDEFB49" w14:textId="77777777" w:rsidR="00707103" w:rsidRDefault="00707103" w:rsidP="009370FF"/>
    <w:p w14:paraId="7316B3BA" w14:textId="77777777" w:rsidR="009370FF" w:rsidRDefault="009370FF" w:rsidP="009370FF"/>
    <w:p w14:paraId="3481BDFD" w14:textId="77777777" w:rsidR="009370FF" w:rsidRDefault="009370FF" w:rsidP="009370FF"/>
    <w:p w14:paraId="722BF1F9" w14:textId="77777777" w:rsidR="00707103" w:rsidRDefault="00707103" w:rsidP="00707103"/>
    <w:p w14:paraId="597DE559" w14:textId="77777777" w:rsidR="00707103" w:rsidRDefault="00707103" w:rsidP="00707103"/>
    <w:p w14:paraId="66DA4F94" w14:textId="77777777" w:rsidR="00707103" w:rsidRDefault="00707103" w:rsidP="00707103"/>
    <w:p w14:paraId="0AEFE379" w14:textId="77777777" w:rsidR="00707103" w:rsidRPr="00707103" w:rsidRDefault="00707103" w:rsidP="00707103"/>
    <w:p w14:paraId="0799F6BA" w14:textId="6F8808C2" w:rsidR="00E04446" w:rsidRPr="00B95E28" w:rsidRDefault="0047230D" w:rsidP="00557AB7">
      <w:pPr>
        <w:pStyle w:val="Heading1"/>
        <w:rPr>
          <w:color w:val="000000" w:themeColor="text1"/>
        </w:rPr>
      </w:pPr>
      <w:bookmarkStart w:id="10" w:name="_Toc232351809"/>
      <w:r w:rsidRPr="00B95E28">
        <w:rPr>
          <w:color w:val="000000" w:themeColor="text1"/>
        </w:rPr>
        <w:lastRenderedPageBreak/>
        <w:t>LIST OF FIGURES</w:t>
      </w:r>
      <w:bookmarkEnd w:id="9"/>
      <w:bookmarkEnd w:id="10"/>
    </w:p>
    <w:p w14:paraId="1E36BA77" w14:textId="6E3A87C4" w:rsidR="00E04446" w:rsidRPr="00B95E28" w:rsidRDefault="00E04446" w:rsidP="00557AB7">
      <w:pPr>
        <w:pBdr>
          <w:top w:val="nil"/>
          <w:left w:val="nil"/>
          <w:bottom w:val="nil"/>
          <w:right w:val="nil"/>
          <w:between w:val="nil"/>
        </w:pBdr>
        <w:tabs>
          <w:tab w:val="left" w:pos="0"/>
          <w:tab w:val="left" w:pos="720"/>
          <w:tab w:val="right" w:pos="8640"/>
        </w:tabs>
        <w:spacing w:line="480" w:lineRule="auto"/>
        <w:rPr>
          <w:color w:val="000000" w:themeColor="text1"/>
        </w:rPr>
      </w:pPr>
    </w:p>
    <w:p w14:paraId="5F55189B" w14:textId="2FF64B29" w:rsidR="0047230D" w:rsidRPr="00B95E28" w:rsidRDefault="0047230D" w:rsidP="00557AB7">
      <w:pPr>
        <w:pStyle w:val="TableofFigures"/>
        <w:tabs>
          <w:tab w:val="right" w:pos="9350"/>
        </w:tabs>
        <w:spacing w:line="480" w:lineRule="auto"/>
        <w:rPr>
          <w:rFonts w:asciiTheme="minorHAnsi" w:eastAsiaTheme="minorEastAsia" w:hAnsiTheme="minorHAnsi" w:cstheme="minorBidi"/>
          <w:noProof/>
          <w:color w:val="000000" w:themeColor="text1"/>
          <w:kern w:val="2"/>
          <w:lang w:val="en-CA"/>
          <w14:ligatures w14:val="standardContextual"/>
        </w:rPr>
      </w:pPr>
      <w:r w:rsidRPr="00B95E28">
        <w:rPr>
          <w:color w:val="000000" w:themeColor="text1"/>
        </w:rPr>
        <w:fldChar w:fldCharType="begin"/>
      </w:r>
      <w:r w:rsidRPr="00B95E28">
        <w:rPr>
          <w:color w:val="000000" w:themeColor="text1"/>
        </w:rPr>
        <w:instrText xml:space="preserve"> TOC \h \z \c "Figure" </w:instrText>
      </w:r>
      <w:r w:rsidRPr="00B95E28">
        <w:rPr>
          <w:color w:val="000000" w:themeColor="text1"/>
        </w:rPr>
        <w:fldChar w:fldCharType="separate"/>
      </w:r>
      <w:hyperlink w:anchor="_Toc230886209" w:history="1">
        <w:r w:rsidRPr="00B95E28">
          <w:rPr>
            <w:rStyle w:val="Hyperlink"/>
            <w:noProof/>
            <w:color w:val="000000" w:themeColor="text1"/>
          </w:rPr>
          <w:t xml:space="preserve">1: Figure 2.1: Conceptual Relationship Between Integration Processes, Capability Development, and Value Realization </w:t>
        </w:r>
        <w:r w:rsidRPr="00B95E28">
          <w:rPr>
            <w:noProof/>
            <w:webHidden/>
            <w:color w:val="000000" w:themeColor="text1"/>
          </w:rPr>
          <w:tab/>
        </w:r>
        <w:r w:rsidRPr="00B95E28">
          <w:rPr>
            <w:noProof/>
            <w:webHidden/>
            <w:color w:val="000000" w:themeColor="text1"/>
          </w:rPr>
          <w:fldChar w:fldCharType="begin"/>
        </w:r>
        <w:r w:rsidRPr="00B95E28">
          <w:rPr>
            <w:noProof/>
            <w:webHidden/>
            <w:color w:val="000000" w:themeColor="text1"/>
          </w:rPr>
          <w:instrText xml:space="preserve"> PAGEREF _Toc230886209 \h </w:instrText>
        </w:r>
        <w:r w:rsidRPr="00B95E28">
          <w:rPr>
            <w:noProof/>
            <w:webHidden/>
            <w:color w:val="000000" w:themeColor="text1"/>
          </w:rPr>
        </w:r>
        <w:r w:rsidRPr="00B95E28">
          <w:rPr>
            <w:noProof/>
            <w:webHidden/>
            <w:color w:val="000000" w:themeColor="text1"/>
          </w:rPr>
          <w:fldChar w:fldCharType="separate"/>
        </w:r>
        <w:r w:rsidRPr="00B95E28">
          <w:rPr>
            <w:noProof/>
            <w:webHidden/>
            <w:color w:val="000000" w:themeColor="text1"/>
          </w:rPr>
          <w:t>73</w:t>
        </w:r>
        <w:r w:rsidRPr="00B95E28">
          <w:rPr>
            <w:noProof/>
            <w:webHidden/>
            <w:color w:val="000000" w:themeColor="text1"/>
          </w:rPr>
          <w:fldChar w:fldCharType="end"/>
        </w:r>
      </w:hyperlink>
    </w:p>
    <w:p w14:paraId="5E9DDAFB" w14:textId="16AE3233" w:rsidR="0047230D" w:rsidRPr="00B95E28" w:rsidRDefault="0047230D" w:rsidP="00557AB7">
      <w:pPr>
        <w:pStyle w:val="TableofFigures"/>
        <w:tabs>
          <w:tab w:val="right" w:pos="9350"/>
        </w:tabs>
        <w:spacing w:line="480" w:lineRule="auto"/>
        <w:rPr>
          <w:rFonts w:asciiTheme="minorHAnsi" w:eastAsiaTheme="minorEastAsia" w:hAnsiTheme="minorHAnsi" w:cstheme="minorBidi"/>
          <w:noProof/>
          <w:color w:val="000000" w:themeColor="text1"/>
          <w:kern w:val="2"/>
          <w:lang w:val="en-CA"/>
          <w14:ligatures w14:val="standardContextual"/>
        </w:rPr>
      </w:pPr>
      <w:hyperlink w:anchor="_Toc230886210" w:history="1">
        <w:r w:rsidRPr="00B95E28">
          <w:rPr>
            <w:rStyle w:val="Hyperlink"/>
            <w:noProof/>
            <w:color w:val="000000" w:themeColor="text1"/>
          </w:rPr>
          <w:t xml:space="preserve">2: Figure 3.1: Research Design and Analytical Flow </w:t>
        </w:r>
        <w:r w:rsidRPr="00B95E28">
          <w:rPr>
            <w:noProof/>
            <w:webHidden/>
            <w:color w:val="000000" w:themeColor="text1"/>
          </w:rPr>
          <w:tab/>
        </w:r>
        <w:r w:rsidRPr="00B95E28">
          <w:rPr>
            <w:noProof/>
            <w:webHidden/>
            <w:color w:val="000000" w:themeColor="text1"/>
          </w:rPr>
          <w:fldChar w:fldCharType="begin"/>
        </w:r>
        <w:r w:rsidRPr="00B95E28">
          <w:rPr>
            <w:noProof/>
            <w:webHidden/>
            <w:color w:val="000000" w:themeColor="text1"/>
          </w:rPr>
          <w:instrText xml:space="preserve"> PAGEREF _Toc230886210 \h </w:instrText>
        </w:r>
        <w:r w:rsidRPr="00B95E28">
          <w:rPr>
            <w:noProof/>
            <w:webHidden/>
            <w:color w:val="000000" w:themeColor="text1"/>
          </w:rPr>
        </w:r>
        <w:r w:rsidRPr="00B95E28">
          <w:rPr>
            <w:noProof/>
            <w:webHidden/>
            <w:color w:val="000000" w:themeColor="text1"/>
          </w:rPr>
          <w:fldChar w:fldCharType="separate"/>
        </w:r>
        <w:r w:rsidRPr="00B95E28">
          <w:rPr>
            <w:noProof/>
            <w:webHidden/>
            <w:color w:val="000000" w:themeColor="text1"/>
          </w:rPr>
          <w:t>82</w:t>
        </w:r>
        <w:r w:rsidRPr="00B95E28">
          <w:rPr>
            <w:noProof/>
            <w:webHidden/>
            <w:color w:val="000000" w:themeColor="text1"/>
          </w:rPr>
          <w:fldChar w:fldCharType="end"/>
        </w:r>
      </w:hyperlink>
    </w:p>
    <w:p w14:paraId="68E6C5DE" w14:textId="33C87AE3" w:rsidR="0047230D" w:rsidRPr="00B95E28" w:rsidRDefault="0047230D" w:rsidP="00557AB7">
      <w:pPr>
        <w:pStyle w:val="TableofFigures"/>
        <w:tabs>
          <w:tab w:val="right" w:pos="9350"/>
        </w:tabs>
        <w:spacing w:line="480" w:lineRule="auto"/>
        <w:rPr>
          <w:rFonts w:asciiTheme="minorHAnsi" w:eastAsiaTheme="minorEastAsia" w:hAnsiTheme="minorHAnsi" w:cstheme="minorBidi"/>
          <w:noProof/>
          <w:color w:val="000000" w:themeColor="text1"/>
          <w:kern w:val="2"/>
          <w:lang w:val="en-CA"/>
          <w14:ligatures w14:val="standardContextual"/>
        </w:rPr>
      </w:pPr>
      <w:hyperlink w:anchor="_Toc230886211" w:history="1">
        <w:r w:rsidRPr="00B95E28">
          <w:rPr>
            <w:rStyle w:val="Hyperlink"/>
            <w:noProof/>
            <w:color w:val="000000" w:themeColor="text1"/>
          </w:rPr>
          <w:t xml:space="preserve">3: Figure 5.1 Integration Capability Loop </w:t>
        </w:r>
        <w:r w:rsidRPr="00B95E28">
          <w:rPr>
            <w:noProof/>
            <w:webHidden/>
            <w:color w:val="000000" w:themeColor="text1"/>
          </w:rPr>
          <w:tab/>
        </w:r>
        <w:r w:rsidRPr="00B95E28">
          <w:rPr>
            <w:noProof/>
            <w:webHidden/>
            <w:color w:val="000000" w:themeColor="text1"/>
          </w:rPr>
          <w:fldChar w:fldCharType="begin"/>
        </w:r>
        <w:r w:rsidRPr="00B95E28">
          <w:rPr>
            <w:noProof/>
            <w:webHidden/>
            <w:color w:val="000000" w:themeColor="text1"/>
          </w:rPr>
          <w:instrText xml:space="preserve"> PAGEREF _Toc230886211 \h </w:instrText>
        </w:r>
        <w:r w:rsidRPr="00B95E28">
          <w:rPr>
            <w:noProof/>
            <w:webHidden/>
            <w:color w:val="000000" w:themeColor="text1"/>
          </w:rPr>
        </w:r>
        <w:r w:rsidRPr="00B95E28">
          <w:rPr>
            <w:noProof/>
            <w:webHidden/>
            <w:color w:val="000000" w:themeColor="text1"/>
          </w:rPr>
          <w:fldChar w:fldCharType="separate"/>
        </w:r>
        <w:r w:rsidRPr="00B95E28">
          <w:rPr>
            <w:noProof/>
            <w:webHidden/>
            <w:color w:val="000000" w:themeColor="text1"/>
          </w:rPr>
          <w:t>170</w:t>
        </w:r>
        <w:r w:rsidRPr="00B95E28">
          <w:rPr>
            <w:noProof/>
            <w:webHidden/>
            <w:color w:val="000000" w:themeColor="text1"/>
          </w:rPr>
          <w:fldChar w:fldCharType="end"/>
        </w:r>
      </w:hyperlink>
    </w:p>
    <w:p w14:paraId="7841CB0F" w14:textId="2D1F1E53" w:rsidR="0047230D" w:rsidRPr="00B95E28" w:rsidRDefault="0047230D" w:rsidP="00557AB7">
      <w:pPr>
        <w:pStyle w:val="TableofFigures"/>
        <w:tabs>
          <w:tab w:val="right" w:pos="9350"/>
        </w:tabs>
        <w:spacing w:line="480" w:lineRule="auto"/>
        <w:rPr>
          <w:rFonts w:asciiTheme="minorHAnsi" w:eastAsiaTheme="minorEastAsia" w:hAnsiTheme="minorHAnsi" w:cstheme="minorBidi"/>
          <w:noProof/>
          <w:color w:val="000000" w:themeColor="text1"/>
          <w:kern w:val="2"/>
          <w:lang w:val="en-CA"/>
          <w14:ligatures w14:val="standardContextual"/>
        </w:rPr>
      </w:pPr>
      <w:hyperlink w:anchor="_Toc230886212" w:history="1">
        <w:r w:rsidRPr="00B95E28">
          <w:rPr>
            <w:rStyle w:val="Hyperlink"/>
            <w:noProof/>
            <w:color w:val="000000" w:themeColor="text1"/>
          </w:rPr>
          <w:t xml:space="preserve">4: Figure 5.2 Integration Capability Engine </w:t>
        </w:r>
        <w:r w:rsidRPr="00B95E28">
          <w:rPr>
            <w:noProof/>
            <w:webHidden/>
            <w:color w:val="000000" w:themeColor="text1"/>
          </w:rPr>
          <w:tab/>
        </w:r>
        <w:r w:rsidRPr="00B95E28">
          <w:rPr>
            <w:noProof/>
            <w:webHidden/>
            <w:color w:val="000000" w:themeColor="text1"/>
          </w:rPr>
          <w:fldChar w:fldCharType="begin"/>
        </w:r>
        <w:r w:rsidRPr="00B95E28">
          <w:rPr>
            <w:noProof/>
            <w:webHidden/>
            <w:color w:val="000000" w:themeColor="text1"/>
          </w:rPr>
          <w:instrText xml:space="preserve"> PAGEREF _Toc230886212 \h </w:instrText>
        </w:r>
        <w:r w:rsidRPr="00B95E28">
          <w:rPr>
            <w:noProof/>
            <w:webHidden/>
            <w:color w:val="000000" w:themeColor="text1"/>
          </w:rPr>
        </w:r>
        <w:r w:rsidRPr="00B95E28">
          <w:rPr>
            <w:noProof/>
            <w:webHidden/>
            <w:color w:val="000000" w:themeColor="text1"/>
          </w:rPr>
          <w:fldChar w:fldCharType="separate"/>
        </w:r>
        <w:r w:rsidRPr="00B95E28">
          <w:rPr>
            <w:noProof/>
            <w:webHidden/>
            <w:color w:val="000000" w:themeColor="text1"/>
          </w:rPr>
          <w:t>182</w:t>
        </w:r>
        <w:r w:rsidRPr="00B95E28">
          <w:rPr>
            <w:noProof/>
            <w:webHidden/>
            <w:color w:val="000000" w:themeColor="text1"/>
          </w:rPr>
          <w:fldChar w:fldCharType="end"/>
        </w:r>
      </w:hyperlink>
    </w:p>
    <w:p w14:paraId="0F17F07E" w14:textId="58400BF2" w:rsidR="0047230D" w:rsidRPr="00B95E28" w:rsidRDefault="0047230D" w:rsidP="00557AB7">
      <w:pPr>
        <w:pStyle w:val="TableofFigures"/>
        <w:tabs>
          <w:tab w:val="right" w:pos="9350"/>
        </w:tabs>
        <w:spacing w:line="480" w:lineRule="auto"/>
        <w:rPr>
          <w:rFonts w:asciiTheme="minorHAnsi" w:eastAsiaTheme="minorEastAsia" w:hAnsiTheme="minorHAnsi" w:cstheme="minorBidi"/>
          <w:noProof/>
          <w:color w:val="000000" w:themeColor="text1"/>
          <w:kern w:val="2"/>
          <w:lang w:val="en-CA"/>
          <w14:ligatures w14:val="standardContextual"/>
        </w:rPr>
      </w:pPr>
      <w:hyperlink w:anchor="_Toc230886213" w:history="1">
        <w:r w:rsidRPr="00B95E28">
          <w:rPr>
            <w:rStyle w:val="Hyperlink"/>
            <w:noProof/>
            <w:color w:val="000000" w:themeColor="text1"/>
          </w:rPr>
          <w:t>5: Figure 6.1: Integration Capability Loop for Repeatable Integration Execution</w:t>
        </w:r>
        <w:r w:rsidRPr="00B95E28">
          <w:rPr>
            <w:noProof/>
            <w:webHidden/>
            <w:color w:val="000000" w:themeColor="text1"/>
          </w:rPr>
          <w:tab/>
        </w:r>
        <w:r w:rsidRPr="00B95E28">
          <w:rPr>
            <w:noProof/>
            <w:webHidden/>
            <w:color w:val="000000" w:themeColor="text1"/>
          </w:rPr>
          <w:fldChar w:fldCharType="begin"/>
        </w:r>
        <w:r w:rsidRPr="00B95E28">
          <w:rPr>
            <w:noProof/>
            <w:webHidden/>
            <w:color w:val="000000" w:themeColor="text1"/>
          </w:rPr>
          <w:instrText xml:space="preserve"> PAGEREF _Toc230886213 \h </w:instrText>
        </w:r>
        <w:r w:rsidRPr="00B95E28">
          <w:rPr>
            <w:noProof/>
            <w:webHidden/>
            <w:color w:val="000000" w:themeColor="text1"/>
          </w:rPr>
        </w:r>
        <w:r w:rsidRPr="00B95E28">
          <w:rPr>
            <w:noProof/>
            <w:webHidden/>
            <w:color w:val="000000" w:themeColor="text1"/>
          </w:rPr>
          <w:fldChar w:fldCharType="separate"/>
        </w:r>
        <w:r w:rsidRPr="00B95E28">
          <w:rPr>
            <w:noProof/>
            <w:webHidden/>
            <w:color w:val="000000" w:themeColor="text1"/>
          </w:rPr>
          <w:t>214</w:t>
        </w:r>
        <w:r w:rsidRPr="00B95E28">
          <w:rPr>
            <w:noProof/>
            <w:webHidden/>
            <w:color w:val="000000" w:themeColor="text1"/>
          </w:rPr>
          <w:fldChar w:fldCharType="end"/>
        </w:r>
      </w:hyperlink>
    </w:p>
    <w:p w14:paraId="2471D6EF" w14:textId="1DDB110C" w:rsidR="0047230D" w:rsidRPr="00B95E28" w:rsidRDefault="0047230D" w:rsidP="00557AB7">
      <w:pPr>
        <w:pStyle w:val="TableofFigures"/>
        <w:tabs>
          <w:tab w:val="right" w:pos="9350"/>
        </w:tabs>
        <w:spacing w:line="480" w:lineRule="auto"/>
        <w:rPr>
          <w:rFonts w:asciiTheme="minorHAnsi" w:eastAsiaTheme="minorEastAsia" w:hAnsiTheme="minorHAnsi" w:cstheme="minorBidi"/>
          <w:noProof/>
          <w:color w:val="000000" w:themeColor="text1"/>
          <w:kern w:val="2"/>
          <w:lang w:val="en-CA"/>
          <w14:ligatures w14:val="standardContextual"/>
        </w:rPr>
      </w:pPr>
      <w:hyperlink w:anchor="_Toc230886214" w:history="1">
        <w:r w:rsidRPr="00B95E28">
          <w:rPr>
            <w:rStyle w:val="Hyperlink"/>
            <w:noProof/>
            <w:color w:val="000000" w:themeColor="text1"/>
          </w:rPr>
          <w:t xml:space="preserve">6: Figure 7.1: Mechanisms of Integration Capability Development </w:t>
        </w:r>
        <w:r w:rsidRPr="00B95E28">
          <w:rPr>
            <w:noProof/>
            <w:webHidden/>
            <w:color w:val="000000" w:themeColor="text1"/>
          </w:rPr>
          <w:tab/>
        </w:r>
        <w:r w:rsidRPr="00B95E28">
          <w:rPr>
            <w:noProof/>
            <w:webHidden/>
            <w:color w:val="000000" w:themeColor="text1"/>
          </w:rPr>
          <w:fldChar w:fldCharType="begin"/>
        </w:r>
        <w:r w:rsidRPr="00B95E28">
          <w:rPr>
            <w:noProof/>
            <w:webHidden/>
            <w:color w:val="000000" w:themeColor="text1"/>
          </w:rPr>
          <w:instrText xml:space="preserve"> PAGEREF _Toc230886214 \h </w:instrText>
        </w:r>
        <w:r w:rsidRPr="00B95E28">
          <w:rPr>
            <w:noProof/>
            <w:webHidden/>
            <w:color w:val="000000" w:themeColor="text1"/>
          </w:rPr>
        </w:r>
        <w:r w:rsidRPr="00B95E28">
          <w:rPr>
            <w:noProof/>
            <w:webHidden/>
            <w:color w:val="000000" w:themeColor="text1"/>
          </w:rPr>
          <w:fldChar w:fldCharType="separate"/>
        </w:r>
        <w:r w:rsidRPr="00B95E28">
          <w:rPr>
            <w:noProof/>
            <w:webHidden/>
            <w:color w:val="000000" w:themeColor="text1"/>
          </w:rPr>
          <w:t>264</w:t>
        </w:r>
        <w:r w:rsidRPr="00B95E28">
          <w:rPr>
            <w:noProof/>
            <w:webHidden/>
            <w:color w:val="000000" w:themeColor="text1"/>
          </w:rPr>
          <w:fldChar w:fldCharType="end"/>
        </w:r>
      </w:hyperlink>
    </w:p>
    <w:p w14:paraId="349C2100" w14:textId="3E4F5B67" w:rsidR="00E04446" w:rsidRPr="00B95E28" w:rsidRDefault="0047230D" w:rsidP="00557AB7">
      <w:pPr>
        <w:spacing w:line="480" w:lineRule="auto"/>
        <w:rPr>
          <w:color w:val="000000" w:themeColor="text1"/>
        </w:rPr>
        <w:sectPr w:rsidR="00E04446" w:rsidRPr="00B95E28" w:rsidSect="00D76478">
          <w:footerReference w:type="default" r:id="rId9"/>
          <w:pgSz w:w="12240" w:h="15840"/>
          <w:pgMar w:top="1440" w:right="1440" w:bottom="1440" w:left="1440" w:header="720" w:footer="720" w:gutter="0"/>
          <w:pgNumType w:fmt="lowerRoman" w:start="5"/>
          <w:cols w:space="720"/>
        </w:sectPr>
      </w:pPr>
      <w:r w:rsidRPr="00B95E28">
        <w:rPr>
          <w:color w:val="000000" w:themeColor="text1"/>
        </w:rPr>
        <w:fldChar w:fldCharType="end"/>
      </w:r>
    </w:p>
    <w:p w14:paraId="64AAD88F" w14:textId="77777777" w:rsidR="00E04446" w:rsidRPr="00B95E28" w:rsidRDefault="00000000" w:rsidP="00557AB7">
      <w:pPr>
        <w:pBdr>
          <w:top w:val="nil"/>
          <w:left w:val="nil"/>
          <w:bottom w:val="nil"/>
          <w:right w:val="nil"/>
          <w:between w:val="nil"/>
        </w:pBdr>
        <w:spacing w:line="480" w:lineRule="auto"/>
        <w:jc w:val="center"/>
        <w:rPr>
          <w:b/>
          <w:color w:val="000000" w:themeColor="text1"/>
        </w:rPr>
      </w:pPr>
      <w:r w:rsidRPr="00B95E28">
        <w:rPr>
          <w:b/>
          <w:color w:val="000000" w:themeColor="text1"/>
        </w:rPr>
        <w:lastRenderedPageBreak/>
        <w:t>CHAPTER 1</w:t>
      </w:r>
    </w:p>
    <w:p w14:paraId="66507A2A" w14:textId="00B744EA" w:rsidR="00E04446" w:rsidRPr="00B95E28" w:rsidRDefault="00D73DBE" w:rsidP="00557AB7">
      <w:pPr>
        <w:pStyle w:val="Heading1"/>
        <w:rPr>
          <w:color w:val="000000" w:themeColor="text1"/>
        </w:rPr>
      </w:pPr>
      <w:bookmarkStart w:id="11" w:name="_Toc230881411"/>
      <w:bookmarkStart w:id="12" w:name="_Toc232351810"/>
      <w:r w:rsidRPr="00B95E28">
        <w:rPr>
          <w:color w:val="000000" w:themeColor="text1"/>
        </w:rPr>
        <w:t>BUILDING REPEATABLE INTEGRATION CAPABILITY IN SERIAL ACQUIRERS</w:t>
      </w:r>
      <w:bookmarkEnd w:id="11"/>
      <w:bookmarkEnd w:id="12"/>
    </w:p>
    <w:p w14:paraId="5E225AF3" w14:textId="77777777" w:rsidR="006E38FE" w:rsidRPr="00B95E28" w:rsidRDefault="006E38FE" w:rsidP="00557AB7">
      <w:pPr>
        <w:pStyle w:val="Heading1"/>
        <w:jc w:val="left"/>
        <w:rPr>
          <w:color w:val="000000" w:themeColor="text1"/>
        </w:rPr>
      </w:pPr>
      <w:bookmarkStart w:id="13" w:name="_Toc225107165"/>
      <w:bookmarkStart w:id="14" w:name="_Toc230881412"/>
      <w:bookmarkStart w:id="15" w:name="_Toc232351811"/>
      <w:r w:rsidRPr="00B95E28">
        <w:rPr>
          <w:color w:val="000000" w:themeColor="text1"/>
        </w:rPr>
        <w:t>Chapter 1: Introduction</w:t>
      </w:r>
      <w:bookmarkEnd w:id="13"/>
      <w:bookmarkEnd w:id="14"/>
      <w:bookmarkEnd w:id="15"/>
    </w:p>
    <w:p w14:paraId="67080088" w14:textId="77777777" w:rsidR="006E38FE" w:rsidRPr="00B95E28" w:rsidRDefault="006E38FE" w:rsidP="00557AB7">
      <w:pPr>
        <w:spacing w:line="480" w:lineRule="auto"/>
        <w:rPr>
          <w:color w:val="000000" w:themeColor="text1"/>
        </w:rPr>
      </w:pPr>
      <w:r w:rsidRPr="00B95E28">
        <w:rPr>
          <w:color w:val="000000" w:themeColor="text1"/>
        </w:rPr>
        <w:t>Mergers and acquisitions (M&amp;A) have become a primary mechanism through which organizations pursue growth, scale, and capability expansion. In both private equity and corporate environments, acquisition strategies are increasingly deployed as sustained growth engines rather than isolated transactions. Despite this strategic importance, organizations continue to struggle to consistently realize value from acquisitions, with many transactions failing to deliver anticipated synergies or long-term performance improvements (Cartwright &amp; Schoenberg, 2006; Christensen et al., 2011).</w:t>
      </w:r>
    </w:p>
    <w:p w14:paraId="6FF526E8" w14:textId="77777777" w:rsidR="006E38FE" w:rsidRPr="00B95E28" w:rsidRDefault="006E38FE" w:rsidP="00557AB7">
      <w:pPr>
        <w:rPr>
          <w:color w:val="000000" w:themeColor="text1"/>
        </w:rPr>
      </w:pPr>
    </w:p>
    <w:p w14:paraId="39093C98" w14:textId="17E60FB4" w:rsidR="006E38FE" w:rsidRPr="00B95E28" w:rsidRDefault="006E38FE" w:rsidP="00557AB7">
      <w:pPr>
        <w:spacing w:line="480" w:lineRule="auto"/>
        <w:rPr>
          <w:color w:val="000000" w:themeColor="text1"/>
        </w:rPr>
      </w:pPr>
      <w:r w:rsidRPr="00B95E28">
        <w:rPr>
          <w:color w:val="000000" w:themeColor="text1"/>
        </w:rPr>
        <w:t>While organizations have developed significant sophistication in deal sourcing, valuation, and transaction execution, this maturity has not translated into comparable success in post-acquisition outcomes. This persistent gap suggests that the primary challenge in M&amp;A is not the transaction itself, but the ability to execute post-merger integration effectively and repeatedly over time.</w:t>
      </w:r>
    </w:p>
    <w:p w14:paraId="504E59E6" w14:textId="77777777" w:rsidR="006E38FE" w:rsidRPr="00B95E28" w:rsidRDefault="006E38FE" w:rsidP="00557AB7">
      <w:pPr>
        <w:rPr>
          <w:color w:val="000000" w:themeColor="text1"/>
        </w:rPr>
      </w:pPr>
    </w:p>
    <w:p w14:paraId="32666F3B" w14:textId="2AE28D2A" w:rsidR="006E38FE" w:rsidRPr="00B95E28" w:rsidRDefault="006E38FE" w:rsidP="00557AB7">
      <w:pPr>
        <w:spacing w:line="480" w:lineRule="auto"/>
        <w:rPr>
          <w:color w:val="000000" w:themeColor="text1"/>
        </w:rPr>
      </w:pPr>
      <w:r w:rsidRPr="00B95E28">
        <w:rPr>
          <w:color w:val="000000" w:themeColor="text1"/>
        </w:rPr>
        <w:t xml:space="preserve">As acquisition strategies become increasingly serial in nature, this inconsistency is no longer an operational issue; it becomes a structural limitation on value creation. </w:t>
      </w:r>
    </w:p>
    <w:p w14:paraId="1EC6065F" w14:textId="77777777" w:rsidR="006E38FE" w:rsidRPr="00B95E28" w:rsidRDefault="006E38FE" w:rsidP="00557AB7">
      <w:pPr>
        <w:spacing w:line="480" w:lineRule="auto"/>
        <w:rPr>
          <w:color w:val="000000" w:themeColor="text1"/>
        </w:rPr>
      </w:pPr>
      <w:r w:rsidRPr="00B95E28">
        <w:rPr>
          <w:color w:val="000000" w:themeColor="text1"/>
        </w:rPr>
        <w:t>This disconnect between intent and outcome is increasingly understood to originate not in the transaction itself, but in what follows. Post-merger integration represents the point at which strategic assumptions are tested and operational realities emerge. It is during this phase that organizations must align structures, systems, processes, and cultures while maintaining business continuity. The complexity of this task introduces a level of execution risk that is not fully captured during the deal phase.</w:t>
      </w:r>
    </w:p>
    <w:p w14:paraId="2DEF3F7B" w14:textId="68DBBDFE" w:rsidR="006E38FE" w:rsidRPr="00B95E28" w:rsidRDefault="006E38FE" w:rsidP="00557AB7">
      <w:pPr>
        <w:spacing w:line="480" w:lineRule="auto"/>
        <w:rPr>
          <w:color w:val="000000" w:themeColor="text1"/>
        </w:rPr>
      </w:pPr>
      <w:r w:rsidRPr="00B95E28">
        <w:rPr>
          <w:color w:val="000000" w:themeColor="text1"/>
        </w:rPr>
        <w:lastRenderedPageBreak/>
        <w:t xml:space="preserve">While a wide range of integration frameworks and best practices have been developed, their application has not resulted in consistent outcomes. Organizations that successfully execute one integration often struggle to replicate that success across subsequent acquisitions. This variability highlights a more fundamental issue: the challenge is not simply how to execute integration effectively, but how to do so repeatedly and reliably over time. </w:t>
      </w:r>
    </w:p>
    <w:p w14:paraId="6C9C1371" w14:textId="77777777" w:rsidR="006E38FE" w:rsidRPr="00B95E28" w:rsidRDefault="006E38FE" w:rsidP="00557AB7">
      <w:pPr>
        <w:rPr>
          <w:color w:val="000000" w:themeColor="text1"/>
        </w:rPr>
      </w:pPr>
    </w:p>
    <w:p w14:paraId="4E632AC6" w14:textId="23220EBC" w:rsidR="006E38FE" w:rsidRPr="00B95E28" w:rsidRDefault="006E38FE" w:rsidP="00557AB7">
      <w:pPr>
        <w:spacing w:line="480" w:lineRule="auto"/>
        <w:rPr>
          <w:color w:val="000000" w:themeColor="text1"/>
        </w:rPr>
      </w:pPr>
      <w:r w:rsidRPr="00B95E28">
        <w:rPr>
          <w:color w:val="000000" w:themeColor="text1"/>
        </w:rPr>
        <w:t>Organizations do not fail due to a lack of integration knowledge; rather, they fail due to the absence of organizational structures required to apply that knowledge consistently across transactions.</w:t>
      </w:r>
    </w:p>
    <w:p w14:paraId="12618031" w14:textId="77777777" w:rsidR="006E38FE" w:rsidRPr="00B95E28" w:rsidRDefault="006E38FE" w:rsidP="00557AB7">
      <w:pPr>
        <w:rPr>
          <w:color w:val="000000" w:themeColor="text1"/>
        </w:rPr>
      </w:pPr>
    </w:p>
    <w:p w14:paraId="4D6CC6A5" w14:textId="417F8881" w:rsidR="006E38FE" w:rsidRPr="00B95E28" w:rsidRDefault="006E38FE" w:rsidP="00557AB7">
      <w:pPr>
        <w:spacing w:line="480" w:lineRule="auto"/>
        <w:rPr>
          <w:color w:val="000000" w:themeColor="text1"/>
        </w:rPr>
      </w:pPr>
      <w:r w:rsidRPr="00B95E28">
        <w:rPr>
          <w:color w:val="000000" w:themeColor="text1"/>
        </w:rPr>
        <w:t>This research demonstrates that integration should not be viewed solely as a process to be executed, but as a capability to be developed. As organizations increasingly pursue acquisition-driven growth strategies, the ability to execute integration at scale becomes a critical determinant of long-term value creation.</w:t>
      </w:r>
    </w:p>
    <w:p w14:paraId="1997B700" w14:textId="77777777" w:rsidR="00557AB7" w:rsidRPr="00B95E28" w:rsidRDefault="00557AB7" w:rsidP="00557AB7">
      <w:pPr>
        <w:rPr>
          <w:color w:val="000000" w:themeColor="text1"/>
        </w:rPr>
      </w:pPr>
      <w:bookmarkStart w:id="16" w:name="_Toc225107166"/>
    </w:p>
    <w:p w14:paraId="610D842D" w14:textId="11B64C3F" w:rsidR="006E38FE" w:rsidRPr="00B95E28" w:rsidRDefault="006E38FE" w:rsidP="00557AB7">
      <w:pPr>
        <w:spacing w:line="480" w:lineRule="auto"/>
        <w:rPr>
          <w:color w:val="000000" w:themeColor="text1"/>
        </w:rPr>
      </w:pPr>
      <w:r w:rsidRPr="00B95E28">
        <w:rPr>
          <w:color w:val="000000" w:themeColor="text1"/>
        </w:rPr>
        <w:t>This challenge can be understood through the lens of dynamic capabilities theory, which emphasizes the role of organizational processes in integrating, building, and reconfiguring internal and external competencies over time (Teece, 2007). From this perspective, integration is not a static process but a capability that evolves through repeated execution, learning, and institutionalization.</w:t>
      </w:r>
    </w:p>
    <w:p w14:paraId="48DC7F61" w14:textId="77777777" w:rsidR="00557AB7" w:rsidRPr="00B95E28" w:rsidRDefault="00557AB7" w:rsidP="00557AB7">
      <w:pPr>
        <w:rPr>
          <w:color w:val="000000" w:themeColor="text1"/>
        </w:rPr>
      </w:pPr>
    </w:p>
    <w:p w14:paraId="5E94A330" w14:textId="70AD7132" w:rsidR="006E38FE" w:rsidRPr="00B95E28" w:rsidRDefault="006E38FE" w:rsidP="00557AB7">
      <w:pPr>
        <w:spacing w:line="480" w:lineRule="auto"/>
        <w:rPr>
          <w:color w:val="000000" w:themeColor="text1"/>
        </w:rPr>
      </w:pPr>
      <w:r w:rsidRPr="00B95E28">
        <w:rPr>
          <w:color w:val="000000" w:themeColor="text1"/>
        </w:rPr>
        <w:t xml:space="preserve">This study extends existing M&amp;A research by moving beyond transaction-level explanations of integration success toward a capability-based perspective. While prior studies have focused on integration processes, success factors, and individual deal outcomes, limited attention has been given to how organizations develop the ability to execute integration consistently across multiple </w:t>
      </w:r>
      <w:r w:rsidRPr="00B95E28">
        <w:rPr>
          <w:color w:val="000000" w:themeColor="text1"/>
        </w:rPr>
        <w:lastRenderedPageBreak/>
        <w:t>acquisitions. This research addresses that gap by conceptualizing post-merger integration as a repeatable organizational capability, shaped by governance structures, leadership models, and learning mechanisms. This perspective is important because it shifts the focus from isolated execution to sustained performance, offering a new lens through which integration success can be understood.</w:t>
      </w:r>
    </w:p>
    <w:p w14:paraId="67F7D47B" w14:textId="77777777" w:rsidR="006E38FE" w:rsidRPr="00B95E28" w:rsidRDefault="006E38FE" w:rsidP="00557AB7">
      <w:pPr>
        <w:rPr>
          <w:color w:val="000000" w:themeColor="text1"/>
        </w:rPr>
      </w:pPr>
    </w:p>
    <w:p w14:paraId="65325E32" w14:textId="58548C77" w:rsidR="006E38FE" w:rsidRPr="00B95E28" w:rsidRDefault="006E38FE" w:rsidP="00557AB7">
      <w:pPr>
        <w:spacing w:line="480" w:lineRule="auto"/>
        <w:rPr>
          <w:color w:val="000000" w:themeColor="text1"/>
        </w:rPr>
      </w:pPr>
      <w:r w:rsidRPr="00B95E28">
        <w:rPr>
          <w:color w:val="000000" w:themeColor="text1"/>
        </w:rPr>
        <w:t>While prior research has linked post-merger integration to dynamic capabilities and organizational learning, this study differs in three key respects. First, it adopts an integrative perspective, explicitly linking governance, leadership, execution, and learning into a unified capability system. Second, it introduces a temporal perspective, emphasizing how integration capability develops and evolves across repeated transactions rather than within isolated deals. Third, it provides an empirical contribution grounded in practitioner experience, demonstrating how integration capability is constructed, applied, and refined in practice.</w:t>
      </w:r>
    </w:p>
    <w:p w14:paraId="003D1389" w14:textId="77777777" w:rsidR="00557AB7" w:rsidRPr="00B95E28" w:rsidRDefault="00557AB7" w:rsidP="00557AB7">
      <w:pPr>
        <w:rPr>
          <w:color w:val="000000" w:themeColor="text1"/>
        </w:rPr>
      </w:pPr>
      <w:bookmarkStart w:id="17" w:name="_Toc230881413"/>
    </w:p>
    <w:p w14:paraId="0A370B00" w14:textId="79BDC50A" w:rsidR="006E38FE" w:rsidRPr="00B95E28" w:rsidRDefault="006E38FE" w:rsidP="00557AB7">
      <w:pPr>
        <w:pStyle w:val="Heading2"/>
        <w:spacing w:before="0" w:after="0" w:line="480" w:lineRule="auto"/>
        <w:ind w:left="0" w:firstLine="0"/>
        <w:rPr>
          <w:color w:val="000000" w:themeColor="text1"/>
        </w:rPr>
      </w:pPr>
      <w:bookmarkStart w:id="18" w:name="_Toc232351812"/>
      <w:r w:rsidRPr="00B95E28">
        <w:rPr>
          <w:color w:val="000000" w:themeColor="text1"/>
        </w:rPr>
        <w:t>1.1 Background of the Study</w:t>
      </w:r>
      <w:bookmarkEnd w:id="16"/>
      <w:bookmarkEnd w:id="17"/>
      <w:bookmarkEnd w:id="18"/>
    </w:p>
    <w:p w14:paraId="7CADA6C9" w14:textId="77777777" w:rsidR="006E38FE" w:rsidRPr="00B95E28" w:rsidRDefault="006E38FE" w:rsidP="00557AB7">
      <w:pPr>
        <w:spacing w:line="480" w:lineRule="auto"/>
        <w:rPr>
          <w:color w:val="000000" w:themeColor="text1"/>
        </w:rPr>
      </w:pPr>
      <w:r w:rsidRPr="00B95E28">
        <w:rPr>
          <w:color w:val="000000" w:themeColor="text1"/>
        </w:rPr>
        <w:t>Mergers and acquisitions (M&amp;A) continue to play a central role in corporate strategy, particularly in environments characterized by rapid change, competitive intensity, and the need for scale. For private equity firms, acquisitions represent a primary mechanism for value creation, often involving a platform company supported by a series of add-on transactions. This model depends on the ability to integrate multiple businesses efficiently in order to realize synergies, standardize operations, and drive performance improvements. Similarly, corporate acquirers leverage M&amp;A to expand into new markets, acquire strategic capabilities, and respond to evolving competitive dynamics. In both contexts, acquisition activity is not episodic, but ongoing.</w:t>
      </w:r>
    </w:p>
    <w:p w14:paraId="3C070D8F" w14:textId="77777777" w:rsidR="006E38FE" w:rsidRPr="00B95E28" w:rsidRDefault="006E38FE" w:rsidP="00557AB7">
      <w:pPr>
        <w:rPr>
          <w:color w:val="000000" w:themeColor="text1"/>
        </w:rPr>
      </w:pPr>
    </w:p>
    <w:p w14:paraId="2CE4582B" w14:textId="3E9D8513" w:rsidR="006E38FE" w:rsidRPr="00B95E28" w:rsidRDefault="006E38FE" w:rsidP="00557AB7">
      <w:pPr>
        <w:spacing w:line="480" w:lineRule="auto"/>
        <w:rPr>
          <w:color w:val="000000" w:themeColor="text1"/>
        </w:rPr>
      </w:pPr>
      <w:r w:rsidRPr="00B95E28">
        <w:rPr>
          <w:color w:val="000000" w:themeColor="text1"/>
        </w:rPr>
        <w:t>Existing literature has largely focused on integration as a structured process, emphasizing planning frameworks, synergy realization, and execution methodologies. However, these perspectives do not sufficiently explain why organizations that successfully execute one integration often fail to replicate that success in subsequent transactions. This suggests a gap in understanding integration not as a one-time process, but as an organizational capability that must be developed, sustained, and refined over time.</w:t>
      </w:r>
    </w:p>
    <w:p w14:paraId="13E3F2BC" w14:textId="77777777" w:rsidR="006E38FE" w:rsidRPr="00B95E28" w:rsidRDefault="006E38FE" w:rsidP="00557AB7">
      <w:pPr>
        <w:rPr>
          <w:color w:val="000000" w:themeColor="text1"/>
        </w:rPr>
      </w:pPr>
    </w:p>
    <w:p w14:paraId="4F1739DE" w14:textId="759FF0C0" w:rsidR="006E38FE" w:rsidRPr="00B95E28" w:rsidRDefault="006E38FE" w:rsidP="00557AB7">
      <w:pPr>
        <w:spacing w:line="480" w:lineRule="auto"/>
        <w:rPr>
          <w:color w:val="000000" w:themeColor="text1"/>
        </w:rPr>
      </w:pPr>
      <w:r w:rsidRPr="00B95E28">
        <w:rPr>
          <w:color w:val="000000" w:themeColor="text1"/>
        </w:rPr>
        <w:t>As acquisition activity becomes more frequent, the nature of the challenge shifts. The question is no longer whether an organization can execute a single integration successfully, but whether it can do so repeatedly across multiple transactions. This distinction is important because it shifts the focus from isolated execution success to the organization’s ability to sustain performance across multiple transactions.</w:t>
      </w:r>
    </w:p>
    <w:p w14:paraId="7F9E0426" w14:textId="77777777" w:rsidR="006E38FE" w:rsidRPr="00B95E28" w:rsidRDefault="006E38FE" w:rsidP="00557AB7">
      <w:pPr>
        <w:rPr>
          <w:color w:val="000000" w:themeColor="text1"/>
        </w:rPr>
      </w:pPr>
    </w:p>
    <w:p w14:paraId="10E11A1D" w14:textId="65C6BF9A" w:rsidR="006E38FE" w:rsidRPr="00B95E28" w:rsidRDefault="006E38FE" w:rsidP="00557AB7">
      <w:pPr>
        <w:spacing w:line="480" w:lineRule="auto"/>
        <w:rPr>
          <w:color w:val="000000" w:themeColor="text1"/>
        </w:rPr>
      </w:pPr>
      <w:r w:rsidRPr="00B95E28">
        <w:rPr>
          <w:color w:val="000000" w:themeColor="text1"/>
        </w:rPr>
        <w:t>This shift from single-transaction success to repeatable performance introduces a fundamentally different problem. Success in one integration does not guarantee success in the next. In many cases, organizations with prior integration experience continue to encounter similar challenges, suggesting that experience alone does not translate into improved capability. This raises a critical question: why do organizations fail to improve integration performance despite repeated exposure to similar conditions?</w:t>
      </w:r>
    </w:p>
    <w:p w14:paraId="76ADB004" w14:textId="77777777" w:rsidR="00557AB7" w:rsidRPr="00B95E28" w:rsidRDefault="00557AB7" w:rsidP="00557AB7">
      <w:pPr>
        <w:spacing w:line="480" w:lineRule="auto"/>
        <w:rPr>
          <w:color w:val="000000" w:themeColor="text1"/>
        </w:rPr>
      </w:pPr>
    </w:p>
    <w:p w14:paraId="1BBBB085" w14:textId="14B173A1" w:rsidR="006E38FE" w:rsidRPr="00B95E28" w:rsidRDefault="006E38FE" w:rsidP="00557AB7">
      <w:pPr>
        <w:spacing w:line="480" w:lineRule="auto"/>
        <w:rPr>
          <w:color w:val="000000" w:themeColor="text1"/>
        </w:rPr>
      </w:pPr>
      <w:r w:rsidRPr="00B95E28">
        <w:rPr>
          <w:color w:val="000000" w:themeColor="text1"/>
        </w:rPr>
        <w:t>While individual integrations may succeed due to favorable conditions or strong leadership, sustained success requires a level of consistency that cannot be achieved through ad hoc approaches.</w:t>
      </w:r>
    </w:p>
    <w:p w14:paraId="4E7D5031" w14:textId="77777777" w:rsidR="006E38FE" w:rsidRPr="00B95E28" w:rsidRDefault="006E38FE" w:rsidP="00557AB7">
      <w:pPr>
        <w:rPr>
          <w:color w:val="000000" w:themeColor="text1"/>
        </w:rPr>
      </w:pPr>
    </w:p>
    <w:p w14:paraId="0A6FA2F4" w14:textId="26B37ADE" w:rsidR="006E38FE" w:rsidRPr="00B95E28" w:rsidRDefault="006E38FE" w:rsidP="00557AB7">
      <w:pPr>
        <w:spacing w:line="480" w:lineRule="auto"/>
        <w:rPr>
          <w:color w:val="000000" w:themeColor="text1"/>
        </w:rPr>
      </w:pPr>
      <w:r w:rsidRPr="00B95E28">
        <w:rPr>
          <w:color w:val="000000" w:themeColor="text1"/>
        </w:rPr>
        <w:lastRenderedPageBreak/>
        <w:t>A key factor in this challenge is the structural difference between deal execution and integration execution. The transaction phase is typically highly structured, supported by defined processes, clear timelines, and specialized expertise. Organizations invest significant resources into due diligence, valuation, and negotiation, often engaging external advisors to mitigate risk and ensure rigor. In contrast, post-merger integration is less standardized and more dependent on internal coordination. It requires alignment across multiple functions, including operations, finance, technology, and human resources, each with its own priorities and constraints.</w:t>
      </w:r>
    </w:p>
    <w:p w14:paraId="4814E124" w14:textId="77777777" w:rsidR="006E38FE" w:rsidRPr="00B95E28" w:rsidRDefault="006E38FE" w:rsidP="00557AB7">
      <w:pPr>
        <w:rPr>
          <w:color w:val="000000" w:themeColor="text1"/>
        </w:rPr>
      </w:pPr>
    </w:p>
    <w:p w14:paraId="77CB2CCD" w14:textId="387A54D2" w:rsidR="006E38FE" w:rsidRPr="00B95E28" w:rsidRDefault="006E38FE" w:rsidP="00557AB7">
      <w:pPr>
        <w:spacing w:line="480" w:lineRule="auto"/>
        <w:rPr>
          <w:color w:val="000000" w:themeColor="text1"/>
        </w:rPr>
      </w:pPr>
      <w:r w:rsidRPr="00B95E28">
        <w:rPr>
          <w:color w:val="000000" w:themeColor="text1"/>
        </w:rPr>
        <w:t>During integration, the assumptions underpinning the transaction are translated into operational outcomes. Synergies identified during due diligence must be realized through changes to processes, systems, and organizational structures. This often involves significant disruption, requiring organizations to balance the need for transformation with the need to maintain ongoing performance. The complexity of this phase introduces variability, as outcomes depend not only on planning, but on execution under real-world conditions.</w:t>
      </w:r>
    </w:p>
    <w:p w14:paraId="0A54D7B7" w14:textId="77777777" w:rsidR="006E38FE" w:rsidRPr="00B95E28" w:rsidRDefault="006E38FE" w:rsidP="00557AB7">
      <w:pPr>
        <w:rPr>
          <w:color w:val="000000" w:themeColor="text1"/>
        </w:rPr>
      </w:pPr>
    </w:p>
    <w:p w14:paraId="48829D39" w14:textId="640E0EA6" w:rsidR="006E38FE" w:rsidRPr="00B95E28" w:rsidRDefault="006E38FE" w:rsidP="00557AB7">
      <w:pPr>
        <w:spacing w:line="480" w:lineRule="auto"/>
        <w:rPr>
          <w:color w:val="000000" w:themeColor="text1"/>
        </w:rPr>
      </w:pPr>
      <w:r w:rsidRPr="00B95E28">
        <w:rPr>
          <w:color w:val="000000" w:themeColor="text1"/>
        </w:rPr>
        <w:t>To address these challenges, a range of integration frameworks and best practices have been developed. These include structured integration planning methodologies, governance models, synergy tracking tools, and cultural integration approaches. While these frameworks provide valuable guidance, their effectiveness is often limited by how they are applied in practice. Organizations may adopt elements of these frameworks, but implementation is frequently inconsistent, influenced by factors such as leadership alignment, resource availability, and organizational priorities.</w:t>
      </w:r>
    </w:p>
    <w:p w14:paraId="167A11E2" w14:textId="77777777" w:rsidR="006E38FE" w:rsidRPr="00B95E28" w:rsidRDefault="006E38FE" w:rsidP="00557AB7">
      <w:pPr>
        <w:rPr>
          <w:color w:val="000000" w:themeColor="text1"/>
        </w:rPr>
      </w:pPr>
    </w:p>
    <w:p w14:paraId="55D66B26" w14:textId="73E4400C" w:rsidR="006E38FE" w:rsidRPr="00B95E28" w:rsidRDefault="006E38FE" w:rsidP="00557AB7">
      <w:pPr>
        <w:spacing w:line="480" w:lineRule="auto"/>
        <w:rPr>
          <w:color w:val="000000" w:themeColor="text1"/>
        </w:rPr>
      </w:pPr>
      <w:r w:rsidRPr="00B95E28">
        <w:rPr>
          <w:color w:val="000000" w:themeColor="text1"/>
        </w:rPr>
        <w:t xml:space="preserve">In practice, several recurring patterns emerge across integration efforts. Integration planning is often initiated late in the deal lifecycle, reducing the ability to proactively manage risk. </w:t>
      </w:r>
      <w:r w:rsidRPr="00B95E28">
        <w:rPr>
          <w:color w:val="000000" w:themeColor="text1"/>
        </w:rPr>
        <w:lastRenderedPageBreak/>
        <w:t>Governance structures may vary between transactions, leading to ambiguity in decision-making and accountability. Integration leaders are frequently tasked with coordinating across functions without formal authority, limiting their ability to drive alignment and enforce decisions.</w:t>
      </w:r>
    </w:p>
    <w:p w14:paraId="5BEBD7EA" w14:textId="77777777" w:rsidR="006E38FE" w:rsidRPr="00B95E28" w:rsidRDefault="006E38FE" w:rsidP="00557AB7">
      <w:pPr>
        <w:rPr>
          <w:color w:val="000000" w:themeColor="text1"/>
        </w:rPr>
      </w:pPr>
    </w:p>
    <w:p w14:paraId="1DD969AC" w14:textId="640CD8F3" w:rsidR="006E38FE" w:rsidRPr="00B95E28" w:rsidRDefault="006E38FE" w:rsidP="00557AB7">
      <w:pPr>
        <w:spacing w:line="480" w:lineRule="auto"/>
        <w:rPr>
          <w:color w:val="000000" w:themeColor="text1"/>
        </w:rPr>
      </w:pPr>
      <w:r w:rsidRPr="00B95E28">
        <w:rPr>
          <w:color w:val="000000" w:themeColor="text1"/>
        </w:rPr>
        <w:t>Operational constraints further complicate execution. Functional leaders and teams are typically required to manage both ongoing operations and integration activities simultaneously. This dual responsibility creates capacity limitations, reduces focus, and increases the likelihood of delays or suboptimal outcomes. Technology integration introduces additional complexity, particularly when it is approached as a technical exercise rather than as a component of broader business transformation.</w:t>
      </w:r>
    </w:p>
    <w:p w14:paraId="4934BE2F" w14:textId="77777777" w:rsidR="00557AB7" w:rsidRPr="00B95E28" w:rsidRDefault="00557AB7" w:rsidP="00557AB7">
      <w:pPr>
        <w:rPr>
          <w:color w:val="000000" w:themeColor="text1"/>
        </w:rPr>
      </w:pPr>
    </w:p>
    <w:p w14:paraId="38B7AF4C" w14:textId="2B57250A" w:rsidR="006E38FE" w:rsidRPr="00B95E28" w:rsidRDefault="006E38FE" w:rsidP="00557AB7">
      <w:pPr>
        <w:spacing w:line="480" w:lineRule="auto"/>
        <w:rPr>
          <w:color w:val="000000" w:themeColor="text1"/>
        </w:rPr>
      </w:pPr>
      <w:r w:rsidRPr="00B95E28">
        <w:rPr>
          <w:color w:val="000000" w:themeColor="text1"/>
        </w:rPr>
        <w:t>This pattern aligns with research on organizational learning, which distinguishes between experience accumulation and deliberate learning mechanisms such as knowledge articulation and codification (Zollo &amp; Winter, 2002). While organizations engaged in serial acquisitions accumulate experience, they often fail to formalize and embed this learning into repeatable processes. As a result, integration remains dependent on individual expertise rather than institutional capability, preventing experience from being systematically embedded into organizational systems, and therefore limiting the development of repeatable integration capability.</w:t>
      </w:r>
    </w:p>
    <w:p w14:paraId="4C3ADBDD" w14:textId="77777777" w:rsidR="006E38FE" w:rsidRPr="00B95E28" w:rsidRDefault="006E38FE" w:rsidP="00557AB7">
      <w:pPr>
        <w:rPr>
          <w:color w:val="000000" w:themeColor="text1"/>
        </w:rPr>
      </w:pPr>
    </w:p>
    <w:p w14:paraId="79CCB8D8" w14:textId="01C70C98" w:rsidR="006E38FE" w:rsidRPr="00B95E28" w:rsidRDefault="006E38FE" w:rsidP="00557AB7">
      <w:pPr>
        <w:spacing w:line="480" w:lineRule="auto"/>
        <w:rPr>
          <w:color w:val="000000" w:themeColor="text1"/>
        </w:rPr>
      </w:pPr>
      <w:r w:rsidRPr="00B95E28">
        <w:rPr>
          <w:color w:val="000000" w:themeColor="text1"/>
        </w:rPr>
        <w:t>This research builds on the premise that integration should be understood as an organizational capability rather than a series of discrete activities. A capability-based perspective emphasizes the development of consistent structures, leadership models, and learning mechanisms that enable organizations to execute integration reliably across multiple acquisitions. It shifts the focus from individual transaction success to sustained performance over time.</w:t>
      </w:r>
    </w:p>
    <w:p w14:paraId="02512A18" w14:textId="77777777" w:rsidR="006E38FE" w:rsidRPr="00B95E28" w:rsidRDefault="006E38FE" w:rsidP="00557AB7">
      <w:pPr>
        <w:rPr>
          <w:color w:val="000000" w:themeColor="text1"/>
        </w:rPr>
      </w:pPr>
    </w:p>
    <w:p w14:paraId="3DDC2630" w14:textId="0911936B" w:rsidR="006E38FE" w:rsidRPr="00B95E28" w:rsidRDefault="006E38FE" w:rsidP="00557AB7">
      <w:pPr>
        <w:spacing w:line="480" w:lineRule="auto"/>
        <w:rPr>
          <w:color w:val="000000" w:themeColor="text1"/>
        </w:rPr>
      </w:pPr>
      <w:r w:rsidRPr="00B95E28">
        <w:rPr>
          <w:color w:val="000000" w:themeColor="text1"/>
        </w:rPr>
        <w:t>These recurring challenges suggest that integration failure is not driven by isolated execution issues, but by the absence of organizational structures required to coordinate decision-making, resource allocation, and learning across transactions. As acquisition activity increases, this limitation becomes more pronounced. The inability to integrate consistently is no longer confined to individual transaction outcomes; it becomes a structural constraint on an organization’s ability to scale its acquisition strategy and sustain growth over time.</w:t>
      </w:r>
    </w:p>
    <w:p w14:paraId="6FCA3CEA" w14:textId="77777777" w:rsidR="006E38FE" w:rsidRPr="00B95E28" w:rsidRDefault="006E38FE" w:rsidP="00557AB7">
      <w:pPr>
        <w:rPr>
          <w:color w:val="000000" w:themeColor="text1"/>
        </w:rPr>
      </w:pPr>
    </w:p>
    <w:p w14:paraId="41B1D2AF" w14:textId="7EC8935C" w:rsidR="006E38FE" w:rsidRPr="00B95E28" w:rsidRDefault="006E38FE" w:rsidP="00557AB7">
      <w:pPr>
        <w:spacing w:line="480" w:lineRule="auto"/>
        <w:rPr>
          <w:color w:val="000000" w:themeColor="text1"/>
        </w:rPr>
      </w:pPr>
      <w:r w:rsidRPr="00B95E28">
        <w:rPr>
          <w:color w:val="000000" w:themeColor="text1"/>
        </w:rPr>
        <w:t>This study therefore argues that integration failure is not a transactional issue, but a structural capability limitation that persists across acquisitions.</w:t>
      </w:r>
    </w:p>
    <w:p w14:paraId="716928F0" w14:textId="77777777" w:rsidR="006E38FE" w:rsidRPr="00B95E28" w:rsidRDefault="006E38FE" w:rsidP="00557AB7">
      <w:pPr>
        <w:rPr>
          <w:color w:val="000000" w:themeColor="text1"/>
        </w:rPr>
      </w:pPr>
    </w:p>
    <w:p w14:paraId="5DEC55D8" w14:textId="3C8FBD97" w:rsidR="006E38FE" w:rsidRPr="00B95E28" w:rsidRDefault="006E38FE" w:rsidP="00557AB7">
      <w:pPr>
        <w:spacing w:line="480" w:lineRule="auto"/>
        <w:rPr>
          <w:color w:val="000000" w:themeColor="text1"/>
        </w:rPr>
      </w:pPr>
      <w:r w:rsidRPr="00B95E28">
        <w:rPr>
          <w:color w:val="000000" w:themeColor="text1"/>
        </w:rPr>
        <w:t>By examining how organizations develop and apply integration capability, this study aims to provide a deeper understanding of what drives consistency in integration outcomes. In doing so, it seeks to bridge the gap between established theoretical frameworks and the realities of practice, offering insights that are both analytically rigorous and practically relevant.</w:t>
      </w:r>
    </w:p>
    <w:p w14:paraId="55621B25" w14:textId="77777777" w:rsidR="006E38FE" w:rsidRPr="00B95E28" w:rsidRDefault="006E38FE" w:rsidP="00557AB7">
      <w:pPr>
        <w:rPr>
          <w:color w:val="000000" w:themeColor="text1"/>
        </w:rPr>
      </w:pPr>
    </w:p>
    <w:p w14:paraId="4EA62A3E" w14:textId="73E43504" w:rsidR="006E38FE" w:rsidRPr="00B95E28" w:rsidRDefault="006E38FE" w:rsidP="00557AB7">
      <w:pPr>
        <w:spacing w:line="480" w:lineRule="auto"/>
        <w:rPr>
          <w:color w:val="000000" w:themeColor="text1"/>
        </w:rPr>
      </w:pPr>
      <w:r w:rsidRPr="00B95E28">
        <w:rPr>
          <w:color w:val="000000" w:themeColor="text1"/>
        </w:rPr>
        <w:t xml:space="preserve">A central argument of this research is that integration performance is path dependent. The effectiveness of any given integration is influenced not only by decisions made within that transaction, but by the organization’s prior integrations, accumulated practices, and ability to </w:t>
      </w:r>
      <w:r w:rsidR="00557AB7" w:rsidRPr="00B95E28">
        <w:rPr>
          <w:color w:val="000000" w:themeColor="text1"/>
        </w:rPr>
        <w:t>i</w:t>
      </w:r>
      <w:r w:rsidRPr="00B95E28">
        <w:rPr>
          <w:color w:val="000000" w:themeColor="text1"/>
        </w:rPr>
        <w:t>nstitutionalize learning. Without a mechanism to capture and apply this learning, organizations remain trapped in a cycle of repeated inefficiencies, regardless of experience.</w:t>
      </w:r>
    </w:p>
    <w:p w14:paraId="494FF91A" w14:textId="77777777" w:rsidR="006E38FE" w:rsidRPr="00B95E28" w:rsidRDefault="006E38FE" w:rsidP="00557AB7">
      <w:pPr>
        <w:rPr>
          <w:color w:val="000000" w:themeColor="text1"/>
        </w:rPr>
      </w:pPr>
    </w:p>
    <w:p w14:paraId="57AF6024" w14:textId="2FB8382E" w:rsidR="006E38FE" w:rsidRPr="00B95E28" w:rsidRDefault="006E38FE" w:rsidP="00557AB7">
      <w:pPr>
        <w:spacing w:line="480" w:lineRule="auto"/>
        <w:rPr>
          <w:color w:val="000000" w:themeColor="text1"/>
        </w:rPr>
      </w:pPr>
      <w:r w:rsidRPr="00B95E28">
        <w:rPr>
          <w:color w:val="000000" w:themeColor="text1"/>
        </w:rPr>
        <w:t>Taken together, these patterns suggest that integration failure is not driven by isolated execution challenges, but by the absence of an underlying organizational capability. The recurring nature of these issues across transactions indicates that organizations are not failing to execute integration once, but failing to build the conditions required to execute it repeatedly.</w:t>
      </w:r>
    </w:p>
    <w:p w14:paraId="5076CB8D" w14:textId="77777777" w:rsidR="006E38FE" w:rsidRPr="00B95E28" w:rsidRDefault="006E38FE" w:rsidP="00557AB7">
      <w:pPr>
        <w:rPr>
          <w:color w:val="000000" w:themeColor="text1"/>
        </w:rPr>
      </w:pPr>
    </w:p>
    <w:p w14:paraId="7E083A30" w14:textId="1C1443B9" w:rsidR="006E38FE" w:rsidRPr="00B95E28" w:rsidRDefault="006E38FE" w:rsidP="00557AB7">
      <w:pPr>
        <w:spacing w:line="480" w:lineRule="auto"/>
        <w:rPr>
          <w:color w:val="000000" w:themeColor="text1"/>
        </w:rPr>
      </w:pPr>
      <w:r w:rsidRPr="00B95E28">
        <w:rPr>
          <w:color w:val="000000" w:themeColor="text1"/>
        </w:rPr>
        <w:t>Evidence from practitioner experience suggests that integration success is often determined before the deal is completed, particularly during diligence and early planning stages (Interviewee 5, 2026; de Baat, 2026). However, integration activities are frequently initiated too late, disconnected from valuation assumptions, and executed without sufficient organizational alignment.</w:t>
      </w:r>
    </w:p>
    <w:p w14:paraId="56FED2CB" w14:textId="77777777" w:rsidR="006E38FE" w:rsidRPr="00B95E28" w:rsidRDefault="006E38FE" w:rsidP="00557AB7">
      <w:pPr>
        <w:rPr>
          <w:color w:val="000000" w:themeColor="text1"/>
        </w:rPr>
      </w:pPr>
    </w:p>
    <w:p w14:paraId="1CAD3FF9" w14:textId="786BB4AA" w:rsidR="006E38FE" w:rsidRPr="00B95E28" w:rsidRDefault="006E38FE" w:rsidP="00557AB7">
      <w:pPr>
        <w:spacing w:line="480" w:lineRule="auto"/>
        <w:rPr>
          <w:color w:val="000000" w:themeColor="text1"/>
        </w:rPr>
      </w:pPr>
      <w:r w:rsidRPr="00B95E28">
        <w:rPr>
          <w:color w:val="000000" w:themeColor="text1"/>
        </w:rPr>
        <w:t>Furthermore, while organizations accumulate experience through repeated acquisitions, this experience is rarely translated into structured organizational knowledge. Learning remains embedded within individuals rather than formalized within systems, processes, or governance structures. As a result, integration approaches are repeatedly reconstructed rather than refined, limiting the organization’s ability to improve execution consistency over time.</w:t>
      </w:r>
    </w:p>
    <w:p w14:paraId="07638F0F" w14:textId="77777777" w:rsidR="006E38FE" w:rsidRPr="00B95E28" w:rsidRDefault="006E38FE" w:rsidP="00557AB7">
      <w:pPr>
        <w:rPr>
          <w:color w:val="000000" w:themeColor="text1"/>
          <w:lang w:val="en-CA"/>
        </w:rPr>
      </w:pPr>
    </w:p>
    <w:p w14:paraId="3D7BE2BD" w14:textId="08E9AB76" w:rsidR="006E38FE" w:rsidRPr="00B95E28" w:rsidRDefault="006E38FE" w:rsidP="00557AB7">
      <w:pPr>
        <w:spacing w:line="480" w:lineRule="auto"/>
        <w:rPr>
          <w:color w:val="000000" w:themeColor="text1"/>
          <w:lang w:val="en-CA"/>
        </w:rPr>
      </w:pPr>
      <w:r w:rsidRPr="00B95E28">
        <w:rPr>
          <w:color w:val="000000" w:themeColor="text1"/>
          <w:lang w:val="en-CA"/>
        </w:rPr>
        <w:t>This persistence is reinforced by structural misalignment between deal execution and operational ownership. Integration responsibility is often fragmented across functions, with limited continuity between pre-close planning and post-close execution, preventing knowledge from being consistently transferred and institutionalized.</w:t>
      </w:r>
    </w:p>
    <w:p w14:paraId="54B637BD" w14:textId="77777777" w:rsidR="006E38FE" w:rsidRPr="00B95E28" w:rsidRDefault="006E38FE" w:rsidP="00557AB7">
      <w:pPr>
        <w:pStyle w:val="Heading2"/>
        <w:spacing w:before="0" w:after="0" w:line="480" w:lineRule="auto"/>
        <w:ind w:left="0" w:firstLine="0"/>
        <w:rPr>
          <w:color w:val="000000" w:themeColor="text1"/>
          <w:lang w:val="en-CA"/>
        </w:rPr>
      </w:pPr>
      <w:bookmarkStart w:id="19" w:name="_Toc225107167"/>
      <w:bookmarkStart w:id="20" w:name="_Toc230881414"/>
      <w:bookmarkStart w:id="21" w:name="_Toc232351813"/>
      <w:r w:rsidRPr="00B95E28">
        <w:rPr>
          <w:color w:val="000000" w:themeColor="text1"/>
          <w:lang w:val="en-CA"/>
        </w:rPr>
        <w:t>1.2 Research Problem</w:t>
      </w:r>
      <w:bookmarkEnd w:id="19"/>
      <w:bookmarkEnd w:id="20"/>
      <w:bookmarkEnd w:id="21"/>
      <w:r w:rsidRPr="00B95E28">
        <w:rPr>
          <w:color w:val="000000" w:themeColor="text1"/>
          <w:lang w:val="en-CA"/>
        </w:rPr>
        <w:t xml:space="preserve"> </w:t>
      </w:r>
    </w:p>
    <w:p w14:paraId="6D8527A6" w14:textId="77777777" w:rsidR="006E38FE" w:rsidRPr="00B95E28" w:rsidRDefault="006E38FE" w:rsidP="00557AB7">
      <w:pPr>
        <w:spacing w:line="480" w:lineRule="auto"/>
        <w:rPr>
          <w:color w:val="000000" w:themeColor="text1"/>
        </w:rPr>
      </w:pPr>
      <w:r w:rsidRPr="00B95E28">
        <w:rPr>
          <w:color w:val="000000" w:themeColor="text1"/>
        </w:rPr>
        <w:t>In practice, integration challenges are rarely caused by the absence of frameworks or tools. Instead, they are driven by organizational factors such as unclear governance structures, insufficient leadership authority, resource constraints, and the failure to capture and apply lessons learned from prior transactions. As a result, many organizations approach each acquisition as a discrete event rather than building a repeatable integration capability, leading to inefficiencies, value erosion, and inconsistent performance outcomes.</w:t>
      </w:r>
    </w:p>
    <w:p w14:paraId="2670C4F6" w14:textId="77777777" w:rsidR="006E38FE" w:rsidRPr="00B95E28" w:rsidRDefault="006E38FE" w:rsidP="00557AB7">
      <w:pPr>
        <w:rPr>
          <w:color w:val="000000" w:themeColor="text1"/>
        </w:rPr>
      </w:pPr>
    </w:p>
    <w:p w14:paraId="284EEAEA" w14:textId="1173E6FA" w:rsidR="006E38FE" w:rsidRPr="00B95E28" w:rsidRDefault="006E38FE" w:rsidP="00557AB7">
      <w:pPr>
        <w:spacing w:line="480" w:lineRule="auto"/>
        <w:rPr>
          <w:color w:val="000000" w:themeColor="text1"/>
        </w:rPr>
      </w:pPr>
      <w:r w:rsidRPr="00B95E28">
        <w:rPr>
          <w:color w:val="000000" w:themeColor="text1"/>
        </w:rPr>
        <w:lastRenderedPageBreak/>
        <w:t>The core issue is not the absence of integration knowledge or process. Established frameworks, methodologies, and best practices are widely available and broadly understood. However, these approaches are typically applied at the level of individual transactions, with limited continuity between deals. As a result, integration is repeatedly approached as a standalone initiative rather than as a capability that evolves through experience.</w:t>
      </w:r>
    </w:p>
    <w:p w14:paraId="05954412" w14:textId="77777777" w:rsidR="006E38FE" w:rsidRPr="00B95E28" w:rsidRDefault="006E38FE" w:rsidP="00557AB7">
      <w:pPr>
        <w:rPr>
          <w:color w:val="000000" w:themeColor="text1"/>
        </w:rPr>
      </w:pPr>
    </w:p>
    <w:p w14:paraId="7696E427" w14:textId="4F40D76D" w:rsidR="006E38FE" w:rsidRPr="00B95E28" w:rsidRDefault="006E38FE" w:rsidP="00557AB7">
      <w:pPr>
        <w:spacing w:line="480" w:lineRule="auto"/>
        <w:rPr>
          <w:color w:val="000000" w:themeColor="text1"/>
        </w:rPr>
      </w:pPr>
      <w:r w:rsidRPr="00B95E28">
        <w:rPr>
          <w:color w:val="000000" w:themeColor="text1"/>
        </w:rPr>
        <w:t>Across transactions, similar breakdowns occur repeatedly. This creates a structural challenge whereby organizations are required to execute integration consistently yet lack the systems necessary to support repeatable performance. Integration planning is often introduced too late in the deal lifecycle, decision-making authority is not clearly defined, and lessons from prior integrations are not systematically applied. These recurring patterns indicate that the challenge is not the absence of tools or frameworks, but the absence of the organizational conditions required to apply them consistently.</w:t>
      </w:r>
    </w:p>
    <w:p w14:paraId="0C2F861C" w14:textId="77777777" w:rsidR="006E38FE" w:rsidRPr="00B95E28" w:rsidRDefault="006E38FE" w:rsidP="00557AB7">
      <w:pPr>
        <w:rPr>
          <w:color w:val="000000" w:themeColor="text1"/>
        </w:rPr>
      </w:pPr>
    </w:p>
    <w:p w14:paraId="15BBA182" w14:textId="4A61275A" w:rsidR="006E38FE" w:rsidRPr="00B95E28" w:rsidRDefault="006E38FE" w:rsidP="00557AB7">
      <w:pPr>
        <w:spacing w:line="480" w:lineRule="auto"/>
        <w:rPr>
          <w:color w:val="000000" w:themeColor="text1"/>
        </w:rPr>
      </w:pPr>
      <w:r w:rsidRPr="00B95E28">
        <w:rPr>
          <w:color w:val="000000" w:themeColor="text1"/>
        </w:rPr>
        <w:t>This limitation becomes more pronounced in organizations pursuing acquisition-driven growth. As transaction volume increases, the ability to execute integration consistently becomes a critical determinant of value creation. Yet many organizations lack the structures required to translate strategic intent into operational outcomes. Assumptions developed during due diligence, particularly in relation to synergies, timelines, and resource requirements, are not always grounded in execution realities, and are rarely revisited in a structured manner following integration.</w:t>
      </w:r>
    </w:p>
    <w:p w14:paraId="12C1A1C6" w14:textId="77777777" w:rsidR="006E38FE" w:rsidRPr="00B95E28" w:rsidRDefault="006E38FE" w:rsidP="00557AB7">
      <w:pPr>
        <w:rPr>
          <w:color w:val="000000" w:themeColor="text1"/>
        </w:rPr>
      </w:pPr>
    </w:p>
    <w:p w14:paraId="5A2FBD16" w14:textId="16388E8E" w:rsidR="006E38FE" w:rsidRPr="00B95E28" w:rsidRDefault="006E38FE" w:rsidP="00557AB7">
      <w:pPr>
        <w:spacing w:line="480" w:lineRule="auto"/>
        <w:rPr>
          <w:color w:val="000000" w:themeColor="text1"/>
        </w:rPr>
      </w:pPr>
      <w:r w:rsidRPr="00B95E28">
        <w:rPr>
          <w:color w:val="000000" w:themeColor="text1"/>
        </w:rPr>
        <w:t xml:space="preserve">Critically, organizations often fail to convert experience into capability. While lessons may be identified following individual integrations, they are rarely institutionalized in a way that informs </w:t>
      </w:r>
      <w:r w:rsidRPr="00B95E28">
        <w:rPr>
          <w:color w:val="000000" w:themeColor="text1"/>
        </w:rPr>
        <w:lastRenderedPageBreak/>
        <w:t>future transactions, resulting in repeated inefficiencies and a reliance on individual experience rather than organizational learning (Zollo and Singh, 2004).</w:t>
      </w:r>
    </w:p>
    <w:p w14:paraId="4D54E90A" w14:textId="77777777" w:rsidR="00557AB7" w:rsidRPr="00B95E28" w:rsidRDefault="00557AB7" w:rsidP="00557AB7">
      <w:pPr>
        <w:rPr>
          <w:color w:val="000000" w:themeColor="text1"/>
        </w:rPr>
      </w:pPr>
    </w:p>
    <w:p w14:paraId="7475CC0E" w14:textId="5D56284D" w:rsidR="006E38FE" w:rsidRPr="00B95E28" w:rsidRDefault="006E38FE" w:rsidP="00557AB7">
      <w:pPr>
        <w:spacing w:line="480" w:lineRule="auto"/>
        <w:rPr>
          <w:color w:val="000000" w:themeColor="text1"/>
        </w:rPr>
      </w:pPr>
      <w:r w:rsidRPr="00B95E28">
        <w:rPr>
          <w:color w:val="000000" w:themeColor="text1"/>
        </w:rPr>
        <w:t>While prior research has examined integration processes and learning effects within acquisitions, less attention has been given to how organizations develop integration capability as a repeatable function across multiple transactions. Existing literature has predominantly examined integration at the level of individual transactions, providing limited insight into how organizations build the capability required to execute integration consistently at scale (Teece, 2007).</w:t>
      </w:r>
    </w:p>
    <w:p w14:paraId="122E800F" w14:textId="77777777" w:rsidR="006E38FE" w:rsidRPr="00B95E28" w:rsidRDefault="006E38FE" w:rsidP="00557AB7">
      <w:pPr>
        <w:rPr>
          <w:color w:val="000000" w:themeColor="text1"/>
        </w:rPr>
      </w:pPr>
    </w:p>
    <w:p w14:paraId="662237D5" w14:textId="2967E7A5" w:rsidR="006E38FE" w:rsidRPr="00B95E28" w:rsidRDefault="006E38FE" w:rsidP="00557AB7">
      <w:pPr>
        <w:spacing w:line="480" w:lineRule="auto"/>
        <w:rPr>
          <w:color w:val="000000" w:themeColor="text1"/>
        </w:rPr>
      </w:pPr>
      <w:r w:rsidRPr="00B95E28">
        <w:rPr>
          <w:color w:val="000000" w:themeColor="text1"/>
        </w:rPr>
        <w:t>This study addresses this gap by examining integration as an organizational capability, focusing on how organizations develop the conditions required to execute integration repeatedly and effectively over time.</w:t>
      </w:r>
    </w:p>
    <w:p w14:paraId="41D4C80C" w14:textId="77777777" w:rsidR="006E38FE" w:rsidRPr="00B95E28" w:rsidRDefault="006E38FE" w:rsidP="00557AB7">
      <w:pPr>
        <w:rPr>
          <w:color w:val="000000" w:themeColor="text1"/>
        </w:rPr>
      </w:pPr>
      <w:bookmarkStart w:id="22" w:name="_Toc225107168"/>
    </w:p>
    <w:p w14:paraId="49C4E53B" w14:textId="1CF36E22" w:rsidR="006E38FE" w:rsidRPr="00B95E28" w:rsidRDefault="006E38FE" w:rsidP="00557AB7">
      <w:pPr>
        <w:spacing w:line="480" w:lineRule="auto"/>
        <w:rPr>
          <w:color w:val="000000" w:themeColor="text1"/>
        </w:rPr>
      </w:pPr>
      <w:r w:rsidRPr="00B95E28">
        <w:rPr>
          <w:color w:val="000000" w:themeColor="text1"/>
        </w:rPr>
        <w:t>This creates a structural disconnect: organizations accumulate experience but fail to convert that experience into improved performance. Integration outcomes therefore remain inconsistent, not because organizations lack process, but because they lack a system that captures, refines, and reapplies learning across transactions.</w:t>
      </w:r>
    </w:p>
    <w:p w14:paraId="219AF621" w14:textId="77777777" w:rsidR="006E38FE" w:rsidRPr="00B95E28" w:rsidRDefault="006E38FE" w:rsidP="00557AB7">
      <w:pPr>
        <w:spacing w:line="480" w:lineRule="auto"/>
        <w:rPr>
          <w:color w:val="000000" w:themeColor="text1"/>
        </w:rPr>
      </w:pPr>
      <w:r w:rsidRPr="00B95E28">
        <w:rPr>
          <w:color w:val="000000" w:themeColor="text1"/>
        </w:rPr>
        <w:t>This suggests that integration performance is path dependent. Organizations do not approach each integration as a neutral starting point; rather, they carry forward prior structures, decisions, and learned behaviors. Where learning is not effectively captured and applied, these conditions result in the repetition of inefficiencies across transactions, regardless of experience.</w:t>
      </w:r>
    </w:p>
    <w:p w14:paraId="1AFA9541" w14:textId="77777777" w:rsidR="006E38FE" w:rsidRPr="00B95E28" w:rsidRDefault="006E38FE" w:rsidP="00557AB7">
      <w:pPr>
        <w:rPr>
          <w:color w:val="000000" w:themeColor="text1"/>
        </w:rPr>
      </w:pPr>
    </w:p>
    <w:p w14:paraId="50E126D4" w14:textId="1B0B48F5" w:rsidR="006E38FE" w:rsidRPr="00B95E28" w:rsidRDefault="006E38FE" w:rsidP="00557AB7">
      <w:pPr>
        <w:spacing w:line="480" w:lineRule="auto"/>
        <w:rPr>
          <w:color w:val="000000" w:themeColor="text1"/>
        </w:rPr>
      </w:pPr>
      <w:r w:rsidRPr="00B95E28">
        <w:rPr>
          <w:color w:val="000000" w:themeColor="text1"/>
        </w:rPr>
        <w:t>This creates a structural capability gap, where organizations possess the knowledge of how to integrate, but lack the systems required to do so consistently.</w:t>
      </w:r>
    </w:p>
    <w:p w14:paraId="689B80DC" w14:textId="77777777" w:rsidR="006E38FE" w:rsidRPr="00B95E28" w:rsidRDefault="006E38FE" w:rsidP="00557AB7">
      <w:pPr>
        <w:spacing w:line="480" w:lineRule="auto"/>
        <w:rPr>
          <w:color w:val="000000" w:themeColor="text1"/>
        </w:rPr>
      </w:pPr>
      <w:r w:rsidRPr="00B95E28">
        <w:rPr>
          <w:color w:val="000000" w:themeColor="text1"/>
        </w:rPr>
        <w:lastRenderedPageBreak/>
        <w:t>As a result, integration capability does not naturally emerge from acquisition activity; it must be deliberately constructed.</w:t>
      </w:r>
    </w:p>
    <w:p w14:paraId="30C650AF" w14:textId="77777777" w:rsidR="00557AB7" w:rsidRPr="00B95E28" w:rsidRDefault="00557AB7" w:rsidP="00557AB7">
      <w:pPr>
        <w:rPr>
          <w:color w:val="000000" w:themeColor="text1"/>
          <w:lang w:val="en-CA"/>
        </w:rPr>
      </w:pPr>
      <w:bookmarkStart w:id="23" w:name="_Toc230881415"/>
    </w:p>
    <w:p w14:paraId="30AB5CB4" w14:textId="56A27098" w:rsidR="006E38FE" w:rsidRPr="00B95E28" w:rsidRDefault="006E38FE" w:rsidP="00557AB7">
      <w:pPr>
        <w:pStyle w:val="Heading2"/>
        <w:spacing w:before="0" w:after="0" w:line="480" w:lineRule="auto"/>
        <w:ind w:left="0" w:firstLine="0"/>
        <w:rPr>
          <w:color w:val="000000" w:themeColor="text1"/>
          <w:lang w:val="en-CA"/>
        </w:rPr>
      </w:pPr>
      <w:bookmarkStart w:id="24" w:name="_Toc232351814"/>
      <w:r w:rsidRPr="00B95E28">
        <w:rPr>
          <w:color w:val="000000" w:themeColor="text1"/>
          <w:lang w:val="en-CA"/>
        </w:rPr>
        <w:t>1.3 Aim &amp; Objectives</w:t>
      </w:r>
      <w:bookmarkEnd w:id="22"/>
      <w:bookmarkEnd w:id="23"/>
      <w:bookmarkEnd w:id="24"/>
    </w:p>
    <w:p w14:paraId="391024A1" w14:textId="77777777" w:rsidR="006E38FE" w:rsidRPr="00B95E28" w:rsidRDefault="006E38FE" w:rsidP="00557AB7">
      <w:pPr>
        <w:spacing w:line="480" w:lineRule="auto"/>
        <w:rPr>
          <w:color w:val="000000" w:themeColor="text1"/>
        </w:rPr>
      </w:pPr>
      <w:r w:rsidRPr="00B95E28">
        <w:rPr>
          <w:color w:val="000000" w:themeColor="text1"/>
        </w:rPr>
        <w:t>This study addresses a fundamental limitation in existing M&amp;A research: the absence of a capability-based perspective on post-merger integration.</w:t>
      </w:r>
    </w:p>
    <w:p w14:paraId="3B5A1A04" w14:textId="77777777" w:rsidR="006E38FE" w:rsidRPr="00B95E28" w:rsidRDefault="006E38FE" w:rsidP="00557AB7">
      <w:pPr>
        <w:spacing w:line="480" w:lineRule="auto"/>
        <w:rPr>
          <w:color w:val="000000" w:themeColor="text1"/>
        </w:rPr>
      </w:pPr>
      <w:r w:rsidRPr="00B95E28">
        <w:rPr>
          <w:color w:val="000000" w:themeColor="text1"/>
        </w:rPr>
        <w:t>Mergers and acquisitions remain a central mechanism for organizational growth, enabling firms to expand capabilities, enter new markets, and accelerate strategic objectives. However, while significant attention has been devoted to deal sourcing, valuation, and financial structuring, the realization of value from acquisitions continues to be inconsistent.</w:t>
      </w:r>
    </w:p>
    <w:p w14:paraId="23A8AC68" w14:textId="77777777" w:rsidR="006E38FE" w:rsidRPr="00B95E28" w:rsidRDefault="006E38FE" w:rsidP="00557AB7">
      <w:pPr>
        <w:rPr>
          <w:color w:val="000000" w:themeColor="text1"/>
        </w:rPr>
      </w:pPr>
    </w:p>
    <w:p w14:paraId="0AA4EA04" w14:textId="1A3CA593" w:rsidR="006E38FE" w:rsidRPr="00B95E28" w:rsidRDefault="006E38FE" w:rsidP="00557AB7">
      <w:pPr>
        <w:spacing w:line="480" w:lineRule="auto"/>
        <w:rPr>
          <w:color w:val="000000" w:themeColor="text1"/>
        </w:rPr>
      </w:pPr>
      <w:r w:rsidRPr="00B95E28">
        <w:rPr>
          <w:color w:val="000000" w:themeColor="text1"/>
        </w:rPr>
        <w:t>A primary driver of this inconsistency lies in post-merger integration. Despite the availability of established frameworks and best practices, organizations frequently struggle to execute integration effectively. These challenges are not typically due to a lack of tools or process guidance, but rather arise from organizational factors such as unclear governance structures, insufficient leadership authority, resource constraints, and limited coordination across functions.</w:t>
      </w:r>
    </w:p>
    <w:p w14:paraId="01F482C6" w14:textId="77777777" w:rsidR="006E38FE" w:rsidRPr="00B95E28" w:rsidRDefault="006E38FE" w:rsidP="00557AB7">
      <w:pPr>
        <w:spacing w:line="480" w:lineRule="auto"/>
        <w:rPr>
          <w:color w:val="000000" w:themeColor="text1"/>
        </w:rPr>
      </w:pPr>
    </w:p>
    <w:p w14:paraId="73B257C4" w14:textId="18EAC782" w:rsidR="006E38FE" w:rsidRPr="00B95E28" w:rsidRDefault="006E38FE" w:rsidP="00557AB7">
      <w:pPr>
        <w:spacing w:line="480" w:lineRule="auto"/>
        <w:rPr>
          <w:color w:val="000000" w:themeColor="text1"/>
        </w:rPr>
      </w:pPr>
      <w:r w:rsidRPr="00B95E28">
        <w:rPr>
          <w:color w:val="000000" w:themeColor="text1"/>
        </w:rPr>
        <w:t>In practice, many organizations approach integration as a transaction-specific activity, designed and executed independently for each deal. This results in variability in execution, repeated inefficiencies, and an inability to scale integration efforts as acquisition frequency increases. Furthermore, integration planning is often introduced late in the deal lifecycle, reducing the organization’s ability to align execution with the strategic intent of the acquisition.</w:t>
      </w:r>
    </w:p>
    <w:p w14:paraId="4D360BF9" w14:textId="77777777" w:rsidR="006E38FE" w:rsidRPr="00B95E28" w:rsidRDefault="006E38FE" w:rsidP="00557AB7">
      <w:pPr>
        <w:rPr>
          <w:color w:val="000000" w:themeColor="text1"/>
        </w:rPr>
      </w:pPr>
    </w:p>
    <w:p w14:paraId="1BDE02E0" w14:textId="1C49906B" w:rsidR="006E38FE" w:rsidRPr="00B95E28" w:rsidRDefault="006E38FE" w:rsidP="00557AB7">
      <w:pPr>
        <w:spacing w:line="480" w:lineRule="auto"/>
        <w:rPr>
          <w:color w:val="000000" w:themeColor="text1"/>
        </w:rPr>
      </w:pPr>
      <w:r w:rsidRPr="00B95E28">
        <w:rPr>
          <w:color w:val="000000" w:themeColor="text1"/>
        </w:rPr>
        <w:t xml:space="preserve">Although prior research has identified key integration success factors, it does not sufficiently explain how organizations develop the capacity to apply these factors consistently across </w:t>
      </w:r>
      <w:r w:rsidRPr="00B95E28">
        <w:rPr>
          <w:color w:val="000000" w:themeColor="text1"/>
        </w:rPr>
        <w:lastRenderedPageBreak/>
        <w:t>multiple acquisitions. As a result, integration remains highly dependent on individual experience rather than institutionalized capability.</w:t>
      </w:r>
    </w:p>
    <w:p w14:paraId="2F210AD7" w14:textId="77777777" w:rsidR="006E38FE" w:rsidRPr="00B95E28" w:rsidRDefault="006E38FE" w:rsidP="00557AB7">
      <w:pPr>
        <w:spacing w:line="480" w:lineRule="auto"/>
        <w:rPr>
          <w:color w:val="000000" w:themeColor="text1"/>
        </w:rPr>
      </w:pPr>
      <w:r w:rsidRPr="00B95E28">
        <w:rPr>
          <w:color w:val="000000" w:themeColor="text1"/>
        </w:rPr>
        <w:t>Given the complex and context-dependent nature of post-merger integration, this study adopts a qualitative approach to capture the lived experiences, decision-making processes, and organizational dynamics that shape integration outcomes. Understanding how integration capability develops requires insight into how practitioners interpret, execute, and learn from integration in practice, which cannot be fully captured through quantitative measures alone.</w:t>
      </w:r>
    </w:p>
    <w:p w14:paraId="1CE63656" w14:textId="77777777" w:rsidR="00557AB7" w:rsidRPr="00B95E28" w:rsidRDefault="00557AB7" w:rsidP="00557AB7">
      <w:pPr>
        <w:rPr>
          <w:color w:val="000000" w:themeColor="text1"/>
          <w:lang w:val="en-CA"/>
        </w:rPr>
      </w:pPr>
      <w:bookmarkStart w:id="25" w:name="_Toc225107169"/>
      <w:bookmarkStart w:id="26" w:name="_Toc230881416"/>
    </w:p>
    <w:p w14:paraId="21A9AE2D" w14:textId="5633D103" w:rsidR="006E38FE" w:rsidRPr="00B95E28" w:rsidRDefault="006E38FE" w:rsidP="00557AB7">
      <w:pPr>
        <w:pStyle w:val="Heading3"/>
        <w:spacing w:before="0" w:after="0" w:line="480" w:lineRule="auto"/>
        <w:ind w:left="0" w:firstLine="0"/>
        <w:rPr>
          <w:color w:val="000000" w:themeColor="text1"/>
          <w:lang w:val="en-CA"/>
        </w:rPr>
      </w:pPr>
      <w:bookmarkStart w:id="27" w:name="_Toc232351815"/>
      <w:r w:rsidRPr="00B95E28">
        <w:rPr>
          <w:color w:val="000000" w:themeColor="text1"/>
          <w:lang w:val="en-CA"/>
        </w:rPr>
        <w:t>1.3.1 Research Aim</w:t>
      </w:r>
      <w:bookmarkEnd w:id="25"/>
      <w:bookmarkEnd w:id="26"/>
      <w:bookmarkEnd w:id="27"/>
    </w:p>
    <w:p w14:paraId="058BC68C" w14:textId="77777777" w:rsidR="006E38FE" w:rsidRPr="00B95E28" w:rsidRDefault="006E38FE" w:rsidP="00557AB7">
      <w:pPr>
        <w:spacing w:line="480" w:lineRule="auto"/>
        <w:rPr>
          <w:color w:val="000000" w:themeColor="text1"/>
        </w:rPr>
      </w:pPr>
      <w:r w:rsidRPr="00B95E28">
        <w:rPr>
          <w:color w:val="000000" w:themeColor="text1"/>
        </w:rPr>
        <w:t>The aim of this research is to examine how organizations that pursue multiple acquisitions develop repeatable post-merger integration capability as an organizational competence. Specifically, the study explores how governance structures, leadership models, resource allocation, and learning mechanisms enable organizations to improve integration performance and reduce variability in outcomes across transactions.</w:t>
      </w:r>
    </w:p>
    <w:p w14:paraId="2BDB5A99" w14:textId="77777777" w:rsidR="006E38FE" w:rsidRPr="00B95E28" w:rsidRDefault="006E38FE" w:rsidP="00557AB7">
      <w:pPr>
        <w:spacing w:line="480" w:lineRule="auto"/>
        <w:rPr>
          <w:color w:val="000000" w:themeColor="text1"/>
        </w:rPr>
      </w:pPr>
    </w:p>
    <w:p w14:paraId="5E4CA64D" w14:textId="2D763BA8" w:rsidR="006E38FE" w:rsidRPr="00B95E28" w:rsidRDefault="006E38FE" w:rsidP="00557AB7">
      <w:pPr>
        <w:spacing w:line="480" w:lineRule="auto"/>
        <w:rPr>
          <w:color w:val="000000" w:themeColor="text1"/>
        </w:rPr>
      </w:pPr>
      <w:r w:rsidRPr="00B95E28">
        <w:rPr>
          <w:color w:val="000000" w:themeColor="text1"/>
        </w:rPr>
        <w:t>Rather than focusing on isolated success factors within individual transactions, this study seeks to understand how integration capability develops as an organizational function. In doing so, it examines how governance structures, leadership authority, resource allocation, and learning dynamics interact to enable consistent execution across varying contexts. The aim is to generate a practical and theoretically grounded understanding of how integration capability can be deliberately developed and sustained within acquisition-driven organizations.</w:t>
      </w:r>
    </w:p>
    <w:p w14:paraId="18146B7B" w14:textId="77777777" w:rsidR="00557AB7" w:rsidRPr="00B95E28" w:rsidRDefault="00557AB7" w:rsidP="00557AB7">
      <w:pPr>
        <w:rPr>
          <w:color w:val="000000" w:themeColor="text1"/>
          <w:lang w:val="en-CA"/>
        </w:rPr>
      </w:pPr>
      <w:bookmarkStart w:id="28" w:name="_Toc225107170"/>
      <w:bookmarkStart w:id="29" w:name="_Toc230881417"/>
    </w:p>
    <w:p w14:paraId="3D94AFB7" w14:textId="59F49C13" w:rsidR="006E38FE" w:rsidRPr="00B95E28" w:rsidRDefault="006E38FE" w:rsidP="00557AB7">
      <w:pPr>
        <w:pStyle w:val="Heading3"/>
        <w:spacing w:before="0" w:after="0" w:line="480" w:lineRule="auto"/>
        <w:ind w:left="0" w:firstLine="0"/>
        <w:rPr>
          <w:color w:val="000000" w:themeColor="text1"/>
          <w:lang w:val="en-CA"/>
        </w:rPr>
      </w:pPr>
      <w:bookmarkStart w:id="30" w:name="_Toc232351816"/>
      <w:r w:rsidRPr="00B95E28">
        <w:rPr>
          <w:color w:val="000000" w:themeColor="text1"/>
          <w:lang w:val="en-CA"/>
        </w:rPr>
        <w:t>1.3.2 Research Objectives</w:t>
      </w:r>
      <w:bookmarkEnd w:id="28"/>
      <w:bookmarkEnd w:id="29"/>
      <w:bookmarkEnd w:id="30"/>
    </w:p>
    <w:p w14:paraId="0C25CDDC" w14:textId="77777777" w:rsidR="006E38FE" w:rsidRPr="00B95E28" w:rsidRDefault="006E38FE" w:rsidP="00557AB7">
      <w:pPr>
        <w:spacing w:line="480" w:lineRule="auto"/>
        <w:rPr>
          <w:color w:val="000000" w:themeColor="text1"/>
          <w:lang w:val="en-CA"/>
        </w:rPr>
      </w:pPr>
      <w:r w:rsidRPr="00B95E28">
        <w:rPr>
          <w:color w:val="000000" w:themeColor="text1"/>
          <w:lang w:val="en-CA"/>
        </w:rPr>
        <w:t>To support this aim, the study is guided by the following objectives:</w:t>
      </w:r>
    </w:p>
    <w:p w14:paraId="4D373B48" w14:textId="77777777" w:rsidR="00557AB7" w:rsidRPr="00B95E28" w:rsidRDefault="006E38FE" w:rsidP="00557AB7">
      <w:pPr>
        <w:pStyle w:val="ListParagraph"/>
        <w:numPr>
          <w:ilvl w:val="0"/>
          <w:numId w:val="1"/>
        </w:numPr>
        <w:tabs>
          <w:tab w:val="left" w:pos="142"/>
        </w:tabs>
        <w:spacing w:line="480" w:lineRule="auto"/>
        <w:rPr>
          <w:color w:val="000000" w:themeColor="text1"/>
          <w:lang w:val="en-CA"/>
        </w:rPr>
      </w:pPr>
      <w:r w:rsidRPr="00B95E28">
        <w:rPr>
          <w:color w:val="000000" w:themeColor="text1"/>
          <w:lang w:val="en-CA"/>
        </w:rPr>
        <w:lastRenderedPageBreak/>
        <w:t>To examine how governance structures influence integration consistency across acquisitions. This includes the way integration is directed, escalated, and monitored across functions and leadership levels.</w:t>
      </w:r>
    </w:p>
    <w:p w14:paraId="337543F9" w14:textId="77777777" w:rsidR="00557AB7" w:rsidRPr="00B95E28" w:rsidRDefault="006E38FE" w:rsidP="00557AB7">
      <w:pPr>
        <w:pStyle w:val="ListParagraph"/>
        <w:numPr>
          <w:ilvl w:val="0"/>
          <w:numId w:val="1"/>
        </w:numPr>
        <w:tabs>
          <w:tab w:val="left" w:pos="142"/>
        </w:tabs>
        <w:spacing w:line="480" w:lineRule="auto"/>
        <w:rPr>
          <w:color w:val="000000" w:themeColor="text1"/>
          <w:lang w:val="en-CA"/>
        </w:rPr>
      </w:pPr>
      <w:r w:rsidRPr="00B95E28">
        <w:rPr>
          <w:color w:val="000000" w:themeColor="text1"/>
          <w:lang w:val="en-CA"/>
        </w:rPr>
        <w:t>To explore the role of leadership authority and accountability in post-merger integration. This objective focuses on how decision rights, executive sponsorship, and integration ownership affect execution outcomes.</w:t>
      </w:r>
    </w:p>
    <w:p w14:paraId="78D511EA" w14:textId="77777777" w:rsidR="00557AB7" w:rsidRPr="00B95E28" w:rsidRDefault="006E38FE" w:rsidP="00557AB7">
      <w:pPr>
        <w:pStyle w:val="ListParagraph"/>
        <w:numPr>
          <w:ilvl w:val="0"/>
          <w:numId w:val="1"/>
        </w:numPr>
        <w:tabs>
          <w:tab w:val="left" w:pos="142"/>
        </w:tabs>
        <w:spacing w:line="480" w:lineRule="auto"/>
        <w:rPr>
          <w:color w:val="000000" w:themeColor="text1"/>
          <w:lang w:val="en-CA"/>
        </w:rPr>
      </w:pPr>
      <w:r w:rsidRPr="00B95E28">
        <w:rPr>
          <w:color w:val="000000" w:themeColor="text1"/>
          <w:lang w:val="en-CA"/>
        </w:rPr>
        <w:t>To assess when and how integration planning is incorporated into the acquisition lifecycle. Particular attention is given to whether integration is considered early enough to support realistic execution.</w:t>
      </w:r>
    </w:p>
    <w:p w14:paraId="1258A7EE" w14:textId="77777777" w:rsidR="00557AB7" w:rsidRPr="00B95E28" w:rsidRDefault="006E38FE" w:rsidP="00557AB7">
      <w:pPr>
        <w:pStyle w:val="ListParagraph"/>
        <w:numPr>
          <w:ilvl w:val="0"/>
          <w:numId w:val="1"/>
        </w:numPr>
        <w:tabs>
          <w:tab w:val="left" w:pos="142"/>
        </w:tabs>
        <w:spacing w:line="480" w:lineRule="auto"/>
        <w:rPr>
          <w:color w:val="000000" w:themeColor="text1"/>
          <w:lang w:val="en-CA"/>
        </w:rPr>
      </w:pPr>
      <w:r w:rsidRPr="00B95E28">
        <w:rPr>
          <w:color w:val="000000" w:themeColor="text1"/>
          <w:lang w:val="en-CA"/>
        </w:rPr>
        <w:t>To investigate how organizations resource and organize integration efforts across multiple transactions. This includes internal team structures, cross-functional participation, capacity constraints, and the use of external advisors.</w:t>
      </w:r>
    </w:p>
    <w:p w14:paraId="419F6C06" w14:textId="77777777" w:rsidR="00557AB7" w:rsidRPr="00B95E28" w:rsidRDefault="006E38FE" w:rsidP="00557AB7">
      <w:pPr>
        <w:pStyle w:val="ListParagraph"/>
        <w:numPr>
          <w:ilvl w:val="0"/>
          <w:numId w:val="1"/>
        </w:numPr>
        <w:tabs>
          <w:tab w:val="left" w:pos="142"/>
        </w:tabs>
        <w:spacing w:line="480" w:lineRule="auto"/>
        <w:rPr>
          <w:color w:val="000000" w:themeColor="text1"/>
          <w:lang w:val="en-CA"/>
        </w:rPr>
      </w:pPr>
      <w:r w:rsidRPr="00B95E28">
        <w:rPr>
          <w:color w:val="000000" w:themeColor="text1"/>
          <w:lang w:val="en-CA"/>
        </w:rPr>
        <w:t>To examine the role of technology integration in enabling broader operational integration. This objective considers technology not only as a systems issue, but as a driver of business alignment and execution capability.</w:t>
      </w:r>
    </w:p>
    <w:p w14:paraId="2C5EB9CC" w14:textId="77777777" w:rsidR="00557AB7" w:rsidRPr="00B95E28" w:rsidRDefault="006E38FE" w:rsidP="00557AB7">
      <w:pPr>
        <w:pStyle w:val="ListParagraph"/>
        <w:numPr>
          <w:ilvl w:val="0"/>
          <w:numId w:val="1"/>
        </w:numPr>
        <w:tabs>
          <w:tab w:val="left" w:pos="142"/>
        </w:tabs>
        <w:spacing w:line="480" w:lineRule="auto"/>
        <w:rPr>
          <w:color w:val="000000" w:themeColor="text1"/>
          <w:lang w:val="en-CA"/>
        </w:rPr>
      </w:pPr>
      <w:r w:rsidRPr="00B95E28">
        <w:rPr>
          <w:color w:val="000000" w:themeColor="text1"/>
          <w:lang w:val="en-CA"/>
        </w:rPr>
        <w:t>To examine how organizations translate integration experience into improved execution across subsequent acquisitions. The focus here is on whether learning is embedded into future integrations in a structured and repeatable way.</w:t>
      </w:r>
    </w:p>
    <w:p w14:paraId="22F9839F" w14:textId="1931F3B2" w:rsidR="006E38FE" w:rsidRPr="00B95E28" w:rsidRDefault="006E38FE" w:rsidP="00557AB7">
      <w:pPr>
        <w:pStyle w:val="ListParagraph"/>
        <w:numPr>
          <w:ilvl w:val="0"/>
          <w:numId w:val="1"/>
        </w:numPr>
        <w:tabs>
          <w:tab w:val="left" w:pos="142"/>
        </w:tabs>
        <w:spacing w:line="480" w:lineRule="auto"/>
        <w:rPr>
          <w:color w:val="000000" w:themeColor="text1"/>
          <w:lang w:val="en-CA"/>
        </w:rPr>
      </w:pPr>
      <w:r w:rsidRPr="00B95E28">
        <w:rPr>
          <w:color w:val="000000" w:themeColor="text1"/>
          <w:lang w:val="en-CA"/>
        </w:rPr>
        <w:t>To develop a practical framework for building repeatable integration capability in serial acquirers. This framework is intended to translate the findings into a usable model for organizations pursuing acquisition-driven growth.</w:t>
      </w:r>
    </w:p>
    <w:p w14:paraId="37E45AEA" w14:textId="77777777" w:rsidR="00557AB7" w:rsidRPr="00B95E28" w:rsidRDefault="00557AB7" w:rsidP="00557AB7">
      <w:pPr>
        <w:rPr>
          <w:color w:val="000000" w:themeColor="text1"/>
        </w:rPr>
      </w:pPr>
    </w:p>
    <w:p w14:paraId="593B2A00" w14:textId="490AA18C" w:rsidR="006E38FE" w:rsidRPr="00B95E28" w:rsidRDefault="006E38FE" w:rsidP="00557AB7">
      <w:pPr>
        <w:spacing w:line="480" w:lineRule="auto"/>
        <w:rPr>
          <w:color w:val="000000" w:themeColor="text1"/>
        </w:rPr>
      </w:pPr>
      <w:r w:rsidRPr="00B95E28">
        <w:rPr>
          <w:color w:val="000000" w:themeColor="text1"/>
        </w:rPr>
        <w:t>In doing so, the study positions integration capability as a dynamic organizational function rather than a static execution process.</w:t>
      </w:r>
    </w:p>
    <w:p w14:paraId="54C471A0" w14:textId="77777777" w:rsidR="00557AB7" w:rsidRPr="00B95E28" w:rsidRDefault="00557AB7" w:rsidP="00557AB7">
      <w:pPr>
        <w:rPr>
          <w:color w:val="000000" w:themeColor="text1"/>
        </w:rPr>
      </w:pPr>
      <w:bookmarkStart w:id="31" w:name="_Toc225107171"/>
      <w:bookmarkStart w:id="32" w:name="_Toc230881418"/>
    </w:p>
    <w:p w14:paraId="4DC72787" w14:textId="2489C7D8" w:rsidR="006E38FE" w:rsidRPr="00B95E28" w:rsidRDefault="006E38FE" w:rsidP="00557AB7">
      <w:pPr>
        <w:pStyle w:val="Heading2"/>
        <w:spacing w:before="0" w:after="0" w:line="480" w:lineRule="auto"/>
        <w:ind w:left="0" w:firstLine="0"/>
        <w:rPr>
          <w:color w:val="000000" w:themeColor="text1"/>
        </w:rPr>
      </w:pPr>
      <w:bookmarkStart w:id="33" w:name="_Toc232351817"/>
      <w:r w:rsidRPr="00B95E28">
        <w:rPr>
          <w:color w:val="000000" w:themeColor="text1"/>
        </w:rPr>
        <w:t>1.4 Core Thesis Statement</w:t>
      </w:r>
      <w:bookmarkEnd w:id="31"/>
      <w:bookmarkEnd w:id="32"/>
      <w:bookmarkEnd w:id="33"/>
    </w:p>
    <w:p w14:paraId="6C44449A" w14:textId="77777777" w:rsidR="006E38FE" w:rsidRPr="00B95E28" w:rsidRDefault="006E38FE" w:rsidP="00557AB7">
      <w:pPr>
        <w:spacing w:line="480" w:lineRule="auto"/>
        <w:rPr>
          <w:color w:val="000000" w:themeColor="text1"/>
        </w:rPr>
      </w:pPr>
      <w:bookmarkStart w:id="34" w:name="_Toc225107172"/>
      <w:r w:rsidRPr="00B95E28">
        <w:rPr>
          <w:color w:val="000000" w:themeColor="text1"/>
        </w:rPr>
        <w:t>Repeatable integration success is not driven by the application of standardized processes or the accumulation of experience alone, but by the development of integration capability as an organizational system that can be sustained across successive acquisitions. This distinction between process and capability is developed further in Chapter 5, where integration capability is examined as the organizational system that enables repeatable execution across acquisitions.</w:t>
      </w:r>
    </w:p>
    <w:p w14:paraId="0CD6B0CE" w14:textId="77777777" w:rsidR="006E38FE" w:rsidRPr="00B95E28" w:rsidRDefault="006E38FE" w:rsidP="00557AB7">
      <w:pPr>
        <w:rPr>
          <w:color w:val="000000" w:themeColor="text1"/>
        </w:rPr>
      </w:pPr>
    </w:p>
    <w:p w14:paraId="1208AAA1" w14:textId="794951DE" w:rsidR="006E38FE" w:rsidRPr="00B95E28" w:rsidRDefault="006E38FE" w:rsidP="00557AB7">
      <w:pPr>
        <w:spacing w:line="480" w:lineRule="auto"/>
        <w:rPr>
          <w:color w:val="000000" w:themeColor="text1"/>
        </w:rPr>
      </w:pPr>
      <w:r w:rsidRPr="00B95E28">
        <w:rPr>
          <w:color w:val="000000" w:themeColor="text1"/>
        </w:rPr>
        <w:t>This research demonstrates that integration capability is not defined solely by governance structures, planning processes, or learning mechanisms in isolation. Rather, it emerges from the organization’s ability to maintain continuity in governance, leadership authority, coordination, and decision-making under conditions of uncertainty, time pressure, and incomplete information.</w:t>
      </w:r>
    </w:p>
    <w:p w14:paraId="57833870" w14:textId="77777777" w:rsidR="006E38FE" w:rsidRPr="00B95E28" w:rsidRDefault="006E38FE" w:rsidP="00557AB7">
      <w:pPr>
        <w:rPr>
          <w:color w:val="000000" w:themeColor="text1"/>
        </w:rPr>
      </w:pPr>
    </w:p>
    <w:p w14:paraId="71869E81" w14:textId="23498BC1" w:rsidR="006E38FE" w:rsidRPr="00B95E28" w:rsidRDefault="006E38FE" w:rsidP="00557AB7">
      <w:pPr>
        <w:spacing w:line="480" w:lineRule="auto"/>
        <w:rPr>
          <w:color w:val="000000" w:themeColor="text1"/>
        </w:rPr>
      </w:pPr>
      <w:r w:rsidRPr="00B95E28">
        <w:rPr>
          <w:color w:val="000000" w:themeColor="text1"/>
        </w:rPr>
        <w:t>While existing literature emphasizes structured integration processes and the role of organizational learning, it does not fully explain why organizations with access to similar frameworks and experience produce inconsistent outcomes across transactions. This study addresses that gap by identifying the mechanisms through which integration capability becomes repeatable in practice.</w:t>
      </w:r>
    </w:p>
    <w:p w14:paraId="3BEAC0B6" w14:textId="77777777" w:rsidR="006E38FE" w:rsidRPr="00B95E28" w:rsidRDefault="006E38FE" w:rsidP="00557AB7">
      <w:pPr>
        <w:rPr>
          <w:color w:val="000000" w:themeColor="text1"/>
        </w:rPr>
      </w:pPr>
    </w:p>
    <w:p w14:paraId="547BA7A9" w14:textId="60190BE9" w:rsidR="006E38FE" w:rsidRPr="00B95E28" w:rsidRDefault="006E38FE" w:rsidP="00557AB7">
      <w:pPr>
        <w:spacing w:line="480" w:lineRule="auto"/>
        <w:rPr>
          <w:color w:val="000000" w:themeColor="text1"/>
        </w:rPr>
      </w:pPr>
      <w:r w:rsidRPr="00B95E28">
        <w:rPr>
          <w:color w:val="000000" w:themeColor="text1"/>
        </w:rPr>
        <w:t>Specifically, the research shows that integration capability is not a function of learning alone, but of continuity under constraint. Governance continuity, decision-making under uncertainty, and cross-phase coordination determine whether knowledge, processes, and experience can be consistently applied across transactions.</w:t>
      </w:r>
    </w:p>
    <w:p w14:paraId="08D14748" w14:textId="77777777" w:rsidR="006E38FE" w:rsidRPr="00B95E28" w:rsidRDefault="006E38FE" w:rsidP="00557AB7">
      <w:pPr>
        <w:rPr>
          <w:color w:val="000000" w:themeColor="text1"/>
        </w:rPr>
      </w:pPr>
    </w:p>
    <w:p w14:paraId="26DBCE58" w14:textId="37EFE281" w:rsidR="006E38FE" w:rsidRPr="00B95E28" w:rsidRDefault="006E38FE" w:rsidP="00557AB7">
      <w:pPr>
        <w:spacing w:line="480" w:lineRule="auto"/>
        <w:rPr>
          <w:color w:val="000000" w:themeColor="text1"/>
        </w:rPr>
      </w:pPr>
      <w:r w:rsidRPr="00B95E28">
        <w:rPr>
          <w:color w:val="000000" w:themeColor="text1"/>
        </w:rPr>
        <w:t xml:space="preserve">As a result, integration performance is path dependent, shaped by the stability of organizational conditions over time rather than by the effectiveness of individual transactions. Organizations </w:t>
      </w:r>
      <w:r w:rsidRPr="00B95E28">
        <w:rPr>
          <w:color w:val="000000" w:themeColor="text1"/>
        </w:rPr>
        <w:lastRenderedPageBreak/>
        <w:t>that maintain this continuity are able to reduce variability, align execution with strategic intent, and systematically improve performance. Those that do not remain dependent on individual effort and experience, resulting in inconsistent outcomes despite repeated acquisition activity.</w:t>
      </w:r>
    </w:p>
    <w:p w14:paraId="57E5AA47" w14:textId="77777777" w:rsidR="006E38FE" w:rsidRPr="00B95E28" w:rsidRDefault="006E38FE" w:rsidP="00557AB7">
      <w:pPr>
        <w:rPr>
          <w:color w:val="000000" w:themeColor="text1"/>
        </w:rPr>
      </w:pPr>
    </w:p>
    <w:p w14:paraId="5987D88A" w14:textId="5FA85585" w:rsidR="006E38FE" w:rsidRPr="00B95E28" w:rsidRDefault="006E38FE" w:rsidP="00557AB7">
      <w:pPr>
        <w:spacing w:line="480" w:lineRule="auto"/>
        <w:rPr>
          <w:b/>
          <w:bCs/>
          <w:color w:val="000000" w:themeColor="text1"/>
        </w:rPr>
      </w:pPr>
      <w:r w:rsidRPr="00B95E28">
        <w:rPr>
          <w:color w:val="000000" w:themeColor="text1"/>
        </w:rPr>
        <w:t>This research therefore reframes post-merger integration from a process execution problem to a capability continuity problem, providing both a theoretical explanation and a practical foundation for building repeatable integration capability in serial acquirers.</w:t>
      </w:r>
    </w:p>
    <w:p w14:paraId="00A6067C" w14:textId="77777777" w:rsidR="00557AB7" w:rsidRPr="00B95E28" w:rsidRDefault="00557AB7" w:rsidP="00557AB7">
      <w:pPr>
        <w:rPr>
          <w:color w:val="000000" w:themeColor="text1"/>
        </w:rPr>
      </w:pPr>
      <w:bookmarkStart w:id="35" w:name="_Toc230881419"/>
    </w:p>
    <w:p w14:paraId="4B8B066A" w14:textId="3525A7E0" w:rsidR="006E38FE" w:rsidRPr="00B95E28" w:rsidRDefault="006E38FE" w:rsidP="00557AB7">
      <w:pPr>
        <w:pStyle w:val="Heading2"/>
        <w:spacing w:before="0" w:after="0" w:line="480" w:lineRule="auto"/>
        <w:ind w:left="0" w:firstLine="0"/>
        <w:rPr>
          <w:color w:val="000000" w:themeColor="text1"/>
        </w:rPr>
      </w:pPr>
      <w:bookmarkStart w:id="36" w:name="_Toc232351818"/>
      <w:r w:rsidRPr="00B95E28">
        <w:rPr>
          <w:color w:val="000000" w:themeColor="text1"/>
        </w:rPr>
        <w:t>1.5 Primary Research Questions</w:t>
      </w:r>
      <w:bookmarkEnd w:id="34"/>
      <w:bookmarkEnd w:id="35"/>
      <w:bookmarkEnd w:id="36"/>
    </w:p>
    <w:p w14:paraId="2F81FA02" w14:textId="77777777" w:rsidR="006E38FE" w:rsidRPr="00B95E28" w:rsidRDefault="006E38FE" w:rsidP="00557AB7">
      <w:pPr>
        <w:spacing w:line="480" w:lineRule="auto"/>
        <w:rPr>
          <w:color w:val="000000" w:themeColor="text1"/>
        </w:rPr>
      </w:pPr>
      <w:r w:rsidRPr="00B95E28">
        <w:rPr>
          <w:color w:val="000000" w:themeColor="text1"/>
        </w:rPr>
        <w:t>The supporting research questions are organized across three core dimensions of integration capability: governance and leadership, execution and operationalization, and organizational learning. These questions function as analytical lenses guiding the empirical investigation, rather than as independent lines of inquiry.</w:t>
      </w:r>
    </w:p>
    <w:p w14:paraId="50582A83" w14:textId="77777777" w:rsidR="00557AB7" w:rsidRPr="00B95E28" w:rsidRDefault="00557AB7" w:rsidP="00557AB7">
      <w:pPr>
        <w:rPr>
          <w:color w:val="000000" w:themeColor="text1"/>
        </w:rPr>
      </w:pPr>
    </w:p>
    <w:p w14:paraId="2860EEFA" w14:textId="6F154182" w:rsidR="006E38FE" w:rsidRPr="00B95E28" w:rsidRDefault="006E38FE" w:rsidP="00557AB7">
      <w:pPr>
        <w:spacing w:line="480" w:lineRule="auto"/>
        <w:rPr>
          <w:color w:val="000000" w:themeColor="text1"/>
        </w:rPr>
      </w:pPr>
      <w:r w:rsidRPr="00B95E28">
        <w:rPr>
          <w:color w:val="000000" w:themeColor="text1"/>
        </w:rPr>
        <w:t>How do organizations develop repeatable integration capability across multiple acquisitions?</w:t>
      </w:r>
    </w:p>
    <w:p w14:paraId="29BCB4E7" w14:textId="2D5DC25D" w:rsidR="006E38FE" w:rsidRPr="00B95E28" w:rsidRDefault="006E38FE" w:rsidP="00557AB7">
      <w:pPr>
        <w:spacing w:line="480" w:lineRule="auto"/>
        <w:rPr>
          <w:color w:val="000000" w:themeColor="text1"/>
        </w:rPr>
      </w:pPr>
      <w:r w:rsidRPr="00B95E28">
        <w:rPr>
          <w:color w:val="000000" w:themeColor="text1"/>
        </w:rPr>
        <w:t>Supporting Research Questions:</w:t>
      </w:r>
    </w:p>
    <w:p w14:paraId="4774D1B7" w14:textId="2713A233" w:rsidR="006E38FE" w:rsidRPr="00B95E28" w:rsidRDefault="006E38FE" w:rsidP="00557AB7">
      <w:pPr>
        <w:pStyle w:val="ListParagraph"/>
        <w:numPr>
          <w:ilvl w:val="0"/>
          <w:numId w:val="24"/>
        </w:numPr>
        <w:spacing w:line="480" w:lineRule="auto"/>
        <w:rPr>
          <w:color w:val="000000" w:themeColor="text1"/>
        </w:rPr>
      </w:pPr>
      <w:r w:rsidRPr="00B95E28">
        <w:rPr>
          <w:color w:val="000000" w:themeColor="text1"/>
        </w:rPr>
        <w:t>How is post-merger integration governed within organizations, and how does governance influence execution consistency across acquisitions?</w:t>
      </w:r>
    </w:p>
    <w:p w14:paraId="679E447A" w14:textId="608537CA" w:rsidR="006E38FE" w:rsidRPr="00B95E28" w:rsidRDefault="006E38FE" w:rsidP="00557AB7">
      <w:pPr>
        <w:pStyle w:val="ListParagraph"/>
        <w:numPr>
          <w:ilvl w:val="0"/>
          <w:numId w:val="24"/>
        </w:numPr>
        <w:spacing w:line="480" w:lineRule="auto"/>
        <w:rPr>
          <w:color w:val="000000" w:themeColor="text1"/>
        </w:rPr>
      </w:pPr>
      <w:r w:rsidRPr="00B95E28">
        <w:rPr>
          <w:color w:val="000000" w:themeColor="text1"/>
        </w:rPr>
        <w:t>At what stage in the deal lifecycle is integration planning initiated, and how does this timing impact integration outcomes?</w:t>
      </w:r>
    </w:p>
    <w:p w14:paraId="3DB5E4D9" w14:textId="2C8424CB" w:rsidR="006E38FE" w:rsidRPr="00B95E28" w:rsidRDefault="006E38FE" w:rsidP="00557AB7">
      <w:pPr>
        <w:pStyle w:val="ListParagraph"/>
        <w:numPr>
          <w:ilvl w:val="0"/>
          <w:numId w:val="24"/>
        </w:numPr>
        <w:spacing w:line="480" w:lineRule="auto"/>
        <w:rPr>
          <w:color w:val="000000" w:themeColor="text1"/>
        </w:rPr>
      </w:pPr>
      <w:r w:rsidRPr="00B95E28">
        <w:rPr>
          <w:color w:val="000000" w:themeColor="text1"/>
        </w:rPr>
        <w:t>What operational challenges most commonly arise during integration, and how do organizations address them in practice?</w:t>
      </w:r>
    </w:p>
    <w:p w14:paraId="06191B39" w14:textId="6881E7F0" w:rsidR="006E38FE" w:rsidRPr="00B95E28" w:rsidRDefault="006E38FE" w:rsidP="00557AB7">
      <w:pPr>
        <w:pStyle w:val="ListParagraph"/>
        <w:numPr>
          <w:ilvl w:val="0"/>
          <w:numId w:val="24"/>
        </w:numPr>
        <w:spacing w:line="480" w:lineRule="auto"/>
        <w:rPr>
          <w:color w:val="000000" w:themeColor="text1"/>
        </w:rPr>
      </w:pPr>
      <w:r w:rsidRPr="00B95E28">
        <w:rPr>
          <w:color w:val="000000" w:themeColor="text1"/>
        </w:rPr>
        <w:t>What role does leadership authority and accountability play in driving integration success?</w:t>
      </w:r>
    </w:p>
    <w:p w14:paraId="0C360AA4" w14:textId="3553F394" w:rsidR="006E38FE" w:rsidRPr="00B95E28" w:rsidRDefault="006E38FE" w:rsidP="00557AB7">
      <w:pPr>
        <w:pStyle w:val="ListParagraph"/>
        <w:numPr>
          <w:ilvl w:val="0"/>
          <w:numId w:val="24"/>
        </w:numPr>
        <w:spacing w:line="480" w:lineRule="auto"/>
        <w:rPr>
          <w:color w:val="000000" w:themeColor="text1"/>
        </w:rPr>
      </w:pPr>
      <w:r w:rsidRPr="00B95E28">
        <w:rPr>
          <w:color w:val="000000" w:themeColor="text1"/>
        </w:rPr>
        <w:lastRenderedPageBreak/>
        <w:t>How do organizations operationalize integration across functions during post-merger execution?</w:t>
      </w:r>
    </w:p>
    <w:p w14:paraId="1042DA25" w14:textId="3803A126" w:rsidR="006E38FE" w:rsidRPr="00B95E28" w:rsidRDefault="006E38FE" w:rsidP="00557AB7">
      <w:pPr>
        <w:pStyle w:val="ListParagraph"/>
        <w:numPr>
          <w:ilvl w:val="0"/>
          <w:numId w:val="24"/>
        </w:numPr>
        <w:spacing w:line="480" w:lineRule="auto"/>
        <w:rPr>
          <w:color w:val="000000" w:themeColor="text1"/>
        </w:rPr>
      </w:pPr>
      <w:r w:rsidRPr="00B95E28">
        <w:rPr>
          <w:color w:val="000000" w:themeColor="text1"/>
        </w:rPr>
        <w:t>What role does technology integration play in enabling or constraining overall integration success?</w:t>
      </w:r>
    </w:p>
    <w:p w14:paraId="6FB7897E" w14:textId="1C83262E" w:rsidR="006E38FE" w:rsidRPr="00B95E28" w:rsidRDefault="006E38FE" w:rsidP="00557AB7">
      <w:pPr>
        <w:pStyle w:val="ListParagraph"/>
        <w:numPr>
          <w:ilvl w:val="0"/>
          <w:numId w:val="24"/>
        </w:numPr>
        <w:spacing w:line="480" w:lineRule="auto"/>
        <w:rPr>
          <w:color w:val="000000" w:themeColor="text1"/>
        </w:rPr>
      </w:pPr>
      <w:r w:rsidRPr="00B95E28">
        <w:rPr>
          <w:color w:val="000000" w:themeColor="text1"/>
        </w:rPr>
        <w:t>To what extent do organizations improve their integration performance over time, and what factors influence this progression?</w:t>
      </w:r>
    </w:p>
    <w:p w14:paraId="6F228E9F" w14:textId="146B55A0" w:rsidR="006E38FE" w:rsidRPr="00B95E28" w:rsidRDefault="006E38FE" w:rsidP="00557AB7">
      <w:pPr>
        <w:pStyle w:val="ListParagraph"/>
        <w:numPr>
          <w:ilvl w:val="0"/>
          <w:numId w:val="24"/>
        </w:numPr>
        <w:spacing w:line="480" w:lineRule="auto"/>
        <w:rPr>
          <w:color w:val="000000" w:themeColor="text1"/>
        </w:rPr>
      </w:pPr>
      <w:r w:rsidRPr="00B95E28">
        <w:rPr>
          <w:color w:val="000000" w:themeColor="text1"/>
        </w:rPr>
        <w:t>What distinguishes organizations that consistently execute successful integrations from those that do not?</w:t>
      </w:r>
    </w:p>
    <w:p w14:paraId="1BC660AD" w14:textId="198E4DB6" w:rsidR="006E38FE" w:rsidRPr="00B95E28" w:rsidRDefault="006E38FE" w:rsidP="00557AB7">
      <w:pPr>
        <w:pStyle w:val="ListParagraph"/>
        <w:numPr>
          <w:ilvl w:val="0"/>
          <w:numId w:val="24"/>
        </w:numPr>
        <w:spacing w:line="480" w:lineRule="auto"/>
        <w:rPr>
          <w:color w:val="000000" w:themeColor="text1"/>
        </w:rPr>
      </w:pPr>
      <w:r w:rsidRPr="00B95E28">
        <w:rPr>
          <w:color w:val="000000" w:themeColor="text1"/>
        </w:rPr>
        <w:t>What core components should be included in a repeatable integration approach for organizations pursuing multiple acquisitions?</w:t>
      </w:r>
    </w:p>
    <w:p w14:paraId="1380E90F" w14:textId="77777777" w:rsidR="00557AB7" w:rsidRPr="00B95E28" w:rsidRDefault="00557AB7" w:rsidP="00557AB7">
      <w:pPr>
        <w:rPr>
          <w:color w:val="000000" w:themeColor="text1"/>
        </w:rPr>
      </w:pPr>
      <w:bookmarkStart w:id="37" w:name="_Toc225107173"/>
      <w:bookmarkStart w:id="38" w:name="_Toc230881420"/>
    </w:p>
    <w:p w14:paraId="24778A84" w14:textId="67932860" w:rsidR="006E38FE" w:rsidRPr="00B95E28" w:rsidRDefault="006E38FE" w:rsidP="00557AB7">
      <w:pPr>
        <w:pStyle w:val="Heading2"/>
        <w:spacing w:before="0" w:after="0" w:line="480" w:lineRule="auto"/>
        <w:ind w:left="0" w:firstLine="0"/>
        <w:rPr>
          <w:color w:val="000000" w:themeColor="text1"/>
        </w:rPr>
      </w:pPr>
      <w:bookmarkStart w:id="39" w:name="_Toc232351819"/>
      <w:r w:rsidRPr="00B95E28">
        <w:rPr>
          <w:color w:val="000000" w:themeColor="text1"/>
        </w:rPr>
        <w:t>1.6 Significance of the Study</w:t>
      </w:r>
      <w:bookmarkEnd w:id="37"/>
      <w:bookmarkEnd w:id="38"/>
      <w:bookmarkEnd w:id="39"/>
    </w:p>
    <w:p w14:paraId="1909B03D" w14:textId="77777777" w:rsidR="006E38FE" w:rsidRPr="00B95E28" w:rsidRDefault="006E38FE" w:rsidP="00557AB7">
      <w:pPr>
        <w:spacing w:line="480" w:lineRule="auto"/>
        <w:rPr>
          <w:color w:val="000000" w:themeColor="text1"/>
        </w:rPr>
      </w:pPr>
      <w:r w:rsidRPr="00B95E28">
        <w:rPr>
          <w:color w:val="000000" w:themeColor="text1"/>
        </w:rPr>
        <w:t>This research is significant because it shifts the focus of M&amp;A integration from process execution to capability development. By identifying the organizational conditions that enable repeatable integration success, this study contributes to both academic theory and managerial practice. It provides a structured understanding of how firms can move beyond ad hoc integration approaches toward building sustained acquisition capability, which is increasingly critical in acquisition-driven growth strategies.</w:t>
      </w:r>
    </w:p>
    <w:p w14:paraId="5A0119A4" w14:textId="77777777" w:rsidR="006E38FE" w:rsidRPr="00B95E28" w:rsidRDefault="006E38FE" w:rsidP="00557AB7">
      <w:pPr>
        <w:rPr>
          <w:color w:val="000000" w:themeColor="text1"/>
        </w:rPr>
      </w:pPr>
    </w:p>
    <w:p w14:paraId="23BAD62D" w14:textId="20C25344" w:rsidR="006E38FE" w:rsidRPr="00B95E28" w:rsidRDefault="006E38FE" w:rsidP="00557AB7">
      <w:pPr>
        <w:spacing w:line="480" w:lineRule="auto"/>
        <w:rPr>
          <w:color w:val="000000" w:themeColor="text1"/>
        </w:rPr>
      </w:pPr>
      <w:r w:rsidRPr="00B95E28">
        <w:rPr>
          <w:color w:val="000000" w:themeColor="text1"/>
        </w:rPr>
        <w:t>This study makes a conceptual contribution by reframing post-merger integration from a transaction-level execution problem to a longitudinal capability-building challenge. It challenges the dominant assumption that integration outcomes are determined within individual transactions and instead demonstrates that performance is shaped by cumulative experience and the organization’s ability to institutionalize learning across acquisitions.</w:t>
      </w:r>
    </w:p>
    <w:p w14:paraId="264F1EE4" w14:textId="77777777" w:rsidR="006E38FE" w:rsidRPr="00B95E28" w:rsidRDefault="006E38FE" w:rsidP="00557AB7">
      <w:pPr>
        <w:rPr>
          <w:color w:val="000000" w:themeColor="text1"/>
        </w:rPr>
      </w:pPr>
    </w:p>
    <w:p w14:paraId="51B730CC" w14:textId="77417C6B" w:rsidR="006E38FE" w:rsidRPr="00B95E28" w:rsidRDefault="006E38FE" w:rsidP="00557AB7">
      <w:pPr>
        <w:spacing w:line="480" w:lineRule="auto"/>
        <w:rPr>
          <w:color w:val="000000" w:themeColor="text1"/>
        </w:rPr>
      </w:pPr>
      <w:r w:rsidRPr="00B95E28">
        <w:rPr>
          <w:color w:val="000000" w:themeColor="text1"/>
        </w:rPr>
        <w:t>This distinction is critical. Capability emerges from the organization’s ability to execute, refine, and reapply integration practices consistently.</w:t>
      </w:r>
    </w:p>
    <w:p w14:paraId="52B60F36" w14:textId="77777777" w:rsidR="006E38FE" w:rsidRPr="00B95E28" w:rsidRDefault="006E38FE" w:rsidP="00557AB7">
      <w:pPr>
        <w:rPr>
          <w:color w:val="000000" w:themeColor="text1"/>
        </w:rPr>
      </w:pPr>
    </w:p>
    <w:p w14:paraId="7BD7E1A4" w14:textId="4460DAC8" w:rsidR="006E38FE" w:rsidRPr="00B95E28" w:rsidRDefault="006E38FE" w:rsidP="00557AB7">
      <w:pPr>
        <w:spacing w:line="480" w:lineRule="auto"/>
        <w:rPr>
          <w:color w:val="000000" w:themeColor="text1"/>
        </w:rPr>
      </w:pPr>
      <w:r w:rsidRPr="00B95E28">
        <w:rPr>
          <w:color w:val="000000" w:themeColor="text1"/>
        </w:rPr>
        <w:t>By introducing a dynamic, loop-based perspective on integration capability, this research provides a mechanism for understanding why organizations with similar access to tools and expertise produce markedly different outcomes over time.</w:t>
      </w:r>
    </w:p>
    <w:p w14:paraId="1725FDF5" w14:textId="77777777" w:rsidR="006E38FE" w:rsidRPr="00B95E28" w:rsidRDefault="006E38FE" w:rsidP="00557AB7">
      <w:pPr>
        <w:rPr>
          <w:color w:val="000000" w:themeColor="text1"/>
        </w:rPr>
      </w:pPr>
    </w:p>
    <w:p w14:paraId="23F8411F" w14:textId="2D725B51" w:rsidR="006E38FE" w:rsidRPr="00B95E28" w:rsidRDefault="006E38FE" w:rsidP="00557AB7">
      <w:pPr>
        <w:spacing w:line="480" w:lineRule="auto"/>
        <w:rPr>
          <w:color w:val="000000" w:themeColor="text1"/>
        </w:rPr>
      </w:pPr>
      <w:r w:rsidRPr="00B95E28">
        <w:rPr>
          <w:color w:val="000000" w:themeColor="text1"/>
        </w:rPr>
        <w:t>This study advances the field by identifying the specific organizational conditions through which integration capability is developed, sustained, and applied across multiple acquisitions. It identifies the governance, leadership, and learning conditions that enable consistent execution across acquisitions.</w:t>
      </w:r>
    </w:p>
    <w:p w14:paraId="4DF56126" w14:textId="77777777" w:rsidR="006E38FE" w:rsidRPr="00B95E28" w:rsidRDefault="006E38FE" w:rsidP="00557AB7">
      <w:pPr>
        <w:rPr>
          <w:color w:val="000000" w:themeColor="text1"/>
        </w:rPr>
      </w:pPr>
    </w:p>
    <w:p w14:paraId="05E71583" w14:textId="278C5714" w:rsidR="006E38FE" w:rsidRPr="00B95E28" w:rsidRDefault="006E38FE" w:rsidP="00557AB7">
      <w:pPr>
        <w:spacing w:line="480" w:lineRule="auto"/>
        <w:rPr>
          <w:color w:val="000000" w:themeColor="text1"/>
        </w:rPr>
      </w:pPr>
      <w:r w:rsidRPr="00B95E28">
        <w:rPr>
          <w:color w:val="000000" w:themeColor="text1"/>
        </w:rPr>
        <w:t>This research addresses a critical gap at the intersection of acquisition strategy and operational execution. While mergers and acquisitions remain a primary driver of growth for both private equity firms and corporate acquirers, the ability to consistently realize value post-close remains uneven. This disconnect creates a structural risk in which value is underwritten in the deal thesis but not fully realized in practice.</w:t>
      </w:r>
    </w:p>
    <w:p w14:paraId="6DD2FEBC" w14:textId="77777777" w:rsidR="006E38FE" w:rsidRPr="00B95E28" w:rsidRDefault="006E38FE" w:rsidP="004D32D2">
      <w:pPr>
        <w:rPr>
          <w:color w:val="000000" w:themeColor="text1"/>
        </w:rPr>
      </w:pPr>
    </w:p>
    <w:p w14:paraId="0D30EE80" w14:textId="599CC233" w:rsidR="006E38FE" w:rsidRPr="00B95E28" w:rsidRDefault="006E38FE" w:rsidP="00557AB7">
      <w:pPr>
        <w:spacing w:line="480" w:lineRule="auto"/>
        <w:rPr>
          <w:color w:val="000000" w:themeColor="text1"/>
        </w:rPr>
      </w:pPr>
      <w:r w:rsidRPr="00B95E28">
        <w:rPr>
          <w:color w:val="000000" w:themeColor="text1"/>
        </w:rPr>
        <w:t>As acquisition activity increases, integration becomes a constraint on scalability rather than simply an execution challenge. Organizations that cannot integrate effectively at scale are limited in their ability to sustain acquisition-driven growth strategies. In this context, integration capability becomes a critical determinant of long-term performance.</w:t>
      </w:r>
    </w:p>
    <w:p w14:paraId="43A9507D" w14:textId="77777777" w:rsidR="004D32D2" w:rsidRPr="00B95E28" w:rsidRDefault="004D32D2" w:rsidP="004D32D2">
      <w:pPr>
        <w:rPr>
          <w:color w:val="000000" w:themeColor="text1"/>
        </w:rPr>
      </w:pPr>
    </w:p>
    <w:p w14:paraId="293A68E9" w14:textId="54A471A9" w:rsidR="006E38FE" w:rsidRPr="00B95E28" w:rsidRDefault="006E38FE" w:rsidP="00557AB7">
      <w:pPr>
        <w:spacing w:line="480" w:lineRule="auto"/>
        <w:rPr>
          <w:color w:val="000000" w:themeColor="text1"/>
        </w:rPr>
      </w:pPr>
      <w:r w:rsidRPr="00B95E28">
        <w:rPr>
          <w:color w:val="000000" w:themeColor="text1"/>
        </w:rPr>
        <w:t xml:space="preserve">Despite this, integration is frequently treated as a transaction-specific activity, heavily dependent on individual experience rather than institutionalized practice. Repeated acquisition activity does </w:t>
      </w:r>
      <w:r w:rsidRPr="00B95E28">
        <w:rPr>
          <w:color w:val="000000" w:themeColor="text1"/>
        </w:rPr>
        <w:lastRenderedPageBreak/>
        <w:t>not inherently lead to improved performance; without deliberate investment in governance, leadership, and learning mechanisms, organizations may replicate the same integration challenges across transactions.</w:t>
      </w:r>
    </w:p>
    <w:p w14:paraId="135A1D76" w14:textId="77777777" w:rsidR="006E38FE" w:rsidRPr="00B95E28" w:rsidRDefault="006E38FE" w:rsidP="004D32D2">
      <w:pPr>
        <w:rPr>
          <w:color w:val="000000" w:themeColor="text1"/>
        </w:rPr>
      </w:pPr>
    </w:p>
    <w:p w14:paraId="40D78644" w14:textId="528354D4" w:rsidR="006E38FE" w:rsidRPr="00B95E28" w:rsidRDefault="006E38FE" w:rsidP="00557AB7">
      <w:pPr>
        <w:spacing w:line="480" w:lineRule="auto"/>
        <w:rPr>
          <w:color w:val="000000" w:themeColor="text1"/>
        </w:rPr>
      </w:pPr>
      <w:r w:rsidRPr="00B95E28">
        <w:rPr>
          <w:color w:val="000000" w:themeColor="text1"/>
        </w:rPr>
        <w:t>From a practitioner perspective, this study provides clarity in an area often characterized by ambiguity. Integration efforts frequently operate without clearly defined governance models, consistent planning approaches, or structured mechanisms for translating experience into improved execution. By identifying the organizational conditions that enable consistency, this research offers practical insight into how integration can be designed, led, and sustained as a core capability.</w:t>
      </w:r>
    </w:p>
    <w:p w14:paraId="57ECD1B2" w14:textId="77777777" w:rsidR="006E38FE" w:rsidRPr="00B95E28" w:rsidRDefault="006E38FE" w:rsidP="004D32D2">
      <w:pPr>
        <w:rPr>
          <w:color w:val="000000" w:themeColor="text1"/>
        </w:rPr>
      </w:pPr>
    </w:p>
    <w:p w14:paraId="2746AD74" w14:textId="0329068C" w:rsidR="006E38FE" w:rsidRPr="00B95E28" w:rsidRDefault="006E38FE" w:rsidP="00557AB7">
      <w:pPr>
        <w:spacing w:line="480" w:lineRule="auto"/>
        <w:rPr>
          <w:color w:val="000000" w:themeColor="text1"/>
        </w:rPr>
      </w:pPr>
      <w:r w:rsidRPr="00B95E28">
        <w:rPr>
          <w:color w:val="000000" w:themeColor="text1"/>
        </w:rPr>
        <w:t>From an academic perspective, this study contributes to the broader M&amp;A literature by extending the focus beyond transaction-level success factors. Prior research has emphasized integration processes and outcomes within individual deals, with limited attention given to how organizations develop the capability to execute integration repeatedly over time. This study addresses that limitation by positioning integration capability within the broader context of organizational learning and dynamic capabilities (Teece, 2007).</w:t>
      </w:r>
    </w:p>
    <w:p w14:paraId="249464EE" w14:textId="77777777" w:rsidR="006E38FE" w:rsidRPr="00B95E28" w:rsidRDefault="006E38FE" w:rsidP="004D32D2">
      <w:pPr>
        <w:rPr>
          <w:color w:val="000000" w:themeColor="text1"/>
        </w:rPr>
      </w:pPr>
    </w:p>
    <w:p w14:paraId="5D79114F" w14:textId="33357348" w:rsidR="006E38FE" w:rsidRPr="00B95E28" w:rsidRDefault="006E38FE" w:rsidP="00557AB7">
      <w:pPr>
        <w:spacing w:line="480" w:lineRule="auto"/>
        <w:rPr>
          <w:color w:val="000000" w:themeColor="text1"/>
        </w:rPr>
      </w:pPr>
      <w:r w:rsidRPr="00B95E28">
        <w:rPr>
          <w:color w:val="000000" w:themeColor="text1"/>
        </w:rPr>
        <w:t>Ultimately, this research reframes integration from an execution challenge to a capability-building problem. By developing a structured understanding of repeatable integration capability, it bridges the gap between deal intent and operational reality, providing both theoretical contribution and practical relevance.</w:t>
      </w:r>
    </w:p>
    <w:p w14:paraId="0C5450F3" w14:textId="77777777" w:rsidR="006E38FE" w:rsidRPr="00B95E28" w:rsidRDefault="006E38FE" w:rsidP="004D32D2">
      <w:pPr>
        <w:rPr>
          <w:color w:val="000000" w:themeColor="text1"/>
        </w:rPr>
      </w:pPr>
    </w:p>
    <w:p w14:paraId="0899D932" w14:textId="6BF0B4C8" w:rsidR="006E38FE" w:rsidRPr="00B95E28" w:rsidRDefault="006E38FE" w:rsidP="00557AB7">
      <w:pPr>
        <w:spacing w:line="480" w:lineRule="auto"/>
        <w:rPr>
          <w:color w:val="000000" w:themeColor="text1"/>
        </w:rPr>
      </w:pPr>
      <w:r w:rsidRPr="00B95E28">
        <w:rPr>
          <w:color w:val="000000" w:themeColor="text1"/>
        </w:rPr>
        <w:t>These findings reinforce that integration failure is driven not by knowledge gaps, but by the absence of organizational conditions required for consistent execution.</w:t>
      </w:r>
    </w:p>
    <w:p w14:paraId="112E104F" w14:textId="77777777" w:rsidR="006E38FE" w:rsidRPr="00B95E28" w:rsidRDefault="006E38FE" w:rsidP="00557AB7">
      <w:pPr>
        <w:spacing w:line="480" w:lineRule="auto"/>
        <w:rPr>
          <w:color w:val="000000" w:themeColor="text1"/>
        </w:rPr>
      </w:pPr>
      <w:r w:rsidRPr="00B95E28">
        <w:rPr>
          <w:color w:val="000000" w:themeColor="text1"/>
        </w:rPr>
        <w:lastRenderedPageBreak/>
        <w:t>Without this capability, organizations do not scale integration performance; they scale integration risk instead.</w:t>
      </w:r>
    </w:p>
    <w:p w14:paraId="63081CFE" w14:textId="77777777" w:rsidR="006E38FE" w:rsidRPr="00B95E28" w:rsidRDefault="006E38FE" w:rsidP="004D32D2">
      <w:pPr>
        <w:rPr>
          <w:color w:val="000000" w:themeColor="text1"/>
        </w:rPr>
      </w:pPr>
    </w:p>
    <w:p w14:paraId="2F346291" w14:textId="19B22A29" w:rsidR="006E38FE" w:rsidRPr="00B95E28" w:rsidRDefault="006E38FE" w:rsidP="00557AB7">
      <w:pPr>
        <w:spacing w:line="480" w:lineRule="auto"/>
        <w:rPr>
          <w:color w:val="000000" w:themeColor="text1"/>
        </w:rPr>
      </w:pPr>
      <w:r w:rsidRPr="00B95E28">
        <w:rPr>
          <w:color w:val="000000" w:themeColor="text1"/>
        </w:rPr>
        <w:t>This study demonstrates that integration capability is not an operational by-product of acquisition activity, but a deliberately constructed organizational system that determines whether acquisition strategies succeed or fail over time.</w:t>
      </w:r>
    </w:p>
    <w:p w14:paraId="2E2ADEA3" w14:textId="77777777" w:rsidR="006E38FE" w:rsidRPr="00B95E28" w:rsidRDefault="006E38FE" w:rsidP="004D32D2">
      <w:pPr>
        <w:rPr>
          <w:color w:val="000000" w:themeColor="text1"/>
        </w:rPr>
      </w:pPr>
    </w:p>
    <w:p w14:paraId="07B6338A" w14:textId="494D1BA8" w:rsidR="006E38FE" w:rsidRPr="00B95E28" w:rsidRDefault="006E38FE" w:rsidP="00557AB7">
      <w:pPr>
        <w:spacing w:line="480" w:lineRule="auto"/>
        <w:rPr>
          <w:color w:val="000000" w:themeColor="text1"/>
        </w:rPr>
      </w:pPr>
      <w:r w:rsidRPr="00B95E28">
        <w:rPr>
          <w:color w:val="000000" w:themeColor="text1"/>
        </w:rPr>
        <w:t>Treating integration as a capability rather than a transaction-specific process has direct implications for how organizations design and manage acquisition activity. It requires the deliberate establishment of governance structures that persist across transactions, the elevation of integration leadership as a defined organizational role, and the implementation of mechanisms to capture and institutionalize learning. Without these elements, integration remains dependent on individual execution and cannot scale effectively. This shift reframes integration from a coordination task to a core organizational function, central to sustaining acquisition-driven growth.</w:t>
      </w:r>
    </w:p>
    <w:p w14:paraId="73E3E6F5" w14:textId="1D31B0EF" w:rsidR="006E38FE" w:rsidRPr="00B95E28" w:rsidRDefault="006E38FE" w:rsidP="00557AB7">
      <w:pPr>
        <w:spacing w:line="480" w:lineRule="auto"/>
        <w:rPr>
          <w:color w:val="000000" w:themeColor="text1"/>
          <w:lang w:val="en-CA"/>
        </w:rPr>
      </w:pPr>
      <w:r w:rsidRPr="00B95E28">
        <w:rPr>
          <w:color w:val="000000" w:themeColor="text1"/>
          <w:lang w:val="en-CA"/>
        </w:rPr>
        <w:t>The significance of this study also lies in its distinction between integration activity and integration capability. Many organizations can describe the activities required during integration, yet still struggle to reproduce successful outcomes across transactions. This study contributes by identifying the organizational conditions that allow integration activity to become repeatable capability. In doing so, it positions integration not as a downstream implementation concern, but as a core organizational function that supports acquisition-driven growth.</w:t>
      </w:r>
    </w:p>
    <w:p w14:paraId="573C1CA7" w14:textId="77777777" w:rsidR="00BB2278" w:rsidRPr="00B95E28" w:rsidRDefault="00BB2278" w:rsidP="004D32D2">
      <w:pPr>
        <w:rPr>
          <w:color w:val="000000" w:themeColor="text1"/>
          <w:lang w:val="en-CA"/>
        </w:rPr>
      </w:pPr>
    </w:p>
    <w:p w14:paraId="09203D31" w14:textId="1DB8D7D1" w:rsidR="006E38FE" w:rsidRPr="00B95E28" w:rsidRDefault="006E38FE" w:rsidP="00557AB7">
      <w:pPr>
        <w:spacing w:line="480" w:lineRule="auto"/>
        <w:rPr>
          <w:color w:val="000000" w:themeColor="text1"/>
          <w:lang w:val="en-CA"/>
        </w:rPr>
      </w:pPr>
      <w:r w:rsidRPr="00B95E28">
        <w:rPr>
          <w:color w:val="000000" w:themeColor="text1"/>
          <w:lang w:val="en-CA"/>
        </w:rPr>
        <w:t xml:space="preserve">This distinction is particularly relevant for serial acquirers. As acquisition frequency increases, weak integration practices do not remain isolated within individual deals; they can compound across the acquisition program. The ability to develop repeatable integration capability therefore </w:t>
      </w:r>
      <w:r w:rsidRPr="00B95E28">
        <w:rPr>
          <w:color w:val="000000" w:themeColor="text1"/>
          <w:lang w:val="en-CA"/>
        </w:rPr>
        <w:lastRenderedPageBreak/>
        <w:t>has implications not only for individual transaction success, but for the sustainability of acquisition-led strategy over time.</w:t>
      </w:r>
    </w:p>
    <w:p w14:paraId="106454B6" w14:textId="77777777" w:rsidR="004D32D2" w:rsidRPr="00B95E28" w:rsidRDefault="004D32D2" w:rsidP="004D32D2">
      <w:pPr>
        <w:rPr>
          <w:color w:val="000000" w:themeColor="text1"/>
        </w:rPr>
      </w:pPr>
      <w:bookmarkStart w:id="40" w:name="_Toc225107174"/>
      <w:bookmarkStart w:id="41" w:name="_Toc230881421"/>
    </w:p>
    <w:p w14:paraId="34D841C4" w14:textId="1FF4E0E4" w:rsidR="006E38FE" w:rsidRPr="00B95E28" w:rsidRDefault="006E38FE" w:rsidP="00557AB7">
      <w:pPr>
        <w:pStyle w:val="Heading2"/>
        <w:spacing w:before="0" w:after="0" w:line="480" w:lineRule="auto"/>
        <w:ind w:left="0" w:firstLine="0"/>
        <w:rPr>
          <w:color w:val="000000" w:themeColor="text1"/>
        </w:rPr>
      </w:pPr>
      <w:bookmarkStart w:id="42" w:name="_Toc232351820"/>
      <w:r w:rsidRPr="00B95E28">
        <w:rPr>
          <w:color w:val="000000" w:themeColor="text1"/>
        </w:rPr>
        <w:t>1.7 Structure of the Dissertation</w:t>
      </w:r>
      <w:bookmarkEnd w:id="40"/>
      <w:bookmarkEnd w:id="41"/>
      <w:bookmarkEnd w:id="42"/>
    </w:p>
    <w:p w14:paraId="14D247C2" w14:textId="77777777" w:rsidR="00911AC3" w:rsidRPr="00911AC3" w:rsidRDefault="00911AC3" w:rsidP="00911AC3">
      <w:pPr>
        <w:spacing w:line="480" w:lineRule="auto"/>
        <w:rPr>
          <w:color w:val="000000" w:themeColor="text1"/>
          <w:lang w:val="en-CA"/>
        </w:rPr>
      </w:pPr>
      <w:r w:rsidRPr="00911AC3">
        <w:rPr>
          <w:color w:val="000000" w:themeColor="text1"/>
          <w:lang w:val="en-CA"/>
        </w:rPr>
        <w:t>The dissertation progresses from problem identification to the development, operationalization, and evaluation of a capability-based explanation for integration performance in serial acquirers.</w:t>
      </w:r>
    </w:p>
    <w:p w14:paraId="51F08F2E" w14:textId="77777777" w:rsidR="00911AC3" w:rsidRDefault="00911AC3" w:rsidP="00911AC3">
      <w:pPr>
        <w:rPr>
          <w:lang w:val="en-CA"/>
        </w:rPr>
      </w:pPr>
    </w:p>
    <w:p w14:paraId="110E0932" w14:textId="32ED3AAB" w:rsidR="00911AC3" w:rsidRDefault="00911AC3" w:rsidP="00911AC3">
      <w:pPr>
        <w:spacing w:line="480" w:lineRule="auto"/>
        <w:rPr>
          <w:color w:val="000000" w:themeColor="text1"/>
          <w:lang w:val="en-CA"/>
        </w:rPr>
      </w:pPr>
      <w:r w:rsidRPr="00911AC3">
        <w:rPr>
          <w:b/>
          <w:bCs/>
          <w:color w:val="000000" w:themeColor="text1"/>
          <w:lang w:val="en-CA"/>
        </w:rPr>
        <w:t>Chapter 1</w:t>
      </w:r>
      <w:r w:rsidRPr="00911AC3">
        <w:rPr>
          <w:color w:val="000000" w:themeColor="text1"/>
          <w:lang w:val="en-CA"/>
        </w:rPr>
        <w:t xml:space="preserve"> introduces the research problem and positions repeatable integration capability as the central focus of the study. It outlines the background of mergers and acquisitions, the persistent gap between acquisition intent and integration outcomes, the research aim and objectives, the core thesis statement, the primary research questions, and the significance of the study.</w:t>
      </w:r>
    </w:p>
    <w:p w14:paraId="6BAFBD9D" w14:textId="77777777" w:rsidR="00911AC3" w:rsidRDefault="00911AC3" w:rsidP="00911AC3">
      <w:pPr>
        <w:rPr>
          <w:lang w:val="en-CA"/>
        </w:rPr>
      </w:pPr>
    </w:p>
    <w:p w14:paraId="58129AFC" w14:textId="62838C71" w:rsidR="00911AC3" w:rsidRDefault="00911AC3" w:rsidP="00911AC3">
      <w:pPr>
        <w:spacing w:line="480" w:lineRule="auto"/>
        <w:rPr>
          <w:color w:val="000000" w:themeColor="text1"/>
          <w:lang w:val="en-CA"/>
        </w:rPr>
      </w:pPr>
      <w:r w:rsidRPr="00911AC3">
        <w:rPr>
          <w:b/>
          <w:bCs/>
          <w:color w:val="000000" w:themeColor="text1"/>
          <w:lang w:val="en-CA"/>
        </w:rPr>
        <w:t>Chapter 2</w:t>
      </w:r>
      <w:r w:rsidRPr="00911AC3">
        <w:rPr>
          <w:color w:val="000000" w:themeColor="text1"/>
          <w:lang w:val="en-CA"/>
        </w:rPr>
        <w:t xml:space="preserve"> presents the literature search strategy and reviews the relevant literature on mergers and acquisitions, post-merger integration, serial acquirers, organizational learning, dynamic capabilities, integration governance, planning, execution, technology integration, and human capital considerations. The literature search strategy explains what sources were sought, which areas of literature were included, and which sources were excluded from deeper review, including literature focused only on valuation, tax, legal structuring, accounting treatment, transaction mechanics, or generic change management without a direct connection to post-merger integration capability. The chapter critically examines existing frameworks and highlights their limitations in explaining how organizations achieve repeatable integration success across multiple transactions.</w:t>
      </w:r>
    </w:p>
    <w:p w14:paraId="49B4A825" w14:textId="77777777" w:rsidR="00911AC3" w:rsidRDefault="00911AC3" w:rsidP="00911AC3">
      <w:pPr>
        <w:rPr>
          <w:lang w:val="en-CA"/>
        </w:rPr>
      </w:pPr>
    </w:p>
    <w:p w14:paraId="60ADE696" w14:textId="5CD09A19" w:rsidR="00911AC3" w:rsidRDefault="00911AC3" w:rsidP="00911AC3">
      <w:pPr>
        <w:spacing w:line="480" w:lineRule="auto"/>
        <w:rPr>
          <w:color w:val="000000" w:themeColor="text1"/>
          <w:lang w:val="en-CA"/>
        </w:rPr>
      </w:pPr>
      <w:r w:rsidRPr="00911AC3">
        <w:rPr>
          <w:b/>
          <w:bCs/>
          <w:color w:val="000000" w:themeColor="text1"/>
          <w:lang w:val="en-CA"/>
        </w:rPr>
        <w:t>Chapter 3</w:t>
      </w:r>
      <w:r w:rsidRPr="00911AC3">
        <w:rPr>
          <w:color w:val="000000" w:themeColor="text1"/>
          <w:lang w:val="en-CA"/>
        </w:rPr>
        <w:t xml:space="preserve"> outlines the research methodology, including the qualitative research design, interpretivist philosophy, inductive research approach, participant selection, data collection, </w:t>
      </w:r>
      <w:r w:rsidRPr="00911AC3">
        <w:rPr>
          <w:color w:val="000000" w:themeColor="text1"/>
          <w:lang w:val="en-CA"/>
        </w:rPr>
        <w:lastRenderedPageBreak/>
        <w:t>interview structure, and analytical approach used to examine integration practices across serial acquirers. It also addresses researcher positionality, reliability and validity, ethical considerations, and the use of thematic analysis to identify recurring patterns across the interview data.</w:t>
      </w:r>
    </w:p>
    <w:p w14:paraId="1B0F24EF" w14:textId="77777777" w:rsidR="00911AC3" w:rsidRDefault="00911AC3" w:rsidP="00911AC3">
      <w:pPr>
        <w:rPr>
          <w:lang w:val="en-CA"/>
        </w:rPr>
      </w:pPr>
    </w:p>
    <w:p w14:paraId="383CD26B" w14:textId="0A73E46F" w:rsidR="00911AC3" w:rsidRDefault="00911AC3" w:rsidP="00911AC3">
      <w:pPr>
        <w:spacing w:line="480" w:lineRule="auto"/>
        <w:rPr>
          <w:color w:val="000000" w:themeColor="text1"/>
          <w:lang w:val="en-CA"/>
        </w:rPr>
      </w:pPr>
      <w:r w:rsidRPr="00911AC3">
        <w:rPr>
          <w:b/>
          <w:bCs/>
          <w:color w:val="000000" w:themeColor="text1"/>
          <w:lang w:val="en-CA"/>
        </w:rPr>
        <w:t>Chapter 4</w:t>
      </w:r>
      <w:r w:rsidRPr="00911AC3">
        <w:rPr>
          <w:color w:val="000000" w:themeColor="text1"/>
          <w:lang w:val="en-CA"/>
        </w:rPr>
        <w:t xml:space="preserve"> presents the empirical findings from the interviews, identifying key themes related to integration governance, planning, execution, technology integration, human capital, organizational learning, and success factors in serial acquisitions. These findings reveal recurring patterns in how organizations manage acquisition integration, where challenges persist, and how weaknesses in one dimension often create pressure across the broader integration lifecycle.</w:t>
      </w:r>
    </w:p>
    <w:p w14:paraId="7C7E4275" w14:textId="77777777" w:rsidR="00911AC3" w:rsidRDefault="00911AC3" w:rsidP="00911AC3">
      <w:pPr>
        <w:rPr>
          <w:lang w:val="en-CA"/>
        </w:rPr>
      </w:pPr>
    </w:p>
    <w:p w14:paraId="4880E94F" w14:textId="106136C1" w:rsidR="00911AC3" w:rsidRDefault="00911AC3" w:rsidP="00911AC3">
      <w:pPr>
        <w:spacing w:line="480" w:lineRule="auto"/>
        <w:rPr>
          <w:color w:val="000000" w:themeColor="text1"/>
          <w:lang w:val="en-CA"/>
        </w:rPr>
      </w:pPr>
      <w:r w:rsidRPr="00911AC3">
        <w:rPr>
          <w:b/>
          <w:bCs/>
          <w:color w:val="000000" w:themeColor="text1"/>
          <w:lang w:val="en-CA"/>
        </w:rPr>
        <w:t>Chapter 5</w:t>
      </w:r>
      <w:r w:rsidRPr="00911AC3">
        <w:rPr>
          <w:color w:val="000000" w:themeColor="text1"/>
          <w:lang w:val="en-CA"/>
        </w:rPr>
        <w:t xml:space="preserve"> analyses and interprets these findings in relation to existing literature. It identifies the key patterns that shape repeatable integration capability and explains how governance, leadership authority, execution discipline, technology readiness, human capital alignment, and learning mechanisms interact to influence integration outcomes over time. This chapter introduces and develops the Integration Capability Loop and Integration Capability Engine as explanatory models of integration capability.</w:t>
      </w:r>
    </w:p>
    <w:p w14:paraId="0BE8B2A8" w14:textId="77777777" w:rsidR="00911AC3" w:rsidRDefault="00911AC3" w:rsidP="00911AC3">
      <w:pPr>
        <w:rPr>
          <w:lang w:val="en-CA"/>
        </w:rPr>
      </w:pPr>
    </w:p>
    <w:p w14:paraId="71001A1A" w14:textId="14834B33" w:rsidR="00911AC3" w:rsidRDefault="00911AC3" w:rsidP="00911AC3">
      <w:pPr>
        <w:spacing w:line="480" w:lineRule="auto"/>
        <w:rPr>
          <w:color w:val="000000" w:themeColor="text1"/>
          <w:lang w:val="en-CA"/>
        </w:rPr>
      </w:pPr>
      <w:r w:rsidRPr="00911AC3">
        <w:rPr>
          <w:b/>
          <w:bCs/>
          <w:color w:val="000000" w:themeColor="text1"/>
          <w:lang w:val="en-CA"/>
        </w:rPr>
        <w:t>Chapter 6</w:t>
      </w:r>
      <w:r w:rsidRPr="00911AC3">
        <w:rPr>
          <w:color w:val="000000" w:themeColor="text1"/>
          <w:lang w:val="en-CA"/>
        </w:rPr>
        <w:t xml:space="preserve"> operationalizes the Integration Capability Loop in practice. It presents a structured methodology for building repeatable integration capability in serial acquirers, organized around the stages of acquisition readiness, pre-close planning, Day 1 stabilization, integration execution, and organizational learning. It also introduces decision gates, maturity considerations, an integration capability maturity diagnostic, and practical adoption considerations for organizations seeking to improve integration performance across repeated acquisitions.</w:t>
      </w:r>
    </w:p>
    <w:p w14:paraId="23A75766" w14:textId="77777777" w:rsidR="00911AC3" w:rsidRDefault="00911AC3" w:rsidP="00911AC3">
      <w:pPr>
        <w:rPr>
          <w:lang w:val="en-CA"/>
        </w:rPr>
      </w:pPr>
    </w:p>
    <w:p w14:paraId="2B4EBEC9" w14:textId="2BF651A8" w:rsidR="00911AC3" w:rsidRDefault="00911AC3" w:rsidP="00911AC3">
      <w:pPr>
        <w:spacing w:line="480" w:lineRule="auto"/>
        <w:rPr>
          <w:color w:val="000000" w:themeColor="text1"/>
          <w:lang w:val="en-CA"/>
        </w:rPr>
      </w:pPr>
      <w:r w:rsidRPr="00911AC3">
        <w:rPr>
          <w:b/>
          <w:bCs/>
          <w:color w:val="000000" w:themeColor="text1"/>
          <w:lang w:val="en-CA"/>
        </w:rPr>
        <w:lastRenderedPageBreak/>
        <w:t>Chapter 7</w:t>
      </w:r>
      <w:r w:rsidRPr="00911AC3">
        <w:rPr>
          <w:color w:val="000000" w:themeColor="text1"/>
          <w:lang w:val="en-CA"/>
        </w:rPr>
        <w:t xml:space="preserve"> concludes the dissertation by summarizing the research findings, outlining the study’s theoretical and practical contributions, acknowledging its boundary conditions and limitations, and offering recommendations for future research. It also reflects on the broader contribution of the study by positioning repeatable integration capability as a management discipline that enables organizations to convert repeated acquisition activity into sustained integration performance.</w:t>
      </w:r>
    </w:p>
    <w:p w14:paraId="3AC5285E" w14:textId="77777777" w:rsidR="00911AC3" w:rsidRDefault="00911AC3" w:rsidP="00911AC3">
      <w:pPr>
        <w:rPr>
          <w:lang w:val="en-CA"/>
        </w:rPr>
      </w:pPr>
    </w:p>
    <w:p w14:paraId="333C826C" w14:textId="06F9DDF8" w:rsidR="00911AC3" w:rsidRPr="00911AC3" w:rsidRDefault="00911AC3" w:rsidP="00911AC3">
      <w:pPr>
        <w:spacing w:line="480" w:lineRule="auto"/>
        <w:rPr>
          <w:lang w:val="en-CA"/>
        </w:rPr>
      </w:pPr>
      <w:r w:rsidRPr="00911AC3">
        <w:rPr>
          <w:lang w:val="en-CA"/>
        </w:rPr>
        <w:t>As acquisition activity continues to increase in scale and frequency, the ability to execute integration consistently becomes a critical determinant of long-term value creation. This dissertation addresses the gap between integration theory and practice by examining how organizations build repeatable integration capability through governance, leadership, execution discipline, technology readiness, human capital alignment, and organizational learning. The following chapters explore this problem through a combination of literature analysis, empirical insights, conceptual model development, and practical operationalization.</w:t>
      </w:r>
    </w:p>
    <w:p w14:paraId="4CA34781" w14:textId="064297D2" w:rsidR="00584B4D" w:rsidRPr="00B95E28" w:rsidRDefault="00584B4D" w:rsidP="00557AB7">
      <w:pPr>
        <w:spacing w:line="480" w:lineRule="auto"/>
        <w:rPr>
          <w:color w:val="000000" w:themeColor="text1"/>
        </w:rPr>
        <w:sectPr w:rsidR="00584B4D" w:rsidRPr="00B95E28" w:rsidSect="002E2532">
          <w:headerReference w:type="default" r:id="rId10"/>
          <w:footerReference w:type="default" r:id="rId11"/>
          <w:pgSz w:w="12240" w:h="15840"/>
          <w:pgMar w:top="1440" w:right="1440" w:bottom="1440" w:left="1440" w:header="720" w:footer="720" w:gutter="0"/>
          <w:pgNumType w:start="1"/>
          <w:cols w:space="720"/>
        </w:sectPr>
      </w:pPr>
    </w:p>
    <w:p w14:paraId="67B3FD90" w14:textId="67409266" w:rsidR="00E04446" w:rsidRPr="00B95E28" w:rsidRDefault="00000000" w:rsidP="00557AB7">
      <w:pPr>
        <w:spacing w:line="480" w:lineRule="auto"/>
        <w:jc w:val="center"/>
        <w:rPr>
          <w:b/>
          <w:color w:val="000000" w:themeColor="text1"/>
        </w:rPr>
      </w:pPr>
      <w:bookmarkStart w:id="43" w:name="_w1bm1du7yj4o" w:colFirst="0" w:colLast="0"/>
      <w:bookmarkStart w:id="44" w:name="_idjvbzx0msl9" w:colFirst="0" w:colLast="0"/>
      <w:bookmarkEnd w:id="43"/>
      <w:bookmarkEnd w:id="44"/>
      <w:r w:rsidRPr="00B95E28">
        <w:rPr>
          <w:b/>
          <w:color w:val="000000" w:themeColor="text1"/>
        </w:rPr>
        <w:lastRenderedPageBreak/>
        <w:t>CHAPTER 2</w:t>
      </w:r>
    </w:p>
    <w:p w14:paraId="29A3640D" w14:textId="1723D805" w:rsidR="00E04446" w:rsidRPr="00B95E28" w:rsidRDefault="004604AB" w:rsidP="00557AB7">
      <w:pPr>
        <w:pStyle w:val="Heading1"/>
        <w:rPr>
          <w:color w:val="000000" w:themeColor="text1"/>
        </w:rPr>
      </w:pPr>
      <w:bookmarkStart w:id="45" w:name="_Toc230881422"/>
      <w:bookmarkStart w:id="46" w:name="_Toc232351821"/>
      <w:r w:rsidRPr="00B95E28">
        <w:rPr>
          <w:color w:val="000000" w:themeColor="text1"/>
        </w:rPr>
        <w:t>LITERATURE REVIEW</w:t>
      </w:r>
      <w:bookmarkEnd w:id="45"/>
      <w:bookmarkEnd w:id="46"/>
    </w:p>
    <w:p w14:paraId="3634F912" w14:textId="557A405D" w:rsidR="004604AB" w:rsidRPr="00B95E28" w:rsidRDefault="00A7009E" w:rsidP="00557AB7">
      <w:pPr>
        <w:pStyle w:val="Heading2"/>
        <w:spacing w:before="0" w:after="0" w:line="480" w:lineRule="auto"/>
        <w:ind w:left="0" w:firstLine="0"/>
        <w:rPr>
          <w:color w:val="000000" w:themeColor="text1"/>
        </w:rPr>
      </w:pPr>
      <w:bookmarkStart w:id="47" w:name="_Toc230881423"/>
      <w:bookmarkStart w:id="48" w:name="_Toc232351822"/>
      <w:r w:rsidRPr="00B95E28">
        <w:rPr>
          <w:color w:val="000000" w:themeColor="text1"/>
        </w:rPr>
        <w:t xml:space="preserve">Chapter </w:t>
      </w:r>
      <w:r w:rsidR="004604AB" w:rsidRPr="00B95E28">
        <w:rPr>
          <w:color w:val="000000" w:themeColor="text1"/>
        </w:rPr>
        <w:t>2</w:t>
      </w:r>
      <w:r w:rsidRPr="00B95E28">
        <w:rPr>
          <w:color w:val="000000" w:themeColor="text1"/>
        </w:rPr>
        <w:t>:</w:t>
      </w:r>
      <w:r w:rsidR="004604AB" w:rsidRPr="00B95E28">
        <w:rPr>
          <w:color w:val="000000" w:themeColor="text1"/>
        </w:rPr>
        <w:t xml:space="preserve"> Introduction</w:t>
      </w:r>
      <w:bookmarkEnd w:id="47"/>
      <w:bookmarkEnd w:id="48"/>
    </w:p>
    <w:p w14:paraId="29440833" w14:textId="77777777" w:rsidR="004604AB" w:rsidRPr="00B95E28" w:rsidRDefault="004604AB" w:rsidP="00557AB7">
      <w:pPr>
        <w:spacing w:line="480" w:lineRule="auto"/>
        <w:rPr>
          <w:color w:val="000000" w:themeColor="text1"/>
        </w:rPr>
      </w:pPr>
      <w:r w:rsidRPr="00B95E28">
        <w:rPr>
          <w:color w:val="000000" w:themeColor="text1"/>
        </w:rPr>
        <w:t>Mergers and acquisitions (M&amp;A) have been extensively examined in the literature as a mechanism for organizational growth, value creation, and strategic expansion (Gaughan, 2018; Cartwright &amp; Schoenberg, 2006). Prior research has explored M&amp;A from multiple perspectives, including strategic rationale, financial performance, and post-acquisition integration (King et al., 2004; Christensen et al., 2011). Within this body of work, post-merger integration is consistently identified as the phase in which acquisition value is realized, requiring alignment across structures, systems, processes, and people (Haspeslagh &amp; Jemison, 1991).</w:t>
      </w:r>
    </w:p>
    <w:p w14:paraId="31FB4C25" w14:textId="77777777" w:rsidR="004604AB" w:rsidRPr="00B95E28" w:rsidRDefault="004604AB" w:rsidP="00557AB7">
      <w:pPr>
        <w:spacing w:line="480" w:lineRule="auto"/>
        <w:rPr>
          <w:color w:val="000000" w:themeColor="text1"/>
        </w:rPr>
      </w:pPr>
      <w:r w:rsidRPr="00B95E28">
        <w:rPr>
          <w:color w:val="000000" w:themeColor="text1"/>
        </w:rPr>
        <w:t>Existing studies have identified a range of factors that influence integration outcomes, including governance structures, planning processes, execution discipline, technology integration, and human capital considerations (Haspeslagh &amp; Jemison, 1991; Kim &amp; Olsen, 1999). These contributions have significantly advanced understanding of how integration should be managed at the transaction level. However, despite this depth of research, variability in integration outcomes persists across organizations and across transactions (Cartwright &amp; Schoenberg, 2006; King et al., 2004).</w:t>
      </w:r>
    </w:p>
    <w:p w14:paraId="1C05436F" w14:textId="77777777" w:rsidR="00A50267" w:rsidRPr="00B95E28" w:rsidRDefault="00A50267" w:rsidP="00A50267">
      <w:pPr>
        <w:rPr>
          <w:color w:val="000000" w:themeColor="text1"/>
        </w:rPr>
      </w:pPr>
    </w:p>
    <w:p w14:paraId="10A4E316" w14:textId="5BD52BFC" w:rsidR="004604AB" w:rsidRDefault="004604AB" w:rsidP="00557AB7">
      <w:pPr>
        <w:spacing w:line="480" w:lineRule="auto"/>
        <w:rPr>
          <w:color w:val="000000" w:themeColor="text1"/>
        </w:rPr>
      </w:pPr>
      <w:r w:rsidRPr="00B95E28">
        <w:rPr>
          <w:color w:val="000000" w:themeColor="text1"/>
        </w:rPr>
        <w:t xml:space="preserve">This inconsistency has prompted increasing attention toward the conditions under which integration can be executed successfully, particularly in the context of repeated acquisition activity (Zollo &amp; Winter, 2002; Laamanen &amp; Keil, 2008). As organizations adopt more programmatic approaches to M&amp;A, the ability to deliver integration outcomes consistently becomes increasingly important. While prior literature provides guidance on integration processes and success factors, it offers more limited insight into how organizations develop the </w:t>
      </w:r>
      <w:r w:rsidRPr="00B95E28">
        <w:rPr>
          <w:color w:val="000000" w:themeColor="text1"/>
        </w:rPr>
        <w:lastRenderedPageBreak/>
        <w:t>capability to execute integration repeatedly across multiple acquisitions (Teece, 2007; Eisenhardt &amp; Martin, 2000).</w:t>
      </w:r>
    </w:p>
    <w:p w14:paraId="6EBEB22F" w14:textId="77777777" w:rsidR="0063141E" w:rsidRDefault="0063141E" w:rsidP="004E060A"/>
    <w:p w14:paraId="73CAF0CA" w14:textId="64026C94" w:rsidR="0063141E" w:rsidRPr="004E060A" w:rsidRDefault="0063141E" w:rsidP="0063141E">
      <w:pPr>
        <w:pStyle w:val="Heading2"/>
        <w:spacing w:before="0" w:after="0" w:line="480" w:lineRule="auto"/>
        <w:ind w:left="0" w:firstLine="0"/>
        <w:rPr>
          <w:color w:val="548DD4" w:themeColor="text2" w:themeTint="99"/>
        </w:rPr>
      </w:pPr>
      <w:bookmarkStart w:id="49" w:name="_Toc232351823"/>
      <w:r w:rsidRPr="004E060A">
        <w:rPr>
          <w:color w:val="548DD4" w:themeColor="text2" w:themeTint="99"/>
        </w:rPr>
        <w:t>2.1 Literature Search Strategy</w:t>
      </w:r>
      <w:bookmarkEnd w:id="49"/>
    </w:p>
    <w:p w14:paraId="428259AC" w14:textId="77777777"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The literature search for this dissertation was designed to identify academic and practitioner sources relevant to the development of repeatable post-merger integration capability in serial acquirers. The purpose of the search was not simply to review general literature on mergers and acquisitions, but to understand how existing research explains the relationship between acquisition experience, integration execution, governance, organizational learning, and capability development. This focus was necessary because the central problem addressed in this dissertation is not whether organizations understand integration activities, but why many organizations struggle to execute integration consistently across multiple acquisitions.</w:t>
      </w:r>
    </w:p>
    <w:p w14:paraId="1DB6EE5C" w14:textId="77777777"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 xml:space="preserve">The search was guided by the overall research aim: to examine how organizations that pursue multiple acquisitions develop repeatable post-merger integration capability as an organizational competence. The search therefore focused on literature that could explain integration as more than a transaction-specific process. In particular, the search sought sources addressing mergers and acquisitions, post-merger integration, serial acquirers, programmatic M&amp;A, organizational learning, dynamic capabilities, integration governance, integration planning, technology integration, human capital integration, acquisition performance, synergy realization, and value creation. These areas aligned with the dissertation’s focus on integration as an organizational capability shaped by governance, leadership authority, planning, execution, technology, people, and learning. </w:t>
      </w:r>
    </w:p>
    <w:p w14:paraId="0DE2EEDB" w14:textId="77777777"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 xml:space="preserve">The first area of the literature search focused on foundational M&amp;A literature. This included sources addressing acquisition rationale, strategic intent, value creation, synergy, deal </w:t>
      </w:r>
      <w:r w:rsidRPr="004E060A">
        <w:rPr>
          <w:color w:val="548DD4" w:themeColor="text2" w:themeTint="99"/>
          <w:lang w:val="en-CA"/>
        </w:rPr>
        <w:lastRenderedPageBreak/>
        <w:t>performance, and acquisition underperformance. These sources were included because they established the broader context for the study: organizations continue to use acquisitions as a major growth mechanism, yet many transactions fail to deliver expected value. Literature on M&amp;A performance and value realization was therefore important in positioning post-merger integration as the phase where strategic assumptions are tested and where acquisition value is either realized, delayed, or eroded.</w:t>
      </w:r>
    </w:p>
    <w:p w14:paraId="7D83EDCE" w14:textId="77777777" w:rsidR="0063141E" w:rsidRPr="004E060A" w:rsidRDefault="0063141E" w:rsidP="0063141E">
      <w:pPr>
        <w:rPr>
          <w:color w:val="548DD4" w:themeColor="text2" w:themeTint="99"/>
          <w:lang w:val="en-CA"/>
        </w:rPr>
      </w:pPr>
    </w:p>
    <w:p w14:paraId="55F1FA36" w14:textId="37060894"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The second area of the search focused specifically on post-merger integration. This included literature on integration planning, governance structures, workstream management, communication, synergy tracking, execution discipline, and functional integration. These sources were included because they explain what integration typically requires at the transaction level. However, the search also revealed an important limitation. Much of the existing integration literature treats integration as a structured process within an individual acquisition, rather than as a capability developed across repeated transactions. This limitation helped shape the research gap, as the dissertation argues that integration playbooks, templates, and planning methods are useful but insufficient unless organizations have the capability to apply, adapt, resource, govern, and improve them consistently.</w:t>
      </w:r>
    </w:p>
    <w:p w14:paraId="539AA3FA" w14:textId="77777777" w:rsidR="0063141E" w:rsidRPr="004E060A" w:rsidRDefault="0063141E" w:rsidP="0063141E">
      <w:pPr>
        <w:rPr>
          <w:color w:val="548DD4" w:themeColor="text2" w:themeTint="99"/>
          <w:lang w:val="en-CA"/>
        </w:rPr>
      </w:pPr>
    </w:p>
    <w:p w14:paraId="3F18BB5D" w14:textId="3898A910"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 xml:space="preserve">The third area of the search examined serial acquirers and programmatic M&amp;A. This area was central to the dissertation because the study focuses on organizations that pursue multiple acquisitions over time. The literature search looked for sources that addressed whether repeated acquisition experience improves acquisition performance and under what conditions organizations learn from repeated deals. These sources were included because they helped distinguish acquisition experience from integration capability. Acquisition experience refers to </w:t>
      </w:r>
      <w:r w:rsidRPr="004E060A">
        <w:rPr>
          <w:color w:val="548DD4" w:themeColor="text2" w:themeTint="99"/>
          <w:lang w:val="en-CA"/>
        </w:rPr>
        <w:lastRenderedPageBreak/>
        <w:t xml:space="preserve">accumulated exposure to transactions, while integration capability refers to the organization’s ability to convert experience into repeatable routines, decision structures, governance mechanisms, and learning practices. This distinction is central to the dissertation’s argument that repeated acquisition activity does not automatically produce improved integration outcomes. </w:t>
      </w:r>
    </w:p>
    <w:p w14:paraId="48DFF289" w14:textId="77777777" w:rsidR="0063141E" w:rsidRPr="004E060A" w:rsidRDefault="0063141E" w:rsidP="0063141E">
      <w:pPr>
        <w:rPr>
          <w:color w:val="548DD4" w:themeColor="text2" w:themeTint="99"/>
          <w:lang w:val="en-CA"/>
        </w:rPr>
      </w:pPr>
    </w:p>
    <w:p w14:paraId="32D8BF25" w14:textId="01CA4C5B"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The fourth area of the literature search focused on organizational learning and dynamic capabilities. These bodies of literature were included because they provide the theoretical foundation for explaining how organizations develop, refine, and reapply capability over time. Organizational learning literature was used to examine the distinction between experiential learning and deliberate learning mechanisms, including articulation, codification, knowledge transfer, and reuse. Dynamic capabilities literature was included because it explains how organizations integrate, build, and reconfigure competencies in changing environments. These perspectives supported the dissertation’s argument that integration capability is not an automatic by-product of acquisition activity; rather, it must be deliberately constructed through governance, leadership, execution routines, and institutional learning.</w:t>
      </w:r>
    </w:p>
    <w:p w14:paraId="373D089A" w14:textId="77777777" w:rsidR="0063141E" w:rsidRPr="004E060A" w:rsidRDefault="0063141E" w:rsidP="0063141E">
      <w:pPr>
        <w:rPr>
          <w:color w:val="548DD4" w:themeColor="text2" w:themeTint="99"/>
          <w:lang w:val="en-CA"/>
        </w:rPr>
      </w:pPr>
    </w:p>
    <w:p w14:paraId="4029B88C" w14:textId="029C0A1F"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 xml:space="preserve">The fifth area of the search focused on integration governance and decision authority. Sources were included where they addressed integration ownership, executive sponsorship, decision rights, escalation mechanisms, Integration Management Offices, and cross-functional coordination. These sources were important because governance emerged as a central determinant of integration consistency. However, the search also revealed that governance is often discussed in structural terms, such as committees, reporting lines, workstreams, and steering groups. Less attention is given to whether governance creates real authority to resolve </w:t>
      </w:r>
      <w:r w:rsidRPr="004E060A">
        <w:rPr>
          <w:color w:val="548DD4" w:themeColor="text2" w:themeTint="99"/>
          <w:lang w:val="en-CA"/>
        </w:rPr>
        <w:lastRenderedPageBreak/>
        <w:t xml:space="preserve">cross-functional trade-offs. This distinction informed the dissertation’s emphasis on governance as an accountability mechanism rather than a meeting structure alone. </w:t>
      </w:r>
    </w:p>
    <w:p w14:paraId="0E9D0A33" w14:textId="77777777" w:rsidR="0063141E" w:rsidRPr="004E060A" w:rsidRDefault="0063141E" w:rsidP="0063141E">
      <w:pPr>
        <w:rPr>
          <w:color w:val="548DD4" w:themeColor="text2" w:themeTint="99"/>
          <w:lang w:val="en-CA"/>
        </w:rPr>
      </w:pPr>
    </w:p>
    <w:p w14:paraId="1B999EFD" w14:textId="3F03C4AE"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The literature search also included technology and systems integration because technology repeatedly appears as both an enabler and a constraint in post-merger integration. Sources were included where they addressed systems alignment, data migration, reporting, controls, process standardization, technology readiness, and technology-enabled operating model alignment. Sources that treated technology only as a narrow technical implementation issue were used selectively, as the dissertation positions technology integration as part of broader business integration. This was important because systems, data, processes, reporting, and decision-making are deeply connected during integration.</w:t>
      </w:r>
    </w:p>
    <w:p w14:paraId="6DC3EEC3" w14:textId="77777777" w:rsidR="0063141E" w:rsidRPr="004E060A" w:rsidRDefault="0063141E" w:rsidP="0063141E">
      <w:pPr>
        <w:rPr>
          <w:color w:val="548DD4" w:themeColor="text2" w:themeTint="99"/>
          <w:lang w:val="en-CA"/>
        </w:rPr>
      </w:pPr>
    </w:p>
    <w:p w14:paraId="6F75185D" w14:textId="772F545A"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Human capital and organizational alignment literature was also included. The search focused on sources addressing culture, communication, employee uncertainty, talent retention, leadership alignment, and change management during integration. These sources were relevant because post-merger integration is not only a structural or technical activity; it also depends on whether employees, leaders, and functional teams understand, accept, and enact the future operating model. However, sources that treated human capital as a generic change-management issue without linking it to acquisition integration, execution risk, or value realization were excluded from deeper analysis.</w:t>
      </w:r>
    </w:p>
    <w:p w14:paraId="0B008EB4" w14:textId="77777777" w:rsidR="0063141E" w:rsidRPr="004E060A" w:rsidRDefault="0063141E" w:rsidP="0063141E">
      <w:pPr>
        <w:rPr>
          <w:color w:val="548DD4" w:themeColor="text2" w:themeTint="99"/>
          <w:lang w:val="en-CA"/>
        </w:rPr>
      </w:pPr>
    </w:p>
    <w:p w14:paraId="7A349A6C" w14:textId="7242E2B8"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 xml:space="preserve">Several types of sources were excluded from the literature review. First, sources focused only on financial valuation, deal structuring, tax, legal, accounting treatment, or transaction mechanics were excluded unless they directly addressed integration outcomes. While these areas are important to M&amp;A execution, they did not directly support the research question concerning </w:t>
      </w:r>
      <w:r w:rsidRPr="004E060A">
        <w:rPr>
          <w:color w:val="548DD4" w:themeColor="text2" w:themeTint="99"/>
          <w:lang w:val="en-CA"/>
        </w:rPr>
        <w:lastRenderedPageBreak/>
        <w:t>repeatable integration capability. Second, sources focused only on single-deal success factors were excluded or used selectively where they did not address repeatability, organizational learning, or capability development. Third, highly generic practitioner sources were excluded where they offered unsupported checklists, broad best-practice claims, or simplified integration advice without clear analytical grounding. Fourth, sources focused on general organizational change, transformation, or project management were excluded unless they had a clear connection to integration governance, execution, learning, or capability development. Finally, sources addressing M&amp;A performance without considering post-merger integration were used only to establish the broader performance problem and were not treated as central to the capability argument.</w:t>
      </w:r>
    </w:p>
    <w:p w14:paraId="7A408C2C" w14:textId="77777777" w:rsidR="0063141E" w:rsidRPr="004E060A" w:rsidRDefault="0063141E" w:rsidP="0063141E">
      <w:pPr>
        <w:rPr>
          <w:color w:val="548DD4" w:themeColor="text2" w:themeTint="99"/>
          <w:lang w:val="en-CA"/>
        </w:rPr>
      </w:pPr>
    </w:p>
    <w:p w14:paraId="4F151E24" w14:textId="10CF42C0"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The inclusion and exclusion process helped clarify the research gap. The literature provides substantial insight into individual components of integration, including governance, planning, execution, technology, human capital, and learning. However, these dimensions are often examined separately. What remains less developed is an explanation of how these dimensions interact over time to create repeatable integration capability across successive acquisitions. This gap is particularly important for serial acquirers, where the challenge is not only to execute one integration successfully, but to improve integration performance across an acquisition program.</w:t>
      </w:r>
    </w:p>
    <w:p w14:paraId="7E6B495D" w14:textId="77777777" w:rsidR="0063141E" w:rsidRPr="004E060A" w:rsidRDefault="0063141E" w:rsidP="0063141E">
      <w:pPr>
        <w:rPr>
          <w:color w:val="548DD4" w:themeColor="text2" w:themeTint="99"/>
          <w:lang w:val="en-CA"/>
        </w:rPr>
      </w:pPr>
    </w:p>
    <w:p w14:paraId="78321D1F" w14:textId="54F96382" w:rsidR="0063141E" w:rsidRPr="004E060A" w:rsidRDefault="0063141E" w:rsidP="0063141E">
      <w:pPr>
        <w:spacing w:line="480" w:lineRule="auto"/>
        <w:rPr>
          <w:color w:val="548DD4" w:themeColor="text2" w:themeTint="99"/>
          <w:lang w:val="en-CA"/>
        </w:rPr>
      </w:pPr>
      <w:r w:rsidRPr="004E060A">
        <w:rPr>
          <w:color w:val="548DD4" w:themeColor="text2" w:themeTint="99"/>
          <w:lang w:val="en-CA"/>
        </w:rPr>
        <w:t xml:space="preserve">The literature search therefore supported the development of the dissertation’s central argument. Existing research explains many aspects of effective integration, but it does not fully explain how organizations convert repeated acquisition activity into repeatable integration capability. This study addresses that gap by integrating M&amp;A, organizational learning, dynamic capabilities, and practitioner evidence into a capability-based explanation of post-merger integration. The </w:t>
      </w:r>
      <w:r w:rsidRPr="004E060A">
        <w:rPr>
          <w:color w:val="548DD4" w:themeColor="text2" w:themeTint="99"/>
          <w:lang w:val="en-CA"/>
        </w:rPr>
        <w:lastRenderedPageBreak/>
        <w:t xml:space="preserve">result is the development of the Integration Capability Loop and Integration Capability Engine, which explain how integration capability is applied, reinforced, and sustained across transactions. </w:t>
      </w:r>
    </w:p>
    <w:p w14:paraId="45628A26" w14:textId="77777777" w:rsidR="0063141E" w:rsidRPr="004E060A" w:rsidRDefault="0063141E" w:rsidP="0063141E">
      <w:pPr>
        <w:rPr>
          <w:color w:val="548DD4" w:themeColor="text2" w:themeTint="99"/>
          <w:lang w:val="en-CA"/>
        </w:rPr>
      </w:pPr>
    </w:p>
    <w:p w14:paraId="35942A7E" w14:textId="09DB83F8" w:rsidR="0063141E" w:rsidRPr="004E060A" w:rsidRDefault="0063141E" w:rsidP="0063141E">
      <w:pPr>
        <w:spacing w:line="480" w:lineRule="auto"/>
        <w:rPr>
          <w:b/>
          <w:bCs/>
          <w:color w:val="548DD4" w:themeColor="text2" w:themeTint="99"/>
          <w:lang w:val="en-CA"/>
        </w:rPr>
      </w:pPr>
      <w:r w:rsidRPr="004E060A">
        <w:rPr>
          <w:b/>
          <w:bCs/>
          <w:color w:val="548DD4" w:themeColor="text2" w:themeTint="99"/>
          <w:lang w:val="en-CA"/>
        </w:rPr>
        <w:t>Keywords</w:t>
      </w:r>
    </w:p>
    <w:p w14:paraId="7492C8A4" w14:textId="36DA9F0C" w:rsidR="0063141E" w:rsidRPr="004E060A" w:rsidRDefault="0063141E" w:rsidP="00557AB7">
      <w:pPr>
        <w:spacing w:line="480" w:lineRule="auto"/>
        <w:rPr>
          <w:color w:val="548DD4" w:themeColor="text2" w:themeTint="99"/>
          <w:lang w:val="en-CA"/>
        </w:rPr>
      </w:pPr>
      <w:r w:rsidRPr="004E060A">
        <w:rPr>
          <w:color w:val="548DD4" w:themeColor="text2" w:themeTint="99"/>
          <w:lang w:val="en-CA"/>
        </w:rPr>
        <w:t>Mergers and acquisitions; post-merger integration; serial acquirers; integration capability; repeatable integration; acquisition integration; integration governance; decision authority; integration planning; integration execution; organizational learning; dynamic capabilities; value realization; technology integration; human capital integration; integration playbook; Integration Capability Loop; Integration Capability Engine.</w:t>
      </w:r>
    </w:p>
    <w:p w14:paraId="609B5209" w14:textId="77777777" w:rsidR="00A50267" w:rsidRPr="00B95E28" w:rsidRDefault="00A50267" w:rsidP="00A50267">
      <w:pPr>
        <w:rPr>
          <w:color w:val="000000" w:themeColor="text1"/>
        </w:rPr>
      </w:pPr>
      <w:bookmarkStart w:id="50" w:name="_Toc230881424"/>
    </w:p>
    <w:p w14:paraId="20A88CF3" w14:textId="328E03CF" w:rsidR="004604AB" w:rsidRPr="00B95E28" w:rsidRDefault="004604AB" w:rsidP="00557AB7">
      <w:pPr>
        <w:pStyle w:val="Heading2"/>
        <w:spacing w:before="0" w:after="0" w:line="480" w:lineRule="auto"/>
        <w:ind w:left="0" w:firstLine="0"/>
        <w:rPr>
          <w:color w:val="000000" w:themeColor="text1"/>
        </w:rPr>
      </w:pPr>
      <w:bookmarkStart w:id="51" w:name="_Toc232351824"/>
      <w:r w:rsidRPr="00B95E28">
        <w:rPr>
          <w:color w:val="000000" w:themeColor="text1"/>
        </w:rPr>
        <w:t>2.</w:t>
      </w:r>
      <w:r w:rsidR="0063141E">
        <w:rPr>
          <w:color w:val="000000" w:themeColor="text1"/>
        </w:rPr>
        <w:t>2</w:t>
      </w:r>
      <w:r w:rsidRPr="00B95E28">
        <w:rPr>
          <w:color w:val="000000" w:themeColor="text1"/>
        </w:rPr>
        <w:t xml:space="preserve"> Overview of Mergers and Acquisitions</w:t>
      </w:r>
      <w:bookmarkEnd w:id="50"/>
      <w:bookmarkEnd w:id="51"/>
    </w:p>
    <w:p w14:paraId="7D340477" w14:textId="77777777" w:rsidR="004604AB" w:rsidRPr="00B95E28" w:rsidRDefault="004604AB" w:rsidP="00557AB7">
      <w:pPr>
        <w:spacing w:line="480" w:lineRule="auto"/>
        <w:rPr>
          <w:color w:val="000000" w:themeColor="text1"/>
        </w:rPr>
      </w:pPr>
      <w:r w:rsidRPr="00B95E28">
        <w:rPr>
          <w:color w:val="000000" w:themeColor="text1"/>
        </w:rPr>
        <w:t>Mergers and acquisitions have become a primary mechanism through which organizations pursue growth, scale, and capability expansion (Gaughan, 2018; Christensen et al., 2011). In many industries, acquisition activity is no longer episodic but embedded within ongoing strategic programs designed to accelerate expansion and enhance competitive positioning (Laamanen &amp; Keil, 2008).</w:t>
      </w:r>
    </w:p>
    <w:p w14:paraId="3C66E1F7" w14:textId="77777777" w:rsidR="00A50267" w:rsidRPr="00B95E28" w:rsidRDefault="00A50267" w:rsidP="00A50267">
      <w:pPr>
        <w:rPr>
          <w:color w:val="000000" w:themeColor="text1"/>
        </w:rPr>
      </w:pPr>
    </w:p>
    <w:p w14:paraId="4F9C404A" w14:textId="0284D187" w:rsidR="004604AB" w:rsidRPr="00B95E28" w:rsidRDefault="004604AB" w:rsidP="00557AB7">
      <w:pPr>
        <w:spacing w:line="480" w:lineRule="auto"/>
        <w:rPr>
          <w:color w:val="000000" w:themeColor="text1"/>
        </w:rPr>
      </w:pPr>
      <w:r w:rsidRPr="00B95E28">
        <w:rPr>
          <w:color w:val="000000" w:themeColor="text1"/>
        </w:rPr>
        <w:t>The strategic rationale for M&amp;A is well established. Organizations pursue acquisitions to enter new markets, acquire capabilities, achieve cost efficiencies, and strengthen their competitive position (Gaughan, 2018; Christensen et al., 2011). Synergy remains a central justification, referring to the creation of value through the combination of firms that exceeds the value of the individual entities operating independently (Sirower, 1997; King et al., 2004).</w:t>
      </w:r>
    </w:p>
    <w:p w14:paraId="4BA03703" w14:textId="77777777" w:rsidR="00A50267" w:rsidRPr="00B95E28" w:rsidRDefault="00A50267" w:rsidP="00A50267">
      <w:pPr>
        <w:rPr>
          <w:color w:val="000000" w:themeColor="text1"/>
        </w:rPr>
      </w:pPr>
    </w:p>
    <w:p w14:paraId="385B48D9" w14:textId="77F9F7B1" w:rsidR="004604AB" w:rsidRPr="00B95E28" w:rsidRDefault="004604AB" w:rsidP="00557AB7">
      <w:pPr>
        <w:spacing w:line="480" w:lineRule="auto"/>
        <w:rPr>
          <w:color w:val="000000" w:themeColor="text1"/>
        </w:rPr>
      </w:pPr>
      <w:r w:rsidRPr="00B95E28">
        <w:rPr>
          <w:color w:val="000000" w:themeColor="text1"/>
        </w:rPr>
        <w:lastRenderedPageBreak/>
        <w:t>In addition to strategic considerations, financial motivations also play a significant role. Acquirers may seek to improve performance through operational efficiencies, scale benefits, or the acquisition of undervalued assets (Gaughan, 2018; King et al., 2004). In private equity contexts, acquisitions are often part of structured value creation plans that combine growth, margin expansion, and eventual exit strategies (Christensen et al., 2011).</w:t>
      </w:r>
    </w:p>
    <w:p w14:paraId="0FC98B7E" w14:textId="77777777" w:rsidR="00182F59" w:rsidRPr="00B95E28" w:rsidRDefault="00182F59" w:rsidP="00182F59">
      <w:pPr>
        <w:rPr>
          <w:color w:val="000000" w:themeColor="text1"/>
        </w:rPr>
      </w:pPr>
    </w:p>
    <w:p w14:paraId="2106913D" w14:textId="1AFA4F86" w:rsidR="004604AB" w:rsidRPr="00B95E28" w:rsidRDefault="004604AB" w:rsidP="00557AB7">
      <w:pPr>
        <w:spacing w:line="480" w:lineRule="auto"/>
        <w:rPr>
          <w:color w:val="000000" w:themeColor="text1"/>
        </w:rPr>
      </w:pPr>
      <w:r w:rsidRPr="00B95E28">
        <w:rPr>
          <w:color w:val="000000" w:themeColor="text1"/>
        </w:rPr>
        <w:t>The increasing prevalence of serial acquisition strategies has further shifted the nature of M&amp;A activity. Organizations are no longer focused solely on individual transactions, but on the ability to execute multiple acquisitions over time (Laamanen &amp; Keil, 2008). This shift introduces a new requirement: not only to execute a transaction successfully, but to do so consistently across repeated deals.</w:t>
      </w:r>
    </w:p>
    <w:p w14:paraId="0B60C257" w14:textId="77777777" w:rsidR="00182F59" w:rsidRPr="00B95E28" w:rsidRDefault="00182F59" w:rsidP="00182F59">
      <w:pPr>
        <w:rPr>
          <w:color w:val="000000" w:themeColor="text1"/>
        </w:rPr>
      </w:pPr>
    </w:p>
    <w:p w14:paraId="13FE93ED" w14:textId="501D3400" w:rsidR="004604AB" w:rsidRPr="00B95E28" w:rsidRDefault="004604AB" w:rsidP="00557AB7">
      <w:pPr>
        <w:spacing w:line="480" w:lineRule="auto"/>
        <w:rPr>
          <w:color w:val="000000" w:themeColor="text1"/>
        </w:rPr>
      </w:pPr>
      <w:r w:rsidRPr="00B95E28">
        <w:rPr>
          <w:color w:val="000000" w:themeColor="text1"/>
        </w:rPr>
        <w:t>Despite the maturity of deal processes and the clarity of strategic intent, outcomes remain difficult to consistently reproduce (Cartwright &amp; Schoenberg, 2006; King et al., 2004; Zollo &amp; Winter, 2002). This indicates that the challenge in M&amp;A is not limited to identifying and executing transactions but extends to the mechanisms through which value is ultimately realized.</w:t>
      </w:r>
    </w:p>
    <w:p w14:paraId="6039C126" w14:textId="77777777" w:rsidR="00182F59" w:rsidRPr="00B95E28" w:rsidRDefault="004604AB" w:rsidP="00557AB7">
      <w:pPr>
        <w:spacing w:line="480" w:lineRule="auto"/>
        <w:rPr>
          <w:color w:val="000000" w:themeColor="text1"/>
        </w:rPr>
      </w:pPr>
      <w:r w:rsidRPr="00B95E28">
        <w:rPr>
          <w:color w:val="000000" w:themeColor="text1"/>
        </w:rPr>
        <w:t xml:space="preserve">While the strategic rationale for mergers and acquisitions is well established, the literature often assumes a relatively direct relationship between strategic intent and realized outcomes. </w:t>
      </w:r>
    </w:p>
    <w:p w14:paraId="62BE0393" w14:textId="77777777" w:rsidR="00182F59" w:rsidRPr="00B95E28" w:rsidRDefault="00182F59" w:rsidP="00182F59">
      <w:pPr>
        <w:rPr>
          <w:color w:val="000000" w:themeColor="text1"/>
        </w:rPr>
      </w:pPr>
    </w:p>
    <w:p w14:paraId="287D9882" w14:textId="22B3B1F0" w:rsidR="004604AB" w:rsidRPr="00B95E28" w:rsidRDefault="004604AB" w:rsidP="00557AB7">
      <w:pPr>
        <w:spacing w:line="480" w:lineRule="auto"/>
        <w:rPr>
          <w:color w:val="000000" w:themeColor="text1"/>
        </w:rPr>
      </w:pPr>
      <w:r w:rsidRPr="00B95E28">
        <w:rPr>
          <w:color w:val="000000" w:themeColor="text1"/>
        </w:rPr>
        <w:t>Organizations identify opportunities for growth, capability acquisition, or efficiency gains, and execute transactions based on these objectives. However, this perspective implicitly assumes that the realization of these objectives follows a predictable path.</w:t>
      </w:r>
    </w:p>
    <w:p w14:paraId="7DAF9690" w14:textId="77777777" w:rsidR="00182F59" w:rsidRPr="00B95E28" w:rsidRDefault="00182F59" w:rsidP="00182F59">
      <w:pPr>
        <w:rPr>
          <w:color w:val="000000" w:themeColor="text1"/>
        </w:rPr>
      </w:pPr>
    </w:p>
    <w:p w14:paraId="7550698C" w14:textId="7F265C4B" w:rsidR="004604AB" w:rsidRPr="00B95E28" w:rsidRDefault="004604AB" w:rsidP="00557AB7">
      <w:pPr>
        <w:spacing w:line="480" w:lineRule="auto"/>
        <w:rPr>
          <w:color w:val="000000" w:themeColor="text1"/>
        </w:rPr>
      </w:pPr>
      <w:r w:rsidRPr="00B95E28">
        <w:rPr>
          <w:color w:val="000000" w:themeColor="text1"/>
        </w:rPr>
        <w:t xml:space="preserve">In practice, this assumption is rarely validated. Strategic intent represents only the starting point of the acquisition process, and the translation of this intent into measurable outcomes is </w:t>
      </w:r>
      <w:r w:rsidRPr="00B95E28">
        <w:rPr>
          <w:color w:val="000000" w:themeColor="text1"/>
        </w:rPr>
        <w:lastRenderedPageBreak/>
        <w:t>contingent on a range of organizational factors that extend beyond the deal itself. These include the organization’s ability to coordinate across functions, align incentives, manage complexity, and adapt to changing conditions during integration.</w:t>
      </w:r>
    </w:p>
    <w:p w14:paraId="635714B8" w14:textId="77777777" w:rsidR="00182F59" w:rsidRPr="00B95E28" w:rsidRDefault="00182F59" w:rsidP="00182F59">
      <w:pPr>
        <w:rPr>
          <w:color w:val="000000" w:themeColor="text1"/>
        </w:rPr>
      </w:pPr>
    </w:p>
    <w:p w14:paraId="28EE1426" w14:textId="3FA9776B" w:rsidR="004604AB" w:rsidRPr="00B95E28" w:rsidRDefault="004604AB" w:rsidP="00557AB7">
      <w:pPr>
        <w:spacing w:line="480" w:lineRule="auto"/>
        <w:rPr>
          <w:color w:val="000000" w:themeColor="text1"/>
        </w:rPr>
      </w:pPr>
      <w:r w:rsidRPr="00B95E28">
        <w:rPr>
          <w:color w:val="000000" w:themeColor="text1"/>
        </w:rPr>
        <w:t>This introduces a critical distinction between value identification and value realization. While value can be identified and theoretically quantified during the deal phase, its realization is dependent on the organization’s ability to execute integration effectively. This distinction is often underemphasized in the literature, which tends to focus on strategic and financial considerations at the expense of execution dynamics (Haspeslagh &amp; Jemison, 1991; Sirower, 1997).</w:t>
      </w:r>
    </w:p>
    <w:p w14:paraId="1DCF6E09" w14:textId="77777777" w:rsidR="00182F59" w:rsidRPr="00B95E28" w:rsidRDefault="00182F59" w:rsidP="00182F59">
      <w:pPr>
        <w:rPr>
          <w:color w:val="000000" w:themeColor="text1"/>
        </w:rPr>
      </w:pPr>
    </w:p>
    <w:p w14:paraId="5087CC0C" w14:textId="79BA8545" w:rsidR="004604AB" w:rsidRPr="00B95E28" w:rsidRDefault="004604AB" w:rsidP="00557AB7">
      <w:pPr>
        <w:spacing w:line="480" w:lineRule="auto"/>
        <w:rPr>
          <w:color w:val="000000" w:themeColor="text1"/>
        </w:rPr>
      </w:pPr>
      <w:r w:rsidRPr="00B95E28">
        <w:rPr>
          <w:color w:val="000000" w:themeColor="text1"/>
        </w:rPr>
        <w:t>Furthermore, the increasing prevalence of acquisition-led growth strategies has fundamentally altered the nature of this challenge. Organizations are no longer executing isolated transactions but are engaging in ongoing acquisition programs that require sustained performance over time. This shift introduces additional complexity, as organizations must not only execute individual integrations successfully, but also maintain consistency across multiple transactions.</w:t>
      </w:r>
    </w:p>
    <w:p w14:paraId="68CBFFBA" w14:textId="77777777" w:rsidR="00182F59" w:rsidRPr="00B95E28" w:rsidRDefault="00182F59" w:rsidP="00182F59">
      <w:pPr>
        <w:rPr>
          <w:color w:val="000000" w:themeColor="text1"/>
        </w:rPr>
      </w:pPr>
    </w:p>
    <w:p w14:paraId="04ABC4D3" w14:textId="254F285B" w:rsidR="004604AB" w:rsidRPr="00B95E28" w:rsidRDefault="004604AB" w:rsidP="00557AB7">
      <w:pPr>
        <w:spacing w:line="480" w:lineRule="auto"/>
        <w:rPr>
          <w:color w:val="000000" w:themeColor="text1"/>
        </w:rPr>
      </w:pPr>
      <w:r w:rsidRPr="00B95E28">
        <w:rPr>
          <w:color w:val="000000" w:themeColor="text1"/>
        </w:rPr>
        <w:t>In this context, the limitations of traditional M&amp;A perspectives become more evident. While strategic and financial frameworks provide valuable guidance for identifying acquisition opportunities, they offer limited insight into how organizations sustain performance across repeated acquisitions. This suggests that the challenge in M&amp;A is not solely one of strategy or execution, but of developing the capability to integrate effectively on a consistent basis.</w:t>
      </w:r>
    </w:p>
    <w:p w14:paraId="3963CBF7" w14:textId="77777777" w:rsidR="00182F59" w:rsidRPr="00B95E28" w:rsidRDefault="00182F59" w:rsidP="00182F59">
      <w:pPr>
        <w:rPr>
          <w:color w:val="000000" w:themeColor="text1"/>
        </w:rPr>
      </w:pPr>
    </w:p>
    <w:p w14:paraId="4CAA8BAC" w14:textId="71ED585D" w:rsidR="004604AB" w:rsidRPr="00B95E28" w:rsidRDefault="004604AB" w:rsidP="00557AB7">
      <w:pPr>
        <w:spacing w:line="480" w:lineRule="auto"/>
        <w:rPr>
          <w:color w:val="000000" w:themeColor="text1"/>
        </w:rPr>
      </w:pPr>
      <w:r w:rsidRPr="00B95E28">
        <w:rPr>
          <w:color w:val="000000" w:themeColor="text1"/>
        </w:rPr>
        <w:t xml:space="preserve">As a result, there is a need to move beyond viewing M&amp;A as a series of discrete transactions and toward understanding it as an ongoing organizational activity that requires the development of </w:t>
      </w:r>
      <w:r w:rsidRPr="00B95E28">
        <w:rPr>
          <w:color w:val="000000" w:themeColor="text1"/>
        </w:rPr>
        <w:lastRenderedPageBreak/>
        <w:t>repeatable capabilities. This perspective provides a foundation for examining how integration capability is constructed and sustained over time, which remains insufficiently addressed within the existing literature.</w:t>
      </w:r>
    </w:p>
    <w:p w14:paraId="7BADF9CE" w14:textId="77777777" w:rsidR="00182F59" w:rsidRPr="00B95E28" w:rsidRDefault="00182F59" w:rsidP="00182F59">
      <w:pPr>
        <w:rPr>
          <w:color w:val="000000" w:themeColor="text1"/>
        </w:rPr>
      </w:pPr>
      <w:bookmarkStart w:id="52" w:name="_Toc230881425"/>
    </w:p>
    <w:p w14:paraId="45BD2817" w14:textId="4231C1EE" w:rsidR="004604AB" w:rsidRPr="00B95E28" w:rsidRDefault="004604AB" w:rsidP="00557AB7">
      <w:pPr>
        <w:pStyle w:val="Heading2"/>
        <w:spacing w:before="0" w:after="0" w:line="480" w:lineRule="auto"/>
        <w:ind w:left="0" w:firstLine="0"/>
        <w:rPr>
          <w:color w:val="000000" w:themeColor="text1"/>
        </w:rPr>
      </w:pPr>
      <w:bookmarkStart w:id="53" w:name="_Toc232351825"/>
      <w:r w:rsidRPr="00B95E28">
        <w:rPr>
          <w:color w:val="000000" w:themeColor="text1"/>
        </w:rPr>
        <w:t>2.</w:t>
      </w:r>
      <w:r w:rsidR="0063141E">
        <w:rPr>
          <w:color w:val="000000" w:themeColor="text1"/>
        </w:rPr>
        <w:t>3</w:t>
      </w:r>
      <w:r w:rsidRPr="00B95E28">
        <w:rPr>
          <w:color w:val="000000" w:themeColor="text1"/>
        </w:rPr>
        <w:t xml:space="preserve"> M&amp;A Performance and Value Realization</w:t>
      </w:r>
      <w:bookmarkEnd w:id="52"/>
      <w:bookmarkEnd w:id="53"/>
    </w:p>
    <w:p w14:paraId="04B7D5B2" w14:textId="77777777" w:rsidR="004604AB" w:rsidRPr="00B95E28" w:rsidRDefault="004604AB" w:rsidP="00557AB7">
      <w:pPr>
        <w:spacing w:line="480" w:lineRule="auto"/>
        <w:rPr>
          <w:color w:val="000000" w:themeColor="text1"/>
        </w:rPr>
      </w:pPr>
      <w:r w:rsidRPr="00B95E28">
        <w:rPr>
          <w:color w:val="000000" w:themeColor="text1"/>
        </w:rPr>
        <w:t>A substantial body of research indicates that many mergers and acquisitions fail to achieve their intended outcomes (Cartwright &amp; Schoenberg, 2006; King et al., 2004). While reported failure rates vary, the broader conclusion is consistent: a significant proportion of acquisitions underperform relative to expectations.</w:t>
      </w:r>
    </w:p>
    <w:p w14:paraId="5FBEBC98" w14:textId="77777777" w:rsidR="0063141E" w:rsidRDefault="0063141E" w:rsidP="0063141E"/>
    <w:p w14:paraId="1B8DD140" w14:textId="09E98C79" w:rsidR="004604AB" w:rsidRPr="00B95E28" w:rsidRDefault="004604AB" w:rsidP="00557AB7">
      <w:pPr>
        <w:spacing w:line="480" w:lineRule="auto"/>
        <w:rPr>
          <w:color w:val="000000" w:themeColor="text1"/>
        </w:rPr>
      </w:pPr>
      <w:r w:rsidRPr="00B95E28">
        <w:rPr>
          <w:color w:val="000000" w:themeColor="text1"/>
        </w:rPr>
        <w:t>A key issue lies in the realization of synergies. Although synergies are often identified and quantified during the deal phase, their delivery is frequently more complex than anticipated (Sirower, 1997; Christensen et al., 2011). Cost savings may take longer to achieve, revenue opportunities may not materialize, and integration challenges may erode expected benefits (King et al., 2004).</w:t>
      </w:r>
    </w:p>
    <w:p w14:paraId="04E970B6" w14:textId="77777777" w:rsidR="00182F59" w:rsidRPr="00B95E28" w:rsidRDefault="00182F59" w:rsidP="00182F59">
      <w:pPr>
        <w:rPr>
          <w:color w:val="000000" w:themeColor="text1"/>
        </w:rPr>
      </w:pPr>
    </w:p>
    <w:p w14:paraId="2AA157F2" w14:textId="64E6CA3D" w:rsidR="004604AB" w:rsidRPr="00B95E28" w:rsidRDefault="004604AB" w:rsidP="00557AB7">
      <w:pPr>
        <w:spacing w:line="480" w:lineRule="auto"/>
        <w:rPr>
          <w:color w:val="000000" w:themeColor="text1"/>
        </w:rPr>
      </w:pPr>
      <w:r w:rsidRPr="00B95E28">
        <w:rPr>
          <w:color w:val="000000" w:themeColor="text1"/>
        </w:rPr>
        <w:t>Importantly, underperformance is rarely the result of flawed strategic intent alone (Christensen et al., 2011; Gaughan, 2018). Organizations typically pursue acquisitions with clearly defined objectives supported by detailed analysis and due diligence. The challenge emerges in translating these assumptions into operational outcomes following the transaction (Haspeslagh &amp; Jemison, 1991).</w:t>
      </w:r>
    </w:p>
    <w:p w14:paraId="546867F4" w14:textId="77777777" w:rsidR="00182F59" w:rsidRPr="00B95E28" w:rsidRDefault="00182F59" w:rsidP="00182F59">
      <w:pPr>
        <w:rPr>
          <w:color w:val="000000" w:themeColor="text1"/>
        </w:rPr>
      </w:pPr>
    </w:p>
    <w:p w14:paraId="3D18A63A" w14:textId="77777777" w:rsidR="00182F59" w:rsidRPr="00B95E28" w:rsidRDefault="004604AB" w:rsidP="00557AB7">
      <w:pPr>
        <w:spacing w:line="480" w:lineRule="auto"/>
        <w:rPr>
          <w:color w:val="000000" w:themeColor="text1"/>
        </w:rPr>
      </w:pPr>
      <w:r w:rsidRPr="00B95E28">
        <w:rPr>
          <w:color w:val="000000" w:themeColor="text1"/>
        </w:rPr>
        <w:t xml:space="preserve">This challenge becomes particularly pronounced in the context of repeated acquisitions. Laamanen and Keil (2008) extend this discussion by examining firms that engage in repeated acquisitions. In theory, serial acquirers should outperform occasional buyers due to accumulated </w:t>
      </w:r>
      <w:r w:rsidRPr="00B95E28">
        <w:rPr>
          <w:color w:val="000000" w:themeColor="text1"/>
        </w:rPr>
        <w:lastRenderedPageBreak/>
        <w:t xml:space="preserve">experience. However, their findings show that performance remains highly variable across acquisition programs. Experience alone does not translate into improved outcomes unless it is deliberately structured, managed, and leveraged at the program level (Zollo &amp; Winter, 2002). </w:t>
      </w:r>
    </w:p>
    <w:p w14:paraId="286D1F92" w14:textId="77777777" w:rsidR="00182F59" w:rsidRPr="00B95E28" w:rsidRDefault="00182F59" w:rsidP="00182F59">
      <w:pPr>
        <w:rPr>
          <w:color w:val="000000" w:themeColor="text1"/>
        </w:rPr>
      </w:pPr>
    </w:p>
    <w:p w14:paraId="0AB7B4A3" w14:textId="75ADD263" w:rsidR="004604AB" w:rsidRPr="00B95E28" w:rsidRDefault="004604AB" w:rsidP="00557AB7">
      <w:pPr>
        <w:spacing w:line="480" w:lineRule="auto"/>
        <w:rPr>
          <w:color w:val="000000" w:themeColor="text1"/>
        </w:rPr>
      </w:pPr>
      <w:r w:rsidRPr="00B95E28">
        <w:rPr>
          <w:color w:val="000000" w:themeColor="text1"/>
        </w:rPr>
        <w:t>This suggests that repeated acquisition activity does not inherently lead to capability development, reinforcing the gap between accumulated experience and consistent integration performance.</w:t>
      </w:r>
    </w:p>
    <w:p w14:paraId="44997CE6" w14:textId="77777777" w:rsidR="004604AB" w:rsidRPr="00B95E28" w:rsidRDefault="004604AB" w:rsidP="00557AB7">
      <w:pPr>
        <w:spacing w:line="480" w:lineRule="auto"/>
        <w:rPr>
          <w:color w:val="000000" w:themeColor="text1"/>
        </w:rPr>
      </w:pPr>
      <w:r w:rsidRPr="00B95E28">
        <w:rPr>
          <w:color w:val="000000" w:themeColor="text1"/>
        </w:rPr>
        <w:t>As a result, attention has increasingly shifted toward the post-acquisition phase. It is during this stage that organizations must align systems, processes, structures, and people in order to deliver the intended benefits of the transaction (Jemison &amp; Sitkin, 1986; Kim &amp; Olsen, 1999). The complexity of this process introduces significant execution risk, which is not fully captured during the deal phase.</w:t>
      </w:r>
    </w:p>
    <w:p w14:paraId="261C80FC" w14:textId="77777777" w:rsidR="00182F59" w:rsidRPr="00B95E28" w:rsidRDefault="00182F59" w:rsidP="00182F59">
      <w:pPr>
        <w:rPr>
          <w:color w:val="000000" w:themeColor="text1"/>
        </w:rPr>
      </w:pPr>
    </w:p>
    <w:p w14:paraId="4F59596C" w14:textId="3C445FD0" w:rsidR="004604AB" w:rsidRPr="00B95E28" w:rsidRDefault="004604AB" w:rsidP="00557AB7">
      <w:pPr>
        <w:spacing w:line="480" w:lineRule="auto"/>
        <w:rPr>
          <w:color w:val="000000" w:themeColor="text1"/>
        </w:rPr>
      </w:pPr>
      <w:r w:rsidRPr="00B95E28">
        <w:rPr>
          <w:color w:val="000000" w:themeColor="text1"/>
        </w:rPr>
        <w:t>This persistent gap between expected and realized value highlights a structural limitation in current M&amp;A approaches. While organizations have improved their capabilities in deal execution, they have not developed equivalent capabilities in consistently delivering post-acquisition outcomes (Teece, 2007).</w:t>
      </w:r>
    </w:p>
    <w:p w14:paraId="75F3AE85" w14:textId="77777777" w:rsidR="00182F59" w:rsidRPr="00B95E28" w:rsidRDefault="00182F59" w:rsidP="00182F59">
      <w:pPr>
        <w:rPr>
          <w:color w:val="000000" w:themeColor="text1"/>
        </w:rPr>
      </w:pPr>
    </w:p>
    <w:p w14:paraId="31C86438" w14:textId="385D7F91" w:rsidR="004604AB" w:rsidRPr="00B95E28" w:rsidRDefault="004604AB" w:rsidP="00557AB7">
      <w:pPr>
        <w:spacing w:line="480" w:lineRule="auto"/>
        <w:rPr>
          <w:color w:val="000000" w:themeColor="text1"/>
        </w:rPr>
      </w:pPr>
      <w:r w:rsidRPr="00B95E28">
        <w:rPr>
          <w:color w:val="000000" w:themeColor="text1"/>
        </w:rPr>
        <w:t xml:space="preserve">To illustrate where value is expected to be realized within the acquisition lifecycle, </w:t>
      </w:r>
      <w:r w:rsidR="007607DB" w:rsidRPr="00B95E28">
        <w:rPr>
          <w:color w:val="000000" w:themeColor="text1"/>
        </w:rPr>
        <w:t>Table</w:t>
      </w:r>
      <w:r w:rsidRPr="00B95E28">
        <w:rPr>
          <w:color w:val="000000" w:themeColor="text1"/>
        </w:rPr>
        <w:t xml:space="preserve"> 2.1 presents a simplified view of the M&amp;A process.</w:t>
      </w:r>
    </w:p>
    <w:p w14:paraId="00805819" w14:textId="2754840E" w:rsidR="007607DB" w:rsidRPr="00B95E28" w:rsidRDefault="007607DB"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54" w:name="_Toc230882474"/>
      <w:bookmarkStart w:id="55" w:name="_Toc230883089"/>
      <w:bookmarkStart w:id="56" w:name="_Toc232351969"/>
      <w:r w:rsidR="00B91B93">
        <w:rPr>
          <w:noProof/>
          <w:color w:val="000000" w:themeColor="text1"/>
        </w:rPr>
        <w:t>1</w:t>
      </w:r>
      <w:r w:rsidRPr="00B95E28">
        <w:rPr>
          <w:color w:val="000000" w:themeColor="text1"/>
        </w:rPr>
        <w:fldChar w:fldCharType="end"/>
      </w:r>
      <w:r w:rsidRPr="00B95E28">
        <w:rPr>
          <w:color w:val="000000" w:themeColor="text1"/>
        </w:rPr>
        <w:t>: Table 2.1: M&amp;A Lifecycle and Point of Value Realization (Source: Author)</w:t>
      </w:r>
      <w:bookmarkEnd w:id="54"/>
      <w:bookmarkEnd w:id="55"/>
      <w:bookmarkEnd w:id="56"/>
    </w:p>
    <w:p w14:paraId="3B555BD4" w14:textId="77777777" w:rsidR="004604AB" w:rsidRPr="00B95E28" w:rsidRDefault="004604AB" w:rsidP="00557AB7">
      <w:pPr>
        <w:spacing w:line="480" w:lineRule="auto"/>
        <w:rPr>
          <w:color w:val="000000" w:themeColor="text1"/>
        </w:rPr>
      </w:pPr>
      <w:r w:rsidRPr="00B95E28">
        <w:rPr>
          <w:rFonts w:eastAsia="MS Mincho"/>
          <w:noProof/>
          <w:color w:val="000000" w:themeColor="text1"/>
        </w:rPr>
        <w:drawing>
          <wp:inline distT="0" distB="0" distL="0" distR="0" wp14:anchorId="6863630C" wp14:editId="47DBB746">
            <wp:extent cx="5823811" cy="800100"/>
            <wp:effectExtent l="0" t="0" r="5715" b="0"/>
            <wp:docPr id="1913060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8784" cy="800783"/>
                    </a:xfrm>
                    <a:prstGeom prst="rect">
                      <a:avLst/>
                    </a:prstGeom>
                    <a:noFill/>
                    <a:ln>
                      <a:noFill/>
                    </a:ln>
                  </pic:spPr>
                </pic:pic>
              </a:graphicData>
            </a:graphic>
          </wp:inline>
        </w:drawing>
      </w:r>
    </w:p>
    <w:p w14:paraId="54B09AAC" w14:textId="60A30FCF" w:rsidR="004604AB" w:rsidRPr="00B95E28" w:rsidRDefault="004604AB" w:rsidP="00557AB7">
      <w:pPr>
        <w:spacing w:line="480" w:lineRule="auto"/>
        <w:rPr>
          <w:color w:val="000000" w:themeColor="text1"/>
        </w:rPr>
      </w:pPr>
      <w:r w:rsidRPr="00B95E28">
        <w:rPr>
          <w:color w:val="000000" w:themeColor="text1"/>
        </w:rPr>
        <w:lastRenderedPageBreak/>
        <w:t xml:space="preserve">As shown in </w:t>
      </w:r>
      <w:r w:rsidR="007607DB" w:rsidRPr="00B95E28">
        <w:rPr>
          <w:color w:val="000000" w:themeColor="text1"/>
        </w:rPr>
        <w:t>Table</w:t>
      </w:r>
      <w:r w:rsidRPr="00B95E28">
        <w:rPr>
          <w:color w:val="000000" w:themeColor="text1"/>
        </w:rPr>
        <w:t xml:space="preserve"> 2.1, significant emphasis is placed on the early stages of the M&amp;A lifecycle, including strategy, deal execution, and due diligence. However, the realization of value is dependent on the effectiveness of integration planning and execution. This transition represents a critical point at which strategic intent must be translated into operational outcomes, and where variability in performance becomes most evident.</w:t>
      </w:r>
    </w:p>
    <w:p w14:paraId="40F37EDC" w14:textId="77777777" w:rsidR="00182F59" w:rsidRPr="00B95E28" w:rsidRDefault="00182F59" w:rsidP="00182F59">
      <w:pPr>
        <w:rPr>
          <w:color w:val="000000" w:themeColor="text1"/>
        </w:rPr>
      </w:pPr>
    </w:p>
    <w:p w14:paraId="162A9D57" w14:textId="6628A94B" w:rsidR="004604AB" w:rsidRPr="00B95E28" w:rsidRDefault="004604AB" w:rsidP="00557AB7">
      <w:pPr>
        <w:spacing w:line="480" w:lineRule="auto"/>
        <w:rPr>
          <w:color w:val="000000" w:themeColor="text1"/>
        </w:rPr>
      </w:pPr>
      <w:r w:rsidRPr="00B95E28">
        <w:rPr>
          <w:color w:val="000000" w:themeColor="text1"/>
        </w:rPr>
        <w:t>A further limitation in the performance literature lies in its underlying assumptions regarding organizational behaviour. Much of the research implicitly assumes that organizations act rationally, aligning decisions and actions with clearly defined strategic objectives. Under this view, failures in M&amp;A performance are attributed to miscalculations, poor planning, or execution challenges.</w:t>
      </w:r>
    </w:p>
    <w:p w14:paraId="2445FC6E" w14:textId="77777777" w:rsidR="00182F59" w:rsidRPr="00B95E28" w:rsidRDefault="00182F59" w:rsidP="00182F59">
      <w:pPr>
        <w:rPr>
          <w:color w:val="000000" w:themeColor="text1"/>
        </w:rPr>
      </w:pPr>
    </w:p>
    <w:p w14:paraId="7BE2D8CF" w14:textId="07F3851A" w:rsidR="004604AB" w:rsidRPr="00B95E28" w:rsidRDefault="004604AB" w:rsidP="00557AB7">
      <w:pPr>
        <w:spacing w:line="480" w:lineRule="auto"/>
        <w:rPr>
          <w:color w:val="000000" w:themeColor="text1"/>
        </w:rPr>
      </w:pPr>
      <w:r w:rsidRPr="00B95E28">
        <w:rPr>
          <w:color w:val="000000" w:themeColor="text1"/>
        </w:rPr>
        <w:t>However, this perspective overlooks the behavioural and institutional dynamics that shape acquisition decision-making. Organizations are not purely rational actors; decisions are influenced by factors such as managerial incentives, cognitive biases, organizational politics, and external pressures. For example, acquisition strategies may be driven by growth expectations, competitive positioning, or market signalling, rather than purely by value creation logic (Haspeslagh &amp; Jemison, 1991).</w:t>
      </w:r>
    </w:p>
    <w:p w14:paraId="1D45D628" w14:textId="77777777" w:rsidR="00182F59" w:rsidRPr="00B95E28" w:rsidRDefault="00182F59" w:rsidP="00182F59">
      <w:pPr>
        <w:rPr>
          <w:color w:val="000000" w:themeColor="text1"/>
        </w:rPr>
      </w:pPr>
    </w:p>
    <w:p w14:paraId="48A484F8" w14:textId="1EE04864" w:rsidR="004604AB" w:rsidRPr="00B95E28" w:rsidRDefault="004604AB" w:rsidP="00557AB7">
      <w:pPr>
        <w:spacing w:line="480" w:lineRule="auto"/>
        <w:rPr>
          <w:color w:val="000000" w:themeColor="text1"/>
        </w:rPr>
      </w:pPr>
      <w:r w:rsidRPr="00B95E28">
        <w:rPr>
          <w:color w:val="000000" w:themeColor="text1"/>
        </w:rPr>
        <w:t>These dynamics can create a disconnect between the stated objectives of an acquisition and the underlying motivations driving the transaction. As a result, integration is often tasked with delivering value based on assumptions that may not fully reflect operational realities. This introduces structural challenges that cannot be resolved through improved planning or execution alone.</w:t>
      </w:r>
    </w:p>
    <w:p w14:paraId="346F5DB2" w14:textId="77777777" w:rsidR="008F402B" w:rsidRPr="00B95E28" w:rsidRDefault="008F402B" w:rsidP="008F402B">
      <w:pPr>
        <w:rPr>
          <w:color w:val="000000" w:themeColor="text1"/>
        </w:rPr>
      </w:pPr>
    </w:p>
    <w:p w14:paraId="6A8DFD07" w14:textId="7EEF1115" w:rsidR="004604AB" w:rsidRPr="00B95E28" w:rsidRDefault="004604AB" w:rsidP="00557AB7">
      <w:pPr>
        <w:spacing w:line="480" w:lineRule="auto"/>
        <w:rPr>
          <w:color w:val="000000" w:themeColor="text1"/>
        </w:rPr>
      </w:pPr>
      <w:r w:rsidRPr="00B95E28">
        <w:rPr>
          <w:color w:val="000000" w:themeColor="text1"/>
        </w:rPr>
        <w:lastRenderedPageBreak/>
        <w:t>Additionally, the literature tends to treat integration challenges as isolated to the post-acquisition phase, rather than as the result of decisions made throughout the acquisition lifecycle. This fragmentation limits the ability to understand how early-stage assumptions influence downstream outcomes. For example, overly optimistic synergy assumptions may constrain planning and execution by setting unrealistic targets, while limited due diligence in certain areas may result in unforeseen integration challenges.</w:t>
      </w:r>
    </w:p>
    <w:p w14:paraId="73D33F00" w14:textId="77777777" w:rsidR="008F402B" w:rsidRPr="00B95E28" w:rsidRDefault="008F402B" w:rsidP="008F402B">
      <w:pPr>
        <w:rPr>
          <w:color w:val="000000" w:themeColor="text1"/>
        </w:rPr>
      </w:pPr>
    </w:p>
    <w:p w14:paraId="6430D4B3" w14:textId="6EDEC909" w:rsidR="004604AB" w:rsidRPr="00B95E28" w:rsidRDefault="004604AB" w:rsidP="00557AB7">
      <w:pPr>
        <w:spacing w:line="480" w:lineRule="auto"/>
        <w:rPr>
          <w:color w:val="000000" w:themeColor="text1"/>
        </w:rPr>
      </w:pPr>
      <w:r w:rsidRPr="00B95E28">
        <w:rPr>
          <w:color w:val="000000" w:themeColor="text1"/>
        </w:rPr>
        <w:t>This suggests that M&amp;A performance cannot be fully understood without considering the interaction between strategic intent, decision-making processes, and execution capability. The persistence of underperformance is therefore not solely a function of integration complexity but reflects deeper structural and behavioural factors within organizations.</w:t>
      </w:r>
    </w:p>
    <w:p w14:paraId="57AB104F" w14:textId="77777777" w:rsidR="008F402B" w:rsidRPr="00B95E28" w:rsidRDefault="008F402B" w:rsidP="008F402B">
      <w:pPr>
        <w:rPr>
          <w:color w:val="000000" w:themeColor="text1"/>
        </w:rPr>
      </w:pPr>
    </w:p>
    <w:p w14:paraId="405CCB17" w14:textId="58C34E98" w:rsidR="004604AB" w:rsidRPr="00B95E28" w:rsidRDefault="004604AB" w:rsidP="00557AB7">
      <w:pPr>
        <w:spacing w:line="480" w:lineRule="auto"/>
        <w:rPr>
          <w:color w:val="000000" w:themeColor="text1"/>
        </w:rPr>
      </w:pPr>
      <w:r w:rsidRPr="00B95E28">
        <w:rPr>
          <w:color w:val="000000" w:themeColor="text1"/>
        </w:rPr>
        <w:t>These limitations reinforce the need for a more integrated perspective that examines how organizations align strategy, decision-making, and execution across the acquisition lifecycle. In particular, it highlights the importance of understanding how integration capability is developed and applied, rather than assuming that improved processes alone will lead to better outcomes.</w:t>
      </w:r>
    </w:p>
    <w:p w14:paraId="7EB5481D" w14:textId="77777777" w:rsidR="008F402B" w:rsidRPr="00B95E28" w:rsidRDefault="008F402B" w:rsidP="008F402B">
      <w:pPr>
        <w:rPr>
          <w:color w:val="000000" w:themeColor="text1"/>
        </w:rPr>
      </w:pPr>
      <w:bookmarkStart w:id="57" w:name="_Toc230881426"/>
    </w:p>
    <w:p w14:paraId="42E8190E" w14:textId="390069DA" w:rsidR="004604AB" w:rsidRPr="00B95E28" w:rsidRDefault="004604AB" w:rsidP="00557AB7">
      <w:pPr>
        <w:pStyle w:val="Heading2"/>
        <w:spacing w:before="0" w:after="0" w:line="480" w:lineRule="auto"/>
        <w:ind w:left="0" w:firstLine="0"/>
        <w:rPr>
          <w:color w:val="000000" w:themeColor="text1"/>
        </w:rPr>
      </w:pPr>
      <w:bookmarkStart w:id="58" w:name="_Toc232351826"/>
      <w:r w:rsidRPr="00B95E28">
        <w:rPr>
          <w:color w:val="000000" w:themeColor="text1"/>
        </w:rPr>
        <w:t>2.</w:t>
      </w:r>
      <w:r w:rsidR="0063141E">
        <w:rPr>
          <w:color w:val="000000" w:themeColor="text1"/>
        </w:rPr>
        <w:t>4</w:t>
      </w:r>
      <w:r w:rsidRPr="00B95E28">
        <w:rPr>
          <w:color w:val="000000" w:themeColor="text1"/>
        </w:rPr>
        <w:t xml:space="preserve"> Serial Acquirers and Programmatic M&amp;A</w:t>
      </w:r>
      <w:bookmarkEnd w:id="57"/>
      <w:bookmarkEnd w:id="58"/>
    </w:p>
    <w:p w14:paraId="5D1616E9" w14:textId="77777777" w:rsidR="004604AB" w:rsidRPr="00B95E28" w:rsidRDefault="004604AB" w:rsidP="00557AB7">
      <w:pPr>
        <w:spacing w:line="480" w:lineRule="auto"/>
        <w:rPr>
          <w:color w:val="000000" w:themeColor="text1"/>
        </w:rPr>
      </w:pPr>
      <w:r w:rsidRPr="00B95E28">
        <w:rPr>
          <w:color w:val="000000" w:themeColor="text1"/>
        </w:rPr>
        <w:t>The increasing prevalence of acquisition-driven growth strategies has led to the emergence of serial acquirers, organizations that execute multiple transactions over sustained periods. Unlike firms engaging in occasional acquisitions, serial acquirers operate with the expectation that acquisition activity will continue as part of an ongoing strategic program rather than as a discrete event.</w:t>
      </w:r>
    </w:p>
    <w:p w14:paraId="62660EDD" w14:textId="77777777" w:rsidR="008F402B" w:rsidRPr="00B95E28" w:rsidRDefault="008F402B" w:rsidP="008F402B">
      <w:pPr>
        <w:rPr>
          <w:color w:val="000000" w:themeColor="text1"/>
        </w:rPr>
      </w:pPr>
    </w:p>
    <w:p w14:paraId="3379C6E8" w14:textId="33E48F9B" w:rsidR="004604AB" w:rsidRPr="00B95E28" w:rsidRDefault="004604AB" w:rsidP="00557AB7">
      <w:pPr>
        <w:spacing w:line="480" w:lineRule="auto"/>
        <w:rPr>
          <w:color w:val="000000" w:themeColor="text1"/>
        </w:rPr>
      </w:pPr>
      <w:r w:rsidRPr="00B95E28">
        <w:rPr>
          <w:color w:val="000000" w:themeColor="text1"/>
        </w:rPr>
        <w:lastRenderedPageBreak/>
        <w:t>Prior research suggests that serial acquirers should, in theory, outperform organizations with limited acquisition experience due to accumulated knowledge and repeated exposure to integration challenges (Laamanen &amp; Keil, 2008). However, empirical evidence indicates that performance outcomes among serial acquirers remain highly variable. While some organizations demonstrate improved integration effectiveness over time, others continue to encounter recurring challenges despite significant deal experience.</w:t>
      </w:r>
    </w:p>
    <w:p w14:paraId="7414DAE0" w14:textId="77777777" w:rsidR="008F402B" w:rsidRPr="00B95E28" w:rsidRDefault="008F402B" w:rsidP="008F402B">
      <w:pPr>
        <w:rPr>
          <w:color w:val="000000" w:themeColor="text1"/>
        </w:rPr>
      </w:pPr>
    </w:p>
    <w:p w14:paraId="61D07916" w14:textId="7ADC64D3" w:rsidR="004604AB" w:rsidRPr="00B95E28" w:rsidRDefault="004604AB" w:rsidP="00557AB7">
      <w:pPr>
        <w:spacing w:line="480" w:lineRule="auto"/>
        <w:rPr>
          <w:color w:val="000000" w:themeColor="text1"/>
        </w:rPr>
      </w:pPr>
      <w:r w:rsidRPr="00B95E28">
        <w:rPr>
          <w:color w:val="000000" w:themeColor="text1"/>
        </w:rPr>
        <w:t>This inconsistency highlights a critical distinction between experience and capability. Repeated acquisition activity does not inherently lead to improved performance unless the organization is able to capture, structure, and apply learning across transactions. In the absence of such mechanisms, experience remains fragmented and embedded within individuals rather than institutionalized within the organization.</w:t>
      </w:r>
    </w:p>
    <w:p w14:paraId="43ED6637" w14:textId="77777777" w:rsidR="008F402B" w:rsidRPr="00B95E28" w:rsidRDefault="008F402B" w:rsidP="008F402B">
      <w:pPr>
        <w:rPr>
          <w:color w:val="000000" w:themeColor="text1"/>
        </w:rPr>
      </w:pPr>
    </w:p>
    <w:p w14:paraId="15C233C9" w14:textId="7406CCD8" w:rsidR="004604AB" w:rsidRPr="00B95E28" w:rsidRDefault="004604AB" w:rsidP="00557AB7">
      <w:pPr>
        <w:spacing w:line="480" w:lineRule="auto"/>
        <w:rPr>
          <w:color w:val="000000" w:themeColor="text1"/>
        </w:rPr>
      </w:pPr>
      <w:r w:rsidRPr="00B95E28">
        <w:rPr>
          <w:color w:val="000000" w:themeColor="text1"/>
        </w:rPr>
        <w:t>The concept of programmatic M&amp;A further reinforces this distinction. Programmatic acquirers approach acquisitions as part of a coordinated strategy, often supported by defined governance structures, integration playbooks, and dedicated resources. However, even within these environments, the presence of structured processes does not guarantee consistent outcomes. This suggests that the challenge lies not in the frequency of acquisitions or the presence of frameworks, but in the organization’s ability to translate repeated activity into repeatable capability.</w:t>
      </w:r>
    </w:p>
    <w:p w14:paraId="078A2DF7" w14:textId="77777777" w:rsidR="008F402B" w:rsidRPr="00B95E28" w:rsidRDefault="008F402B" w:rsidP="008F402B">
      <w:pPr>
        <w:rPr>
          <w:color w:val="000000" w:themeColor="text1"/>
        </w:rPr>
      </w:pPr>
    </w:p>
    <w:p w14:paraId="564963FC" w14:textId="21FD253C" w:rsidR="004604AB" w:rsidRPr="00B95E28" w:rsidRDefault="004604AB" w:rsidP="00557AB7">
      <w:pPr>
        <w:spacing w:line="480" w:lineRule="auto"/>
        <w:rPr>
          <w:color w:val="000000" w:themeColor="text1"/>
        </w:rPr>
      </w:pPr>
      <w:r w:rsidRPr="00B95E28">
        <w:rPr>
          <w:color w:val="000000" w:themeColor="text1"/>
        </w:rPr>
        <w:t>This gap between repetition and capability development provides a critical foundation for the present study, which seeks to understand how integration capability is constructed and sustained across multiple transactions.</w:t>
      </w:r>
    </w:p>
    <w:p w14:paraId="3E2A3CAB" w14:textId="77777777" w:rsidR="008F402B" w:rsidRPr="00B95E28" w:rsidRDefault="008F402B" w:rsidP="008F402B">
      <w:pPr>
        <w:rPr>
          <w:color w:val="000000" w:themeColor="text1"/>
        </w:rPr>
      </w:pPr>
      <w:bookmarkStart w:id="59" w:name="_Toc230881427"/>
    </w:p>
    <w:p w14:paraId="588D9CB4" w14:textId="20BFEBC1" w:rsidR="004604AB" w:rsidRPr="00B95E28" w:rsidRDefault="004604AB" w:rsidP="00557AB7">
      <w:pPr>
        <w:pStyle w:val="Heading3"/>
        <w:spacing w:before="0" w:after="0" w:line="480" w:lineRule="auto"/>
        <w:ind w:left="0" w:firstLine="0"/>
        <w:rPr>
          <w:color w:val="000000" w:themeColor="text1"/>
        </w:rPr>
      </w:pPr>
      <w:bookmarkStart w:id="60" w:name="_Toc232351827"/>
      <w:r w:rsidRPr="00B95E28">
        <w:rPr>
          <w:color w:val="000000" w:themeColor="text1"/>
        </w:rPr>
        <w:lastRenderedPageBreak/>
        <w:t>2.</w:t>
      </w:r>
      <w:r w:rsidR="0063141E">
        <w:rPr>
          <w:color w:val="000000" w:themeColor="text1"/>
        </w:rPr>
        <w:t>4</w:t>
      </w:r>
      <w:r w:rsidRPr="00B95E28">
        <w:rPr>
          <w:color w:val="000000" w:themeColor="text1"/>
        </w:rPr>
        <w:t>.1 Acquisition Experience Versus Integration Capability</w:t>
      </w:r>
      <w:bookmarkEnd w:id="59"/>
      <w:bookmarkEnd w:id="60"/>
    </w:p>
    <w:p w14:paraId="4BC17D48" w14:textId="77777777" w:rsidR="004604AB" w:rsidRPr="00B95E28" w:rsidRDefault="004604AB" w:rsidP="00557AB7">
      <w:pPr>
        <w:spacing w:line="480" w:lineRule="auto"/>
        <w:rPr>
          <w:color w:val="000000" w:themeColor="text1"/>
        </w:rPr>
      </w:pPr>
      <w:r w:rsidRPr="00B95E28">
        <w:rPr>
          <w:color w:val="000000" w:themeColor="text1"/>
        </w:rPr>
        <w:t>A key distinction emerging from the literature is the difference between acquisition experience and integration capability. Acquisition experience refers to the organization’s accumulated exposure to transactions, including target identification, due diligence, negotiation, closing, and post-close activity. Integration capability, by contrast, refers to the organization’s ability to convert that experience into repeatable structures, routines, decision-making practices, and learning mechanisms that improve future integration outcomes.</w:t>
      </w:r>
    </w:p>
    <w:p w14:paraId="58F00F77" w14:textId="77777777" w:rsidR="004604AB" w:rsidRPr="00B95E28" w:rsidRDefault="004604AB" w:rsidP="00557AB7">
      <w:pPr>
        <w:spacing w:line="480" w:lineRule="auto"/>
        <w:rPr>
          <w:color w:val="000000" w:themeColor="text1"/>
        </w:rPr>
      </w:pPr>
      <w:r w:rsidRPr="00B95E28">
        <w:rPr>
          <w:color w:val="000000" w:themeColor="text1"/>
        </w:rPr>
        <w:t>This distinction is important because the literature often treats repeated acquisition activity as a potential source of learning but does not always explain the conditions under which that learning becomes organizationally useful. A firm may complete numerous acquisitions and still rely on informal memory, individual expertise, external advisors, or transaction-specific workarounds. In such cases, experience exists, but capability remains underdeveloped. The organization has done more deals, but it has not necessarily become better at integrating them.</w:t>
      </w:r>
    </w:p>
    <w:p w14:paraId="16504B2F" w14:textId="77777777" w:rsidR="008F402B" w:rsidRPr="00B95E28" w:rsidRDefault="008F402B" w:rsidP="008F402B">
      <w:pPr>
        <w:rPr>
          <w:color w:val="000000" w:themeColor="text1"/>
        </w:rPr>
      </w:pPr>
    </w:p>
    <w:p w14:paraId="0C8E400B" w14:textId="0C9DA1AE" w:rsidR="004604AB" w:rsidRPr="00B95E28" w:rsidRDefault="004604AB" w:rsidP="00557AB7">
      <w:pPr>
        <w:spacing w:line="480" w:lineRule="auto"/>
        <w:rPr>
          <w:color w:val="000000" w:themeColor="text1"/>
        </w:rPr>
      </w:pPr>
      <w:r w:rsidRPr="00B95E28">
        <w:rPr>
          <w:color w:val="000000" w:themeColor="text1"/>
        </w:rPr>
        <w:t>The distinction also helps explain the variability observed among serial acquirers. If experience alone were sufficient, repeated acquirers would be expected to demonstrate progressively better integration outcomes. However, research on acquisition programs indicates that performance remains uneven. This suggests that repetition creates the possibility of learning, but not the assurance of learning. The intervening mechanism is the organization’s ability to structure, retain, and reuse knowledge across transactions.</w:t>
      </w:r>
    </w:p>
    <w:p w14:paraId="6BB0F14E" w14:textId="77777777" w:rsidR="008F402B" w:rsidRPr="00B95E28" w:rsidRDefault="008F402B" w:rsidP="008F402B">
      <w:pPr>
        <w:rPr>
          <w:color w:val="000000" w:themeColor="text1"/>
        </w:rPr>
      </w:pPr>
    </w:p>
    <w:p w14:paraId="483BAA7B" w14:textId="1A55E14C" w:rsidR="004604AB" w:rsidRPr="00B95E28" w:rsidRDefault="004604AB" w:rsidP="00557AB7">
      <w:pPr>
        <w:spacing w:line="480" w:lineRule="auto"/>
        <w:rPr>
          <w:color w:val="000000" w:themeColor="text1"/>
        </w:rPr>
      </w:pPr>
      <w:r w:rsidRPr="00B95E28">
        <w:rPr>
          <w:color w:val="000000" w:themeColor="text1"/>
        </w:rPr>
        <w:t xml:space="preserve">Integration capability therefore requires more than exposure to repeated deals. It requires the deliberate development of governance continuity, integration leadership, cross-functional coordination, technology and data readiness, and post-integration learning. These elements allow </w:t>
      </w:r>
      <w:r w:rsidRPr="00B95E28">
        <w:rPr>
          <w:color w:val="000000" w:themeColor="text1"/>
        </w:rPr>
        <w:lastRenderedPageBreak/>
        <w:t>organizations to move from transaction memory to institutional capability. Without them, acquisition knowledge remains fragmented and vulnerable to loss when individuals leave, teams disband, or external advisors exit.</w:t>
      </w:r>
    </w:p>
    <w:p w14:paraId="40E1479D" w14:textId="77777777" w:rsidR="008F402B" w:rsidRPr="00B95E28" w:rsidRDefault="008F402B" w:rsidP="008F402B">
      <w:pPr>
        <w:rPr>
          <w:color w:val="000000" w:themeColor="text1"/>
        </w:rPr>
      </w:pPr>
    </w:p>
    <w:p w14:paraId="34080B46" w14:textId="2E246D0A" w:rsidR="004604AB" w:rsidRPr="00B95E28" w:rsidRDefault="004604AB" w:rsidP="00557AB7">
      <w:pPr>
        <w:spacing w:line="480" w:lineRule="auto"/>
        <w:rPr>
          <w:color w:val="000000" w:themeColor="text1"/>
        </w:rPr>
      </w:pPr>
      <w:r w:rsidRPr="00B95E28">
        <w:rPr>
          <w:color w:val="000000" w:themeColor="text1"/>
        </w:rPr>
        <w:t>This distinction also clarifies why playbooks alone are insufficient. A playbook may capture tasks, templates, and sequencing, but it does not automatically create capability. Capability depends on whether the organization understands how and when to apply the playbook, how to adapt it to different transaction types, and how to update it based on prior outcomes. In this sense, integration capability is not simply a repository of tools; it is the organizational ability to use those tools effectively under varying conditions.</w:t>
      </w:r>
    </w:p>
    <w:p w14:paraId="6B964DE3" w14:textId="77777777" w:rsidR="008F402B" w:rsidRPr="00B95E28" w:rsidRDefault="008F402B" w:rsidP="008F402B">
      <w:pPr>
        <w:rPr>
          <w:color w:val="000000" w:themeColor="text1"/>
        </w:rPr>
      </w:pPr>
    </w:p>
    <w:p w14:paraId="33A5470F" w14:textId="36AED10A" w:rsidR="004604AB" w:rsidRPr="00B95E28" w:rsidRDefault="004604AB" w:rsidP="00557AB7">
      <w:pPr>
        <w:spacing w:line="480" w:lineRule="auto"/>
        <w:rPr>
          <w:color w:val="000000" w:themeColor="text1"/>
        </w:rPr>
      </w:pPr>
      <w:r w:rsidRPr="00B95E28">
        <w:rPr>
          <w:color w:val="000000" w:themeColor="text1"/>
        </w:rPr>
        <w:t>The present study builds on this gap by examining how integration capability is formed in practice. Rather than assuming that repeated acquisitions create learning, it investigates the governance, leadership, planning, execution, and learning mechanisms that allow organizations to convert repeated activity into repeatable performance.</w:t>
      </w:r>
    </w:p>
    <w:p w14:paraId="37102B79" w14:textId="77777777" w:rsidR="008F402B" w:rsidRPr="00B95E28" w:rsidRDefault="008F402B" w:rsidP="008F402B">
      <w:pPr>
        <w:rPr>
          <w:color w:val="000000" w:themeColor="text1"/>
        </w:rPr>
      </w:pPr>
      <w:bookmarkStart w:id="61" w:name="_Toc230881428"/>
    </w:p>
    <w:p w14:paraId="66A3E0FD" w14:textId="65F33708" w:rsidR="004604AB" w:rsidRPr="00B95E28" w:rsidRDefault="004604AB" w:rsidP="00557AB7">
      <w:pPr>
        <w:pStyle w:val="Heading2"/>
        <w:spacing w:before="0" w:after="0" w:line="480" w:lineRule="auto"/>
        <w:ind w:left="0" w:firstLine="0"/>
        <w:rPr>
          <w:color w:val="000000" w:themeColor="text1"/>
        </w:rPr>
      </w:pPr>
      <w:bookmarkStart w:id="62" w:name="_Toc232351828"/>
      <w:r w:rsidRPr="00B95E28">
        <w:rPr>
          <w:color w:val="000000" w:themeColor="text1"/>
        </w:rPr>
        <w:t>2.</w:t>
      </w:r>
      <w:r w:rsidR="0063141E">
        <w:rPr>
          <w:color w:val="000000" w:themeColor="text1"/>
        </w:rPr>
        <w:t>5</w:t>
      </w:r>
      <w:r w:rsidRPr="00B95E28">
        <w:rPr>
          <w:color w:val="000000" w:themeColor="text1"/>
        </w:rPr>
        <w:t xml:space="preserve"> Organizational Learning in M&amp;A</w:t>
      </w:r>
      <w:bookmarkEnd w:id="61"/>
      <w:bookmarkEnd w:id="62"/>
    </w:p>
    <w:p w14:paraId="37FB423F" w14:textId="77777777" w:rsidR="004604AB" w:rsidRPr="00B95E28" w:rsidRDefault="004604AB" w:rsidP="00557AB7">
      <w:pPr>
        <w:spacing w:line="480" w:lineRule="auto"/>
        <w:rPr>
          <w:color w:val="000000" w:themeColor="text1"/>
        </w:rPr>
      </w:pPr>
      <w:r w:rsidRPr="00B95E28">
        <w:rPr>
          <w:color w:val="000000" w:themeColor="text1"/>
        </w:rPr>
        <w:t>Organizational learning has been identified as a critical factor in the development of capabilities within complex and dynamic environments (Zollo &amp; Winter, 2002). In the context of mergers and acquisitions, learning is expected to play a central role in enabling organizations to improve integration performance over time. Through repeated exposure to integration activities, organizations accumulate experience that can, in theory, be used to refine processes, improve coordination, and enhance decision-making.</w:t>
      </w:r>
    </w:p>
    <w:p w14:paraId="32D2C80F" w14:textId="77777777" w:rsidR="008F402B" w:rsidRPr="00B95E28" w:rsidRDefault="008F402B" w:rsidP="008F402B">
      <w:pPr>
        <w:rPr>
          <w:color w:val="000000" w:themeColor="text1"/>
        </w:rPr>
      </w:pPr>
    </w:p>
    <w:p w14:paraId="3D2939C9" w14:textId="57A6BDF8" w:rsidR="004604AB" w:rsidRPr="00B95E28" w:rsidRDefault="004604AB" w:rsidP="00557AB7">
      <w:pPr>
        <w:spacing w:line="480" w:lineRule="auto"/>
        <w:rPr>
          <w:color w:val="000000" w:themeColor="text1"/>
        </w:rPr>
      </w:pPr>
      <w:r w:rsidRPr="00B95E28">
        <w:rPr>
          <w:color w:val="000000" w:themeColor="text1"/>
        </w:rPr>
        <w:lastRenderedPageBreak/>
        <w:t>However, the literature also highlights that learning does not occur automatically. Zollo and Winter (2002) distinguish between experiential learning, which emerges through repeated activity, and deliberate learning, which involves the systematic articulation, codification, and application of knowledge. While experiential learning is common in acquisition environments, deliberate learning is less consistently observed.</w:t>
      </w:r>
    </w:p>
    <w:p w14:paraId="044F0874" w14:textId="77777777" w:rsidR="008F402B" w:rsidRPr="00B95E28" w:rsidRDefault="008F402B" w:rsidP="008F402B">
      <w:pPr>
        <w:rPr>
          <w:color w:val="000000" w:themeColor="text1"/>
        </w:rPr>
      </w:pPr>
    </w:p>
    <w:p w14:paraId="719AB81F" w14:textId="3F323604" w:rsidR="004604AB" w:rsidRPr="00B95E28" w:rsidRDefault="004604AB" w:rsidP="00557AB7">
      <w:pPr>
        <w:spacing w:line="480" w:lineRule="auto"/>
        <w:rPr>
          <w:color w:val="000000" w:themeColor="text1"/>
        </w:rPr>
      </w:pPr>
      <w:r w:rsidRPr="00B95E28">
        <w:rPr>
          <w:color w:val="000000" w:themeColor="text1"/>
        </w:rPr>
        <w:t>This distinction is particularly important in understanding why organizations fail to improve integration performance despite repeated acquisitions. Without structured mechanisms for capturing and transferring knowledge, learning remains embedded at the individual level. As a result, organizations may repeatedly encounter similar challenges, as prior insights are not effectively institutionalized or applied in subsequent transactions.</w:t>
      </w:r>
    </w:p>
    <w:p w14:paraId="6A02E76A" w14:textId="77777777" w:rsidR="008F402B" w:rsidRPr="00B95E28" w:rsidRDefault="008F402B" w:rsidP="008F402B">
      <w:pPr>
        <w:rPr>
          <w:color w:val="000000" w:themeColor="text1"/>
        </w:rPr>
      </w:pPr>
    </w:p>
    <w:p w14:paraId="579670E0" w14:textId="7F7FEF0E" w:rsidR="004604AB" w:rsidRPr="00B95E28" w:rsidRDefault="004604AB" w:rsidP="00557AB7">
      <w:pPr>
        <w:spacing w:line="480" w:lineRule="auto"/>
        <w:rPr>
          <w:color w:val="000000" w:themeColor="text1"/>
        </w:rPr>
      </w:pPr>
      <w:r w:rsidRPr="00B95E28">
        <w:rPr>
          <w:color w:val="000000" w:themeColor="text1"/>
        </w:rPr>
        <w:t>Furthermore, learning in M&amp;A contexts is often constrained by organizational dynamics. Integration teams are frequently disbanded following transaction completion, limiting the continuity required to sustain knowledge across deals. Time pressures, resource constraints, and shifting strategic priorities further reduce the likelihood that lessons learned are systematically captured and applied.</w:t>
      </w:r>
    </w:p>
    <w:p w14:paraId="134CB275" w14:textId="77777777" w:rsidR="008F402B" w:rsidRPr="00B95E28" w:rsidRDefault="008F402B" w:rsidP="008F402B">
      <w:pPr>
        <w:rPr>
          <w:color w:val="000000" w:themeColor="text1"/>
        </w:rPr>
      </w:pPr>
    </w:p>
    <w:p w14:paraId="417525B4" w14:textId="2FF98AC0" w:rsidR="004604AB" w:rsidRPr="00B95E28" w:rsidRDefault="004604AB" w:rsidP="00557AB7">
      <w:pPr>
        <w:spacing w:line="480" w:lineRule="auto"/>
        <w:rPr>
          <w:color w:val="000000" w:themeColor="text1"/>
        </w:rPr>
      </w:pPr>
      <w:r w:rsidRPr="00B95E28">
        <w:rPr>
          <w:color w:val="000000" w:themeColor="text1"/>
        </w:rPr>
        <w:t>These limitations suggest that organizational learning in M&amp;A is not simply a function of experience, but of the structures and processes that support knowledge retention and reuse. This reinforces the need to examine integration not only as a process, but as a capability that depends on the organization’s ability to embed learning across transactions.</w:t>
      </w:r>
    </w:p>
    <w:p w14:paraId="2CD6C6AE" w14:textId="77777777" w:rsidR="008F402B" w:rsidRPr="00B95E28" w:rsidRDefault="008F402B" w:rsidP="008F402B">
      <w:pPr>
        <w:rPr>
          <w:color w:val="000000" w:themeColor="text1"/>
        </w:rPr>
      </w:pPr>
      <w:bookmarkStart w:id="63" w:name="_Toc230881429"/>
    </w:p>
    <w:p w14:paraId="46344C8C" w14:textId="2A9430F0" w:rsidR="004604AB" w:rsidRPr="00B95E28" w:rsidRDefault="004604AB" w:rsidP="00557AB7">
      <w:pPr>
        <w:pStyle w:val="Heading3"/>
        <w:spacing w:before="0" w:after="0" w:line="480" w:lineRule="auto"/>
        <w:ind w:left="0" w:firstLine="0"/>
        <w:rPr>
          <w:color w:val="000000" w:themeColor="text1"/>
        </w:rPr>
      </w:pPr>
      <w:bookmarkStart w:id="64" w:name="_Toc232351829"/>
      <w:r w:rsidRPr="00B95E28">
        <w:rPr>
          <w:color w:val="000000" w:themeColor="text1"/>
        </w:rPr>
        <w:lastRenderedPageBreak/>
        <w:t>2.</w:t>
      </w:r>
      <w:r w:rsidR="0063141E">
        <w:rPr>
          <w:color w:val="000000" w:themeColor="text1"/>
        </w:rPr>
        <w:t>5</w:t>
      </w:r>
      <w:r w:rsidRPr="00B95E28">
        <w:rPr>
          <w:color w:val="000000" w:themeColor="text1"/>
        </w:rPr>
        <w:t>.1 From Lessons Learned to Institutional Learning</w:t>
      </w:r>
      <w:bookmarkEnd w:id="63"/>
      <w:bookmarkEnd w:id="64"/>
    </w:p>
    <w:p w14:paraId="5F696EC0" w14:textId="77777777" w:rsidR="004604AB" w:rsidRPr="00B95E28" w:rsidRDefault="004604AB" w:rsidP="00557AB7">
      <w:pPr>
        <w:spacing w:line="480" w:lineRule="auto"/>
        <w:rPr>
          <w:color w:val="000000" w:themeColor="text1"/>
        </w:rPr>
      </w:pPr>
      <w:r w:rsidRPr="00B95E28">
        <w:rPr>
          <w:color w:val="000000" w:themeColor="text1"/>
        </w:rPr>
        <w:t>A further limitation in the organizational learning literature concerns the distinction between lessons learned and institutional learning. In acquisition environments, lessons learned are often treated as a post-transaction activity, conducted after major integration work has been completed. However, the existence of a lessons learned exercise does not necessarily mean that learning has been institutionalized.</w:t>
      </w:r>
    </w:p>
    <w:p w14:paraId="6AD06695" w14:textId="77777777" w:rsidR="008F402B" w:rsidRPr="00B95E28" w:rsidRDefault="008F402B" w:rsidP="008F402B">
      <w:pPr>
        <w:rPr>
          <w:color w:val="000000" w:themeColor="text1"/>
        </w:rPr>
      </w:pPr>
    </w:p>
    <w:p w14:paraId="6ACA980F" w14:textId="1658E185" w:rsidR="004604AB" w:rsidRPr="00B95E28" w:rsidRDefault="004604AB" w:rsidP="00557AB7">
      <w:pPr>
        <w:spacing w:line="480" w:lineRule="auto"/>
        <w:rPr>
          <w:color w:val="000000" w:themeColor="text1"/>
        </w:rPr>
      </w:pPr>
      <w:r w:rsidRPr="00B95E28">
        <w:rPr>
          <w:color w:val="000000" w:themeColor="text1"/>
        </w:rPr>
        <w:t>Lessons learned become institutionally valuable only when they alter future behaviour. This may occur through changes to diligence questions, updated integration playbooks, revised governance structures, clearer decision rights, improved Day 1 readiness criteria, or more realistic resource planning. Without these changes, lessons learned remain retrospective observations rather than mechanisms of capability development.</w:t>
      </w:r>
    </w:p>
    <w:p w14:paraId="4BF83DD7" w14:textId="77777777" w:rsidR="008F402B" w:rsidRPr="00B95E28" w:rsidRDefault="008F402B" w:rsidP="008F402B">
      <w:pPr>
        <w:rPr>
          <w:color w:val="000000" w:themeColor="text1"/>
        </w:rPr>
      </w:pPr>
    </w:p>
    <w:p w14:paraId="13CF49B6" w14:textId="77777777" w:rsidR="008F402B" w:rsidRPr="00B95E28" w:rsidRDefault="004604AB" w:rsidP="008F402B">
      <w:pPr>
        <w:spacing w:line="480" w:lineRule="auto"/>
        <w:rPr>
          <w:color w:val="000000" w:themeColor="text1"/>
        </w:rPr>
      </w:pPr>
      <w:r w:rsidRPr="00B95E28">
        <w:rPr>
          <w:color w:val="000000" w:themeColor="text1"/>
        </w:rPr>
        <w:t>This distinction is particularly relevant in serial acquisition contexts because organizations must carry knowledge across transactions. When knowledge remains informal, it is dependent on individual memory and continuity of personnel. When knowledge is institutionalized, it becomes embedded in routines, templates, decision gates, operating models, and leadership expectations. The difference determines whether an organization learns from experience or simply accumulates experience.</w:t>
      </w:r>
    </w:p>
    <w:p w14:paraId="76978FA1" w14:textId="77777777" w:rsidR="008F402B" w:rsidRPr="00B95E28" w:rsidRDefault="008F402B" w:rsidP="008F402B">
      <w:pPr>
        <w:spacing w:line="480" w:lineRule="auto"/>
        <w:rPr>
          <w:color w:val="000000" w:themeColor="text1"/>
        </w:rPr>
      </w:pPr>
    </w:p>
    <w:p w14:paraId="051121E7" w14:textId="124B8770" w:rsidR="004604AB" w:rsidRPr="00B95E28" w:rsidRDefault="004604AB" w:rsidP="008F402B">
      <w:pPr>
        <w:spacing w:line="480" w:lineRule="auto"/>
        <w:rPr>
          <w:color w:val="000000" w:themeColor="text1"/>
        </w:rPr>
      </w:pPr>
      <w:r w:rsidRPr="00B95E28">
        <w:rPr>
          <w:color w:val="000000" w:themeColor="text1"/>
        </w:rPr>
        <w:t xml:space="preserve">Institutional learning also requires causal understanding. Organizations must move beyond documenting what occurred to understanding why it occurred. For example, identifying that technology integration took longer than expected is useful, but incomplete. The more important learning concerns whether the delay resulted from insufficient diligence, poor data quality, </w:t>
      </w:r>
      <w:r w:rsidRPr="00B95E28">
        <w:rPr>
          <w:color w:val="000000" w:themeColor="text1"/>
        </w:rPr>
        <w:lastRenderedPageBreak/>
        <w:t>unclear system ownership, underestimated process differences, or lack of executive decision-making. Only this deeper causal understanding allows organizations to improve future integration planning.</w:t>
      </w:r>
    </w:p>
    <w:p w14:paraId="2DC26D53" w14:textId="77777777" w:rsidR="008F402B" w:rsidRPr="00B95E28" w:rsidRDefault="008F402B" w:rsidP="008F402B">
      <w:pPr>
        <w:rPr>
          <w:color w:val="000000" w:themeColor="text1"/>
        </w:rPr>
      </w:pPr>
    </w:p>
    <w:p w14:paraId="7D4E562F" w14:textId="7AA1D702" w:rsidR="004604AB" w:rsidRPr="00B95E28" w:rsidRDefault="004604AB" w:rsidP="00557AB7">
      <w:pPr>
        <w:spacing w:line="480" w:lineRule="auto"/>
        <w:rPr>
          <w:color w:val="000000" w:themeColor="text1"/>
        </w:rPr>
      </w:pPr>
      <w:r w:rsidRPr="00B95E28">
        <w:rPr>
          <w:color w:val="000000" w:themeColor="text1"/>
        </w:rPr>
        <w:t>This study therefore treats organizational learning not as an outcome of integration, but as a mechanism through which integration capability is developed. The ability to capture, interpret, codify, and reuse lessons across transactions is central to understanding why some serial acquirers improve over time while others repeat similar mistakes.</w:t>
      </w:r>
    </w:p>
    <w:p w14:paraId="414D3CEA" w14:textId="5F298BC4" w:rsidR="004604AB" w:rsidRPr="00B95E28" w:rsidRDefault="004604AB" w:rsidP="00557AB7">
      <w:pPr>
        <w:pStyle w:val="Heading2"/>
        <w:spacing w:before="0" w:after="0" w:line="480" w:lineRule="auto"/>
        <w:ind w:left="0" w:firstLine="0"/>
        <w:rPr>
          <w:color w:val="000000" w:themeColor="text1"/>
        </w:rPr>
      </w:pPr>
      <w:bookmarkStart w:id="65" w:name="_Toc230881430"/>
      <w:bookmarkStart w:id="66" w:name="_Toc232351830"/>
      <w:r w:rsidRPr="00B95E28">
        <w:rPr>
          <w:color w:val="000000" w:themeColor="text1"/>
        </w:rPr>
        <w:t>2.</w:t>
      </w:r>
      <w:r w:rsidR="0063141E">
        <w:rPr>
          <w:color w:val="000000" w:themeColor="text1"/>
        </w:rPr>
        <w:t>6</w:t>
      </w:r>
      <w:r w:rsidRPr="00B95E28">
        <w:rPr>
          <w:color w:val="000000" w:themeColor="text1"/>
        </w:rPr>
        <w:t xml:space="preserve"> Integration Governance and Decision Authority</w:t>
      </w:r>
      <w:bookmarkEnd w:id="65"/>
      <w:bookmarkEnd w:id="66"/>
    </w:p>
    <w:p w14:paraId="4B26AFF4" w14:textId="77777777" w:rsidR="004604AB" w:rsidRPr="00B95E28" w:rsidRDefault="004604AB" w:rsidP="00557AB7">
      <w:pPr>
        <w:spacing w:line="480" w:lineRule="auto"/>
        <w:rPr>
          <w:color w:val="000000" w:themeColor="text1"/>
        </w:rPr>
      </w:pPr>
      <w:r w:rsidRPr="00B95E28">
        <w:rPr>
          <w:color w:val="000000" w:themeColor="text1"/>
        </w:rPr>
        <w:t>Governance has been widely recognized in the literature as a critical determinant of integration effectiveness. Prior studies emphasize the importance of clearly defined structures, roles, and processes in coordinating integration activities across functional areas (Haspeslagh &amp; Jemison, 1991; Galpin &amp; Herndon, 2014). Governance frameworks are intended to provide oversight, ensure alignment with strategic objectives, and facilitate decision-making during the integration process.</w:t>
      </w:r>
    </w:p>
    <w:p w14:paraId="29026C92" w14:textId="77777777" w:rsidR="008F402B" w:rsidRPr="00B95E28" w:rsidRDefault="008F402B" w:rsidP="008F402B">
      <w:pPr>
        <w:rPr>
          <w:color w:val="000000" w:themeColor="text1"/>
        </w:rPr>
      </w:pPr>
    </w:p>
    <w:p w14:paraId="26390067" w14:textId="2F6DF951" w:rsidR="004604AB" w:rsidRPr="00B95E28" w:rsidRDefault="004604AB" w:rsidP="00557AB7">
      <w:pPr>
        <w:spacing w:line="480" w:lineRule="auto"/>
        <w:rPr>
          <w:color w:val="000000" w:themeColor="text1"/>
        </w:rPr>
      </w:pPr>
      <w:r w:rsidRPr="00B95E28">
        <w:rPr>
          <w:color w:val="000000" w:themeColor="text1"/>
        </w:rPr>
        <w:t>However, existing literature often focuses on governance as a structural construct, emphasizing the design of committees, reporting lines, and coordination mechanisms. While these elements are necessary, they are not sufficient to ensure effective integration. The findings from prior research suggest that the effectiveness of governance depends not only on its structure, but on the clarity and enforcement of decision authority.</w:t>
      </w:r>
    </w:p>
    <w:p w14:paraId="0AC65708" w14:textId="77777777" w:rsidR="008F402B" w:rsidRPr="00B95E28" w:rsidRDefault="008F402B" w:rsidP="008F402B">
      <w:pPr>
        <w:rPr>
          <w:color w:val="000000" w:themeColor="text1"/>
        </w:rPr>
      </w:pPr>
    </w:p>
    <w:p w14:paraId="73D1444F" w14:textId="6C300F42" w:rsidR="004604AB" w:rsidRPr="00B95E28" w:rsidRDefault="004604AB" w:rsidP="00557AB7">
      <w:pPr>
        <w:spacing w:line="480" w:lineRule="auto"/>
        <w:rPr>
          <w:color w:val="000000" w:themeColor="text1"/>
        </w:rPr>
      </w:pPr>
      <w:r w:rsidRPr="00B95E28">
        <w:rPr>
          <w:color w:val="000000" w:themeColor="text1"/>
        </w:rPr>
        <w:t xml:space="preserve">Decision rights represent a central component of governance effectiveness. Organizations must define who has the authority to make integration decisions, how those decisions are made, and how conflicts are resolved. In the absence of clearly defined decision rights, integration activities </w:t>
      </w:r>
      <w:r w:rsidRPr="00B95E28">
        <w:rPr>
          <w:color w:val="000000" w:themeColor="text1"/>
        </w:rPr>
        <w:lastRenderedPageBreak/>
        <w:t>often become reliant on consensus-based decision-making, which can slow execution and reduce accountability.</w:t>
      </w:r>
    </w:p>
    <w:p w14:paraId="3C902B30" w14:textId="77777777" w:rsidR="008F402B" w:rsidRPr="00B95E28" w:rsidRDefault="008F402B" w:rsidP="008F402B">
      <w:pPr>
        <w:rPr>
          <w:color w:val="000000" w:themeColor="text1"/>
        </w:rPr>
      </w:pPr>
    </w:p>
    <w:p w14:paraId="3E36832F" w14:textId="212C539B" w:rsidR="004604AB" w:rsidRPr="00B95E28" w:rsidRDefault="004604AB" w:rsidP="00557AB7">
      <w:pPr>
        <w:spacing w:line="480" w:lineRule="auto"/>
        <w:rPr>
          <w:color w:val="000000" w:themeColor="text1"/>
        </w:rPr>
      </w:pPr>
      <w:r w:rsidRPr="00B95E28">
        <w:rPr>
          <w:color w:val="000000" w:themeColor="text1"/>
        </w:rPr>
        <w:t>The literature also highlights the importance of centralized coordination, often through an Integration Management Office (IMO) or equivalent structure. These entities are designed to align cross-functional workstreams, manage dependencies, and maintain oversight across the integration lifecycle. However, their effectiveness is contingent on their ability to influence decision-making rather than simply coordinate activities.</w:t>
      </w:r>
    </w:p>
    <w:p w14:paraId="4C537EE9" w14:textId="77777777" w:rsidR="004604AB" w:rsidRPr="00B95E28" w:rsidRDefault="004604AB" w:rsidP="00557AB7">
      <w:pPr>
        <w:spacing w:line="480" w:lineRule="auto"/>
        <w:rPr>
          <w:color w:val="000000" w:themeColor="text1"/>
        </w:rPr>
      </w:pPr>
      <w:r w:rsidRPr="00B95E28">
        <w:rPr>
          <w:color w:val="000000" w:themeColor="text1"/>
        </w:rPr>
        <w:t>This distinction between coordination and authority is critical. Governance structures that lack enforcement capability may provide visibility into integration activities, but do not necessarily improve execution outcomes. As a result, organizations may appear well-governed in structure, while still experiencing fragmentation and inefficiency in practice.</w:t>
      </w:r>
    </w:p>
    <w:p w14:paraId="4378883A" w14:textId="77777777" w:rsidR="008F402B" w:rsidRPr="00B95E28" w:rsidRDefault="008F402B" w:rsidP="008F402B">
      <w:pPr>
        <w:rPr>
          <w:color w:val="000000" w:themeColor="text1"/>
        </w:rPr>
      </w:pPr>
    </w:p>
    <w:p w14:paraId="560ABCDB" w14:textId="74FBF226" w:rsidR="008F402B" w:rsidRPr="00B95E28" w:rsidRDefault="004604AB" w:rsidP="008F402B">
      <w:pPr>
        <w:spacing w:line="480" w:lineRule="auto"/>
        <w:rPr>
          <w:color w:val="000000" w:themeColor="text1"/>
        </w:rPr>
      </w:pPr>
      <w:r w:rsidRPr="00B95E28">
        <w:rPr>
          <w:color w:val="000000" w:themeColor="text1"/>
        </w:rPr>
        <w:t>These observations suggest that governance should be understood not only as a structural arrangement, but as a mechanism for enforcing alignment and accountability across the integration lifecycle. This perspective provides a foundation for examining how governance contributes to the development of repeatable integration capability.</w:t>
      </w:r>
      <w:bookmarkStart w:id="67" w:name="_Toc230881431"/>
    </w:p>
    <w:p w14:paraId="26337207" w14:textId="77777777" w:rsidR="008F402B" w:rsidRPr="00B95E28" w:rsidRDefault="008F402B" w:rsidP="008F402B">
      <w:pPr>
        <w:rPr>
          <w:color w:val="000000" w:themeColor="text1"/>
        </w:rPr>
      </w:pPr>
    </w:p>
    <w:p w14:paraId="2673253B" w14:textId="5A56DEC8" w:rsidR="004604AB" w:rsidRPr="00B95E28" w:rsidRDefault="004604AB" w:rsidP="00557AB7">
      <w:pPr>
        <w:pStyle w:val="Heading2"/>
        <w:spacing w:before="0" w:after="0" w:line="480" w:lineRule="auto"/>
        <w:ind w:left="0" w:firstLine="0"/>
        <w:rPr>
          <w:color w:val="000000" w:themeColor="text1"/>
        </w:rPr>
      </w:pPr>
      <w:bookmarkStart w:id="68" w:name="_Toc232351831"/>
      <w:r w:rsidRPr="00B95E28">
        <w:rPr>
          <w:color w:val="000000" w:themeColor="text1"/>
        </w:rPr>
        <w:t>2.</w:t>
      </w:r>
      <w:r w:rsidR="0063141E">
        <w:rPr>
          <w:color w:val="000000" w:themeColor="text1"/>
        </w:rPr>
        <w:t>7</w:t>
      </w:r>
      <w:r w:rsidRPr="00B95E28">
        <w:rPr>
          <w:color w:val="000000" w:themeColor="text1"/>
        </w:rPr>
        <w:t xml:space="preserve"> Post-Merger Integration</w:t>
      </w:r>
      <w:bookmarkEnd w:id="67"/>
      <w:bookmarkEnd w:id="68"/>
    </w:p>
    <w:p w14:paraId="2A67FF48" w14:textId="77777777" w:rsidR="004604AB" w:rsidRPr="00B95E28" w:rsidRDefault="004604AB" w:rsidP="00557AB7">
      <w:pPr>
        <w:spacing w:line="480" w:lineRule="auto"/>
        <w:rPr>
          <w:color w:val="000000" w:themeColor="text1"/>
        </w:rPr>
      </w:pPr>
      <w:r w:rsidRPr="00B95E28">
        <w:rPr>
          <w:color w:val="000000" w:themeColor="text1"/>
        </w:rPr>
        <w:t>Building on this gap, the literature increasingly positions post-merger integration as the critical phase through which acquisition value is either realized or eroded.</w:t>
      </w:r>
    </w:p>
    <w:p w14:paraId="72B9457E" w14:textId="77777777" w:rsidR="004604AB" w:rsidRPr="00B95E28" w:rsidRDefault="004604AB" w:rsidP="00557AB7">
      <w:pPr>
        <w:spacing w:line="480" w:lineRule="auto"/>
        <w:rPr>
          <w:color w:val="000000" w:themeColor="text1"/>
        </w:rPr>
      </w:pPr>
      <w:r w:rsidRPr="00B95E28">
        <w:rPr>
          <w:color w:val="000000" w:themeColor="text1"/>
        </w:rPr>
        <w:t>Post-merger integration represents the phase in which the strategic rationale of an acquisition is translated into operational reality (Haspeslagh &amp; Jemison, 1991). It is during this stage that organizations must achieve organizational and operational alignment to realize the value identified during the transaction phase.</w:t>
      </w:r>
    </w:p>
    <w:p w14:paraId="7070A857" w14:textId="77777777" w:rsidR="008F402B" w:rsidRPr="00B95E28" w:rsidRDefault="008F402B" w:rsidP="008F402B">
      <w:pPr>
        <w:rPr>
          <w:color w:val="000000" w:themeColor="text1"/>
        </w:rPr>
      </w:pPr>
    </w:p>
    <w:p w14:paraId="48ABF8E5" w14:textId="2B156FD9" w:rsidR="004604AB" w:rsidRPr="00B95E28" w:rsidRDefault="004604AB" w:rsidP="00557AB7">
      <w:pPr>
        <w:spacing w:line="480" w:lineRule="auto"/>
        <w:rPr>
          <w:color w:val="000000" w:themeColor="text1"/>
        </w:rPr>
      </w:pPr>
      <w:r w:rsidRPr="00B95E28">
        <w:rPr>
          <w:color w:val="000000" w:themeColor="text1"/>
        </w:rPr>
        <w:t>Integration is widely recognized as the primary determinant of acquisition success (Haspeslagh &amp; Jemison, 1991; Kim &amp; Olsen, 1999; Cartwright &amp; Schoenberg, 2006). While deal strategy and valuation establish the potential for value creation, it is the effectiveness of integration that determines whether this value is ultimately realized (Jemison &amp; Sitkin, 1986).</w:t>
      </w:r>
    </w:p>
    <w:p w14:paraId="4523E622" w14:textId="77777777" w:rsidR="008F402B" w:rsidRPr="00B95E28" w:rsidRDefault="008F402B" w:rsidP="008F402B">
      <w:pPr>
        <w:rPr>
          <w:color w:val="000000" w:themeColor="text1"/>
        </w:rPr>
      </w:pPr>
    </w:p>
    <w:p w14:paraId="0878486E" w14:textId="755B283F" w:rsidR="004604AB" w:rsidRPr="00B95E28" w:rsidRDefault="004604AB" w:rsidP="00557AB7">
      <w:pPr>
        <w:spacing w:line="480" w:lineRule="auto"/>
        <w:rPr>
          <w:color w:val="000000" w:themeColor="text1"/>
        </w:rPr>
      </w:pPr>
      <w:r w:rsidRPr="00B95E28">
        <w:rPr>
          <w:color w:val="000000" w:themeColor="text1"/>
        </w:rPr>
        <w:t>The integration process is inherently challenging due to the need to balance transformation with continuity. Organizations must implement changes to achieve synergies while maintaining ongoing business performance (Sirower, 1997; King et al., 2004). This dual requirement creates operational strain and increases the risk of disruption.</w:t>
      </w:r>
    </w:p>
    <w:p w14:paraId="2463A446" w14:textId="77777777" w:rsidR="008F402B" w:rsidRPr="00B95E28" w:rsidRDefault="008F402B" w:rsidP="008F402B">
      <w:pPr>
        <w:rPr>
          <w:color w:val="000000" w:themeColor="text1"/>
        </w:rPr>
      </w:pPr>
    </w:p>
    <w:p w14:paraId="097F5245" w14:textId="2F3BCE3C" w:rsidR="004604AB" w:rsidRPr="00B95E28" w:rsidRDefault="004604AB" w:rsidP="00557AB7">
      <w:pPr>
        <w:spacing w:line="480" w:lineRule="auto"/>
        <w:rPr>
          <w:color w:val="000000" w:themeColor="text1"/>
        </w:rPr>
      </w:pPr>
      <w:r w:rsidRPr="00B95E28">
        <w:rPr>
          <w:color w:val="000000" w:themeColor="text1"/>
        </w:rPr>
        <w:t>Existing literature has provided various frameworks to guide integration efforts, including structured planning processes and governance models (Jemison &amp; Sitkin, 1986; Kim &amp; Olsen, 1999). However, the application of these frameworks in practice is often inconsistent (Cartwright &amp; Schoenberg, 2006). Differences in organizational context, leadership, and resource availability result in variability in how integration is executed.</w:t>
      </w:r>
    </w:p>
    <w:p w14:paraId="4ED40181" w14:textId="77777777" w:rsidR="008F402B" w:rsidRPr="00B95E28" w:rsidRDefault="008F402B" w:rsidP="008F402B">
      <w:pPr>
        <w:rPr>
          <w:color w:val="000000" w:themeColor="text1"/>
        </w:rPr>
      </w:pPr>
    </w:p>
    <w:p w14:paraId="7483DE48" w14:textId="4ADB0177" w:rsidR="004604AB" w:rsidRPr="00B95E28" w:rsidRDefault="004604AB" w:rsidP="00557AB7">
      <w:pPr>
        <w:spacing w:line="480" w:lineRule="auto"/>
        <w:rPr>
          <w:color w:val="000000" w:themeColor="text1"/>
        </w:rPr>
      </w:pPr>
      <w:r w:rsidRPr="00B95E28">
        <w:rPr>
          <w:color w:val="000000" w:themeColor="text1"/>
        </w:rPr>
        <w:t>Moreover, existing frameworks tend to assume a level of organizational alignment that may not exist in reality. They often overlook the competing priorities, resource constraints, and informal decision-making processes that shape integration outcomes. This limits their explanatory power in understanding why similar frameworks produce different results across organizations.</w:t>
      </w:r>
    </w:p>
    <w:p w14:paraId="7F20B0DF" w14:textId="77777777" w:rsidR="008F402B" w:rsidRPr="00B95E28" w:rsidRDefault="008F402B" w:rsidP="008F402B">
      <w:pPr>
        <w:rPr>
          <w:color w:val="000000" w:themeColor="text1"/>
        </w:rPr>
      </w:pPr>
    </w:p>
    <w:p w14:paraId="01F3595C" w14:textId="13CB73A8" w:rsidR="004604AB" w:rsidRPr="00B95E28" w:rsidRDefault="004604AB" w:rsidP="00557AB7">
      <w:pPr>
        <w:spacing w:line="480" w:lineRule="auto"/>
        <w:rPr>
          <w:color w:val="000000" w:themeColor="text1"/>
        </w:rPr>
      </w:pPr>
      <w:r w:rsidRPr="00B95E28">
        <w:rPr>
          <w:color w:val="000000" w:themeColor="text1"/>
        </w:rPr>
        <w:t xml:space="preserve">This process-oriented perspective is further reinforced by practitioner-oriented integration frameworks, which typically decompose integration into functional domains such as planning, governance, systems, and communication. For example, Lajoux (2006) presents integration as a structured sequence of activities spanning planning, stakeholder communication, and functional </w:t>
      </w:r>
      <w:r w:rsidRPr="00B95E28">
        <w:rPr>
          <w:color w:val="000000" w:themeColor="text1"/>
        </w:rPr>
        <w:lastRenderedPageBreak/>
        <w:t>integration, providing detailed guidance on how integration should be organized across these domains. While such approaches offer practical clarity and structure, they largely reflect a functional and sequential view of integration, emphasizing coordination within domains rather than the dynamic interaction between them. As a result, they provide limited insight into how integration is executed across interdependent activities in practice, particularly under conditions of uncertainty and time pressure.</w:t>
      </w:r>
    </w:p>
    <w:p w14:paraId="6FB7D2CB" w14:textId="77777777" w:rsidR="004604AB" w:rsidRPr="00B95E28" w:rsidRDefault="004604AB" w:rsidP="00557AB7">
      <w:pPr>
        <w:spacing w:line="480" w:lineRule="auto"/>
        <w:rPr>
          <w:color w:val="000000" w:themeColor="text1"/>
        </w:rPr>
      </w:pPr>
      <w:r w:rsidRPr="00B95E28">
        <w:rPr>
          <w:color w:val="000000" w:themeColor="text1"/>
        </w:rPr>
        <w:t>These limitations suggest that integration cannot be fully understood through process-based models alone. Instead, it requires a perspective that accounts for the organization’s ability to coordinate, adapt, and execute across varying contexts. This shifts the focus from integration as a predefined process to integration as an emergent organizational capability.</w:t>
      </w:r>
    </w:p>
    <w:p w14:paraId="338BA0B1" w14:textId="77777777" w:rsidR="008F402B" w:rsidRPr="00B95E28" w:rsidRDefault="008F402B" w:rsidP="008F402B">
      <w:pPr>
        <w:rPr>
          <w:color w:val="000000" w:themeColor="text1"/>
        </w:rPr>
      </w:pPr>
    </w:p>
    <w:p w14:paraId="7A1EB4AC" w14:textId="7A4E93DE" w:rsidR="004604AB" w:rsidRPr="00B95E28" w:rsidRDefault="004604AB" w:rsidP="00557AB7">
      <w:pPr>
        <w:spacing w:line="480" w:lineRule="auto"/>
        <w:rPr>
          <w:color w:val="000000" w:themeColor="text1"/>
        </w:rPr>
      </w:pPr>
      <w:r w:rsidRPr="00B95E28">
        <w:rPr>
          <w:color w:val="000000" w:themeColor="text1"/>
        </w:rPr>
        <w:t>As organizations engage in repeated acquisition activity, the limitations of viewing integration solely as a process become more evident. While processes can be defined and replicated, outcomes remain difficult to reproduce (Eisenhardt &amp; Martin, 2000; Teece, 2007). This indicates that successful integration is not solely dependent on the existence of frameworks, but on the underlying capability of the organization to execute integration effectively across different contexts (Zollo &amp; Winter, 2002; Teece, 2007).</w:t>
      </w:r>
    </w:p>
    <w:p w14:paraId="3E7B75D2" w14:textId="77777777" w:rsidR="008F402B" w:rsidRPr="00B95E28" w:rsidRDefault="008F402B" w:rsidP="008F402B">
      <w:pPr>
        <w:rPr>
          <w:color w:val="000000" w:themeColor="text1"/>
        </w:rPr>
      </w:pPr>
    </w:p>
    <w:p w14:paraId="0706363B" w14:textId="779C33C8" w:rsidR="004604AB" w:rsidRPr="00B95E28" w:rsidRDefault="004604AB" w:rsidP="00557AB7">
      <w:pPr>
        <w:spacing w:line="480" w:lineRule="auto"/>
        <w:rPr>
          <w:color w:val="000000" w:themeColor="text1"/>
        </w:rPr>
      </w:pPr>
      <w:r w:rsidRPr="00B95E28">
        <w:rPr>
          <w:color w:val="000000" w:themeColor="text1"/>
        </w:rPr>
        <w:t xml:space="preserve">While existing frameworks provide structured approaches to integration, they are largely grounded in assumptions of rational planning, linear execution, and organizational controllability. These perspectives implicitly assume that integration can be designed and implemented as a predictable sequence of activities. However, the persistent variability in outcomes suggests that these assumptions do not fully reflect the complexity and uncertainty inherent in integration environments. In particular, they overlook the extent to which integration </w:t>
      </w:r>
      <w:r w:rsidRPr="00B95E28">
        <w:rPr>
          <w:color w:val="000000" w:themeColor="text1"/>
        </w:rPr>
        <w:lastRenderedPageBreak/>
        <w:t>outcomes are shaped by emergent dynamics, cross-functional interdependencies, and the organization’s ability to adapt in real time. This raises questions regarding the adequacy of process-oriented perspectives in explaining integration performance.</w:t>
      </w:r>
    </w:p>
    <w:p w14:paraId="145B1FC5" w14:textId="0927D877" w:rsidR="004604AB" w:rsidRPr="00B95E28" w:rsidRDefault="004604AB" w:rsidP="00557AB7">
      <w:pPr>
        <w:pStyle w:val="Heading2"/>
        <w:spacing w:before="0" w:after="0" w:line="480" w:lineRule="auto"/>
        <w:ind w:left="0" w:firstLine="0"/>
        <w:rPr>
          <w:color w:val="000000" w:themeColor="text1"/>
        </w:rPr>
      </w:pPr>
      <w:bookmarkStart w:id="69" w:name="_Toc230881432"/>
      <w:bookmarkStart w:id="70" w:name="_Toc232351832"/>
      <w:r w:rsidRPr="00B95E28">
        <w:rPr>
          <w:color w:val="000000" w:themeColor="text1"/>
        </w:rPr>
        <w:t>2.</w:t>
      </w:r>
      <w:r w:rsidR="0063141E">
        <w:rPr>
          <w:color w:val="000000" w:themeColor="text1"/>
        </w:rPr>
        <w:t>8</w:t>
      </w:r>
      <w:r w:rsidRPr="00B95E28">
        <w:rPr>
          <w:color w:val="000000" w:themeColor="text1"/>
        </w:rPr>
        <w:t xml:space="preserve"> Integration Governance</w:t>
      </w:r>
      <w:bookmarkEnd w:id="69"/>
      <w:bookmarkEnd w:id="70"/>
    </w:p>
    <w:p w14:paraId="06DE9419" w14:textId="77777777" w:rsidR="004604AB" w:rsidRPr="00B95E28" w:rsidRDefault="004604AB" w:rsidP="00557AB7">
      <w:pPr>
        <w:spacing w:line="480" w:lineRule="auto"/>
        <w:rPr>
          <w:color w:val="000000" w:themeColor="text1"/>
        </w:rPr>
      </w:pPr>
      <w:r w:rsidRPr="00B95E28">
        <w:rPr>
          <w:color w:val="000000" w:themeColor="text1"/>
        </w:rPr>
        <w:t>While the preceding section outlines governance as a structural construct, this section examines how governance operates in practice, including the dynamic, informal, and context-dependent factors that influence its effectiveness during integration.</w:t>
      </w:r>
    </w:p>
    <w:p w14:paraId="3ED374DE" w14:textId="77777777" w:rsidR="008F402B" w:rsidRPr="00B95E28" w:rsidRDefault="008F402B" w:rsidP="008F402B">
      <w:pPr>
        <w:rPr>
          <w:color w:val="000000" w:themeColor="text1"/>
        </w:rPr>
      </w:pPr>
    </w:p>
    <w:p w14:paraId="23E43A28" w14:textId="4C06E030" w:rsidR="004604AB" w:rsidRPr="00B95E28" w:rsidRDefault="004604AB" w:rsidP="00557AB7">
      <w:pPr>
        <w:spacing w:line="480" w:lineRule="auto"/>
        <w:rPr>
          <w:color w:val="000000" w:themeColor="text1"/>
        </w:rPr>
      </w:pPr>
      <w:r w:rsidRPr="00B95E28">
        <w:rPr>
          <w:color w:val="000000" w:themeColor="text1"/>
        </w:rPr>
        <w:t>Integration governance represents a critical mechanism through which organizations coordinate and control post-merger integration activities. Within the literature, governance structures are typically positioned as the foundation for aligning decision-making, resource allocation, and accountability across functional areas during the integration process (Haspeslagh &amp; Jemison, 1991). As integration requires coordination across multiple business units and functions, the presence of clear governance structures is widely regarded as essential to achieving integration objectives.</w:t>
      </w:r>
    </w:p>
    <w:p w14:paraId="568EC559" w14:textId="77777777" w:rsidR="008F402B" w:rsidRPr="00B95E28" w:rsidRDefault="008F402B" w:rsidP="008F402B">
      <w:pPr>
        <w:rPr>
          <w:color w:val="000000" w:themeColor="text1"/>
        </w:rPr>
      </w:pPr>
    </w:p>
    <w:p w14:paraId="0597D76B" w14:textId="4DFF4F37" w:rsidR="004604AB" w:rsidRPr="00B95E28" w:rsidRDefault="004604AB" w:rsidP="00557AB7">
      <w:pPr>
        <w:spacing w:line="480" w:lineRule="auto"/>
        <w:rPr>
          <w:color w:val="000000" w:themeColor="text1"/>
        </w:rPr>
      </w:pPr>
      <w:r w:rsidRPr="00B95E28">
        <w:rPr>
          <w:color w:val="000000" w:themeColor="text1"/>
        </w:rPr>
        <w:t>A common approach identified in the literature is the establishment of formal integration governance frameworks, often centred around an Integration Management Office (IMO) or equivalent coordinating body. The IMO is typically responsible for overseeing integration planning and execution, managing interdependencies across workstreams, and ensuring alignment with the strategic objectives of the transaction (Kim &amp; Olsen, 1999; Haspeslagh &amp; Jemison, 1991). In addition to centralized coordination, governance structures frequently incorporate cross-functional teams and steering committees composed of senior leaders, enabling decision-making authority to be distributed across key organizational domains.</w:t>
      </w:r>
    </w:p>
    <w:p w14:paraId="26AA1858" w14:textId="77777777" w:rsidR="008F402B" w:rsidRPr="00B95E28" w:rsidRDefault="008F402B" w:rsidP="008F402B">
      <w:pPr>
        <w:rPr>
          <w:color w:val="000000" w:themeColor="text1"/>
        </w:rPr>
      </w:pPr>
    </w:p>
    <w:p w14:paraId="2D2FD0E8" w14:textId="36C7B651" w:rsidR="004604AB" w:rsidRPr="00B95E28" w:rsidRDefault="004604AB" w:rsidP="00557AB7">
      <w:pPr>
        <w:spacing w:line="480" w:lineRule="auto"/>
        <w:rPr>
          <w:color w:val="000000" w:themeColor="text1"/>
        </w:rPr>
      </w:pPr>
      <w:r w:rsidRPr="00B95E28">
        <w:rPr>
          <w:color w:val="000000" w:themeColor="text1"/>
        </w:rPr>
        <w:t>Practitioner frameworks further emphasize the importance of structured governance mechanisms, often outlining the need for defined leadership roles, coordination structures, and communication channels across the integration process (Lajoux, 2006). These frameworks typically assume that the establishment of formal structures is sufficient to enable coordination and decision-making. However, this assumption overlooks the extent to which governance effectiveness depends on the organization’s ability to operationalize these structures in practice. As a result, while governance is well defined conceptually, its execution remains variable across integration contexts.</w:t>
      </w:r>
    </w:p>
    <w:p w14:paraId="270A728C" w14:textId="77777777" w:rsidR="008F402B" w:rsidRPr="00B95E28" w:rsidRDefault="008F402B" w:rsidP="008F402B">
      <w:pPr>
        <w:rPr>
          <w:color w:val="000000" w:themeColor="text1"/>
        </w:rPr>
      </w:pPr>
    </w:p>
    <w:p w14:paraId="1E6E0E21" w14:textId="210A667C" w:rsidR="004604AB" w:rsidRPr="00B95E28" w:rsidRDefault="004604AB" w:rsidP="00557AB7">
      <w:pPr>
        <w:spacing w:line="480" w:lineRule="auto"/>
        <w:rPr>
          <w:color w:val="000000" w:themeColor="text1"/>
        </w:rPr>
      </w:pPr>
      <w:r w:rsidRPr="00B95E28">
        <w:rPr>
          <w:color w:val="000000" w:themeColor="text1"/>
        </w:rPr>
        <w:t>While these governance models provide a structured approach to managing integration, their effectiveness in practice is often contingent on the clarity of roles, decision rights, and authority within the organization. Prior research highlights that governance structures are frequently defined at a high level but lack sufficient specificity in terms of accountability and escalation mechanisms (Jemison &amp; Sitkin, 1986). This ambiguity can result in delays in decision-making, misalignment between functional teams, and an increased reliance on informal coordination, particularly in complex or time-sensitive integration environments. This challenge is also observed in practice, where integration leaders are often required to coordinate across functions without sufficient authority to enforce decisions and maintain accountability (M&amp;A practitioner interview, 2026).</w:t>
      </w:r>
    </w:p>
    <w:p w14:paraId="2D68FB11" w14:textId="77777777" w:rsidR="008F402B" w:rsidRPr="00B95E28" w:rsidRDefault="008F402B" w:rsidP="008F402B">
      <w:pPr>
        <w:rPr>
          <w:color w:val="000000" w:themeColor="text1"/>
        </w:rPr>
      </w:pPr>
    </w:p>
    <w:p w14:paraId="7F20C427" w14:textId="68F22B03" w:rsidR="004604AB" w:rsidRPr="00B95E28" w:rsidRDefault="004604AB" w:rsidP="00557AB7">
      <w:pPr>
        <w:spacing w:line="480" w:lineRule="auto"/>
        <w:rPr>
          <w:color w:val="000000" w:themeColor="text1"/>
        </w:rPr>
      </w:pPr>
      <w:r w:rsidRPr="00B95E28">
        <w:rPr>
          <w:color w:val="000000" w:themeColor="text1"/>
        </w:rPr>
        <w:t xml:space="preserve">A further challenge relates to the relationship between deal teams and integration teams. The literature has traditionally treated transaction execution and integration execution as sequential phases, with governance structures established following deal completion. However, this separation can create a disconnect between the strategic intent of the transaction and the </w:t>
      </w:r>
      <w:r w:rsidRPr="00B95E28">
        <w:rPr>
          <w:color w:val="000000" w:themeColor="text1"/>
        </w:rPr>
        <w:lastRenderedPageBreak/>
        <w:t>operational realities of integration (Haspeslagh &amp; Jemison, 1991; Kim &amp; Olsen, 1999). Where integration governance is introduced too late, organizations may find that key assumptions underpinning the deal are not fully aligned with execution capabilities, leading to rework, delays, and erosion of value.</w:t>
      </w:r>
    </w:p>
    <w:p w14:paraId="1BA40BA9" w14:textId="77777777" w:rsidR="008F402B" w:rsidRPr="00B95E28" w:rsidRDefault="008F402B" w:rsidP="008F402B">
      <w:pPr>
        <w:rPr>
          <w:color w:val="000000" w:themeColor="text1"/>
        </w:rPr>
      </w:pPr>
    </w:p>
    <w:p w14:paraId="271206E7" w14:textId="0478716D" w:rsidR="004604AB" w:rsidRPr="00B95E28" w:rsidRDefault="004604AB" w:rsidP="00557AB7">
      <w:pPr>
        <w:spacing w:line="480" w:lineRule="auto"/>
        <w:rPr>
          <w:color w:val="000000" w:themeColor="text1"/>
        </w:rPr>
      </w:pPr>
      <w:r w:rsidRPr="00B95E28">
        <w:rPr>
          <w:color w:val="000000" w:themeColor="text1"/>
        </w:rPr>
        <w:t>In the context of serial acquirers, the limitations of transaction-specific governance models become more pronounced. While governance frameworks may be established for individual integrations, they are not always institutionalized across transactions. As a result, organizations may repeatedly design governance structures from scratch, rather than developing standardized approaches that can be adapted and refined over time (Laamanen &amp; Keil, 2008; Teece, 2007). This lack of continuity limits the organization’s ability to build governance as a repeatable capability and contributes to variability in integration outcomes.</w:t>
      </w:r>
    </w:p>
    <w:p w14:paraId="639C2D90" w14:textId="77777777" w:rsidR="008F402B" w:rsidRPr="00B95E28" w:rsidRDefault="008F402B" w:rsidP="008F402B">
      <w:pPr>
        <w:rPr>
          <w:color w:val="000000" w:themeColor="text1"/>
        </w:rPr>
      </w:pPr>
    </w:p>
    <w:p w14:paraId="799F93C5" w14:textId="2659F1C1" w:rsidR="004604AB" w:rsidRPr="00B95E28" w:rsidRDefault="004604AB" w:rsidP="00557AB7">
      <w:pPr>
        <w:spacing w:line="480" w:lineRule="auto"/>
        <w:rPr>
          <w:color w:val="000000" w:themeColor="text1"/>
        </w:rPr>
      </w:pPr>
      <w:r w:rsidRPr="00B95E28">
        <w:rPr>
          <w:color w:val="000000" w:themeColor="text1"/>
        </w:rPr>
        <w:t>The literature also emphasizes the importance of leadership within integration governance. Effective governance is not solely a function of structure, but of leadership authority and the ability to drive alignment across the organization. Integration leaders are often required to coordinate across functions without direct authority over resources, creating challenges in enforcing decisions and maintaining accountability (Haspeslagh &amp; Jemison, 1991). Where governance structures do not provide sufficient authority to integration leaders, execution can become fragmented, with functional priorities taking precedence over integration objectives.</w:t>
      </w:r>
    </w:p>
    <w:p w14:paraId="32F77EE4" w14:textId="77777777" w:rsidR="008F402B" w:rsidRPr="00B95E28" w:rsidRDefault="008F402B" w:rsidP="008F402B">
      <w:pPr>
        <w:rPr>
          <w:color w:val="000000" w:themeColor="text1"/>
        </w:rPr>
      </w:pPr>
    </w:p>
    <w:p w14:paraId="79F4F42F" w14:textId="7DA4B66D" w:rsidR="004604AB" w:rsidRPr="00B95E28" w:rsidRDefault="004604AB" w:rsidP="00557AB7">
      <w:pPr>
        <w:spacing w:line="480" w:lineRule="auto"/>
        <w:rPr>
          <w:color w:val="000000" w:themeColor="text1"/>
        </w:rPr>
      </w:pPr>
      <w:r w:rsidRPr="00B95E28">
        <w:rPr>
          <w:color w:val="000000" w:themeColor="text1"/>
        </w:rPr>
        <w:t xml:space="preserve">Despite the recognition of governance as a critical success factor, existing research largely conceptualizes governance as a structural component of the integration process rather than as a capability that evolves over time.  Governance is typically described in terms of formal </w:t>
      </w:r>
      <w:r w:rsidRPr="00B95E28">
        <w:rPr>
          <w:color w:val="000000" w:themeColor="text1"/>
        </w:rPr>
        <w:lastRenderedPageBreak/>
        <w:t>mechanisms such as reporting structures, decision rights, and coordination bodies. While these elements are important, they do not fully capture how governance functions in practice.</w:t>
      </w:r>
    </w:p>
    <w:p w14:paraId="4548A696" w14:textId="77777777" w:rsidR="004604AB" w:rsidRPr="00B95E28" w:rsidRDefault="004604AB" w:rsidP="00557AB7">
      <w:pPr>
        <w:spacing w:line="480" w:lineRule="auto"/>
        <w:rPr>
          <w:color w:val="000000" w:themeColor="text1"/>
        </w:rPr>
      </w:pPr>
      <w:r w:rsidRPr="00B95E28">
        <w:rPr>
          <w:color w:val="000000" w:themeColor="text1"/>
        </w:rPr>
        <w:t>In reality, governance is enacted through a combination of formal structures and informal behaviours (Eisenhardt &amp; Martin, 2000). Decision-making is influenced not only by defined authority, but also by relationships, organizational culture, and the ability of leaders to influence outcomes across functional boundaries. This introduces variability in how governance structures are applied, even when they are formally defined.</w:t>
      </w:r>
    </w:p>
    <w:p w14:paraId="7FA57B03" w14:textId="77777777" w:rsidR="008F402B" w:rsidRPr="00B95E28" w:rsidRDefault="008F402B" w:rsidP="008F402B">
      <w:pPr>
        <w:rPr>
          <w:color w:val="000000" w:themeColor="text1"/>
        </w:rPr>
      </w:pPr>
    </w:p>
    <w:p w14:paraId="0F2B978B" w14:textId="0A9134DB" w:rsidR="004604AB" w:rsidRPr="00B95E28" w:rsidRDefault="004604AB" w:rsidP="00557AB7">
      <w:pPr>
        <w:spacing w:line="480" w:lineRule="auto"/>
        <w:rPr>
          <w:color w:val="000000" w:themeColor="text1"/>
        </w:rPr>
      </w:pPr>
      <w:r w:rsidRPr="00B95E28">
        <w:rPr>
          <w:color w:val="000000" w:themeColor="text1"/>
        </w:rPr>
        <w:t>Furthermore, governance effectiveness is highly dependent on the organization’s ability to manage ambiguity and resolve conflicts between competing priorities. Integration often requires trade-offs between speed and accuracy, standardization and flexibility, and short-term disruption and long-term value creation. Governance structures must support these decisions, yet existing models provide limited guidance on how such trade-offs are managed in practice (Eisenhardt &amp; Martin, 2000).</w:t>
      </w:r>
    </w:p>
    <w:p w14:paraId="01AEF095" w14:textId="77777777" w:rsidR="008F402B" w:rsidRPr="00B95E28" w:rsidRDefault="008F402B" w:rsidP="008F402B">
      <w:pPr>
        <w:rPr>
          <w:color w:val="000000" w:themeColor="text1"/>
        </w:rPr>
      </w:pPr>
    </w:p>
    <w:p w14:paraId="16617B2D" w14:textId="5EA882CE" w:rsidR="004604AB" w:rsidRPr="00B95E28" w:rsidRDefault="004604AB" w:rsidP="00557AB7">
      <w:pPr>
        <w:spacing w:line="480" w:lineRule="auto"/>
        <w:rPr>
          <w:color w:val="000000" w:themeColor="text1"/>
        </w:rPr>
      </w:pPr>
      <w:r w:rsidRPr="00B95E28">
        <w:rPr>
          <w:color w:val="000000" w:themeColor="text1"/>
        </w:rPr>
        <w:t>Another limitation is the lack of temporal perspective in governance research. Governance is often treated as a static structure implemented at the start of an integration, rather than as a dynamic system that evolves over time. In practice, governance requirements change as integration progresses, requiring adjustments to decision-making structures, escalation paths, and coordination mechanisms.</w:t>
      </w:r>
    </w:p>
    <w:p w14:paraId="5D7A4157" w14:textId="77777777" w:rsidR="008F402B" w:rsidRPr="00B95E28" w:rsidRDefault="008F402B" w:rsidP="008F402B">
      <w:pPr>
        <w:rPr>
          <w:color w:val="000000" w:themeColor="text1"/>
        </w:rPr>
      </w:pPr>
    </w:p>
    <w:p w14:paraId="34BF325C" w14:textId="5638D618" w:rsidR="004604AB" w:rsidRPr="00B95E28" w:rsidRDefault="004604AB" w:rsidP="00557AB7">
      <w:pPr>
        <w:spacing w:line="480" w:lineRule="auto"/>
        <w:rPr>
          <w:color w:val="000000" w:themeColor="text1"/>
        </w:rPr>
      </w:pPr>
      <w:r w:rsidRPr="00B95E28">
        <w:rPr>
          <w:color w:val="000000" w:themeColor="text1"/>
        </w:rPr>
        <w:t xml:space="preserve">This dynamic nature of governance becomes particularly important in the context of serial acquisitions. Organizations engaged in repeated acquisitions must develop governance structures that are not only effective for individual transactions, but also adaptable across different </w:t>
      </w:r>
      <w:r w:rsidRPr="00B95E28">
        <w:rPr>
          <w:color w:val="000000" w:themeColor="text1"/>
        </w:rPr>
        <w:lastRenderedPageBreak/>
        <w:t>contexts. This requires the accumulation of experience and the refinement of governance practices over time.</w:t>
      </w:r>
    </w:p>
    <w:p w14:paraId="25FBB210" w14:textId="77777777" w:rsidR="004604AB" w:rsidRPr="00B95E28" w:rsidRDefault="004604AB" w:rsidP="00557AB7">
      <w:pPr>
        <w:spacing w:line="480" w:lineRule="auto"/>
        <w:rPr>
          <w:color w:val="000000" w:themeColor="text1"/>
        </w:rPr>
      </w:pPr>
      <w:r w:rsidRPr="00B95E28">
        <w:rPr>
          <w:color w:val="000000" w:themeColor="text1"/>
        </w:rPr>
        <w:t>However, the literature provides limited insight into how organizations achieve this. While studies acknowledge the importance of governance, they do not fully explain how governance practices are institutionalized, transferred, and improved across transactions. This reflects a broader gap in understanding how governance contributes to the development of integration capability.</w:t>
      </w:r>
    </w:p>
    <w:p w14:paraId="25DAA45D" w14:textId="77777777" w:rsidR="008F402B" w:rsidRPr="00B95E28" w:rsidRDefault="008F402B" w:rsidP="008F402B">
      <w:pPr>
        <w:rPr>
          <w:color w:val="000000" w:themeColor="text1"/>
        </w:rPr>
      </w:pPr>
    </w:p>
    <w:p w14:paraId="43EAE3F5" w14:textId="001AF94D" w:rsidR="004604AB" w:rsidRPr="00B95E28" w:rsidRDefault="004604AB" w:rsidP="00557AB7">
      <w:pPr>
        <w:spacing w:line="480" w:lineRule="auto"/>
        <w:rPr>
          <w:color w:val="000000" w:themeColor="text1"/>
        </w:rPr>
      </w:pPr>
      <w:r w:rsidRPr="00B95E28">
        <w:rPr>
          <w:color w:val="000000" w:themeColor="text1"/>
        </w:rPr>
        <w:t>As a result, governance should be understood not only as a structural component of integration, but as a capability that enables coordination, decision-making, and execution across varying contexts. This perspective shifts the focus from the design of governance structures to the organization’s ability to apply and adapt these structures effectively over time.</w:t>
      </w:r>
    </w:p>
    <w:p w14:paraId="2538072C" w14:textId="77777777" w:rsidR="004604AB" w:rsidRPr="00B95E28" w:rsidRDefault="004604AB" w:rsidP="00557AB7">
      <w:pPr>
        <w:spacing w:line="480" w:lineRule="auto"/>
        <w:rPr>
          <w:color w:val="000000" w:themeColor="text1"/>
        </w:rPr>
      </w:pPr>
      <w:r w:rsidRPr="00B95E28">
        <w:rPr>
          <w:color w:val="000000" w:themeColor="text1"/>
        </w:rPr>
        <w:t>This limitation reflects a broader pattern within the literature, where integration is viewed primarily as a transactional activity rather than as an evolving organizational capability to be developed.</w:t>
      </w:r>
    </w:p>
    <w:p w14:paraId="23E03444" w14:textId="77777777" w:rsidR="008F402B" w:rsidRPr="00B95E28" w:rsidRDefault="008F402B" w:rsidP="008F402B">
      <w:pPr>
        <w:rPr>
          <w:color w:val="000000" w:themeColor="text1"/>
        </w:rPr>
      </w:pPr>
    </w:p>
    <w:p w14:paraId="7177DC4D" w14:textId="58C54B22" w:rsidR="004604AB" w:rsidRPr="00B95E28" w:rsidRDefault="004604AB" w:rsidP="00557AB7">
      <w:pPr>
        <w:spacing w:line="480" w:lineRule="auto"/>
        <w:rPr>
          <w:color w:val="000000" w:themeColor="text1"/>
        </w:rPr>
      </w:pPr>
      <w:r w:rsidRPr="00B95E28">
        <w:rPr>
          <w:color w:val="000000" w:themeColor="text1"/>
        </w:rPr>
        <w:t>As organizations continue to pursue acquisition-driven growth strategies, the ability to establish effective governance structures repeatedly and consistently becomes increasingly important. This indicates that integration governance should be understood not only in terms of its structural design, but as part of a broader organizational capability that enables coordination, decision-making, and execution across successive transactions. The extent to which organizations are able to develop and sustain this capability remains an area that is not fully addressed within the existing literature.</w:t>
      </w:r>
    </w:p>
    <w:p w14:paraId="6C8208AA" w14:textId="77777777" w:rsidR="008F402B" w:rsidRPr="00B95E28" w:rsidRDefault="008F402B" w:rsidP="008F402B">
      <w:pPr>
        <w:rPr>
          <w:color w:val="000000" w:themeColor="text1"/>
        </w:rPr>
      </w:pPr>
      <w:bookmarkStart w:id="71" w:name="_Toc230881433"/>
    </w:p>
    <w:p w14:paraId="1E4B7474" w14:textId="3FCE35D3" w:rsidR="004604AB" w:rsidRPr="00B95E28" w:rsidRDefault="004604AB" w:rsidP="00557AB7">
      <w:pPr>
        <w:pStyle w:val="Heading2"/>
        <w:spacing w:before="0" w:after="0" w:line="480" w:lineRule="auto"/>
        <w:ind w:left="0" w:firstLine="0"/>
        <w:rPr>
          <w:color w:val="000000" w:themeColor="text1"/>
        </w:rPr>
      </w:pPr>
      <w:bookmarkStart w:id="72" w:name="_Toc232351833"/>
      <w:r w:rsidRPr="00B95E28">
        <w:rPr>
          <w:color w:val="000000" w:themeColor="text1"/>
        </w:rPr>
        <w:lastRenderedPageBreak/>
        <w:t>2.</w:t>
      </w:r>
      <w:r w:rsidR="0063141E">
        <w:rPr>
          <w:color w:val="000000" w:themeColor="text1"/>
        </w:rPr>
        <w:t>9</w:t>
      </w:r>
      <w:r w:rsidRPr="00B95E28">
        <w:rPr>
          <w:color w:val="000000" w:themeColor="text1"/>
        </w:rPr>
        <w:t xml:space="preserve"> Integration Planning</w:t>
      </w:r>
      <w:bookmarkEnd w:id="71"/>
      <w:bookmarkEnd w:id="72"/>
    </w:p>
    <w:p w14:paraId="4FBF50FE" w14:textId="77777777" w:rsidR="004604AB" w:rsidRPr="00B95E28" w:rsidRDefault="004604AB" w:rsidP="00557AB7">
      <w:pPr>
        <w:spacing w:line="480" w:lineRule="auto"/>
        <w:rPr>
          <w:color w:val="000000" w:themeColor="text1"/>
        </w:rPr>
      </w:pPr>
      <w:r w:rsidRPr="00B95E28">
        <w:rPr>
          <w:color w:val="000000" w:themeColor="text1"/>
        </w:rPr>
        <w:t>Integration planning represents a central component of the post-merger integration process, providing the framework through which strategic objectives are translated into actionable execution plans. Within the literature, planning is consistently identified as a key determinant of integration success, enabling organizations to define priorities, allocate resources, and coordinate activities across functional areas (Haspeslagh &amp; Jemison, 1991). Effective planning establishes the foundation for execution by aligning integration activities with the strategic intent of the transaction.</w:t>
      </w:r>
    </w:p>
    <w:p w14:paraId="2A70BD44" w14:textId="77777777" w:rsidR="008F402B" w:rsidRPr="00B95E28" w:rsidRDefault="008F402B" w:rsidP="008F402B">
      <w:pPr>
        <w:rPr>
          <w:color w:val="000000" w:themeColor="text1"/>
        </w:rPr>
      </w:pPr>
    </w:p>
    <w:p w14:paraId="79930BB8" w14:textId="3115BFED" w:rsidR="004604AB" w:rsidRPr="00B95E28" w:rsidRDefault="004604AB" w:rsidP="00557AB7">
      <w:pPr>
        <w:spacing w:line="480" w:lineRule="auto"/>
        <w:rPr>
          <w:color w:val="000000" w:themeColor="text1"/>
        </w:rPr>
      </w:pPr>
      <w:r w:rsidRPr="00B95E28">
        <w:rPr>
          <w:color w:val="000000" w:themeColor="text1"/>
        </w:rPr>
        <w:t>A core principle emphasized in prior research is the importance of initiating integration planning early in the acquisition lifecycle. Integration considerations are increasingly recognized as extending beyond the post-close phase, with planning activities ideally beginning during due diligence or even prior to deal completion (Jemison &amp; Sitkin, 1986; Kim &amp; Olsen, 1999). Early planning enables organizations to validate assumptions related to synergies, operational compatibility, and resource requirements, reducing the risk of misalignment between deal expectations and execution capabilities.</w:t>
      </w:r>
    </w:p>
    <w:p w14:paraId="4DFDC363" w14:textId="77777777" w:rsidR="008F402B" w:rsidRPr="00B95E28" w:rsidRDefault="008F402B" w:rsidP="008F402B">
      <w:pPr>
        <w:rPr>
          <w:color w:val="000000" w:themeColor="text1"/>
        </w:rPr>
      </w:pPr>
    </w:p>
    <w:p w14:paraId="19357DD1" w14:textId="7C8679DB" w:rsidR="004604AB" w:rsidRPr="00B95E28" w:rsidRDefault="004604AB" w:rsidP="008F402B">
      <w:pPr>
        <w:spacing w:line="480" w:lineRule="auto"/>
        <w:rPr>
          <w:color w:val="000000" w:themeColor="text1"/>
        </w:rPr>
      </w:pPr>
      <w:r w:rsidRPr="00B95E28">
        <w:rPr>
          <w:color w:val="000000" w:themeColor="text1"/>
        </w:rPr>
        <w:t xml:space="preserve">This emphasis on structured planning is also reflected in practitioner-oriented integration guidance, which highlights the need for detailed integration plans, clearly defined milestones, and comprehensive communication strategies (Lajoux, 2006). In particular, planning is often positioned as a critical precondition for successful execution, with significant attention given to defining integration activities in advance. However, despite the availability of such structured planning approaches, organizations frequently struggle to apply them effectively in practice. This suggests that the existence of planning frameworks alone does not ensure planning effectiveness, </w:t>
      </w:r>
      <w:r w:rsidRPr="00B95E28">
        <w:rPr>
          <w:color w:val="000000" w:themeColor="text1"/>
        </w:rPr>
        <w:lastRenderedPageBreak/>
        <w:t>reinforcing the distinction between planning as a formal process and planning as an organizational capability.</w:t>
      </w:r>
    </w:p>
    <w:p w14:paraId="34288B06" w14:textId="77777777" w:rsidR="004604AB" w:rsidRPr="00B95E28" w:rsidRDefault="004604AB" w:rsidP="00557AB7">
      <w:pPr>
        <w:spacing w:line="480" w:lineRule="auto"/>
        <w:rPr>
          <w:color w:val="000000" w:themeColor="text1"/>
        </w:rPr>
      </w:pPr>
      <w:r w:rsidRPr="00B95E28">
        <w:rPr>
          <w:color w:val="000000" w:themeColor="text1"/>
        </w:rPr>
        <w:t>Despite this recognition, the timing and depth of integration planning in practice remain inconsistent. Organizations frequently delay planning activities until the later stages of the transaction process, limiting the ability to proactively address integration challenges (Cartwright &amp; Schoenberg, 2006; Christensen et al., 2011).  This pattern is also reflected in practice, where integration planning is often introduced too late in the deal lifecycle, limiting the ability to align execution with deal assumptions and increasing downstream execution risk (M&amp;A practitioner interview, 2026).</w:t>
      </w:r>
    </w:p>
    <w:p w14:paraId="228DD4DB" w14:textId="77777777" w:rsidR="008F402B" w:rsidRPr="00B95E28" w:rsidRDefault="008F402B" w:rsidP="008F402B">
      <w:pPr>
        <w:rPr>
          <w:color w:val="000000" w:themeColor="text1"/>
        </w:rPr>
      </w:pPr>
    </w:p>
    <w:p w14:paraId="126A45B1" w14:textId="5857275C" w:rsidR="004604AB" w:rsidRPr="00B95E28" w:rsidRDefault="004604AB" w:rsidP="00557AB7">
      <w:pPr>
        <w:spacing w:line="480" w:lineRule="auto"/>
        <w:rPr>
          <w:color w:val="000000" w:themeColor="text1"/>
        </w:rPr>
      </w:pPr>
      <w:r w:rsidRPr="00B95E28">
        <w:rPr>
          <w:color w:val="000000" w:themeColor="text1"/>
        </w:rPr>
        <w:t>This delay often results in compressed timelines, incomplete planning, and increased reliance on reactive decision-making during execution. As a consequence, organizations may enter the post-close phase without a fully developed integration roadmap, increasing the likelihood of disruption and value erosion.</w:t>
      </w:r>
    </w:p>
    <w:p w14:paraId="7FF8DC92" w14:textId="77777777" w:rsidR="008F402B" w:rsidRPr="00B95E28" w:rsidRDefault="008F402B" w:rsidP="008F402B">
      <w:pPr>
        <w:rPr>
          <w:color w:val="000000" w:themeColor="text1"/>
        </w:rPr>
      </w:pPr>
    </w:p>
    <w:p w14:paraId="120048FB" w14:textId="0AC34348" w:rsidR="004604AB" w:rsidRPr="00B95E28" w:rsidRDefault="004604AB" w:rsidP="00557AB7">
      <w:pPr>
        <w:spacing w:line="480" w:lineRule="auto"/>
        <w:rPr>
          <w:color w:val="000000" w:themeColor="text1"/>
        </w:rPr>
      </w:pPr>
      <w:r w:rsidRPr="00B95E28">
        <w:rPr>
          <w:color w:val="000000" w:themeColor="text1"/>
        </w:rPr>
        <w:t>Another challenge within integration planning relates to the level of detail and adaptability of planning frameworks. While structured planning methodologies exist, their application varies significantly across organizations and transactions. Some organizations adopt highly detailed integration plans with defined milestones and deliverables, while others rely on more flexible or informal approaches (Haspeslagh &amp; Jemison, 1991). Although detailed planning can enhance coordination and visibility, it may also reduce flexibility in responding to unforeseen challenges, particularly in complex or dynamic integration environments.</w:t>
      </w:r>
    </w:p>
    <w:p w14:paraId="36D423B5" w14:textId="77777777" w:rsidR="008F402B" w:rsidRPr="00B95E28" w:rsidRDefault="008F402B" w:rsidP="008F402B">
      <w:pPr>
        <w:rPr>
          <w:color w:val="000000" w:themeColor="text1"/>
        </w:rPr>
      </w:pPr>
    </w:p>
    <w:p w14:paraId="2FFC8912" w14:textId="34E4566B" w:rsidR="004604AB" w:rsidRPr="00B95E28" w:rsidRDefault="004604AB" w:rsidP="00557AB7">
      <w:pPr>
        <w:spacing w:line="480" w:lineRule="auto"/>
        <w:rPr>
          <w:color w:val="000000" w:themeColor="text1"/>
        </w:rPr>
      </w:pPr>
      <w:r w:rsidRPr="00B95E28">
        <w:rPr>
          <w:color w:val="000000" w:themeColor="text1"/>
        </w:rPr>
        <w:t xml:space="preserve">The effectiveness of integration planning is further influenced by the degree of cross-functional involvement. Integration planning requires input from multiple business units, including </w:t>
      </w:r>
      <w:r w:rsidRPr="00B95E28">
        <w:rPr>
          <w:color w:val="000000" w:themeColor="text1"/>
        </w:rPr>
        <w:lastRenderedPageBreak/>
        <w:t>operations, finance, technology, and human resources, each of which contributes to the identification of dependencies and risks (Kim &amp; Olsen, 1999; Jemison &amp; Sitkin, 1986). However, achieving alignment across these functions can be challenging, particularly where priorities differ or where functional leaders are simultaneously responsible for maintaining ongoing operations. This tension can result in incomplete planning or gaps in coordination that only become apparent during execution.</w:t>
      </w:r>
    </w:p>
    <w:p w14:paraId="01C9CFCE" w14:textId="77777777" w:rsidR="008F402B" w:rsidRPr="00B95E28" w:rsidRDefault="008F402B" w:rsidP="008F402B">
      <w:pPr>
        <w:rPr>
          <w:color w:val="000000" w:themeColor="text1"/>
        </w:rPr>
      </w:pPr>
    </w:p>
    <w:p w14:paraId="062340BF" w14:textId="696FD1A0" w:rsidR="004604AB" w:rsidRPr="00B95E28" w:rsidRDefault="004604AB" w:rsidP="00557AB7">
      <w:pPr>
        <w:spacing w:line="480" w:lineRule="auto"/>
        <w:rPr>
          <w:color w:val="000000" w:themeColor="text1"/>
        </w:rPr>
      </w:pPr>
      <w:r w:rsidRPr="00B95E28">
        <w:rPr>
          <w:color w:val="000000" w:themeColor="text1"/>
        </w:rPr>
        <w:t>In the context of serial acquirers, integration planning presents additional complexities. While repeated acquisition activity provides opportunities for learning and refinement, organizations do not always formalize or institutionalize their planning approaches across transactions (Zollo &amp; Winter, 2002; Laamanen &amp; Keil, 2008). As a result, planning processes may be re-developed for each acquisition, limiting the organization’s ability to build consistency and efficiency over time. This lack of standardization contributes to variability in planning quality and, consequently, in integration outcomes.</w:t>
      </w:r>
    </w:p>
    <w:p w14:paraId="361B8933" w14:textId="77777777" w:rsidR="008F402B" w:rsidRPr="00B95E28" w:rsidRDefault="008F402B" w:rsidP="008F402B">
      <w:pPr>
        <w:rPr>
          <w:color w:val="000000" w:themeColor="text1"/>
        </w:rPr>
      </w:pPr>
    </w:p>
    <w:p w14:paraId="1177A4A0" w14:textId="2C438A40" w:rsidR="004604AB" w:rsidRPr="00B95E28" w:rsidRDefault="004604AB" w:rsidP="00557AB7">
      <w:pPr>
        <w:spacing w:line="480" w:lineRule="auto"/>
        <w:rPr>
          <w:color w:val="000000" w:themeColor="text1"/>
        </w:rPr>
      </w:pPr>
      <w:r w:rsidRPr="00B95E28">
        <w:rPr>
          <w:color w:val="000000" w:themeColor="text1"/>
        </w:rPr>
        <w:t>Furthermore, existing literature tends to conceptualize integration planning as a discrete phase within the broader integration process, rather than as an evolving organizational capability. Planning frameworks are often presented as tools or methodologies to be applied at the transaction level, with limited emphasis on how this ability is developed and sustained across transactions (Eisenhardt &amp; Martin, 2000; Teece, 2007). This perspective overlooks the role of learning, experience accumulation, and knowledge codification in improving planning effectiveness over time.</w:t>
      </w:r>
    </w:p>
    <w:p w14:paraId="2EF16651" w14:textId="77777777" w:rsidR="008F402B" w:rsidRPr="00B95E28" w:rsidRDefault="008F402B" w:rsidP="008F402B">
      <w:pPr>
        <w:rPr>
          <w:color w:val="000000" w:themeColor="text1"/>
        </w:rPr>
      </w:pPr>
    </w:p>
    <w:p w14:paraId="35F33B4F" w14:textId="56CDC452" w:rsidR="004604AB" w:rsidRPr="00B95E28" w:rsidRDefault="004604AB" w:rsidP="00557AB7">
      <w:pPr>
        <w:spacing w:line="480" w:lineRule="auto"/>
        <w:rPr>
          <w:color w:val="000000" w:themeColor="text1"/>
        </w:rPr>
      </w:pPr>
      <w:r w:rsidRPr="00B95E28">
        <w:rPr>
          <w:color w:val="000000" w:themeColor="text1"/>
        </w:rPr>
        <w:t xml:space="preserve">As organizations increasingly adopt programmatic approaches to M&amp;A, the ability to plan integration activities consistently and effectively becomes a critical requirement. This indicates </w:t>
      </w:r>
      <w:r w:rsidRPr="00B95E28">
        <w:rPr>
          <w:color w:val="000000" w:themeColor="text1"/>
        </w:rPr>
        <w:lastRenderedPageBreak/>
        <w:t>that integration planning should be understood not only as a defined set of activities, but as a capability that develops over time through repeated execution and organizational learning. The extent to which organizations are able to build and sustain this capability remains insufficiently explored within the existing literature, reinforcing the need for a capability-based perspective on post-merger integration.</w:t>
      </w:r>
    </w:p>
    <w:p w14:paraId="4BCBFACA" w14:textId="77777777" w:rsidR="008F402B" w:rsidRPr="00B95E28" w:rsidRDefault="008F402B" w:rsidP="008F402B">
      <w:pPr>
        <w:rPr>
          <w:color w:val="000000" w:themeColor="text1"/>
        </w:rPr>
      </w:pPr>
    </w:p>
    <w:p w14:paraId="4F370D7B" w14:textId="18E95E1B" w:rsidR="004604AB" w:rsidRPr="00B95E28" w:rsidRDefault="004604AB" w:rsidP="00557AB7">
      <w:pPr>
        <w:spacing w:line="480" w:lineRule="auto"/>
        <w:rPr>
          <w:color w:val="000000" w:themeColor="text1"/>
        </w:rPr>
      </w:pPr>
      <w:r w:rsidRPr="00B95E28">
        <w:rPr>
          <w:color w:val="000000" w:themeColor="text1"/>
        </w:rPr>
        <w:t>A further limitation in the literature on integration planning lies in its underlying assumption that planning quality is primarily a function of process design. Existing frameworks emphasize the development of detailed integration plans, structured milestones, and clearly defined deliverables. While these elements are important, they do not fully explain why planning effectiveness varies significantly across organizations.</w:t>
      </w:r>
    </w:p>
    <w:p w14:paraId="0B022B18" w14:textId="77777777" w:rsidR="008F402B" w:rsidRPr="00B95E28" w:rsidRDefault="008F402B" w:rsidP="008F402B">
      <w:pPr>
        <w:rPr>
          <w:color w:val="000000" w:themeColor="text1"/>
        </w:rPr>
      </w:pPr>
    </w:p>
    <w:p w14:paraId="0E0D01FA" w14:textId="64FE4DF9" w:rsidR="004604AB" w:rsidRPr="00B95E28" w:rsidRDefault="004604AB" w:rsidP="00557AB7">
      <w:pPr>
        <w:spacing w:line="480" w:lineRule="auto"/>
        <w:rPr>
          <w:color w:val="000000" w:themeColor="text1"/>
        </w:rPr>
      </w:pPr>
      <w:r w:rsidRPr="00B95E28">
        <w:rPr>
          <w:color w:val="000000" w:themeColor="text1"/>
        </w:rPr>
        <w:t>In practice, planning effectiveness is influenced not only by the structure of the plan itself, but by the organization’s ability to interpret, adapt, and operationalize that plan in the context of specific transactions. While formal planning processes can be documented and replicated, the ability to apply these processes effectively across varying contexts depends on experience, judgment, and organizational coordination.</w:t>
      </w:r>
    </w:p>
    <w:p w14:paraId="78EEEE20" w14:textId="77777777" w:rsidR="008F402B" w:rsidRPr="00B95E28" w:rsidRDefault="008F402B" w:rsidP="008F402B">
      <w:pPr>
        <w:rPr>
          <w:color w:val="000000" w:themeColor="text1"/>
        </w:rPr>
      </w:pPr>
    </w:p>
    <w:p w14:paraId="24118294" w14:textId="2DB44CB1" w:rsidR="004604AB" w:rsidRPr="00B95E28" w:rsidRDefault="004604AB" w:rsidP="00557AB7">
      <w:pPr>
        <w:spacing w:line="480" w:lineRule="auto"/>
        <w:rPr>
          <w:color w:val="000000" w:themeColor="text1"/>
        </w:rPr>
      </w:pPr>
      <w:r w:rsidRPr="00B95E28">
        <w:rPr>
          <w:color w:val="000000" w:themeColor="text1"/>
        </w:rPr>
        <w:t>This distinction becomes particularly relevant in complex integration environments, where planning assumptions must be continuously tested and refined. For example, assumptions related to synergies, system compatibility, and resource availability may evolve as new information emerges during execution. Organizations must therefore be able to adjust their plans dynamically, rather than relying solely on predefined structures (Teece, 2007).</w:t>
      </w:r>
    </w:p>
    <w:p w14:paraId="4B8EBBAC" w14:textId="77777777" w:rsidR="008F402B" w:rsidRPr="00B95E28" w:rsidRDefault="008F402B" w:rsidP="008F402B">
      <w:pPr>
        <w:rPr>
          <w:color w:val="000000" w:themeColor="text1"/>
        </w:rPr>
      </w:pPr>
    </w:p>
    <w:p w14:paraId="4ECB286E" w14:textId="45D65BDB" w:rsidR="004604AB" w:rsidRPr="00B95E28" w:rsidRDefault="004604AB" w:rsidP="00557AB7">
      <w:pPr>
        <w:spacing w:line="480" w:lineRule="auto"/>
        <w:rPr>
          <w:color w:val="000000" w:themeColor="text1"/>
        </w:rPr>
      </w:pPr>
      <w:r w:rsidRPr="00B95E28">
        <w:rPr>
          <w:color w:val="000000" w:themeColor="text1"/>
        </w:rPr>
        <w:lastRenderedPageBreak/>
        <w:t>Another limitation is the lack of integration between planning and other dimensions of the integration process. Planning is often treated as a discrete phase, separate from governance and execution. However, in practice, planning decisions directly influence execution outcomes, while governance structures determine how planning decisions are made and adjusted over time. This interdependence suggests that planning effectiveness cannot be fully understood in isolation.</w:t>
      </w:r>
    </w:p>
    <w:p w14:paraId="62DAD46F" w14:textId="77777777" w:rsidR="004604AB" w:rsidRPr="00B95E28" w:rsidRDefault="004604AB" w:rsidP="00557AB7">
      <w:pPr>
        <w:spacing w:line="480" w:lineRule="auto"/>
        <w:rPr>
          <w:color w:val="000000" w:themeColor="text1"/>
        </w:rPr>
      </w:pPr>
      <w:r w:rsidRPr="00B95E28">
        <w:rPr>
          <w:color w:val="000000" w:themeColor="text1"/>
        </w:rPr>
        <w:t>In the context of serial acquirers, this limitation is further amplified. Organizations engaged in repeated acquisition activity must not only develop effective plans for individual transactions, but also build the capability to generate, adapt, and execute these plans consistently across multiple deals. This requires mechanisms for capturing planning insights, refining planning approaches, and embedding these practices into organizational routines.</w:t>
      </w:r>
    </w:p>
    <w:p w14:paraId="506537F2" w14:textId="77777777" w:rsidR="008F402B" w:rsidRPr="00B95E28" w:rsidRDefault="008F402B" w:rsidP="008F402B">
      <w:pPr>
        <w:rPr>
          <w:color w:val="000000" w:themeColor="text1"/>
        </w:rPr>
      </w:pPr>
    </w:p>
    <w:p w14:paraId="00148351" w14:textId="194A3F25" w:rsidR="004604AB" w:rsidRPr="00B95E28" w:rsidRDefault="004604AB" w:rsidP="00557AB7">
      <w:pPr>
        <w:spacing w:line="480" w:lineRule="auto"/>
        <w:rPr>
          <w:color w:val="000000" w:themeColor="text1"/>
        </w:rPr>
      </w:pPr>
      <w:r w:rsidRPr="00B95E28">
        <w:rPr>
          <w:color w:val="000000" w:themeColor="text1"/>
        </w:rPr>
        <w:t>Despite this, the literature provides limited guidance on how organizations achieve this transition from planning as a transaction-level activity to planning as an organizational capability. As a result, planning remains highly variable across transactions, contributing to inconsistency in integration outcomes.</w:t>
      </w:r>
    </w:p>
    <w:p w14:paraId="39C7EFE1" w14:textId="77777777" w:rsidR="008F402B" w:rsidRPr="00B95E28" w:rsidRDefault="008F402B" w:rsidP="008F402B">
      <w:pPr>
        <w:rPr>
          <w:color w:val="000000" w:themeColor="text1"/>
        </w:rPr>
      </w:pPr>
    </w:p>
    <w:p w14:paraId="2DFE5780" w14:textId="30E77032" w:rsidR="004604AB" w:rsidRPr="00B95E28" w:rsidRDefault="004604AB" w:rsidP="00557AB7">
      <w:pPr>
        <w:spacing w:line="480" w:lineRule="auto"/>
        <w:rPr>
          <w:color w:val="000000" w:themeColor="text1"/>
        </w:rPr>
      </w:pPr>
      <w:r w:rsidRPr="00B95E28">
        <w:rPr>
          <w:color w:val="000000" w:themeColor="text1"/>
        </w:rPr>
        <w:t>This reinforces the need to reconceptualize integration planning as part of a broader capability system, rather than as a standalone phase. From this perspective, planning effectiveness is not determined solely by the presence of structured processes, but by the organization’s ability to apply, adapt, and refine these processes across different contexts and over time.</w:t>
      </w:r>
    </w:p>
    <w:p w14:paraId="3142A640" w14:textId="77777777" w:rsidR="008F402B" w:rsidRPr="00B95E28" w:rsidRDefault="008F402B" w:rsidP="008F402B">
      <w:pPr>
        <w:rPr>
          <w:color w:val="000000" w:themeColor="text1"/>
        </w:rPr>
      </w:pPr>
      <w:bookmarkStart w:id="73" w:name="_Toc230881434"/>
    </w:p>
    <w:p w14:paraId="116F8F43" w14:textId="21891AEC" w:rsidR="004604AB" w:rsidRPr="00B95E28" w:rsidRDefault="004604AB" w:rsidP="00557AB7">
      <w:pPr>
        <w:pStyle w:val="Heading2"/>
        <w:spacing w:before="0" w:after="0" w:line="480" w:lineRule="auto"/>
        <w:ind w:left="0" w:firstLine="0"/>
        <w:rPr>
          <w:color w:val="000000" w:themeColor="text1"/>
        </w:rPr>
      </w:pPr>
      <w:bookmarkStart w:id="74" w:name="_Toc232351834"/>
      <w:r w:rsidRPr="00B95E28">
        <w:rPr>
          <w:color w:val="000000" w:themeColor="text1"/>
        </w:rPr>
        <w:t>2.</w:t>
      </w:r>
      <w:r w:rsidR="0063141E">
        <w:rPr>
          <w:color w:val="000000" w:themeColor="text1"/>
        </w:rPr>
        <w:t>10</w:t>
      </w:r>
      <w:r w:rsidRPr="00B95E28">
        <w:rPr>
          <w:color w:val="000000" w:themeColor="text1"/>
        </w:rPr>
        <w:t xml:space="preserve"> Integration Execution</w:t>
      </w:r>
      <w:bookmarkEnd w:id="73"/>
      <w:bookmarkEnd w:id="74"/>
    </w:p>
    <w:p w14:paraId="7FD7C292" w14:textId="77777777" w:rsidR="004604AB" w:rsidRPr="00B95E28" w:rsidRDefault="004604AB" w:rsidP="00557AB7">
      <w:pPr>
        <w:spacing w:line="480" w:lineRule="auto"/>
        <w:rPr>
          <w:color w:val="000000" w:themeColor="text1"/>
        </w:rPr>
      </w:pPr>
      <w:r w:rsidRPr="00B95E28">
        <w:rPr>
          <w:color w:val="000000" w:themeColor="text1"/>
        </w:rPr>
        <w:t xml:space="preserve">Integration execution represents the stage at which integration plans and governance structures are translated into operational outcomes. While planning defines what should be achieved, execution determines whether these objectives are realized in practice. As such, execution is </w:t>
      </w:r>
      <w:r w:rsidRPr="00B95E28">
        <w:rPr>
          <w:color w:val="000000" w:themeColor="text1"/>
        </w:rPr>
        <w:lastRenderedPageBreak/>
        <w:t>widely recognized as the most critical and complex phase of the integration process, requiring coordination across multiple functions, alignment of resources, and the management of interdependencies under time and performance pressures (Haspeslagh &amp; Jemison, 1991).</w:t>
      </w:r>
    </w:p>
    <w:p w14:paraId="135054F3" w14:textId="77777777" w:rsidR="004604AB" w:rsidRPr="00B95E28" w:rsidRDefault="004604AB" w:rsidP="00557AB7">
      <w:pPr>
        <w:spacing w:line="480" w:lineRule="auto"/>
        <w:rPr>
          <w:color w:val="000000" w:themeColor="text1"/>
        </w:rPr>
      </w:pPr>
      <w:r w:rsidRPr="00B95E28">
        <w:rPr>
          <w:color w:val="000000" w:themeColor="text1"/>
        </w:rPr>
        <w:t>A central challenge in integration execution is the coordination of activities across diverse functional areas, each with its own priorities, systems, and constraints. Integration efforts typically span operations, finance, technology, and human resources, creating a network of interdependent tasks that must be sequenced and managed effectively (Kim &amp; Olsen, 1999; Jemison &amp; Sitkin, 1986). Failures in coordination can result in delays, duplication of effort, and misalignment between integration activities, ultimately impacting the realization of synergies.</w:t>
      </w:r>
    </w:p>
    <w:p w14:paraId="3054A340" w14:textId="77777777" w:rsidR="008F402B" w:rsidRPr="00B95E28" w:rsidRDefault="008F402B" w:rsidP="008F402B">
      <w:pPr>
        <w:rPr>
          <w:color w:val="000000" w:themeColor="text1"/>
        </w:rPr>
      </w:pPr>
    </w:p>
    <w:p w14:paraId="0BD7B623" w14:textId="2D765982" w:rsidR="004604AB" w:rsidRPr="00B95E28" w:rsidRDefault="004604AB" w:rsidP="00557AB7">
      <w:pPr>
        <w:spacing w:line="480" w:lineRule="auto"/>
        <w:rPr>
          <w:color w:val="000000" w:themeColor="text1"/>
        </w:rPr>
      </w:pPr>
      <w:r w:rsidRPr="00B95E28">
        <w:rPr>
          <w:color w:val="000000" w:themeColor="text1"/>
        </w:rPr>
        <w:t>Resource constraints further complicate execution. In many cases, integration responsibilities are assigned to existing employees who must balance integration tasks with their ongoing operational roles (Cartwright &amp; Schoenberg, 2006; King et al., 2004). This dual responsibility creates capacity limitations, reduces focus, and increases the likelihood of execution delays or incomplete implementation. Practitioner perspectives further indicate that integration activities are frequently layered onto existing operational responsibilities, creating resource strain and reducing execution effectiveness across workstreams (M&amp;A practitioner interview, 2026). The strain on organizational resources is particularly pronounced in complex integrations or in organizations managing multiple acquisitions simultaneously.</w:t>
      </w:r>
    </w:p>
    <w:p w14:paraId="505985A6" w14:textId="77777777" w:rsidR="008F402B" w:rsidRPr="00B95E28" w:rsidRDefault="008F402B" w:rsidP="008F402B">
      <w:pPr>
        <w:rPr>
          <w:color w:val="000000" w:themeColor="text1"/>
        </w:rPr>
      </w:pPr>
    </w:p>
    <w:p w14:paraId="6D73179B" w14:textId="3170D2F3" w:rsidR="004604AB" w:rsidRPr="00B95E28" w:rsidRDefault="004604AB" w:rsidP="00557AB7">
      <w:pPr>
        <w:spacing w:line="480" w:lineRule="auto"/>
        <w:rPr>
          <w:color w:val="000000" w:themeColor="text1"/>
        </w:rPr>
      </w:pPr>
      <w:r w:rsidRPr="00B95E28">
        <w:rPr>
          <w:color w:val="000000" w:themeColor="text1"/>
        </w:rPr>
        <w:t xml:space="preserve">Execution challenges are also closely linked to the management of interdependencies and sequencing of activities. Integration activities are rarely independent; delays or failures in one area can have cascading effects across other workstreams (Jemison &amp; Sitkin, 1986). For example, delays in technology integration may impact financial reporting, operational processes, </w:t>
      </w:r>
      <w:r w:rsidRPr="00B95E28">
        <w:rPr>
          <w:color w:val="000000" w:themeColor="text1"/>
        </w:rPr>
        <w:lastRenderedPageBreak/>
        <w:t>or customer-facing activities. The need to manage these interdependencies in real time introduces a level of complexity that is difficult to fully anticipate during the planning phase (Jemison &amp; Sitkin, 1986; Kim &amp; Olsen, 1999).</w:t>
      </w:r>
    </w:p>
    <w:p w14:paraId="735D8CAB" w14:textId="77777777" w:rsidR="004604AB" w:rsidRPr="00B95E28" w:rsidRDefault="004604AB" w:rsidP="00557AB7">
      <w:pPr>
        <w:spacing w:line="480" w:lineRule="auto"/>
        <w:rPr>
          <w:color w:val="000000" w:themeColor="text1"/>
        </w:rPr>
      </w:pPr>
      <w:r w:rsidRPr="00B95E28">
        <w:rPr>
          <w:color w:val="000000" w:themeColor="text1"/>
        </w:rPr>
        <w:t>Although practitioner frameworks provide detailed guidance on the execution of integration activities across functional domains, including operations, systems, and communication (Lajoux, 2006), they often assume that these activities can be coordinated through predefined plans. In practice, execution environments are far more dynamic, requiring continuous adjustment in response to emerging issues. This highlights a gap between structured execution models and the realities of integration, where coordination must occur across interdependent activities in real time.</w:t>
      </w:r>
    </w:p>
    <w:p w14:paraId="4EE44D1F" w14:textId="77777777" w:rsidR="008F402B" w:rsidRPr="00B95E28" w:rsidRDefault="008F402B" w:rsidP="008F402B">
      <w:pPr>
        <w:rPr>
          <w:color w:val="000000" w:themeColor="text1"/>
        </w:rPr>
      </w:pPr>
    </w:p>
    <w:p w14:paraId="66EA6398" w14:textId="67700107" w:rsidR="004604AB" w:rsidRPr="00B95E28" w:rsidRDefault="004604AB" w:rsidP="00557AB7">
      <w:pPr>
        <w:spacing w:line="480" w:lineRule="auto"/>
        <w:rPr>
          <w:color w:val="000000" w:themeColor="text1"/>
        </w:rPr>
      </w:pPr>
      <w:r w:rsidRPr="00B95E28">
        <w:rPr>
          <w:color w:val="000000" w:themeColor="text1"/>
        </w:rPr>
        <w:t>Another key factor influencing execution is the degree of alignment between strategic intent and operational reality. While integration plans are typically developed based on assumptions made during the deal phase, these assumptions may not fully reflect the conditions encountered during execution. Differences in organizational culture, system compatibility, and operational processes can create unforeseen challenges that require adaptation and adjustment (Haspeslagh &amp; Jemison, 1991; Sirower, 1997). Where organizations are unable to respond effectively to these challenges, execution can become reactive rather than proactive, reducing the likelihood of achieving intended outcomes.</w:t>
      </w:r>
    </w:p>
    <w:p w14:paraId="3719B26E" w14:textId="77777777" w:rsidR="008F402B" w:rsidRPr="00B95E28" w:rsidRDefault="008F402B" w:rsidP="008F402B">
      <w:pPr>
        <w:rPr>
          <w:color w:val="000000" w:themeColor="text1"/>
        </w:rPr>
      </w:pPr>
    </w:p>
    <w:p w14:paraId="48FBB894" w14:textId="1F165724" w:rsidR="004604AB" w:rsidRPr="00B95E28" w:rsidRDefault="004604AB" w:rsidP="00557AB7">
      <w:pPr>
        <w:spacing w:line="480" w:lineRule="auto"/>
        <w:rPr>
          <w:color w:val="000000" w:themeColor="text1"/>
        </w:rPr>
      </w:pPr>
      <w:r w:rsidRPr="00B95E28">
        <w:rPr>
          <w:color w:val="000000" w:themeColor="text1"/>
        </w:rPr>
        <w:t xml:space="preserve">The literature also highlights the importance of communication and escalation mechanisms during execution. Effective execution requires timely identification of issues, clear reporting structures, and the ability to escalate decisions when required (Kim &amp; Olsen, 1999; Cartwright &amp; Schoenberg, 2006). In the absence of structured communication processes, organizations may </w:t>
      </w:r>
      <w:r w:rsidRPr="00B95E28">
        <w:rPr>
          <w:color w:val="000000" w:themeColor="text1"/>
        </w:rPr>
        <w:lastRenderedPageBreak/>
        <w:t>fail to identify emerging risks early, resulting in delayed responses and compounding challenges over time.</w:t>
      </w:r>
    </w:p>
    <w:p w14:paraId="7BE4D0FE" w14:textId="77777777" w:rsidR="004604AB" w:rsidRPr="00B95E28" w:rsidRDefault="004604AB" w:rsidP="00557AB7">
      <w:pPr>
        <w:spacing w:line="480" w:lineRule="auto"/>
        <w:rPr>
          <w:color w:val="000000" w:themeColor="text1"/>
        </w:rPr>
      </w:pPr>
      <w:r w:rsidRPr="00B95E28">
        <w:rPr>
          <w:color w:val="000000" w:themeColor="text1"/>
        </w:rPr>
        <w:t>Despite the recognition of these factors, execution outcomes remain uneven across organizations and contexts. Existing frameworks provide guidance on how execution should be structured, but they do not fully account for the dynamic and context-dependent nature of integration environments. Execution is influenced not only by the quality of planning and governance, but also by the organization’s ability to adapt, coordinate, and respond to emerging challenges in real time (Eisenhardt &amp; Martin, 2000).</w:t>
      </w:r>
    </w:p>
    <w:p w14:paraId="66910D83" w14:textId="77777777" w:rsidR="008F402B" w:rsidRPr="00B95E28" w:rsidRDefault="008F402B" w:rsidP="008F402B">
      <w:pPr>
        <w:rPr>
          <w:color w:val="000000" w:themeColor="text1"/>
        </w:rPr>
      </w:pPr>
    </w:p>
    <w:p w14:paraId="14328834" w14:textId="16EB93C8" w:rsidR="004604AB" w:rsidRPr="00B95E28" w:rsidRDefault="004604AB" w:rsidP="00557AB7">
      <w:pPr>
        <w:spacing w:line="480" w:lineRule="auto"/>
        <w:rPr>
          <w:color w:val="000000" w:themeColor="text1"/>
        </w:rPr>
      </w:pPr>
      <w:r w:rsidRPr="00B95E28">
        <w:rPr>
          <w:color w:val="000000" w:themeColor="text1"/>
        </w:rPr>
        <w:t>In the context of serial acquirers, the limitations of process-driven approaches to execution become increasingly evident. While organizations may develop standardized execution frameworks, these do not always translate into consistent outcomes across transactions (Eisenhardt &amp; Martin, 2000; Teece, 2007). Differences in deal characteristics, organizational context, and resource availability require ongoing adjustment, highlighting the importance of flexibility and experience in execution.</w:t>
      </w:r>
    </w:p>
    <w:p w14:paraId="20FC040C" w14:textId="77777777" w:rsidR="008F402B" w:rsidRPr="00B95E28" w:rsidRDefault="008F402B" w:rsidP="008F402B">
      <w:pPr>
        <w:rPr>
          <w:color w:val="000000" w:themeColor="text1"/>
        </w:rPr>
      </w:pPr>
    </w:p>
    <w:p w14:paraId="719FE3F7" w14:textId="3EE637EB" w:rsidR="004604AB" w:rsidRPr="00B95E28" w:rsidRDefault="004604AB" w:rsidP="00557AB7">
      <w:pPr>
        <w:spacing w:line="480" w:lineRule="auto"/>
        <w:rPr>
          <w:color w:val="000000" w:themeColor="text1"/>
        </w:rPr>
      </w:pPr>
      <w:r w:rsidRPr="00B95E28">
        <w:rPr>
          <w:color w:val="000000" w:themeColor="text1"/>
        </w:rPr>
        <w:t>This indicates that successful integration execution cannot be fully explained by the presence of structured processes or frameworks alone. Instead, it reflects the organization’s underlying capability to manage complexity, coordinate across functions, and adapt to changing conditions during the integration process (Teece, 2007). As with governance and planning, the extent to which organizations develop this capability over time remains insufficiently addressed within the existing literature.</w:t>
      </w:r>
    </w:p>
    <w:p w14:paraId="187817CA" w14:textId="77777777" w:rsidR="008F402B" w:rsidRPr="00B95E28" w:rsidRDefault="008F402B" w:rsidP="008F402B">
      <w:pPr>
        <w:rPr>
          <w:color w:val="000000" w:themeColor="text1"/>
        </w:rPr>
      </w:pPr>
    </w:p>
    <w:p w14:paraId="1DF979F6" w14:textId="649DE571" w:rsidR="004604AB" w:rsidRPr="00B95E28" w:rsidRDefault="004604AB" w:rsidP="00557AB7">
      <w:pPr>
        <w:spacing w:line="480" w:lineRule="auto"/>
        <w:rPr>
          <w:color w:val="000000" w:themeColor="text1"/>
        </w:rPr>
      </w:pPr>
      <w:r w:rsidRPr="00B95E28">
        <w:rPr>
          <w:color w:val="000000" w:themeColor="text1"/>
        </w:rPr>
        <w:t xml:space="preserve">A further limitation in the literature is the tendency to treat execution challenges as isolated issues rather than as systemic outcomes. Execution failures are often attributed to specific factors </w:t>
      </w:r>
      <w:r w:rsidRPr="00B95E28">
        <w:rPr>
          <w:color w:val="000000" w:themeColor="text1"/>
        </w:rPr>
        <w:lastRenderedPageBreak/>
        <w:t>such as resource constraints, communication breakdowns, or coordination issues. While these factors are relevant, they do not fully explain why execution outcomes vary significantly across organizations.</w:t>
      </w:r>
    </w:p>
    <w:p w14:paraId="6FA8BADF" w14:textId="77777777" w:rsidR="008F402B" w:rsidRPr="00B95E28" w:rsidRDefault="008F402B" w:rsidP="008F402B">
      <w:pPr>
        <w:rPr>
          <w:color w:val="000000" w:themeColor="text1"/>
        </w:rPr>
      </w:pPr>
    </w:p>
    <w:p w14:paraId="06C89655" w14:textId="429BD78B" w:rsidR="004604AB" w:rsidRPr="00B95E28" w:rsidRDefault="004604AB" w:rsidP="00557AB7">
      <w:pPr>
        <w:spacing w:line="480" w:lineRule="auto"/>
        <w:rPr>
          <w:color w:val="000000" w:themeColor="text1"/>
        </w:rPr>
      </w:pPr>
      <w:r w:rsidRPr="00B95E28">
        <w:rPr>
          <w:color w:val="000000" w:themeColor="text1"/>
        </w:rPr>
        <w:t>In many cases, execution challenges are the result of upstream decisions made during governance and planning phases. For example, unclear decision rights can delay issue resolution, while incomplete planning can create gaps in coordination that only become visible during execution. This suggests that execution performance cannot be understood in isolation, but must be examined in relation to earlier phases of the integration process.</w:t>
      </w:r>
    </w:p>
    <w:p w14:paraId="158849A9" w14:textId="77777777" w:rsidR="008F402B" w:rsidRPr="00B95E28" w:rsidRDefault="008F402B" w:rsidP="008F402B">
      <w:pPr>
        <w:rPr>
          <w:color w:val="000000" w:themeColor="text1"/>
        </w:rPr>
      </w:pPr>
    </w:p>
    <w:p w14:paraId="583BE4B0" w14:textId="270C14D7" w:rsidR="004604AB" w:rsidRPr="00B95E28" w:rsidRDefault="004604AB" w:rsidP="00557AB7">
      <w:pPr>
        <w:spacing w:line="480" w:lineRule="auto"/>
        <w:rPr>
          <w:color w:val="000000" w:themeColor="text1"/>
        </w:rPr>
      </w:pPr>
      <w:r w:rsidRPr="00B95E28">
        <w:rPr>
          <w:color w:val="000000" w:themeColor="text1"/>
        </w:rPr>
        <w:t>Additionally, the literature often assumes that execution can be managed through the application of structured processes and frameworks. However, execution environments are inherently dynamic, requiring continuous adjustment in response to emerging challenges. This introduces a level of uncertainty that cannot be fully captured through predefined plans.</w:t>
      </w:r>
    </w:p>
    <w:p w14:paraId="2D4923A8" w14:textId="77777777" w:rsidR="008F402B" w:rsidRPr="00B95E28" w:rsidRDefault="008F402B" w:rsidP="008F402B">
      <w:pPr>
        <w:rPr>
          <w:color w:val="000000" w:themeColor="text1"/>
        </w:rPr>
      </w:pPr>
    </w:p>
    <w:p w14:paraId="0CC11B6B" w14:textId="39B69A45" w:rsidR="004604AB" w:rsidRPr="00B95E28" w:rsidRDefault="004604AB" w:rsidP="00557AB7">
      <w:pPr>
        <w:spacing w:line="480" w:lineRule="auto"/>
        <w:rPr>
          <w:color w:val="000000" w:themeColor="text1"/>
        </w:rPr>
      </w:pPr>
      <w:r w:rsidRPr="00B95E28">
        <w:rPr>
          <w:color w:val="000000" w:themeColor="text1"/>
        </w:rPr>
        <w:t>The ability to manage this uncertainty is therefore a critical component of execution capability. Organizations must be able to identify emerging issues, assess their impact, and respond effectively in real time. This requires not only structured processes, but also the ability to coordinate across functions, make timely decisions, and adapt to changing conditions.</w:t>
      </w:r>
    </w:p>
    <w:p w14:paraId="236446DF" w14:textId="77777777" w:rsidR="008F402B" w:rsidRPr="00B95E28" w:rsidRDefault="008F402B" w:rsidP="008F402B">
      <w:pPr>
        <w:rPr>
          <w:color w:val="000000" w:themeColor="text1"/>
        </w:rPr>
      </w:pPr>
    </w:p>
    <w:p w14:paraId="6745856D" w14:textId="2BC443A8" w:rsidR="004604AB" w:rsidRPr="00B95E28" w:rsidRDefault="004604AB" w:rsidP="00557AB7">
      <w:pPr>
        <w:spacing w:line="480" w:lineRule="auto"/>
        <w:rPr>
          <w:color w:val="000000" w:themeColor="text1"/>
        </w:rPr>
      </w:pPr>
      <w:r w:rsidRPr="00B95E28">
        <w:rPr>
          <w:color w:val="000000" w:themeColor="text1"/>
        </w:rPr>
        <w:t>Another important consideration is the role of experience in shaping execution performance. While repeated execution provides opportunities for learning, the extent to which this learning improves outcomes depends on how it is captured and applied. Without mechanisms to transfer knowledge across transactions, organizations may continue to encounter similar challenges, limiting improvements in execution effectiveness.</w:t>
      </w:r>
    </w:p>
    <w:p w14:paraId="711C9138" w14:textId="77777777" w:rsidR="004604AB" w:rsidRPr="00B95E28" w:rsidRDefault="004604AB" w:rsidP="00557AB7">
      <w:pPr>
        <w:spacing w:line="480" w:lineRule="auto"/>
        <w:rPr>
          <w:color w:val="000000" w:themeColor="text1"/>
        </w:rPr>
      </w:pPr>
      <w:r w:rsidRPr="00B95E28">
        <w:rPr>
          <w:color w:val="000000" w:themeColor="text1"/>
        </w:rPr>
        <w:lastRenderedPageBreak/>
        <w:t>This highlights the need to view execution not as a discrete phase, but as a reflection of the organization’s broader integration capability. Execution outcomes are influenced by the interaction of governance, planning, and learning mechanisms, and cannot be fully explained by execution processes alone.</w:t>
      </w:r>
    </w:p>
    <w:p w14:paraId="3DAF5845" w14:textId="77777777" w:rsidR="008F402B" w:rsidRPr="00B95E28" w:rsidRDefault="008F402B" w:rsidP="008F402B">
      <w:pPr>
        <w:rPr>
          <w:color w:val="000000" w:themeColor="text1"/>
        </w:rPr>
      </w:pPr>
    </w:p>
    <w:p w14:paraId="6FFBFD63" w14:textId="5E033FB1" w:rsidR="004604AB" w:rsidRPr="00B95E28" w:rsidRDefault="004604AB" w:rsidP="00557AB7">
      <w:pPr>
        <w:spacing w:line="480" w:lineRule="auto"/>
        <w:rPr>
          <w:color w:val="000000" w:themeColor="text1"/>
        </w:rPr>
      </w:pPr>
      <w:r w:rsidRPr="00B95E28">
        <w:rPr>
          <w:color w:val="000000" w:themeColor="text1"/>
        </w:rPr>
        <w:t>In the context of serial acquirers, this perspective becomes particularly important. Organizations must develop the ability to execute consistently across multiple transactions, each with its own unique characteristics. This requires not only the application of established practices, but also the ability to adapt these practices to different contexts.</w:t>
      </w:r>
    </w:p>
    <w:p w14:paraId="17CAEF4A" w14:textId="77777777" w:rsidR="008F402B" w:rsidRPr="00B95E28" w:rsidRDefault="008F402B" w:rsidP="008F402B">
      <w:pPr>
        <w:rPr>
          <w:color w:val="000000" w:themeColor="text1"/>
        </w:rPr>
      </w:pPr>
    </w:p>
    <w:p w14:paraId="3134BC79" w14:textId="507E4932" w:rsidR="004604AB" w:rsidRPr="00B95E28" w:rsidRDefault="004604AB" w:rsidP="00557AB7">
      <w:pPr>
        <w:spacing w:line="480" w:lineRule="auto"/>
        <w:rPr>
          <w:color w:val="000000" w:themeColor="text1"/>
        </w:rPr>
      </w:pPr>
      <w:r w:rsidRPr="00B95E28">
        <w:rPr>
          <w:color w:val="000000" w:themeColor="text1"/>
        </w:rPr>
        <w:t>As such, execution should be understood as a capability that emerges from the organization’s ability to coordinate, adapt, and learn across transactions. This perspective provides a more comprehensive explanation of execution performance and highlights the need to move beyond process-based models in understanding integration outcomes.</w:t>
      </w:r>
    </w:p>
    <w:p w14:paraId="4F67DDDE" w14:textId="77777777" w:rsidR="008F402B" w:rsidRPr="00B95E28" w:rsidRDefault="008F402B" w:rsidP="008F402B">
      <w:pPr>
        <w:rPr>
          <w:color w:val="000000" w:themeColor="text1"/>
        </w:rPr>
      </w:pPr>
    </w:p>
    <w:p w14:paraId="4F2F2B06" w14:textId="78361F9E" w:rsidR="004604AB" w:rsidRPr="00B95E28" w:rsidRDefault="004604AB" w:rsidP="00557AB7">
      <w:pPr>
        <w:spacing w:line="480" w:lineRule="auto"/>
        <w:rPr>
          <w:color w:val="000000" w:themeColor="text1"/>
        </w:rPr>
      </w:pPr>
      <w:r w:rsidRPr="00B95E28">
        <w:rPr>
          <w:color w:val="000000" w:themeColor="text1"/>
        </w:rPr>
        <w:t>An additional consideration in understanding execution performance is the extent to which organizations are able to integrate execution activities with governance and planning mechanisms in real time. While the literature often presents these dimensions as sequential, execution environments require continuous interaction between them.</w:t>
      </w:r>
    </w:p>
    <w:p w14:paraId="1D7A35F2" w14:textId="77777777" w:rsidR="008F402B" w:rsidRPr="00B95E28" w:rsidRDefault="008F402B" w:rsidP="008F402B">
      <w:pPr>
        <w:rPr>
          <w:color w:val="000000" w:themeColor="text1"/>
        </w:rPr>
      </w:pPr>
    </w:p>
    <w:p w14:paraId="5F926071" w14:textId="71712A8C" w:rsidR="004604AB" w:rsidRPr="00B95E28" w:rsidRDefault="004604AB" w:rsidP="00557AB7">
      <w:pPr>
        <w:spacing w:line="480" w:lineRule="auto"/>
        <w:rPr>
          <w:color w:val="000000" w:themeColor="text1"/>
        </w:rPr>
      </w:pPr>
      <w:r w:rsidRPr="00B95E28">
        <w:rPr>
          <w:color w:val="000000" w:themeColor="text1"/>
        </w:rPr>
        <w:t>For example, execution challenges frequently necessitate adjustments to planning assumptions, requiring feedback loops between execution teams and planning functions. Similarly, governance structures must enable timely decision-making in response to execution issues, ensuring that delays or uncertainties do not compound over time. This interaction highlights the need for integration processes that are not only structured, but also responsive and adaptive.</w:t>
      </w:r>
    </w:p>
    <w:p w14:paraId="0D8AB209" w14:textId="77777777" w:rsidR="004604AB" w:rsidRPr="00B95E28" w:rsidRDefault="004604AB" w:rsidP="00557AB7">
      <w:pPr>
        <w:spacing w:line="480" w:lineRule="auto"/>
        <w:rPr>
          <w:color w:val="000000" w:themeColor="text1"/>
        </w:rPr>
      </w:pPr>
      <w:r w:rsidRPr="00B95E28">
        <w:rPr>
          <w:color w:val="000000" w:themeColor="text1"/>
        </w:rPr>
        <w:lastRenderedPageBreak/>
        <w:t>This perspective challenges the notion that execution can be fully managed through predefined frameworks. Instead, execution should be understood as an emergent process that reflects the organization’s ability to coordinate across functions, manage interdependencies, and respond to evolving conditions.</w:t>
      </w:r>
    </w:p>
    <w:p w14:paraId="0310AA73" w14:textId="77777777" w:rsidR="008F402B" w:rsidRPr="00B95E28" w:rsidRDefault="008F402B" w:rsidP="008F402B">
      <w:pPr>
        <w:rPr>
          <w:color w:val="000000" w:themeColor="text1"/>
        </w:rPr>
      </w:pPr>
    </w:p>
    <w:p w14:paraId="1CDCB4BA" w14:textId="38E9F960" w:rsidR="004604AB" w:rsidRPr="00B95E28" w:rsidRDefault="004604AB" w:rsidP="00557AB7">
      <w:pPr>
        <w:spacing w:line="480" w:lineRule="auto"/>
        <w:rPr>
          <w:color w:val="000000" w:themeColor="text1"/>
        </w:rPr>
      </w:pPr>
      <w:r w:rsidRPr="00B95E28">
        <w:rPr>
          <w:color w:val="000000" w:themeColor="text1"/>
        </w:rPr>
        <w:t>In the context of repeated acquisitions, the ability to manage these interactions consistently becomes a critical determinant of performance. Organizations must develop not only execution processes, but also the capability to align execution with governance and planning in a dynamic and coordinated manner. This requires experience, learning, and the ability to institutionalize effective practices across transactions.</w:t>
      </w:r>
    </w:p>
    <w:p w14:paraId="2B6C9663" w14:textId="77777777" w:rsidR="008F402B" w:rsidRPr="00B95E28" w:rsidRDefault="008F402B" w:rsidP="008F402B">
      <w:pPr>
        <w:rPr>
          <w:color w:val="000000" w:themeColor="text1"/>
        </w:rPr>
      </w:pPr>
    </w:p>
    <w:p w14:paraId="5A0DF28D" w14:textId="12964F4A" w:rsidR="004604AB" w:rsidRPr="00B95E28" w:rsidRDefault="004604AB" w:rsidP="00557AB7">
      <w:pPr>
        <w:spacing w:line="480" w:lineRule="auto"/>
        <w:rPr>
          <w:color w:val="000000" w:themeColor="text1"/>
        </w:rPr>
      </w:pPr>
      <w:r w:rsidRPr="00B95E28">
        <w:rPr>
          <w:color w:val="000000" w:themeColor="text1"/>
        </w:rPr>
        <w:t>However, the literature provides limited insight into how organizations develop this capability. While execution challenges are well documented, there is less understanding of how firms improve their ability to manage these challenges over time. This gap further reinforces the need to examine integration as a system-level capability, rather than as a collection of discrete processes.</w:t>
      </w:r>
    </w:p>
    <w:p w14:paraId="36485292" w14:textId="77777777" w:rsidR="008F402B" w:rsidRPr="00B95E28" w:rsidRDefault="008F402B" w:rsidP="008F402B">
      <w:pPr>
        <w:rPr>
          <w:color w:val="000000" w:themeColor="text1"/>
        </w:rPr>
      </w:pPr>
      <w:bookmarkStart w:id="75" w:name="_Toc230881435"/>
    </w:p>
    <w:p w14:paraId="641EE0CA" w14:textId="1618848B" w:rsidR="004604AB" w:rsidRPr="00B95E28" w:rsidRDefault="004604AB" w:rsidP="00557AB7">
      <w:pPr>
        <w:pStyle w:val="Heading2"/>
        <w:spacing w:before="0" w:after="0" w:line="480" w:lineRule="auto"/>
        <w:ind w:left="0" w:firstLine="0"/>
        <w:rPr>
          <w:color w:val="000000" w:themeColor="text1"/>
        </w:rPr>
      </w:pPr>
      <w:bookmarkStart w:id="76" w:name="_Toc232351835"/>
      <w:r w:rsidRPr="00B95E28">
        <w:rPr>
          <w:color w:val="000000" w:themeColor="text1"/>
        </w:rPr>
        <w:t>2.1</w:t>
      </w:r>
      <w:r w:rsidR="0063141E">
        <w:rPr>
          <w:color w:val="000000" w:themeColor="text1"/>
        </w:rPr>
        <w:t>1</w:t>
      </w:r>
      <w:r w:rsidRPr="00B95E28">
        <w:rPr>
          <w:color w:val="000000" w:themeColor="text1"/>
        </w:rPr>
        <w:t xml:space="preserve"> Technology and Systems Integration</w:t>
      </w:r>
      <w:bookmarkEnd w:id="75"/>
      <w:bookmarkEnd w:id="76"/>
    </w:p>
    <w:p w14:paraId="0FA28FDC" w14:textId="77777777" w:rsidR="004604AB" w:rsidRPr="00B95E28" w:rsidRDefault="004604AB" w:rsidP="00557AB7">
      <w:pPr>
        <w:spacing w:line="480" w:lineRule="auto"/>
        <w:rPr>
          <w:color w:val="000000" w:themeColor="text1"/>
        </w:rPr>
      </w:pPr>
      <w:r w:rsidRPr="00B95E28">
        <w:rPr>
          <w:color w:val="000000" w:themeColor="text1"/>
        </w:rPr>
        <w:t>Technology and systems integration represents a critical component of post-merger integration, enabling the alignment of information flows, operational processes, and decision-making capabilities across the combined organization. Within the literature, technology integration is frequently positioned as both an enabler of value realization and a source of significant complexity during the integration process (Jemison &amp; Sitkin, 1986; Kim &amp; Olsen, 1999). As organizations increasingly rely on integrated systems to support core business functions, the effectiveness of technology integration has become closely linked to overall integration success.</w:t>
      </w:r>
    </w:p>
    <w:p w14:paraId="6A75A2AB" w14:textId="77777777" w:rsidR="004604AB" w:rsidRPr="00B95E28" w:rsidRDefault="004604AB" w:rsidP="00557AB7">
      <w:pPr>
        <w:spacing w:line="480" w:lineRule="auto"/>
        <w:rPr>
          <w:color w:val="000000" w:themeColor="text1"/>
        </w:rPr>
      </w:pPr>
      <w:r w:rsidRPr="00B95E28">
        <w:rPr>
          <w:color w:val="000000" w:themeColor="text1"/>
        </w:rPr>
        <w:lastRenderedPageBreak/>
        <w:t>At a fundamental level, technology integration involves the consolidation, alignment, or interfacing of systems across multiple domains, including enterprise resource planning (ERP), customer relationship management (CRM), financial systems, and operational platforms. These systems underpin critical business processes, and their integration is necessary to achieve visibility, standardization, and control across the organization. However, the integration of these systems is rarely straightforward, as differences in system architecture, data structures, and process design introduce significant challenges (Kim &amp; Olsen, 1999; Haspeslagh &amp; Jemison, 1991).</w:t>
      </w:r>
    </w:p>
    <w:p w14:paraId="49B35780" w14:textId="77777777" w:rsidR="008F402B" w:rsidRPr="00B95E28" w:rsidRDefault="008F402B" w:rsidP="008F402B">
      <w:pPr>
        <w:rPr>
          <w:color w:val="000000" w:themeColor="text1"/>
        </w:rPr>
      </w:pPr>
    </w:p>
    <w:p w14:paraId="3DEE595B" w14:textId="48038287" w:rsidR="004604AB" w:rsidRPr="00B95E28" w:rsidRDefault="004604AB" w:rsidP="00557AB7">
      <w:pPr>
        <w:spacing w:line="480" w:lineRule="auto"/>
        <w:rPr>
          <w:color w:val="000000" w:themeColor="text1"/>
        </w:rPr>
      </w:pPr>
      <w:r w:rsidRPr="00B95E28">
        <w:rPr>
          <w:color w:val="000000" w:themeColor="text1"/>
        </w:rPr>
        <w:t>A key issue identified in the literature is the tendency to treat technology integration as a technical exercise rather than as a component of broader organizational transformation. While system compatibility and data migration are important considerations, technology integration also requires alignment with business processes, organizational structures, and strategic objectives (Jemison &amp; Sitkin, 1986). Where technology integration is approached in isolation from these broader considerations, organizations may achieve technical consolidation without realizing the intended operational benefits.</w:t>
      </w:r>
    </w:p>
    <w:p w14:paraId="0F3DF21E" w14:textId="77777777" w:rsidR="008F402B" w:rsidRPr="00B95E28" w:rsidRDefault="008F402B" w:rsidP="008F402B">
      <w:pPr>
        <w:rPr>
          <w:color w:val="000000" w:themeColor="text1"/>
        </w:rPr>
      </w:pPr>
    </w:p>
    <w:p w14:paraId="7BE6CCB9" w14:textId="030FC67A" w:rsidR="004604AB" w:rsidRPr="00B95E28" w:rsidRDefault="004604AB" w:rsidP="00557AB7">
      <w:pPr>
        <w:spacing w:line="480" w:lineRule="auto"/>
        <w:rPr>
          <w:color w:val="000000" w:themeColor="text1"/>
        </w:rPr>
      </w:pPr>
      <w:r w:rsidRPr="00B95E28">
        <w:rPr>
          <w:color w:val="000000" w:themeColor="text1"/>
        </w:rPr>
        <w:t>Practitioner literature similarly emphasizes the importance of integrating information systems and technological infrastructure as part of the broader integration effort, often framing this as a necessary step toward operational alignment (Lajoux, 2006). However, this perspective frequently treats technology integration as a discrete workstream, rather than as an interconnected component of organizational transformation. As a result, while technical integration may be achieved, the broader alignment required to realize value may remain incomplete.</w:t>
      </w:r>
    </w:p>
    <w:p w14:paraId="6048DF26" w14:textId="77777777" w:rsidR="004604AB" w:rsidRPr="00B95E28" w:rsidRDefault="004604AB" w:rsidP="00557AB7">
      <w:pPr>
        <w:spacing w:line="480" w:lineRule="auto"/>
        <w:rPr>
          <w:color w:val="000000" w:themeColor="text1"/>
        </w:rPr>
      </w:pPr>
      <w:r w:rsidRPr="00B95E28">
        <w:rPr>
          <w:color w:val="000000" w:themeColor="text1"/>
        </w:rPr>
        <w:lastRenderedPageBreak/>
        <w:t>The complexity of technology integration is further amplified by the interdependencies between systems and business processes. Technology systems are embedded within organizational workflows, meaning that changes to systems often necessitate changes to processes, roles, and responsibilities. For example, the implementation of a unified ERP system may require standardization of financial reporting processes, changes to procurement workflows, and retraining of personnel. These interdependencies introduce additional layers of complexity that extend beyond the technical domain, requiring coordination across both technical and business functions (Kim &amp; Olsen, 1999; Haspeslagh &amp; Jemison, 1991).</w:t>
      </w:r>
    </w:p>
    <w:p w14:paraId="5B528C94" w14:textId="77777777" w:rsidR="008F402B" w:rsidRPr="00B95E28" w:rsidRDefault="008F402B" w:rsidP="008F402B">
      <w:pPr>
        <w:rPr>
          <w:color w:val="000000" w:themeColor="text1"/>
        </w:rPr>
      </w:pPr>
    </w:p>
    <w:p w14:paraId="66A59E14" w14:textId="39ADCB07" w:rsidR="004604AB" w:rsidRPr="00B95E28" w:rsidRDefault="004604AB" w:rsidP="00557AB7">
      <w:pPr>
        <w:spacing w:line="480" w:lineRule="auto"/>
        <w:rPr>
          <w:color w:val="000000" w:themeColor="text1"/>
        </w:rPr>
      </w:pPr>
      <w:r w:rsidRPr="00B95E28">
        <w:rPr>
          <w:color w:val="000000" w:themeColor="text1"/>
        </w:rPr>
        <w:t>Another challenge relates to the timing and sequencing of technology integration activities. Organizations must decide whether to pursue immediate system consolidation, phased integration, or the temporary coexistence of legacy systems. Each approach involves trade-offs between speed, risk, and operational disruption. Rapid consolidation may accelerate synergy realization but increase the risk of system instability, while phased approaches may reduce disruption but delay benefits. The selection of an appropriate integration strategy is therefore contingent on factors such as system compatibility, organizational readiness, and the strategic objectives of the transaction (Jemison &amp; Sitkin, 1986; Kim &amp; Olsen, 1999).</w:t>
      </w:r>
    </w:p>
    <w:p w14:paraId="2EEAB4F1" w14:textId="77777777" w:rsidR="008F402B" w:rsidRPr="00B95E28" w:rsidRDefault="008F402B" w:rsidP="008F402B">
      <w:pPr>
        <w:rPr>
          <w:color w:val="000000" w:themeColor="text1"/>
        </w:rPr>
      </w:pPr>
    </w:p>
    <w:p w14:paraId="7AAE46F8" w14:textId="218CBAE5" w:rsidR="004604AB" w:rsidRPr="00B95E28" w:rsidRDefault="004604AB" w:rsidP="00557AB7">
      <w:pPr>
        <w:spacing w:line="480" w:lineRule="auto"/>
        <w:rPr>
          <w:color w:val="000000" w:themeColor="text1"/>
        </w:rPr>
      </w:pPr>
      <w:r w:rsidRPr="00B95E28">
        <w:rPr>
          <w:color w:val="000000" w:themeColor="text1"/>
        </w:rPr>
        <w:t xml:space="preserve">In practice, organizations frequently underestimate the effort and complexity associated with technology integration (Cartwright &amp; Schoenberg, 2006). Integration plans may assume a level of system compatibility or data quality that does not exist in reality, leading to delays, cost overruns, and the need for unplanned workarounds. These challenges are often compounded by the limited availability of specialized technical resources, particularly in organizations managing </w:t>
      </w:r>
      <w:r w:rsidRPr="00B95E28">
        <w:rPr>
          <w:color w:val="000000" w:themeColor="text1"/>
        </w:rPr>
        <w:lastRenderedPageBreak/>
        <w:t>multiple integration initiatives simultaneously (Cartwright &amp; Schoenberg, 2006; King et al., 2004).</w:t>
      </w:r>
    </w:p>
    <w:p w14:paraId="46A2A1B1" w14:textId="77777777" w:rsidR="008F402B" w:rsidRPr="00B95E28" w:rsidRDefault="008F402B" w:rsidP="008F402B">
      <w:pPr>
        <w:rPr>
          <w:color w:val="000000" w:themeColor="text1"/>
        </w:rPr>
      </w:pPr>
    </w:p>
    <w:p w14:paraId="0AE592E8" w14:textId="4CFDFB68" w:rsidR="004604AB" w:rsidRPr="00B95E28" w:rsidRDefault="004604AB" w:rsidP="00557AB7">
      <w:pPr>
        <w:spacing w:line="480" w:lineRule="auto"/>
        <w:rPr>
          <w:color w:val="000000" w:themeColor="text1"/>
        </w:rPr>
      </w:pPr>
      <w:r w:rsidRPr="00B95E28">
        <w:rPr>
          <w:color w:val="000000" w:themeColor="text1"/>
        </w:rPr>
        <w:t>Despite these challenges, technology integration is often viewed as a necessary step toward achieving operational integration. Without aligned systems, organizations may continue to operate as loosely connected entities, limiting visibility and reducing the ability to coordinate activities effectively. In this sense, technology integration serves as a foundation for broader integration efforts, enabling the standardization of processes and the consolidation of data required for decision-making.</w:t>
      </w:r>
    </w:p>
    <w:p w14:paraId="078F82E7" w14:textId="77777777" w:rsidR="008F402B" w:rsidRPr="00B95E28" w:rsidRDefault="008F402B" w:rsidP="008F402B">
      <w:pPr>
        <w:rPr>
          <w:color w:val="000000" w:themeColor="text1"/>
        </w:rPr>
      </w:pPr>
    </w:p>
    <w:p w14:paraId="244176AB" w14:textId="17CF5228" w:rsidR="004604AB" w:rsidRPr="00B95E28" w:rsidRDefault="004604AB" w:rsidP="00557AB7">
      <w:pPr>
        <w:spacing w:line="480" w:lineRule="auto"/>
        <w:rPr>
          <w:color w:val="000000" w:themeColor="text1"/>
        </w:rPr>
      </w:pPr>
      <w:r w:rsidRPr="00B95E28">
        <w:rPr>
          <w:color w:val="000000" w:themeColor="text1"/>
        </w:rPr>
        <w:t>However, the literature also suggests that technology integration alone is insufficient to ensure integration success (Teece, 2007). While aligned systems can enable coordination and efficiency, they do not guarantee alignment of organizational behaviours, decision-making, or strategic priorities. This highlights a broader limitation in how technology integration is conceptualized, where emphasis is placed on system alignment rather than on the organizational capability required to leverage those systems effectively (Zollo &amp; Winter, 2002; Teece, 2007).</w:t>
      </w:r>
    </w:p>
    <w:p w14:paraId="6803233D" w14:textId="77777777" w:rsidR="008F402B" w:rsidRPr="00B95E28" w:rsidRDefault="008F402B" w:rsidP="008F402B">
      <w:pPr>
        <w:rPr>
          <w:color w:val="000000" w:themeColor="text1"/>
        </w:rPr>
      </w:pPr>
    </w:p>
    <w:p w14:paraId="7E725449" w14:textId="1F7F0C2F" w:rsidR="004604AB" w:rsidRPr="00B95E28" w:rsidRDefault="004604AB" w:rsidP="00557AB7">
      <w:pPr>
        <w:spacing w:line="480" w:lineRule="auto"/>
        <w:rPr>
          <w:color w:val="000000" w:themeColor="text1"/>
        </w:rPr>
      </w:pPr>
      <w:r w:rsidRPr="00B95E28">
        <w:rPr>
          <w:color w:val="000000" w:themeColor="text1"/>
        </w:rPr>
        <w:t>In the context of serial acquirers, technology integration introduces additional challenges related to scalability and standardization. Organizations that pursue multiple acquisitions must determine whether to impose a standardized technology architecture across acquisitions or to accommodate variation based on the characteristics of each target. While standardization can enhance efficiency and reduce complexity over time, it may also limit flexibility and create integration challenges in cases where acquired systems differ significantly from the acquirer’s existing infrastructure (Laamanen &amp; Keil, 2008; Eisenhardt &amp; Martin, 2000).</w:t>
      </w:r>
    </w:p>
    <w:p w14:paraId="03187061" w14:textId="77777777" w:rsidR="004604AB" w:rsidRPr="00B95E28" w:rsidRDefault="004604AB" w:rsidP="00557AB7">
      <w:pPr>
        <w:spacing w:line="480" w:lineRule="auto"/>
        <w:rPr>
          <w:color w:val="000000" w:themeColor="text1"/>
        </w:rPr>
      </w:pPr>
      <w:r w:rsidRPr="00B95E28">
        <w:rPr>
          <w:color w:val="000000" w:themeColor="text1"/>
        </w:rPr>
        <w:lastRenderedPageBreak/>
        <w:t>These trade-offs highlight the need to move beyond viewing technology integration as a one-time technical task and toward understanding it as part of a broader organizational capability. Effective technology integration requires not only technical expertise, but also the ability to align systems with business processes, manage interdependencies, and adapt integration approaches to different contexts. As such, technology integration can be understood as a capability that develops through repeated execution, learning, and refinement over time.</w:t>
      </w:r>
    </w:p>
    <w:p w14:paraId="3F9D57CC" w14:textId="77777777" w:rsidR="008F402B" w:rsidRPr="00B95E28" w:rsidRDefault="008F402B" w:rsidP="008F402B">
      <w:pPr>
        <w:rPr>
          <w:color w:val="000000" w:themeColor="text1"/>
        </w:rPr>
      </w:pPr>
    </w:p>
    <w:p w14:paraId="5B9BF674" w14:textId="5A02FC7E" w:rsidR="004604AB" w:rsidRPr="00B95E28" w:rsidRDefault="004604AB" w:rsidP="00557AB7">
      <w:pPr>
        <w:spacing w:line="480" w:lineRule="auto"/>
        <w:rPr>
          <w:color w:val="000000" w:themeColor="text1"/>
        </w:rPr>
      </w:pPr>
      <w:r w:rsidRPr="00B95E28">
        <w:rPr>
          <w:color w:val="000000" w:themeColor="text1"/>
        </w:rPr>
        <w:t>Despite its importance, existing literature has not fully addressed how organizations build this capability across multiple acquisitions. While frameworks exist to guide system integration at the transaction level, there is little explanation of how these practices are embedded at the organizational level, retain knowledge, and improve performance over successive integrations. This gap reinforces the broader argument that integration success is not solely determined by the application of processes, but by the development of organizational capabilities that enable consistent execution across varying contexts.</w:t>
      </w:r>
    </w:p>
    <w:p w14:paraId="42DB011F" w14:textId="77777777" w:rsidR="008F402B" w:rsidRPr="00B95E28" w:rsidRDefault="008F402B" w:rsidP="008F402B">
      <w:pPr>
        <w:rPr>
          <w:color w:val="000000" w:themeColor="text1"/>
        </w:rPr>
      </w:pPr>
    </w:p>
    <w:p w14:paraId="094AA959" w14:textId="0BF4A141" w:rsidR="004604AB" w:rsidRPr="00B95E28" w:rsidRDefault="004604AB" w:rsidP="00557AB7">
      <w:pPr>
        <w:spacing w:line="480" w:lineRule="auto"/>
        <w:rPr>
          <w:color w:val="000000" w:themeColor="text1"/>
        </w:rPr>
      </w:pPr>
      <w:r w:rsidRPr="00B95E28">
        <w:rPr>
          <w:color w:val="000000" w:themeColor="text1"/>
        </w:rPr>
        <w:t>These observations highlight a critical limitation in the way integration has been conceptualized within the literature. While governance, planning, execution, technology, and human capital are examined as distinct domains, their effectiveness in practice is highly interdependent. Failures in one domain frequently propagate across others, creating cascading effects that are not captured in isolated analyses.</w:t>
      </w:r>
    </w:p>
    <w:p w14:paraId="6C464DB5" w14:textId="77777777" w:rsidR="008F402B" w:rsidRPr="00B95E28" w:rsidRDefault="008F402B" w:rsidP="008F402B">
      <w:pPr>
        <w:rPr>
          <w:color w:val="000000" w:themeColor="text1"/>
        </w:rPr>
      </w:pPr>
    </w:p>
    <w:p w14:paraId="104F605A" w14:textId="274A6661" w:rsidR="004604AB" w:rsidRPr="00B95E28" w:rsidRDefault="004604AB" w:rsidP="00557AB7">
      <w:pPr>
        <w:spacing w:line="480" w:lineRule="auto"/>
        <w:rPr>
          <w:color w:val="000000" w:themeColor="text1"/>
        </w:rPr>
      </w:pPr>
      <w:r w:rsidRPr="00B95E28">
        <w:rPr>
          <w:color w:val="000000" w:themeColor="text1"/>
        </w:rPr>
        <w:t xml:space="preserve">For example, insufficient planning can constrain execution by limiting visibility into dependencies and resource requirements. Weak governance can delay decision-making, reducing the effectiveness of both planning and execution. Similarly, misaligned technology integration can disrupt operational processes, affecting both execution and human capital dynamics. These </w:t>
      </w:r>
      <w:r w:rsidRPr="00B95E28">
        <w:rPr>
          <w:color w:val="000000" w:themeColor="text1"/>
        </w:rPr>
        <w:lastRenderedPageBreak/>
        <w:t>interactions suggest that integration outcomes are shaped not by individual factors, but by the collective functioning of multiple dimensions.</w:t>
      </w:r>
    </w:p>
    <w:p w14:paraId="12124949" w14:textId="77777777" w:rsidR="008F402B" w:rsidRPr="00B95E28" w:rsidRDefault="008F402B" w:rsidP="008F402B">
      <w:pPr>
        <w:rPr>
          <w:color w:val="000000" w:themeColor="text1"/>
        </w:rPr>
      </w:pPr>
    </w:p>
    <w:p w14:paraId="503005D5" w14:textId="4ABEBAD5" w:rsidR="004604AB" w:rsidRPr="00B95E28" w:rsidRDefault="004604AB" w:rsidP="00557AB7">
      <w:pPr>
        <w:spacing w:line="480" w:lineRule="auto"/>
        <w:rPr>
          <w:color w:val="000000" w:themeColor="text1"/>
        </w:rPr>
      </w:pPr>
      <w:r w:rsidRPr="00B95E28">
        <w:rPr>
          <w:color w:val="000000" w:themeColor="text1"/>
        </w:rPr>
        <w:t>Despite this, the literature largely treats these domains independently, resulting in a fragmented understanding of integration performance. This fragmentation limits the ability to explain why organizations with similar processes and structures achieve different outcomes. It also constrains the development of frameworks that can account for the complexity and variability inherent in integration environments.</w:t>
      </w:r>
    </w:p>
    <w:p w14:paraId="46FCD7D3" w14:textId="77777777" w:rsidR="008F402B" w:rsidRPr="00B95E28" w:rsidRDefault="008F402B" w:rsidP="008F402B">
      <w:pPr>
        <w:rPr>
          <w:color w:val="000000" w:themeColor="text1"/>
        </w:rPr>
      </w:pPr>
    </w:p>
    <w:p w14:paraId="5D5C8B80" w14:textId="7F359E0A" w:rsidR="004604AB" w:rsidRPr="00B95E28" w:rsidRDefault="004604AB" w:rsidP="00557AB7">
      <w:pPr>
        <w:spacing w:line="480" w:lineRule="auto"/>
        <w:rPr>
          <w:color w:val="000000" w:themeColor="text1"/>
        </w:rPr>
      </w:pPr>
      <w:r w:rsidRPr="00B95E28">
        <w:rPr>
          <w:color w:val="000000" w:themeColor="text1"/>
        </w:rPr>
        <w:t>A more comprehensive perspective requires viewing integration as a system of interrelated components rather than as a set of discrete activities. This perspective emphasizes the importance of alignment, coordination, and interaction across dimensions, shifting the focus from individual practices to the organization’s ability to manage complexity as a whole.</w:t>
      </w:r>
    </w:p>
    <w:p w14:paraId="08145084" w14:textId="77777777" w:rsidR="008F402B" w:rsidRPr="00B95E28" w:rsidRDefault="008F402B" w:rsidP="008F402B">
      <w:pPr>
        <w:rPr>
          <w:color w:val="000000" w:themeColor="text1"/>
        </w:rPr>
      </w:pPr>
    </w:p>
    <w:p w14:paraId="4260A682" w14:textId="7018F24C" w:rsidR="004604AB" w:rsidRPr="00B95E28" w:rsidRDefault="004604AB" w:rsidP="00557AB7">
      <w:pPr>
        <w:spacing w:line="480" w:lineRule="auto"/>
        <w:rPr>
          <w:color w:val="000000" w:themeColor="text1"/>
        </w:rPr>
      </w:pPr>
      <w:r w:rsidRPr="00B95E28">
        <w:rPr>
          <w:color w:val="000000" w:themeColor="text1"/>
        </w:rPr>
        <w:t>This system-level view provides a foundation for understanding integration as a capability that emerges from the interaction of governance, planning, execution, technology, and learning. It also highlights the need to examine how these components evolve and reinforce one another over time, particularly in the context of repeated acquisition activity.</w:t>
      </w:r>
    </w:p>
    <w:p w14:paraId="00BB5E2B" w14:textId="77777777" w:rsidR="008F402B" w:rsidRPr="00B95E28" w:rsidRDefault="008F402B" w:rsidP="008F402B">
      <w:pPr>
        <w:rPr>
          <w:color w:val="000000" w:themeColor="text1"/>
        </w:rPr>
      </w:pPr>
    </w:p>
    <w:p w14:paraId="10E0B07B" w14:textId="69230D1F" w:rsidR="004604AB" w:rsidRPr="00B95E28" w:rsidRDefault="004604AB" w:rsidP="00557AB7">
      <w:pPr>
        <w:spacing w:line="480" w:lineRule="auto"/>
        <w:rPr>
          <w:color w:val="000000" w:themeColor="text1"/>
        </w:rPr>
      </w:pPr>
      <w:r w:rsidRPr="00B95E28">
        <w:rPr>
          <w:color w:val="000000" w:themeColor="text1"/>
        </w:rPr>
        <w:t>A further limitation in the literature on technology integration is its tendency to separate technical considerations from broader organizational capabilities. While system compatibility, data migration, and infrastructure alignment are critical, these elements do not fully capture the role of technology in enabling integration outcomes.</w:t>
      </w:r>
    </w:p>
    <w:p w14:paraId="56693765" w14:textId="77777777" w:rsidR="008F402B" w:rsidRPr="00B95E28" w:rsidRDefault="008F402B" w:rsidP="008F402B">
      <w:pPr>
        <w:rPr>
          <w:color w:val="000000" w:themeColor="text1"/>
        </w:rPr>
      </w:pPr>
    </w:p>
    <w:p w14:paraId="16DF1DB3" w14:textId="56BE1CF1" w:rsidR="004604AB" w:rsidRPr="00B95E28" w:rsidRDefault="004604AB" w:rsidP="00557AB7">
      <w:pPr>
        <w:spacing w:line="480" w:lineRule="auto"/>
        <w:rPr>
          <w:color w:val="000000" w:themeColor="text1"/>
        </w:rPr>
      </w:pPr>
      <w:r w:rsidRPr="00B95E28">
        <w:rPr>
          <w:color w:val="000000" w:themeColor="text1"/>
        </w:rPr>
        <w:t xml:space="preserve">In practice, technology integration is closely linked to organizational decision-making, process design, and performance management. Systems not only support operational activities but also </w:t>
      </w:r>
      <w:r w:rsidRPr="00B95E28">
        <w:rPr>
          <w:color w:val="000000" w:themeColor="text1"/>
        </w:rPr>
        <w:lastRenderedPageBreak/>
        <w:t>shape how information is generated, shared, and used within the organization. As a result, the effectiveness of technology integration depends on the organization’s ability to align systems with its strategic and operational objectives.</w:t>
      </w:r>
    </w:p>
    <w:p w14:paraId="3006A346" w14:textId="77777777" w:rsidR="008F402B" w:rsidRPr="00B95E28" w:rsidRDefault="008F402B" w:rsidP="008F402B">
      <w:pPr>
        <w:rPr>
          <w:color w:val="000000" w:themeColor="text1"/>
        </w:rPr>
      </w:pPr>
    </w:p>
    <w:p w14:paraId="08832CA7" w14:textId="24496DD1" w:rsidR="004604AB" w:rsidRPr="00B95E28" w:rsidRDefault="004604AB" w:rsidP="00557AB7">
      <w:pPr>
        <w:spacing w:line="480" w:lineRule="auto"/>
        <w:rPr>
          <w:color w:val="000000" w:themeColor="text1"/>
        </w:rPr>
      </w:pPr>
      <w:r w:rsidRPr="00B95E28">
        <w:rPr>
          <w:color w:val="000000" w:themeColor="text1"/>
        </w:rPr>
        <w:t>This introduces an important distinction between technology integration as a technical activity and as a capability. While technical integration focuses on system alignment, capability-based integration emphasizes the organization’s ability to leverage technology to support coordination, visibility, and decision-making across transactions.</w:t>
      </w:r>
    </w:p>
    <w:p w14:paraId="67CE8D13" w14:textId="77777777" w:rsidR="008F402B" w:rsidRPr="00B95E28" w:rsidRDefault="008F402B" w:rsidP="008F402B">
      <w:pPr>
        <w:rPr>
          <w:color w:val="000000" w:themeColor="text1"/>
        </w:rPr>
      </w:pPr>
    </w:p>
    <w:p w14:paraId="2B54C73B" w14:textId="77648EFE" w:rsidR="004604AB" w:rsidRPr="00B95E28" w:rsidRDefault="004604AB" w:rsidP="00557AB7">
      <w:pPr>
        <w:spacing w:line="480" w:lineRule="auto"/>
        <w:rPr>
          <w:color w:val="000000" w:themeColor="text1"/>
        </w:rPr>
      </w:pPr>
      <w:r w:rsidRPr="00B95E28">
        <w:rPr>
          <w:color w:val="000000" w:themeColor="text1"/>
        </w:rPr>
        <w:t>In the context of serial acquirers, this distinction becomes increasingly significant. Organizations must not only integrate systems for individual transactions but also develop scalable technology architectures that support repeated integration activity. This requires the ability to standardize where appropriate, while retaining flexibility to accommodate variation across acquisitions.</w:t>
      </w:r>
    </w:p>
    <w:p w14:paraId="3517D69B" w14:textId="77777777" w:rsidR="00F20EB7" w:rsidRPr="00B95E28" w:rsidRDefault="00F20EB7" w:rsidP="00F20EB7">
      <w:pPr>
        <w:rPr>
          <w:color w:val="000000" w:themeColor="text1"/>
        </w:rPr>
      </w:pPr>
    </w:p>
    <w:p w14:paraId="6E6BDDA0" w14:textId="48D52C78" w:rsidR="004604AB" w:rsidRPr="00B95E28" w:rsidRDefault="004604AB" w:rsidP="00557AB7">
      <w:pPr>
        <w:spacing w:line="480" w:lineRule="auto"/>
        <w:rPr>
          <w:color w:val="000000" w:themeColor="text1"/>
        </w:rPr>
      </w:pPr>
      <w:r w:rsidRPr="00B95E28">
        <w:rPr>
          <w:color w:val="000000" w:themeColor="text1"/>
        </w:rPr>
        <w:t>Despite this, existing research provides limited insight into how organizations develop and sustain this capability. Technology integration is often treated as a project-level activity, rather than as a component of a broader integration capability system. This limits the ability to understand how technology contributes to consistent integration performance over time.</w:t>
      </w:r>
    </w:p>
    <w:p w14:paraId="3B222FFF" w14:textId="77777777" w:rsidR="004604AB" w:rsidRPr="00B95E28" w:rsidRDefault="004604AB" w:rsidP="00557AB7">
      <w:pPr>
        <w:spacing w:line="480" w:lineRule="auto"/>
        <w:rPr>
          <w:color w:val="000000" w:themeColor="text1"/>
        </w:rPr>
      </w:pPr>
      <w:r w:rsidRPr="00B95E28">
        <w:rPr>
          <w:color w:val="000000" w:themeColor="text1"/>
        </w:rPr>
        <w:t>This reinforces the need to examine technology integration not in isolation, but as part of a broader system of capabilities that collectively enable integration success.</w:t>
      </w:r>
    </w:p>
    <w:p w14:paraId="331DBAA6" w14:textId="77777777" w:rsidR="00F20EB7" w:rsidRPr="00B95E28" w:rsidRDefault="00F20EB7" w:rsidP="00F20EB7">
      <w:pPr>
        <w:rPr>
          <w:color w:val="000000" w:themeColor="text1"/>
        </w:rPr>
      </w:pPr>
    </w:p>
    <w:p w14:paraId="299820A1" w14:textId="775FD93C" w:rsidR="004604AB" w:rsidRPr="00B95E28" w:rsidRDefault="004604AB" w:rsidP="00557AB7">
      <w:pPr>
        <w:spacing w:line="480" w:lineRule="auto"/>
        <w:rPr>
          <w:color w:val="000000" w:themeColor="text1"/>
        </w:rPr>
      </w:pPr>
      <w:r w:rsidRPr="00B95E28">
        <w:rPr>
          <w:color w:val="000000" w:themeColor="text1"/>
        </w:rPr>
        <w:t xml:space="preserve">Taken together, practitioner-oriented frameworks provide comprehensive guidance across individual integration domains, including planning, governance, execution, and technology (Lajoux, 2006). However, these domains are typically presented as parallel workstreams rather than as an integrated system of interdependent activities. This reinforces a fragmented view of </w:t>
      </w:r>
      <w:r w:rsidRPr="00B95E28">
        <w:rPr>
          <w:color w:val="000000" w:themeColor="text1"/>
        </w:rPr>
        <w:lastRenderedPageBreak/>
        <w:t>integration, where success is assumed to result from the effective management of individual components. In contrast, the persistent variability in integration outcomes suggests that success depends not on the optimization of individual domains, but on the organization’s ability to coordinate and align these domains as part of a broader capability system (Zollo &amp; Winter, 2002).</w:t>
      </w:r>
    </w:p>
    <w:p w14:paraId="25E93A28" w14:textId="77777777" w:rsidR="00F20EB7" w:rsidRPr="00B95E28" w:rsidRDefault="00F20EB7" w:rsidP="00F20EB7">
      <w:pPr>
        <w:rPr>
          <w:color w:val="000000" w:themeColor="text1"/>
        </w:rPr>
      </w:pPr>
      <w:bookmarkStart w:id="77" w:name="_Toc230881436"/>
    </w:p>
    <w:p w14:paraId="4C2895E8" w14:textId="612EB955" w:rsidR="004604AB" w:rsidRPr="00B95E28" w:rsidRDefault="004604AB" w:rsidP="00557AB7">
      <w:pPr>
        <w:pStyle w:val="Heading2"/>
        <w:spacing w:before="0" w:after="0" w:line="480" w:lineRule="auto"/>
        <w:ind w:left="0" w:firstLine="0"/>
        <w:rPr>
          <w:color w:val="000000" w:themeColor="text1"/>
        </w:rPr>
      </w:pPr>
      <w:bookmarkStart w:id="78" w:name="_Toc232351836"/>
      <w:r w:rsidRPr="00B95E28">
        <w:rPr>
          <w:color w:val="000000" w:themeColor="text1"/>
        </w:rPr>
        <w:t>2.1</w:t>
      </w:r>
      <w:r w:rsidR="0063141E">
        <w:rPr>
          <w:color w:val="000000" w:themeColor="text1"/>
        </w:rPr>
        <w:t>2</w:t>
      </w:r>
      <w:r w:rsidRPr="00B95E28">
        <w:rPr>
          <w:color w:val="000000" w:themeColor="text1"/>
        </w:rPr>
        <w:t xml:space="preserve"> Organizational Learning in M&amp;A</w:t>
      </w:r>
      <w:bookmarkEnd w:id="77"/>
      <w:bookmarkEnd w:id="78"/>
    </w:p>
    <w:p w14:paraId="4C0BC1D1" w14:textId="77777777" w:rsidR="004604AB" w:rsidRPr="00B95E28" w:rsidRDefault="004604AB" w:rsidP="00557AB7">
      <w:pPr>
        <w:spacing w:line="480" w:lineRule="auto"/>
        <w:rPr>
          <w:color w:val="000000" w:themeColor="text1"/>
        </w:rPr>
      </w:pPr>
      <w:r w:rsidRPr="00B95E28">
        <w:rPr>
          <w:color w:val="000000" w:themeColor="text1"/>
        </w:rPr>
        <w:t>While the preceding section establishes the limitations of organizational learning in M&amp;A contexts, this section extends the discussion by examining how learning functions as a mechanism for capability development. Rather than focusing on why learning fails, the emphasis here is on how learning can be structured, embedded, and leveraged to enable repeatable integration performance across transactions.</w:t>
      </w:r>
    </w:p>
    <w:p w14:paraId="1DE15B04" w14:textId="77777777" w:rsidR="00F20EB7" w:rsidRPr="00B95E28" w:rsidRDefault="00F20EB7" w:rsidP="00F20EB7">
      <w:pPr>
        <w:rPr>
          <w:color w:val="000000" w:themeColor="text1"/>
        </w:rPr>
      </w:pPr>
    </w:p>
    <w:p w14:paraId="7A175546" w14:textId="4A579AFB" w:rsidR="004604AB" w:rsidRPr="00B95E28" w:rsidRDefault="004604AB" w:rsidP="00557AB7">
      <w:pPr>
        <w:spacing w:line="480" w:lineRule="auto"/>
        <w:rPr>
          <w:color w:val="000000" w:themeColor="text1"/>
        </w:rPr>
      </w:pPr>
      <w:r w:rsidRPr="00B95E28">
        <w:rPr>
          <w:color w:val="000000" w:themeColor="text1"/>
        </w:rPr>
        <w:t>Organizational learning represents a critical mechanism through which firms improve their performance over time, particularly in complex and repetitive activities such as mergers and acquisitions. Within the literature, learning is frequently positioned as the process by which organizations accumulate experience, develop knowledge, and refine their approaches to strategic and operational challenges (Zollo &amp; Winter, 2002; Eisenhardt &amp; Martin, 2000). In the context of M&amp;A, where organizations are required to execute integration activities across multiple transactions, the ability to learn from prior experience becomes a key determinant of sustained performance.</w:t>
      </w:r>
    </w:p>
    <w:p w14:paraId="49F15FF0" w14:textId="77777777" w:rsidR="00F20EB7" w:rsidRPr="00B95E28" w:rsidRDefault="00F20EB7" w:rsidP="00F20EB7">
      <w:pPr>
        <w:rPr>
          <w:color w:val="000000" w:themeColor="text1"/>
        </w:rPr>
      </w:pPr>
    </w:p>
    <w:p w14:paraId="6C2F6346" w14:textId="16AB6FEC" w:rsidR="004604AB" w:rsidRPr="00B95E28" w:rsidRDefault="004604AB" w:rsidP="00557AB7">
      <w:pPr>
        <w:spacing w:line="480" w:lineRule="auto"/>
        <w:rPr>
          <w:color w:val="000000" w:themeColor="text1"/>
        </w:rPr>
      </w:pPr>
      <w:r w:rsidRPr="00B95E28">
        <w:rPr>
          <w:color w:val="000000" w:themeColor="text1"/>
        </w:rPr>
        <w:t xml:space="preserve">A foundational perspective on organizational learning is provided by dynamic capabilities theory, which emphasizes the role of organizational processes in integrating, building, and reconfiguring internal and external competencies over time (Teece, 2007; Eisenhardt &amp; Martin, </w:t>
      </w:r>
      <w:r w:rsidRPr="00B95E28">
        <w:rPr>
          <w:color w:val="000000" w:themeColor="text1"/>
        </w:rPr>
        <w:lastRenderedPageBreak/>
        <w:t>2000).   While dynamic capabilities theory provides a useful lens for understanding organizational adaptation, its application to M&amp;A integration remains relatively abstract. The theory outlines the processes through which organizations sense, seize, and transform opportunities, but offers limited guidance on how these processes are operationalized within specific domains such as post-merger integration.</w:t>
      </w:r>
    </w:p>
    <w:p w14:paraId="7006F938" w14:textId="77777777" w:rsidR="00F20EB7" w:rsidRPr="00B95E28" w:rsidRDefault="00F20EB7" w:rsidP="00F20EB7">
      <w:pPr>
        <w:rPr>
          <w:color w:val="000000" w:themeColor="text1"/>
        </w:rPr>
      </w:pPr>
    </w:p>
    <w:p w14:paraId="71007694" w14:textId="53BC0B36" w:rsidR="004604AB" w:rsidRPr="00B95E28" w:rsidRDefault="004604AB" w:rsidP="00557AB7">
      <w:pPr>
        <w:spacing w:line="480" w:lineRule="auto"/>
        <w:rPr>
          <w:color w:val="000000" w:themeColor="text1"/>
        </w:rPr>
      </w:pPr>
      <w:r w:rsidRPr="00B95E28">
        <w:rPr>
          <w:color w:val="000000" w:themeColor="text1"/>
        </w:rPr>
        <w:t>In particular, the theory does not fully address the mechanisms through which learning is embedded into organizational routines in a way that enables repeatability. While firms may develop the ability to adapt to changing conditions, the extent to which this adaptation results in consistent performance across repeated acquisitions remains unclear (Eisenhardt &amp; Martin, 2000).</w:t>
      </w:r>
    </w:p>
    <w:p w14:paraId="1A10C54D" w14:textId="77777777" w:rsidR="00F20EB7" w:rsidRPr="00B95E28" w:rsidRDefault="00F20EB7" w:rsidP="00F20EB7">
      <w:pPr>
        <w:rPr>
          <w:color w:val="000000" w:themeColor="text1"/>
        </w:rPr>
      </w:pPr>
    </w:p>
    <w:p w14:paraId="39D1F93D" w14:textId="3C9ACF55" w:rsidR="004604AB" w:rsidRPr="00B95E28" w:rsidRDefault="004604AB" w:rsidP="00557AB7">
      <w:pPr>
        <w:spacing w:line="480" w:lineRule="auto"/>
        <w:rPr>
          <w:color w:val="000000" w:themeColor="text1"/>
        </w:rPr>
      </w:pPr>
      <w:r w:rsidRPr="00B95E28">
        <w:rPr>
          <w:color w:val="000000" w:themeColor="text1"/>
        </w:rPr>
        <w:t>This limitation is especially relevant in the context of serial acquirers, where the expectation of improved performance is based on accumulated experience. However, as previously discussed, experience alone does not guarantee improved outcomes. The effectiveness of learning depends on how it is structured, transferred, and applied across transactions.</w:t>
      </w:r>
    </w:p>
    <w:p w14:paraId="7BFD10B3" w14:textId="77777777" w:rsidR="00F20EB7" w:rsidRPr="00B95E28" w:rsidRDefault="00F20EB7" w:rsidP="00F20EB7">
      <w:pPr>
        <w:rPr>
          <w:color w:val="000000" w:themeColor="text1"/>
        </w:rPr>
      </w:pPr>
    </w:p>
    <w:p w14:paraId="18BB1CDC" w14:textId="4F20E43D" w:rsidR="00F20EB7" w:rsidRPr="00B95E28" w:rsidRDefault="004604AB" w:rsidP="00F20EB7">
      <w:pPr>
        <w:spacing w:line="480" w:lineRule="auto"/>
        <w:rPr>
          <w:color w:val="000000" w:themeColor="text1"/>
        </w:rPr>
      </w:pPr>
      <w:r w:rsidRPr="00B95E28">
        <w:rPr>
          <w:color w:val="000000" w:themeColor="text1"/>
        </w:rPr>
        <w:t>A further limitation lies in the distinction between individual and organizational learning. Much of the learning that occurs during integration is held at the individual level, embedded within the experiences of managers and integration teams. Without mechanisms to capture and transfer this knowledge, organizations risk losing valuable insights when individuals leave or when teams are restructured.</w:t>
      </w:r>
    </w:p>
    <w:p w14:paraId="3D54DF9C" w14:textId="77777777" w:rsidR="00F20EB7" w:rsidRPr="00B95E28" w:rsidRDefault="00F20EB7" w:rsidP="00F20EB7">
      <w:pPr>
        <w:rPr>
          <w:color w:val="000000" w:themeColor="text1"/>
        </w:rPr>
      </w:pPr>
    </w:p>
    <w:p w14:paraId="63DD81CC" w14:textId="5C89AA9A" w:rsidR="004604AB" w:rsidRPr="00B95E28" w:rsidRDefault="004604AB" w:rsidP="00557AB7">
      <w:pPr>
        <w:spacing w:line="480" w:lineRule="auto"/>
        <w:rPr>
          <w:color w:val="000000" w:themeColor="text1"/>
        </w:rPr>
      </w:pPr>
      <w:r w:rsidRPr="00B95E28">
        <w:rPr>
          <w:color w:val="000000" w:themeColor="text1"/>
        </w:rPr>
        <w:lastRenderedPageBreak/>
        <w:t xml:space="preserve">This reinforces the importance of knowledge codification and institutionalization in transforming learning into capability. Codification enables knowledge to be embedded within processes, tools, and governance structures, making it accessible and reusable across transactions. </w:t>
      </w:r>
    </w:p>
    <w:p w14:paraId="05E19381" w14:textId="77777777" w:rsidR="00F20EB7" w:rsidRPr="00B95E28" w:rsidRDefault="00F20EB7" w:rsidP="00557AB7">
      <w:pPr>
        <w:spacing w:line="480" w:lineRule="auto"/>
        <w:rPr>
          <w:color w:val="000000" w:themeColor="text1"/>
        </w:rPr>
      </w:pPr>
    </w:p>
    <w:p w14:paraId="43C94EA5" w14:textId="153DFB62" w:rsidR="004604AB" w:rsidRPr="00B95E28" w:rsidRDefault="004604AB" w:rsidP="00557AB7">
      <w:pPr>
        <w:spacing w:line="480" w:lineRule="auto"/>
        <w:rPr>
          <w:color w:val="000000" w:themeColor="text1"/>
        </w:rPr>
      </w:pPr>
      <w:r w:rsidRPr="00B95E28">
        <w:rPr>
          <w:color w:val="000000" w:themeColor="text1"/>
        </w:rPr>
        <w:t>As a result, effective learning in M&amp;A requires a balance between standardization and adaptability. Organizations must develop structures that enable the capture and reuse of knowledge, while retaining the flexibility to respond to context-specific challenges. This balance is central to the development of integration capability and remains insufficiently explored within the existing literature.</w:t>
      </w:r>
    </w:p>
    <w:p w14:paraId="0CEEDE81" w14:textId="77777777" w:rsidR="00F20EB7" w:rsidRPr="00B95E28" w:rsidRDefault="00F20EB7" w:rsidP="00557AB7">
      <w:pPr>
        <w:spacing w:line="480" w:lineRule="auto"/>
        <w:rPr>
          <w:color w:val="000000" w:themeColor="text1"/>
        </w:rPr>
      </w:pPr>
    </w:p>
    <w:p w14:paraId="1CDADA1F" w14:textId="39E4787B" w:rsidR="004604AB" w:rsidRPr="00B95E28" w:rsidRDefault="004604AB" w:rsidP="00557AB7">
      <w:pPr>
        <w:spacing w:line="480" w:lineRule="auto"/>
        <w:rPr>
          <w:color w:val="000000" w:themeColor="text1"/>
        </w:rPr>
      </w:pPr>
      <w:r w:rsidRPr="00B95E28">
        <w:rPr>
          <w:color w:val="000000" w:themeColor="text1"/>
        </w:rPr>
        <w:t>From this perspective, capabilities are not static assets but evolve through repeated execution and adaptation (Teece, Pisano &amp; Shuen, 1997; Teece, 2007). Applied to M&amp;A, this indicates that integration effectiveness should improve as organizations accumulate experience and develop routines for managing integration activities.</w:t>
      </w:r>
    </w:p>
    <w:p w14:paraId="59B29909" w14:textId="77777777" w:rsidR="00F20EB7" w:rsidRPr="00B95E28" w:rsidRDefault="00F20EB7" w:rsidP="00557AB7">
      <w:pPr>
        <w:spacing w:line="480" w:lineRule="auto"/>
        <w:rPr>
          <w:color w:val="000000" w:themeColor="text1"/>
        </w:rPr>
      </w:pPr>
    </w:p>
    <w:p w14:paraId="12EEAA5C" w14:textId="42DAA9D8" w:rsidR="004604AB" w:rsidRPr="00B95E28" w:rsidRDefault="004604AB" w:rsidP="00557AB7">
      <w:pPr>
        <w:spacing w:line="480" w:lineRule="auto"/>
        <w:rPr>
          <w:color w:val="000000" w:themeColor="text1"/>
        </w:rPr>
      </w:pPr>
      <w:r w:rsidRPr="00B95E28">
        <w:rPr>
          <w:color w:val="000000" w:themeColor="text1"/>
        </w:rPr>
        <w:t xml:space="preserve">Zollo and Winter (2002) provide a more specific framework for understanding how organizations develop capabilities through learning. They identify three primary learning mechanisms: experience accumulation, knowledge articulation, and knowledge codification. Experience accumulation refers to the learning that occurs through repeated execution of tasks, while knowledge articulation involves the reflection and discussion of experiences to generate insights. Knowledge codification, in turn, involves the formal documentation and standardization of these insights into processes, tools, and frameworks that can be applied in future situations. </w:t>
      </w:r>
      <w:r w:rsidRPr="00B95E28">
        <w:rPr>
          <w:color w:val="000000" w:themeColor="text1"/>
        </w:rPr>
        <w:lastRenderedPageBreak/>
        <w:t>Together, these mechanisms enable organizations to move from ad hoc execution toward more structured and repeatable approaches.</w:t>
      </w:r>
    </w:p>
    <w:p w14:paraId="7C78CF21" w14:textId="77777777" w:rsidR="00F20EB7" w:rsidRPr="00B95E28" w:rsidRDefault="00F20EB7" w:rsidP="00F20EB7">
      <w:pPr>
        <w:rPr>
          <w:color w:val="000000" w:themeColor="text1"/>
        </w:rPr>
      </w:pPr>
    </w:p>
    <w:p w14:paraId="690A4FC1" w14:textId="33A5D8BE" w:rsidR="004604AB" w:rsidRPr="00B95E28" w:rsidRDefault="004604AB" w:rsidP="00557AB7">
      <w:pPr>
        <w:spacing w:line="480" w:lineRule="auto"/>
        <w:rPr>
          <w:color w:val="000000" w:themeColor="text1"/>
        </w:rPr>
      </w:pPr>
      <w:r w:rsidRPr="00B95E28">
        <w:rPr>
          <w:color w:val="000000" w:themeColor="text1"/>
        </w:rPr>
        <w:t>These mechanisms provide a foundation for understanding how integration capability may develop across repeated acquisitions.</w:t>
      </w:r>
    </w:p>
    <w:p w14:paraId="7801913C" w14:textId="77777777" w:rsidR="00F20EB7" w:rsidRPr="00B95E28" w:rsidRDefault="00F20EB7" w:rsidP="00F20EB7">
      <w:pPr>
        <w:rPr>
          <w:color w:val="000000" w:themeColor="text1"/>
        </w:rPr>
      </w:pPr>
    </w:p>
    <w:p w14:paraId="4BA29221" w14:textId="41AF2A96" w:rsidR="004604AB" w:rsidRPr="00B95E28" w:rsidRDefault="004604AB" w:rsidP="00557AB7">
      <w:pPr>
        <w:spacing w:line="480" w:lineRule="auto"/>
        <w:rPr>
          <w:color w:val="000000" w:themeColor="text1"/>
        </w:rPr>
      </w:pPr>
      <w:r w:rsidRPr="00B95E28">
        <w:rPr>
          <w:color w:val="000000" w:themeColor="text1"/>
        </w:rPr>
        <w:t>However, the extent to which organizations effectively capture and apply this learning varies significantly in practice. While some organizations actively invest in learning mechanisms, others rely primarily on tacit knowledge held by individuals. In such cases, learning remains informal and difficult to transfer, limiting its impact on future transactions. The absence of structured mechanisms for capturing and codifying lessons learned can result in the repetition of mistakes and missed opportunities for improvement (Zollo &amp; Winter, 2002; Eisenhardt &amp; Martin, 2000). This limitation is also evident in practice, where organizations rarely formalize post-acquisition learning processes, relying instead on tacit knowledge that is not consistently transferred across transactions (M&amp;A practitioner interview, 2026).</w:t>
      </w:r>
    </w:p>
    <w:p w14:paraId="42C73632" w14:textId="77777777" w:rsidR="00F20EB7" w:rsidRPr="00B95E28" w:rsidRDefault="00F20EB7" w:rsidP="00F20EB7">
      <w:pPr>
        <w:rPr>
          <w:color w:val="000000" w:themeColor="text1"/>
        </w:rPr>
      </w:pPr>
    </w:p>
    <w:p w14:paraId="36CCCEDC" w14:textId="6F2D9558" w:rsidR="004604AB" w:rsidRPr="00B95E28" w:rsidRDefault="004604AB" w:rsidP="00557AB7">
      <w:pPr>
        <w:spacing w:line="480" w:lineRule="auto"/>
        <w:rPr>
          <w:color w:val="000000" w:themeColor="text1"/>
        </w:rPr>
      </w:pPr>
      <w:r w:rsidRPr="00B95E28">
        <w:rPr>
          <w:color w:val="000000" w:themeColor="text1"/>
        </w:rPr>
        <w:t>A further challenge lies in the translation of learning into consistent performance. While experience can enhance understanding, it does not automatically lead to improved outcomes. The effectiveness of learning depends on the organization’s ability to integrate insights into its processes, structures, and decision-making frameworks. Without this integration, learning remains isolated and does not contribute to the development of organizational capability (Teece, 2007; Eisenhardt &amp; Martin, 2000).</w:t>
      </w:r>
    </w:p>
    <w:p w14:paraId="35113E56" w14:textId="77777777" w:rsidR="00F20EB7" w:rsidRPr="00B95E28" w:rsidRDefault="00F20EB7" w:rsidP="00F20EB7">
      <w:pPr>
        <w:rPr>
          <w:color w:val="000000" w:themeColor="text1"/>
        </w:rPr>
      </w:pPr>
    </w:p>
    <w:p w14:paraId="6A28A3B6" w14:textId="1B29FE66" w:rsidR="004604AB" w:rsidRPr="00B95E28" w:rsidRDefault="004604AB" w:rsidP="00557AB7">
      <w:pPr>
        <w:spacing w:line="480" w:lineRule="auto"/>
        <w:rPr>
          <w:color w:val="000000" w:themeColor="text1"/>
        </w:rPr>
      </w:pPr>
      <w:r w:rsidRPr="00B95E28">
        <w:rPr>
          <w:color w:val="000000" w:themeColor="text1"/>
        </w:rPr>
        <w:t xml:space="preserve">In addition, the nature of M&amp;A activity introduces complexities that can limit the effectiveness of learning. Each acquisition involves unique characteristics, including differences in industry, </w:t>
      </w:r>
      <w:r w:rsidRPr="00B95E28">
        <w:rPr>
          <w:color w:val="000000" w:themeColor="text1"/>
        </w:rPr>
        <w:lastRenderedPageBreak/>
        <w:t>organizational structure, culture, and systems. These variations can reduce the applicability of lessons learned from previous transactions, requiring organizations to adapt their approaches to each new context. As a result, learning in M&amp;A is not purely cumulative, but involves a balance between standardization and customization (Laamanen &amp; Keil, 2008; Eisenhardt &amp; Martin, 2000).</w:t>
      </w:r>
    </w:p>
    <w:p w14:paraId="4412BBA7" w14:textId="77777777" w:rsidR="00F20EB7" w:rsidRPr="00B95E28" w:rsidRDefault="00F20EB7" w:rsidP="00F20EB7">
      <w:pPr>
        <w:rPr>
          <w:color w:val="000000" w:themeColor="text1"/>
        </w:rPr>
      </w:pPr>
    </w:p>
    <w:p w14:paraId="341D7C7F" w14:textId="6F770549" w:rsidR="004604AB" w:rsidRPr="00B95E28" w:rsidRDefault="004604AB" w:rsidP="00557AB7">
      <w:pPr>
        <w:spacing w:line="480" w:lineRule="auto"/>
        <w:rPr>
          <w:color w:val="000000" w:themeColor="text1"/>
        </w:rPr>
      </w:pPr>
      <w:r w:rsidRPr="00B95E28">
        <w:rPr>
          <w:color w:val="000000" w:themeColor="text1"/>
        </w:rPr>
        <w:t>Despite these challenges, the literature suggests that organizations that actively engage in learning processes are better positioned to improve their integration performance over time. In more mature acquisition environments, integration is increasingly treated as an embedded organizational capability supported by governance structures, structured learning mechanisms, and repeatable tools, rather than as a one-time process (M&amp;A practitioner interview, 2026).</w:t>
      </w:r>
    </w:p>
    <w:p w14:paraId="1BE7AE28" w14:textId="77777777" w:rsidR="00F20EB7" w:rsidRPr="00B95E28" w:rsidRDefault="00F20EB7" w:rsidP="00F20EB7">
      <w:pPr>
        <w:rPr>
          <w:color w:val="000000" w:themeColor="text1"/>
        </w:rPr>
      </w:pPr>
    </w:p>
    <w:p w14:paraId="6A3DE5E2" w14:textId="1E9A2E1C" w:rsidR="004604AB" w:rsidRPr="00B95E28" w:rsidRDefault="004604AB" w:rsidP="00557AB7">
      <w:pPr>
        <w:spacing w:line="480" w:lineRule="auto"/>
        <w:rPr>
          <w:color w:val="000000" w:themeColor="text1"/>
        </w:rPr>
      </w:pPr>
      <w:r w:rsidRPr="00B95E28">
        <w:rPr>
          <w:color w:val="000000" w:themeColor="text1"/>
        </w:rPr>
        <w:t>Serial acquirers, in particular, have been observed to develop more sophisticated integration capabilities through repeated experience, enabling them to manage complexity more effectively and achieve more consistent outcomes (Laamanen &amp; Keil, 2008; Zollo &amp; Winter, 2002). These organizations are more likely to invest in dedicated integration resources, formalized processes, and knowledge-sharing mechanisms, all of which support the development of capability.</w:t>
      </w:r>
    </w:p>
    <w:p w14:paraId="63A8EF75" w14:textId="77777777" w:rsidR="004604AB" w:rsidRPr="00B95E28" w:rsidRDefault="004604AB" w:rsidP="00557AB7">
      <w:pPr>
        <w:spacing w:line="480" w:lineRule="auto"/>
        <w:rPr>
          <w:color w:val="000000" w:themeColor="text1"/>
        </w:rPr>
      </w:pPr>
      <w:r w:rsidRPr="00B95E28">
        <w:rPr>
          <w:color w:val="000000" w:themeColor="text1"/>
        </w:rPr>
        <w:t>However, existing research has largely focused on the presence of learning mechanisms rather than on how these mechanisms translate into repeatable integration capability. While studies acknowledge the importance of experience, playbooks, and knowledge codification, they provide limited insight into how these elements are integrated into a cohesive system that enables consistent execution across transactions. This reflects a broader limitation within the literature, where learning is recognized as important, but its role in enabling repeatability is not fully developed.</w:t>
      </w:r>
    </w:p>
    <w:p w14:paraId="65F766B8" w14:textId="77777777" w:rsidR="004604AB" w:rsidRPr="00B95E28" w:rsidRDefault="004604AB" w:rsidP="00557AB7">
      <w:pPr>
        <w:spacing w:line="480" w:lineRule="auto"/>
        <w:rPr>
          <w:color w:val="000000" w:themeColor="text1"/>
        </w:rPr>
      </w:pPr>
      <w:r w:rsidRPr="00B95E28">
        <w:rPr>
          <w:color w:val="000000" w:themeColor="text1"/>
        </w:rPr>
        <w:lastRenderedPageBreak/>
        <w:t>This gap highlights the need to move beyond viewing learning as a supporting factor in integration and toward understanding it as a central component of capability development. In the context of acquisition-driven growth strategies, the ability to systematically capture, refine, and apply knowledge across transactions becomes essential to achieving consistent performance. As such, organizational learning should be understood not only as a process, but as a foundational mechanism through which integration capability is developed and sustained over time.</w:t>
      </w:r>
    </w:p>
    <w:p w14:paraId="442A5B96" w14:textId="3A29859B" w:rsidR="004604AB" w:rsidRPr="00B95E28" w:rsidRDefault="004604AB" w:rsidP="00557AB7">
      <w:pPr>
        <w:spacing w:line="480" w:lineRule="auto"/>
        <w:rPr>
          <w:color w:val="000000" w:themeColor="text1"/>
        </w:rPr>
      </w:pPr>
      <w:r w:rsidRPr="00B95E28">
        <w:rPr>
          <w:color w:val="000000" w:themeColor="text1"/>
        </w:rPr>
        <w:t>Together, these perspectives shift the understanding of integration from a discrete execution process to a capability that evolves through structured learning and repeated application across acquisitions.</w:t>
      </w:r>
    </w:p>
    <w:p w14:paraId="55D0E804" w14:textId="77777777" w:rsidR="00F20EB7" w:rsidRPr="00B95E28" w:rsidRDefault="00F20EB7" w:rsidP="00F20EB7">
      <w:pPr>
        <w:rPr>
          <w:color w:val="000000" w:themeColor="text1"/>
        </w:rPr>
      </w:pPr>
    </w:p>
    <w:p w14:paraId="280851F3" w14:textId="44178833" w:rsidR="004604AB" w:rsidRPr="00B95E28" w:rsidRDefault="004604AB" w:rsidP="00557AB7">
      <w:pPr>
        <w:spacing w:line="480" w:lineRule="auto"/>
        <w:rPr>
          <w:color w:val="000000" w:themeColor="text1"/>
        </w:rPr>
      </w:pPr>
      <w:r w:rsidRPr="00B95E28">
        <w:rPr>
          <w:color w:val="000000" w:themeColor="text1"/>
        </w:rPr>
        <w:t>In this context, it is important to distinguish between integration as a process and integration as a capability. A process refers to a defined set of activities or steps that can be applied to a given transaction, often supported by frameworks, tools, and best practices. In contrast, a capability reflects the organization’s ability to consistently and effectively execute these activities across varying contexts over time. This extends beyond the presence of processes to include the integration of knowledge, experience, organizational structures, and learning mechanisms that enable repeatability. Unlike maturity models or best practice adoption, which focus on the existence of predefined approaches, capability emphasizes the organization’s ability to adapt, refine, and apply these approaches dynamically across transactions.</w:t>
      </w:r>
    </w:p>
    <w:p w14:paraId="7EEAEFFF" w14:textId="77777777" w:rsidR="00F20EB7" w:rsidRPr="00B95E28" w:rsidRDefault="00F20EB7" w:rsidP="00F20EB7">
      <w:pPr>
        <w:rPr>
          <w:color w:val="000000" w:themeColor="text1"/>
        </w:rPr>
      </w:pPr>
    </w:p>
    <w:p w14:paraId="623CA38D" w14:textId="102BE488" w:rsidR="004604AB" w:rsidRPr="00B95E28" w:rsidRDefault="004604AB" w:rsidP="00557AB7">
      <w:pPr>
        <w:spacing w:line="480" w:lineRule="auto"/>
        <w:rPr>
          <w:color w:val="000000" w:themeColor="text1"/>
        </w:rPr>
      </w:pPr>
      <w:r w:rsidRPr="00B95E28">
        <w:rPr>
          <w:color w:val="000000" w:themeColor="text1"/>
        </w:rPr>
        <w:t xml:space="preserve">This limitation becomes more pronounced when examined through the lens of organizational learning, suggesting a disconnect between what is known in the literature and what is achieved in practice. To synthesize the limitations identified across governance, planning, execution, technology integration, and organizational learning, Table 2.1 presents a consolidated view of </w:t>
      </w:r>
      <w:r w:rsidRPr="00B95E28">
        <w:rPr>
          <w:color w:val="000000" w:themeColor="text1"/>
        </w:rPr>
        <w:lastRenderedPageBreak/>
        <w:t>the integration capability gap observed in the literature. This summary highlights the disconnect between the availability of integration knowledge and the consistency of integration outcomes, reinforcing the need for a capability-based perspective.</w:t>
      </w:r>
    </w:p>
    <w:p w14:paraId="395BFAD5" w14:textId="77777777" w:rsidR="00F20EB7" w:rsidRPr="00B95E28" w:rsidRDefault="00F20EB7" w:rsidP="00F20EB7">
      <w:pPr>
        <w:rPr>
          <w:color w:val="000000" w:themeColor="text1"/>
        </w:rPr>
      </w:pPr>
    </w:p>
    <w:p w14:paraId="4B5B54FA" w14:textId="671C0796" w:rsidR="004604AB" w:rsidRPr="00B95E28" w:rsidRDefault="004604AB" w:rsidP="00557AB7">
      <w:pPr>
        <w:spacing w:line="480" w:lineRule="auto"/>
        <w:rPr>
          <w:color w:val="000000" w:themeColor="text1"/>
        </w:rPr>
      </w:pPr>
      <w:r w:rsidRPr="00B95E28">
        <w:rPr>
          <w:color w:val="000000" w:themeColor="text1"/>
        </w:rPr>
        <w:t>A key limitation across learning-based models is their implicit assumption that experience naturally translates into capability. While repeated acquisition activity may generate insights, the literature provides limited guidance on how organizations convert these insights into structured, reusable processes. In practice, firms often accumulate experiential knowledge without formal mechanisms to capture, standardize, and redeploy it across subsequent transactions. As a result, learning remains episodic rather than institutionalized, leading to variability in integration outcomes even among experienced acquirers.</w:t>
      </w:r>
    </w:p>
    <w:p w14:paraId="478AC5A1" w14:textId="77777777" w:rsidR="00F20EB7" w:rsidRPr="00B95E28" w:rsidRDefault="00F20EB7" w:rsidP="00F20EB7">
      <w:pPr>
        <w:rPr>
          <w:color w:val="000000" w:themeColor="text1"/>
        </w:rPr>
      </w:pPr>
    </w:p>
    <w:p w14:paraId="09D7E539" w14:textId="0D8BCED7" w:rsidR="004604AB" w:rsidRPr="00B95E28" w:rsidRDefault="004604AB" w:rsidP="00557AB7">
      <w:pPr>
        <w:spacing w:line="480" w:lineRule="auto"/>
        <w:rPr>
          <w:color w:val="000000" w:themeColor="text1"/>
        </w:rPr>
      </w:pPr>
      <w:r w:rsidRPr="00B95E28">
        <w:rPr>
          <w:color w:val="000000" w:themeColor="text1"/>
        </w:rPr>
        <w:t>Furthermore, existing models tend to underemphasize the temporal dimension of learning within the acquisition lifecycle. Learning is frequently treated as a post-integration activity, occurring after the completion of integration efforts. This overlooks the role that prior learning plays in shaping earlier phases, particularly acquisition readiness and pre-close planning. Without mechanisms to feed insights forward into future transactions, organizations risk repeating avoidable mistakes, effectively resetting their integration approach with each deal.</w:t>
      </w:r>
    </w:p>
    <w:p w14:paraId="53E73EC1" w14:textId="77777777" w:rsidR="00F20EB7" w:rsidRPr="00B95E28" w:rsidRDefault="00F20EB7" w:rsidP="00F20EB7">
      <w:pPr>
        <w:rPr>
          <w:color w:val="000000" w:themeColor="text1"/>
        </w:rPr>
      </w:pPr>
    </w:p>
    <w:p w14:paraId="3A816C7C" w14:textId="24AE75BB" w:rsidR="004604AB" w:rsidRPr="00B95E28" w:rsidRDefault="004604AB" w:rsidP="00557AB7">
      <w:pPr>
        <w:spacing w:line="480" w:lineRule="auto"/>
        <w:rPr>
          <w:color w:val="000000" w:themeColor="text1"/>
        </w:rPr>
      </w:pPr>
      <w:r w:rsidRPr="00B95E28">
        <w:rPr>
          <w:color w:val="000000" w:themeColor="text1"/>
        </w:rPr>
        <w:t>Another limitation lies in the lack of integration between learning processes and other dimensions of integration management, such as governance, planning, and execution. The literature often treats learning as a parallel capability rather than an embedded component of the integration system. This fragmentation limits its practical applicability, as improvements in learning do not necessarily translate into improvements in execution unless they are directly linked to decision-making structures, planning frameworks, and operational processes.</w:t>
      </w:r>
    </w:p>
    <w:p w14:paraId="122BB468" w14:textId="77777777" w:rsidR="004604AB" w:rsidRPr="00B95E28" w:rsidRDefault="004604AB" w:rsidP="00557AB7">
      <w:pPr>
        <w:spacing w:line="480" w:lineRule="auto"/>
        <w:rPr>
          <w:color w:val="000000" w:themeColor="text1"/>
        </w:rPr>
      </w:pPr>
      <w:r w:rsidRPr="00B95E28">
        <w:rPr>
          <w:color w:val="000000" w:themeColor="text1"/>
        </w:rPr>
        <w:lastRenderedPageBreak/>
        <w:t>Taken together, these limitations suggest that while learning is recognized as a critical driver of integration capability, it remains insufficiently theorized as a system-level construct. There is a need to move beyond viewing learning as an outcome of repeated acquisitions toward understanding it as an integrated and continuous component of the acquisition lifecycle. This shift requires a more holistic perspective that connects learning to governance, planning, and execution, and that emphasizes the mechanisms through which knowledge is embedded, transferred, and activated across transactions.</w:t>
      </w:r>
    </w:p>
    <w:p w14:paraId="3F57B5DC" w14:textId="77777777" w:rsidR="00F20EB7" w:rsidRPr="00B95E28" w:rsidRDefault="00F20EB7" w:rsidP="00F20EB7">
      <w:pPr>
        <w:rPr>
          <w:color w:val="000000" w:themeColor="text1"/>
        </w:rPr>
      </w:pPr>
    </w:p>
    <w:p w14:paraId="31B4A7B7" w14:textId="18FD0FE6" w:rsidR="004604AB" w:rsidRPr="00B95E28" w:rsidRDefault="004604AB" w:rsidP="00557AB7">
      <w:pPr>
        <w:spacing w:line="480" w:lineRule="auto"/>
        <w:rPr>
          <w:color w:val="000000" w:themeColor="text1"/>
        </w:rPr>
      </w:pPr>
      <w:r w:rsidRPr="00B95E28">
        <w:rPr>
          <w:color w:val="000000" w:themeColor="text1"/>
        </w:rPr>
        <w:t>Taken together, the preceding sections reveal a consistent pattern across the literature. While governance, planning, execution, technology integration, and learning are each recognized as important dimensions of post-merger integration, they are largely examined in isolation. This fragmented perspective limits the ability to understand how these elements interact to influence integration outcomes.</w:t>
      </w:r>
    </w:p>
    <w:p w14:paraId="48B6D08E" w14:textId="77777777" w:rsidR="00F20EB7" w:rsidRPr="00B95E28" w:rsidRDefault="00F20EB7" w:rsidP="00F20EB7">
      <w:pPr>
        <w:rPr>
          <w:color w:val="000000" w:themeColor="text1"/>
        </w:rPr>
      </w:pPr>
    </w:p>
    <w:p w14:paraId="7A92D837" w14:textId="21CCCBE5" w:rsidR="004604AB" w:rsidRPr="00B95E28" w:rsidRDefault="004604AB" w:rsidP="00557AB7">
      <w:pPr>
        <w:spacing w:line="480" w:lineRule="auto"/>
        <w:rPr>
          <w:color w:val="000000" w:themeColor="text1"/>
        </w:rPr>
      </w:pPr>
      <w:r w:rsidRPr="00B95E28">
        <w:rPr>
          <w:color w:val="000000" w:themeColor="text1"/>
        </w:rPr>
        <w:t>In practice, these dimensions are highly interdependent. Governance structures shape decision-making during planning and execution, planning determines the coordination of execution activities, and learning influences how these processes evolve over time. Technology integration, in turn, affects both execution and organizational alignment, further reinforcing these interdependencies.</w:t>
      </w:r>
    </w:p>
    <w:p w14:paraId="799541E2" w14:textId="77777777" w:rsidR="00F20EB7" w:rsidRPr="00B95E28" w:rsidRDefault="00F20EB7" w:rsidP="00F20EB7">
      <w:pPr>
        <w:rPr>
          <w:color w:val="000000" w:themeColor="text1"/>
        </w:rPr>
      </w:pPr>
    </w:p>
    <w:p w14:paraId="6E7DB3C8" w14:textId="0B37DFE6" w:rsidR="004604AB" w:rsidRPr="00B95E28" w:rsidRDefault="004604AB" w:rsidP="00557AB7">
      <w:pPr>
        <w:spacing w:line="480" w:lineRule="auto"/>
        <w:rPr>
          <w:color w:val="000000" w:themeColor="text1"/>
        </w:rPr>
      </w:pPr>
      <w:r w:rsidRPr="00B95E28">
        <w:rPr>
          <w:color w:val="000000" w:themeColor="text1"/>
        </w:rPr>
        <w:t>Despite this, the literature does not provide a cohesive framework for understanding how these elements function as an integrated system. Instead, research tends to focus on individual components, resulting in a partial and fragmented understanding of integration performance. This limitation contributes to the persistent variability in outcomes observed across organizations, even when similar processes and frameworks are applied.</w:t>
      </w:r>
    </w:p>
    <w:p w14:paraId="6766FEF5" w14:textId="77777777" w:rsidR="004604AB" w:rsidRPr="00B95E28" w:rsidRDefault="004604AB" w:rsidP="00557AB7">
      <w:pPr>
        <w:spacing w:line="480" w:lineRule="auto"/>
        <w:rPr>
          <w:color w:val="000000" w:themeColor="text1"/>
        </w:rPr>
      </w:pPr>
      <w:r w:rsidRPr="00B95E28">
        <w:rPr>
          <w:color w:val="000000" w:themeColor="text1"/>
        </w:rPr>
        <w:lastRenderedPageBreak/>
        <w:t>A more comprehensive perspective requires viewing integration not as a sequence of discrete activities, but as a system-level capability that emerges from the interaction of multiple organizational dimensions. This perspective shifts the focus from identifying best practices within individual domains to understanding how organizations coordinate and align these domains to achieve consistent outcomes.</w:t>
      </w:r>
    </w:p>
    <w:p w14:paraId="11B89C63" w14:textId="77777777" w:rsidR="00F20EB7" w:rsidRPr="00B95E28" w:rsidRDefault="00F20EB7" w:rsidP="00F20EB7">
      <w:pPr>
        <w:rPr>
          <w:color w:val="000000" w:themeColor="text1"/>
        </w:rPr>
      </w:pPr>
    </w:p>
    <w:p w14:paraId="754FEE38" w14:textId="109DD31C" w:rsidR="004604AB" w:rsidRPr="00B95E28" w:rsidRDefault="004604AB" w:rsidP="00557AB7">
      <w:pPr>
        <w:spacing w:line="480" w:lineRule="auto"/>
        <w:rPr>
          <w:color w:val="000000" w:themeColor="text1"/>
        </w:rPr>
      </w:pPr>
      <w:r w:rsidRPr="00B95E28">
        <w:rPr>
          <w:color w:val="000000" w:themeColor="text1"/>
        </w:rPr>
        <w:t>This system-level perspective highlights that integration outcomes are not determined by isolated activities, but by the interaction of governance, planning, execution, technology, and learning mechanisms. It is this interaction, rather than any single dimension, that ultimately shapes the organization’s ability to deliver consistent integration outcomes across transactions.</w:t>
      </w:r>
    </w:p>
    <w:p w14:paraId="2A77A759" w14:textId="77777777" w:rsidR="00F20EB7" w:rsidRPr="00B95E28" w:rsidRDefault="00F20EB7" w:rsidP="00F20EB7">
      <w:pPr>
        <w:rPr>
          <w:color w:val="000000" w:themeColor="text1"/>
        </w:rPr>
      </w:pPr>
    </w:p>
    <w:p w14:paraId="1672C5CB" w14:textId="27CE253F" w:rsidR="004604AB" w:rsidRPr="00B95E28" w:rsidRDefault="004604AB" w:rsidP="00557AB7">
      <w:pPr>
        <w:spacing w:line="480" w:lineRule="auto"/>
        <w:rPr>
          <w:color w:val="000000" w:themeColor="text1"/>
        </w:rPr>
      </w:pPr>
      <w:r w:rsidRPr="00B95E28">
        <w:rPr>
          <w:color w:val="000000" w:themeColor="text1"/>
        </w:rPr>
        <w:t>Taken together, these limitations indicate that integration challenges are not isolated to individual domains, but reflect a broader inability to coordinate and sustain performance across the acquisition lifecycle.</w:t>
      </w:r>
    </w:p>
    <w:p w14:paraId="5C96C528" w14:textId="77777777" w:rsidR="00F20EB7" w:rsidRPr="00B95E28" w:rsidRDefault="00F20EB7" w:rsidP="00F20EB7">
      <w:pPr>
        <w:rPr>
          <w:color w:val="000000" w:themeColor="text1"/>
        </w:rPr>
      </w:pPr>
      <w:bookmarkStart w:id="79" w:name="_Toc230881437"/>
    </w:p>
    <w:p w14:paraId="4C1AC281" w14:textId="1443D4C7" w:rsidR="004604AB" w:rsidRPr="00B95E28" w:rsidRDefault="004604AB" w:rsidP="00557AB7">
      <w:pPr>
        <w:pStyle w:val="Heading2"/>
        <w:spacing w:before="0" w:after="0" w:line="480" w:lineRule="auto"/>
        <w:ind w:left="0" w:firstLine="0"/>
        <w:rPr>
          <w:color w:val="000000" w:themeColor="text1"/>
        </w:rPr>
      </w:pPr>
      <w:bookmarkStart w:id="80" w:name="_Toc232351837"/>
      <w:r w:rsidRPr="00B95E28">
        <w:rPr>
          <w:color w:val="000000" w:themeColor="text1"/>
        </w:rPr>
        <w:t>2.1</w:t>
      </w:r>
      <w:r w:rsidR="0063141E">
        <w:rPr>
          <w:color w:val="000000" w:themeColor="text1"/>
        </w:rPr>
        <w:t>3</w:t>
      </w:r>
      <w:r w:rsidRPr="00B95E28">
        <w:rPr>
          <w:color w:val="000000" w:themeColor="text1"/>
        </w:rPr>
        <w:t xml:space="preserve"> Research Gap</w:t>
      </w:r>
      <w:bookmarkEnd w:id="79"/>
      <w:bookmarkEnd w:id="80"/>
    </w:p>
    <w:p w14:paraId="39A4ACD3" w14:textId="77777777" w:rsidR="004604AB" w:rsidRPr="00B95E28" w:rsidRDefault="004604AB" w:rsidP="00557AB7">
      <w:pPr>
        <w:spacing w:line="480" w:lineRule="auto"/>
        <w:rPr>
          <w:color w:val="000000" w:themeColor="text1"/>
        </w:rPr>
      </w:pPr>
      <w:r w:rsidRPr="00B95E28">
        <w:rPr>
          <w:color w:val="000000" w:themeColor="text1"/>
        </w:rPr>
        <w:t>The existing body of literature on mergers and acquisitions has provided extensive insight into the strategic rationale, performance outcomes, and integration processes associated with acquisition activity. Prior research has established that post-merger integration represents the phase in which acquisition value is realized and has identified a range of factors that influence integration success, including governance structures, planning processes, execution discipline, technology integration, and human capital considerations (Haspeslagh &amp; Jemison, 1991; Kim &amp; Olsen, 1999).</w:t>
      </w:r>
    </w:p>
    <w:p w14:paraId="0C49F0EF" w14:textId="77777777" w:rsidR="00F20EB7" w:rsidRPr="00B95E28" w:rsidRDefault="00F20EB7" w:rsidP="00557AB7">
      <w:pPr>
        <w:spacing w:line="480" w:lineRule="auto"/>
        <w:rPr>
          <w:color w:val="000000" w:themeColor="text1"/>
        </w:rPr>
      </w:pPr>
    </w:p>
    <w:p w14:paraId="7D86EBF2" w14:textId="24347A70" w:rsidR="004604AB" w:rsidRPr="00B95E28" w:rsidRDefault="004604AB" w:rsidP="00557AB7">
      <w:pPr>
        <w:spacing w:line="480" w:lineRule="auto"/>
        <w:rPr>
          <w:color w:val="000000" w:themeColor="text1"/>
        </w:rPr>
      </w:pPr>
      <w:r w:rsidRPr="00B95E28">
        <w:rPr>
          <w:color w:val="000000" w:themeColor="text1"/>
        </w:rPr>
        <w:lastRenderedPageBreak/>
        <w:t>However, despite the depth and breadth of this research, a persistent gap remains in the ability of organizations to achieve consistent integration outcomes across multiple transactions. As demonstrated in the preceding sections, existing literature has largely approached integration as a process to be designed and executed at the level of individual transactions. While this process-oriented perspective has contributed valuable frameworks and best practices (Christensen et al., 2011), it has not fully explained the variability in integration performance observed across organizations and across repeated acquisitions (Cartwright &amp; Schoenberg, 2006; King et al., 2004).</w:t>
      </w:r>
    </w:p>
    <w:p w14:paraId="7BF25B1D" w14:textId="77777777" w:rsidR="00F20EB7" w:rsidRPr="00B95E28" w:rsidRDefault="00F20EB7" w:rsidP="00F20EB7">
      <w:pPr>
        <w:rPr>
          <w:color w:val="000000" w:themeColor="text1"/>
        </w:rPr>
      </w:pPr>
    </w:p>
    <w:p w14:paraId="3C16A630" w14:textId="0BACB6ED" w:rsidR="004604AB" w:rsidRPr="00B95E28" w:rsidRDefault="004604AB" w:rsidP="00557AB7">
      <w:pPr>
        <w:spacing w:line="480" w:lineRule="auto"/>
        <w:rPr>
          <w:color w:val="000000" w:themeColor="text1"/>
        </w:rPr>
      </w:pPr>
      <w:r w:rsidRPr="00B95E28">
        <w:rPr>
          <w:color w:val="000000" w:themeColor="text1"/>
        </w:rPr>
        <w:t>The analysis of integration governance, planning, execution, and technology integration reveals a common pattern. In each case, the literature provides guidance on how integration activities should be structured, yet outcomes remain inconsistent in practice. Governance frameworks may be established, but decision rights and accountability remain unclear. Planning processes may be defined, but are often initiated too late or lack sufficient depth. Execution frameworks may be in place, but are constrained by resource limitations, coordination challenges, and the need to adapt to evolving conditions. Similarly, technology integration is frequently approached as a technical task, despite its dependence on broader organizational alignment. These observations suggest that the presence of structured processes alone is insufficient to ensure integration success.</w:t>
      </w:r>
    </w:p>
    <w:p w14:paraId="02D79FC9" w14:textId="77777777" w:rsidR="00F20EB7" w:rsidRPr="00B95E28" w:rsidRDefault="00F20EB7" w:rsidP="00F20EB7">
      <w:pPr>
        <w:rPr>
          <w:color w:val="000000" w:themeColor="text1"/>
        </w:rPr>
      </w:pPr>
    </w:p>
    <w:p w14:paraId="4BF26244" w14:textId="34E651A9" w:rsidR="004604AB" w:rsidRPr="00B95E28" w:rsidRDefault="004604AB" w:rsidP="00557AB7">
      <w:pPr>
        <w:spacing w:line="480" w:lineRule="auto"/>
        <w:rPr>
          <w:color w:val="000000" w:themeColor="text1"/>
        </w:rPr>
      </w:pPr>
      <w:r w:rsidRPr="00B95E28">
        <w:rPr>
          <w:color w:val="000000" w:themeColor="text1"/>
        </w:rPr>
        <w:t xml:space="preserve">Organizational learning has been identified as a mechanism through which firms can improve their integration performance over time, particularly in the context of repeated acquisition activity (Zollo &amp; Winter, 2002; Eisenhardt &amp; Martin, 2000). However, existing research has primarily focused on the existence of learning mechanisms, such as experience accumulation and knowledge codification, rather than on how these mechanisms translate into consistent and </w:t>
      </w:r>
      <w:r w:rsidRPr="00B95E28">
        <w:rPr>
          <w:color w:val="000000" w:themeColor="text1"/>
        </w:rPr>
        <w:lastRenderedPageBreak/>
        <w:t>repeatable integration outcomes. While serial acquirers are often assumed to benefit from learning effects, the process through which learning is institutionalized and embedded into organizational practice remains insufficiently understood.</w:t>
      </w:r>
    </w:p>
    <w:p w14:paraId="63D14639" w14:textId="77777777" w:rsidR="00F20EB7" w:rsidRPr="00B95E28" w:rsidRDefault="00F20EB7" w:rsidP="00F20EB7">
      <w:pPr>
        <w:rPr>
          <w:color w:val="000000" w:themeColor="text1"/>
        </w:rPr>
      </w:pPr>
    </w:p>
    <w:p w14:paraId="2CB0BAF2" w14:textId="2829B9FF" w:rsidR="004604AB" w:rsidRPr="00B95E28" w:rsidRDefault="004604AB" w:rsidP="00557AB7">
      <w:pPr>
        <w:spacing w:line="480" w:lineRule="auto"/>
        <w:rPr>
          <w:color w:val="000000" w:themeColor="text1"/>
        </w:rPr>
      </w:pPr>
      <w:r w:rsidRPr="00B95E28">
        <w:rPr>
          <w:color w:val="000000" w:themeColor="text1"/>
        </w:rPr>
        <w:t>Taken together, these limitations point to a broader gap in the literature. While significant attention has been given to the design and execution of integration processes, there is limited understanding of how organizations develop the capability to execute integration consistently and effectively across multiple acquisitions. In particular, the literature does not adequately explain how governance structures, planning processes, execution practices, and learning mechanisms are integrated into a cohesive system that supports repeatable performance.</w:t>
      </w:r>
    </w:p>
    <w:p w14:paraId="19F69A83" w14:textId="77777777" w:rsidR="00F20EB7" w:rsidRPr="00B95E28" w:rsidRDefault="00F20EB7" w:rsidP="00F20EB7">
      <w:pPr>
        <w:rPr>
          <w:color w:val="000000" w:themeColor="text1"/>
        </w:rPr>
      </w:pPr>
    </w:p>
    <w:p w14:paraId="603DD70B" w14:textId="515DE3BD" w:rsidR="004604AB" w:rsidRPr="00B95E28" w:rsidRDefault="004604AB" w:rsidP="00557AB7">
      <w:pPr>
        <w:spacing w:line="480" w:lineRule="auto"/>
        <w:rPr>
          <w:color w:val="000000" w:themeColor="text1"/>
        </w:rPr>
      </w:pPr>
      <w:r w:rsidRPr="00B95E28">
        <w:rPr>
          <w:color w:val="000000" w:themeColor="text1"/>
        </w:rPr>
        <w:t>This gap is not due to an absence of literature on post-merger integration, but rather to the way the literature has developed across separate domains. Existing research provides substantial insight into integration planning, governance, execution, technology integration, human capital considerations, and organizational learning. However, comparatively limited attention has been given to the specific question of how these dimensions combine to create repeatable integration capability across successive acquisitions. As a result, the literature explains many of the components associated with effective integration but provides less explanation of how those components are connected, institutionalized, and refined over time. This limitation is particularly important for serial acquirers, where the central challenge is not only to execute one integration effectively, but to improve integration performance across transactions.</w:t>
      </w:r>
    </w:p>
    <w:p w14:paraId="6A194471" w14:textId="77777777" w:rsidR="00F20EB7" w:rsidRPr="00B95E28" w:rsidRDefault="00F20EB7" w:rsidP="00F20EB7">
      <w:pPr>
        <w:rPr>
          <w:color w:val="000000" w:themeColor="text1"/>
        </w:rPr>
      </w:pPr>
    </w:p>
    <w:p w14:paraId="1300B381" w14:textId="484A6BE0" w:rsidR="004604AB" w:rsidRPr="00B95E28" w:rsidRDefault="004604AB" w:rsidP="00557AB7">
      <w:pPr>
        <w:spacing w:line="480" w:lineRule="auto"/>
        <w:rPr>
          <w:b/>
          <w:bCs/>
          <w:color w:val="000000" w:themeColor="text1"/>
        </w:rPr>
      </w:pPr>
      <w:r w:rsidRPr="00B95E28">
        <w:rPr>
          <w:color w:val="000000" w:themeColor="text1"/>
        </w:rPr>
        <w:t xml:space="preserve">This research addresses this gap by identifying the mechanisms through which integration capability is developed and sustained over time, and by examining how the interaction of </w:t>
      </w:r>
      <w:r w:rsidRPr="00B95E28">
        <w:rPr>
          <w:color w:val="000000" w:themeColor="text1"/>
        </w:rPr>
        <w:lastRenderedPageBreak/>
        <w:t>governance, planning, execution, and organizational learning enables repeatable integration outcomes across successive acquisitions.</w:t>
      </w:r>
    </w:p>
    <w:p w14:paraId="758D1BD6" w14:textId="4DA9BB89" w:rsidR="00877D11" w:rsidRPr="00B95E28" w:rsidRDefault="00877D11"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81" w:name="_Toc230883090"/>
      <w:bookmarkStart w:id="82" w:name="_Toc232351970"/>
      <w:r w:rsidR="00B91B93">
        <w:rPr>
          <w:noProof/>
          <w:color w:val="000000" w:themeColor="text1"/>
        </w:rPr>
        <w:t>2</w:t>
      </w:r>
      <w:r w:rsidRPr="00B95E28">
        <w:rPr>
          <w:color w:val="000000" w:themeColor="text1"/>
        </w:rPr>
        <w:fldChar w:fldCharType="end"/>
      </w:r>
      <w:r w:rsidRPr="00B95E28">
        <w:rPr>
          <w:color w:val="000000" w:themeColor="text1"/>
        </w:rPr>
        <w:t>: Table 2.2: The Integration Capability Gap in Existing Literature (Source: Author)</w:t>
      </w:r>
      <w:bookmarkEnd w:id="81"/>
      <w:bookmarkEnd w:id="82"/>
    </w:p>
    <w:p w14:paraId="32DFB6F1" w14:textId="77777777" w:rsidR="004604AB" w:rsidRPr="00B95E28" w:rsidRDefault="004604AB" w:rsidP="00557AB7">
      <w:pPr>
        <w:spacing w:line="480" w:lineRule="auto"/>
        <w:rPr>
          <w:b/>
          <w:bCs/>
          <w:color w:val="000000" w:themeColor="text1"/>
        </w:rPr>
      </w:pPr>
      <w:r w:rsidRPr="00B95E28">
        <w:rPr>
          <w:noProof/>
          <w:color w:val="000000" w:themeColor="text1"/>
        </w:rPr>
        <w:drawing>
          <wp:inline distT="0" distB="0" distL="0" distR="0" wp14:anchorId="5312D231" wp14:editId="141692DF">
            <wp:extent cx="5480050" cy="2048676"/>
            <wp:effectExtent l="0" t="0" r="6350" b="8890"/>
            <wp:docPr id="18453993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0050" cy="2048676"/>
                    </a:xfrm>
                    <a:prstGeom prst="rect">
                      <a:avLst/>
                    </a:prstGeom>
                    <a:noFill/>
                    <a:ln>
                      <a:noFill/>
                    </a:ln>
                  </pic:spPr>
                </pic:pic>
              </a:graphicData>
            </a:graphic>
          </wp:inline>
        </w:drawing>
      </w:r>
    </w:p>
    <w:p w14:paraId="4B7A1C82" w14:textId="77777777" w:rsidR="004604AB" w:rsidRPr="00B95E28" w:rsidRDefault="004604AB" w:rsidP="00557AB7">
      <w:pPr>
        <w:spacing w:line="480" w:lineRule="auto"/>
        <w:rPr>
          <w:color w:val="000000" w:themeColor="text1"/>
        </w:rPr>
      </w:pPr>
      <w:r w:rsidRPr="00B95E28">
        <w:rPr>
          <w:color w:val="000000" w:themeColor="text1"/>
        </w:rPr>
        <w:t>This representation reflects a simplified view of the M&amp;A lifecycle as commonly presented in the literature, highlighting the point at which value is expected to be realized.</w:t>
      </w:r>
    </w:p>
    <w:p w14:paraId="26A482B7" w14:textId="77777777" w:rsidR="004604AB" w:rsidRPr="00B95E28" w:rsidRDefault="004604AB" w:rsidP="00557AB7">
      <w:pPr>
        <w:spacing w:line="480" w:lineRule="auto"/>
        <w:rPr>
          <w:color w:val="000000" w:themeColor="text1"/>
        </w:rPr>
      </w:pPr>
      <w:r w:rsidRPr="00B95E28">
        <w:rPr>
          <w:color w:val="000000" w:themeColor="text1"/>
        </w:rPr>
        <w:t>As illustrated, the literature demonstrates a high degree of alignment regarding what constitutes effective integration, yet this has not translated into consistent outcomes across transactions. This inconsistency persists even when controlling for deal context, strategy, and industry conditions, suggesting a more structural limitation within organizations.</w:t>
      </w:r>
    </w:p>
    <w:p w14:paraId="11197F14" w14:textId="77777777" w:rsidR="00F20EB7" w:rsidRPr="00B95E28" w:rsidRDefault="00F20EB7" w:rsidP="00F20EB7">
      <w:pPr>
        <w:rPr>
          <w:color w:val="000000" w:themeColor="text1"/>
        </w:rPr>
      </w:pPr>
    </w:p>
    <w:p w14:paraId="10377801" w14:textId="2477558B" w:rsidR="004604AB" w:rsidRPr="00B95E28" w:rsidRDefault="004604AB" w:rsidP="00557AB7">
      <w:pPr>
        <w:spacing w:line="480" w:lineRule="auto"/>
        <w:rPr>
          <w:color w:val="000000" w:themeColor="text1"/>
        </w:rPr>
      </w:pPr>
      <w:r w:rsidRPr="00B95E28">
        <w:rPr>
          <w:color w:val="000000" w:themeColor="text1"/>
        </w:rPr>
        <w:t>Learning remains largely experiential and tacit, with limited formalization or transfer between deals.</w:t>
      </w:r>
    </w:p>
    <w:p w14:paraId="4B57E3B4" w14:textId="77777777" w:rsidR="00F20EB7" w:rsidRPr="00B95E28" w:rsidRDefault="00F20EB7" w:rsidP="00F20EB7">
      <w:pPr>
        <w:rPr>
          <w:color w:val="000000" w:themeColor="text1"/>
        </w:rPr>
      </w:pPr>
    </w:p>
    <w:p w14:paraId="3B0389D1" w14:textId="25B9289D" w:rsidR="004604AB" w:rsidRPr="00B95E28" w:rsidRDefault="004604AB" w:rsidP="00557AB7">
      <w:pPr>
        <w:spacing w:line="480" w:lineRule="auto"/>
        <w:rPr>
          <w:color w:val="000000" w:themeColor="text1"/>
        </w:rPr>
      </w:pPr>
      <w:r w:rsidRPr="00B95E28">
        <w:rPr>
          <w:color w:val="000000" w:themeColor="text1"/>
        </w:rPr>
        <w:t xml:space="preserve">This research addresses this gap by reframing post-merger integration not as a discrete execution phase, but as a repeatable organizational capability. It examines how organizations develop this capability over time through the interaction of governance, leadership, and organizational learning mechanisms. By shifting the focus from individual transaction outcomes to sustained performance across multiple acquisitions, this study contributes to both theory and practice, </w:t>
      </w:r>
      <w:r w:rsidRPr="00B95E28">
        <w:rPr>
          <w:color w:val="000000" w:themeColor="text1"/>
        </w:rPr>
        <w:lastRenderedPageBreak/>
        <w:t>offering a capability-based perspective through which integration success can be more consistently understood and achieved.</w:t>
      </w:r>
    </w:p>
    <w:p w14:paraId="06CAE24E" w14:textId="77777777" w:rsidR="00F20EB7" w:rsidRPr="00B95E28" w:rsidRDefault="00F20EB7" w:rsidP="00F20EB7">
      <w:pPr>
        <w:rPr>
          <w:color w:val="000000" w:themeColor="text1"/>
        </w:rPr>
      </w:pPr>
    </w:p>
    <w:p w14:paraId="11CAED65" w14:textId="0E524FC5" w:rsidR="004604AB" w:rsidRPr="00B95E28" w:rsidRDefault="004604AB" w:rsidP="00557AB7">
      <w:pPr>
        <w:spacing w:line="480" w:lineRule="auto"/>
        <w:rPr>
          <w:color w:val="000000" w:themeColor="text1"/>
        </w:rPr>
      </w:pPr>
      <w:r w:rsidRPr="00B95E28">
        <w:rPr>
          <w:color w:val="000000" w:themeColor="text1"/>
        </w:rPr>
        <w:t>To synthesize this tension, Figure 2.1 illustrates how integration activities contribute to the development of integration capability and, ultimately, the consistency of outcomes, highlighting the role of organizational learning in translating experience into capability.</w:t>
      </w:r>
    </w:p>
    <w:p w14:paraId="0549C12E" w14:textId="12B77D45" w:rsidR="00877D11" w:rsidRPr="00B95E28" w:rsidRDefault="00877D11" w:rsidP="00557AB7">
      <w:pPr>
        <w:pStyle w:val="Caption"/>
        <w:keepNext/>
        <w:spacing w:after="0" w:line="480" w:lineRule="auto"/>
        <w:jc w:val="center"/>
        <w:rPr>
          <w:color w:val="000000" w:themeColor="text1"/>
        </w:rPr>
      </w:pPr>
      <w:r w:rsidRPr="00B95E28">
        <w:rPr>
          <w:color w:val="000000" w:themeColor="text1"/>
        </w:rPr>
        <w:fldChar w:fldCharType="begin"/>
      </w:r>
      <w:r w:rsidRPr="00B95E28">
        <w:rPr>
          <w:color w:val="000000" w:themeColor="text1"/>
        </w:rPr>
        <w:instrText xml:space="preserve"> SEQ Figure \* ARABIC </w:instrText>
      </w:r>
      <w:r w:rsidRPr="00B95E28">
        <w:rPr>
          <w:color w:val="000000" w:themeColor="text1"/>
        </w:rPr>
        <w:fldChar w:fldCharType="separate"/>
      </w:r>
      <w:bookmarkStart w:id="83" w:name="_Toc230886209"/>
      <w:r w:rsidR="0033207C" w:rsidRPr="00B95E28">
        <w:rPr>
          <w:noProof/>
          <w:color w:val="000000" w:themeColor="text1"/>
        </w:rPr>
        <w:t>1</w:t>
      </w:r>
      <w:r w:rsidRPr="00B95E28">
        <w:rPr>
          <w:color w:val="000000" w:themeColor="text1"/>
        </w:rPr>
        <w:fldChar w:fldCharType="end"/>
      </w:r>
      <w:r w:rsidRPr="00B95E28">
        <w:rPr>
          <w:color w:val="000000" w:themeColor="text1"/>
        </w:rPr>
        <w:t>: Figure 2.1: Conceptual Relationship Between Integration Processes, Capability Development, and Value Realization (Source: Author)</w:t>
      </w:r>
      <w:bookmarkEnd w:id="83"/>
    </w:p>
    <w:p w14:paraId="35C7ADB0" w14:textId="77777777" w:rsidR="004604AB" w:rsidRPr="00B95E28" w:rsidRDefault="004604AB" w:rsidP="00557AB7">
      <w:pPr>
        <w:spacing w:line="480" w:lineRule="auto"/>
        <w:jc w:val="center"/>
        <w:rPr>
          <w:b/>
          <w:bCs/>
          <w:color w:val="000000" w:themeColor="text1"/>
        </w:rPr>
      </w:pPr>
      <w:r w:rsidRPr="00B95E28">
        <w:rPr>
          <w:rFonts w:eastAsia="MS Mincho"/>
          <w:noProof/>
          <w:color w:val="000000" w:themeColor="text1"/>
        </w:rPr>
        <w:drawing>
          <wp:inline distT="0" distB="0" distL="0" distR="0" wp14:anchorId="410D2C29" wp14:editId="11C4C9F0">
            <wp:extent cx="4548886" cy="2082800"/>
            <wp:effectExtent l="0" t="0" r="4445" b="0"/>
            <wp:docPr id="1862985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985244" name=""/>
                    <pic:cNvPicPr/>
                  </pic:nvPicPr>
                  <pic:blipFill>
                    <a:blip r:embed="rId14"/>
                    <a:stretch>
                      <a:fillRect/>
                    </a:stretch>
                  </pic:blipFill>
                  <pic:spPr>
                    <a:xfrm>
                      <a:off x="0" y="0"/>
                      <a:ext cx="4769492" cy="2183809"/>
                    </a:xfrm>
                    <a:prstGeom prst="rect">
                      <a:avLst/>
                    </a:prstGeom>
                  </pic:spPr>
                </pic:pic>
              </a:graphicData>
            </a:graphic>
          </wp:inline>
        </w:drawing>
      </w:r>
    </w:p>
    <w:p w14:paraId="485EF64E" w14:textId="77777777" w:rsidR="004604AB" w:rsidRPr="00B95E28" w:rsidRDefault="004604AB" w:rsidP="00557AB7">
      <w:pPr>
        <w:spacing w:line="480" w:lineRule="auto"/>
        <w:rPr>
          <w:color w:val="000000" w:themeColor="text1"/>
        </w:rPr>
      </w:pPr>
      <w:r w:rsidRPr="00B95E28">
        <w:rPr>
          <w:color w:val="000000" w:themeColor="text1"/>
        </w:rPr>
        <w:t>As illustrated, while the literature identifies a set of core integration dimensions, the development of integration capability is neither automatic nor uniform across organizations. Although integration activities generate experience, the extent to which this experience is translated into capability depends on the presence and effectiveness of organizational learning mechanisms, including articulation, codification, and reflection.</w:t>
      </w:r>
    </w:p>
    <w:p w14:paraId="61D5778E" w14:textId="77777777" w:rsidR="00F20EB7" w:rsidRPr="00B95E28" w:rsidRDefault="00F20EB7" w:rsidP="00F20EB7">
      <w:pPr>
        <w:rPr>
          <w:color w:val="000000" w:themeColor="text1"/>
        </w:rPr>
      </w:pPr>
    </w:p>
    <w:p w14:paraId="7E1BDF1B" w14:textId="23F7506F" w:rsidR="004604AB" w:rsidRPr="00B95E28" w:rsidRDefault="004604AB" w:rsidP="00557AB7">
      <w:pPr>
        <w:spacing w:line="480" w:lineRule="auto"/>
        <w:rPr>
          <w:color w:val="000000" w:themeColor="text1"/>
        </w:rPr>
      </w:pPr>
      <w:r w:rsidRPr="00B95E28">
        <w:rPr>
          <w:color w:val="000000" w:themeColor="text1"/>
        </w:rPr>
        <w:t>In practice, these mechanisms are unevenly applied, resulting in variability in how integration capability develops and, consequently, in the consistency of integration outcomes. This indicates that the presence of integration processes alone is insufficient to ensure success, and that capability development must be understood as a function of how organizations capture, structure, and reuse learning across transactions.</w:t>
      </w:r>
    </w:p>
    <w:p w14:paraId="0E4B07AC" w14:textId="77777777" w:rsidR="004604AB" w:rsidRPr="00B95E28" w:rsidRDefault="004604AB" w:rsidP="00557AB7">
      <w:pPr>
        <w:spacing w:line="480" w:lineRule="auto"/>
        <w:rPr>
          <w:color w:val="000000" w:themeColor="text1"/>
        </w:rPr>
      </w:pPr>
      <w:r w:rsidRPr="00B95E28">
        <w:rPr>
          <w:color w:val="000000" w:themeColor="text1"/>
        </w:rPr>
        <w:lastRenderedPageBreak/>
        <w:t>A further consideration is why this fragmented perspective has persisted within the literature. Much of the research on mergers and acquisitions has developed across distinct academic domains, including strategy, finance, organizational behaviour, and information systems. Each domain has contributed valuable insights, yet has done so from its own analytical perspective, often focusing on specific components of the integration process in isolation.</w:t>
      </w:r>
    </w:p>
    <w:p w14:paraId="3F09F71D" w14:textId="77777777" w:rsidR="00F20EB7" w:rsidRPr="00B95E28" w:rsidRDefault="00F20EB7" w:rsidP="00F20EB7">
      <w:pPr>
        <w:rPr>
          <w:color w:val="000000" w:themeColor="text1"/>
        </w:rPr>
      </w:pPr>
    </w:p>
    <w:p w14:paraId="6F720482" w14:textId="2BDFAD59" w:rsidR="004604AB" w:rsidRPr="00B95E28" w:rsidRDefault="004604AB" w:rsidP="00557AB7">
      <w:pPr>
        <w:spacing w:line="480" w:lineRule="auto"/>
        <w:rPr>
          <w:color w:val="000000" w:themeColor="text1"/>
        </w:rPr>
      </w:pPr>
      <w:r w:rsidRPr="00B95E28">
        <w:rPr>
          <w:color w:val="000000" w:themeColor="text1"/>
        </w:rPr>
        <w:t>This disciplinary separation has limited the development of integrative frameworks that capture the interaction between these components. As a result, integration has been studied as a series of discrete challenges rather than as a unified organizational capability. This fragmentation not only constrains theoretical development but also reduces the practical applicability of existing frameworks, as organizations must navigate the interaction of multiple dimensions simultaneously in real-world integration environments.</w:t>
      </w:r>
    </w:p>
    <w:p w14:paraId="5C62B478" w14:textId="77777777" w:rsidR="00F20EB7" w:rsidRPr="00B95E28" w:rsidRDefault="00F20EB7" w:rsidP="00F20EB7">
      <w:pPr>
        <w:rPr>
          <w:color w:val="000000" w:themeColor="text1"/>
        </w:rPr>
      </w:pPr>
    </w:p>
    <w:p w14:paraId="0423E3D2" w14:textId="52352895" w:rsidR="004604AB" w:rsidRPr="00B95E28" w:rsidRDefault="004604AB" w:rsidP="00557AB7">
      <w:pPr>
        <w:spacing w:line="480" w:lineRule="auto"/>
        <w:rPr>
          <w:color w:val="000000" w:themeColor="text1"/>
        </w:rPr>
      </w:pPr>
      <w:r w:rsidRPr="00B95E28">
        <w:rPr>
          <w:color w:val="000000" w:themeColor="text1"/>
        </w:rPr>
        <w:t>The literature reviewed in this chapter points to a consistent gap between what is known about integration and what organizations are able to reproduce in practice. Existing research identifies the importance of governance, planning, execution, technology, human capital, and learning, yet these areas are often examined as separate dimensions of integration performance. What remains less developed is an explanation of how these dimensions interact over time to produce, or prevent, repeatable integration capability.</w:t>
      </w:r>
    </w:p>
    <w:p w14:paraId="6B4D0739" w14:textId="77777777" w:rsidR="00F20EB7" w:rsidRPr="00B95E28" w:rsidRDefault="00F20EB7" w:rsidP="00F20EB7">
      <w:pPr>
        <w:rPr>
          <w:color w:val="000000" w:themeColor="text1"/>
        </w:rPr>
      </w:pPr>
    </w:p>
    <w:p w14:paraId="6FE794AD" w14:textId="4B327F5E" w:rsidR="004604AB" w:rsidRPr="00B95E28" w:rsidRDefault="004604AB" w:rsidP="00557AB7">
      <w:pPr>
        <w:spacing w:line="480" w:lineRule="auto"/>
        <w:rPr>
          <w:color w:val="000000" w:themeColor="text1"/>
        </w:rPr>
      </w:pPr>
      <w:r w:rsidRPr="00B95E28">
        <w:rPr>
          <w:color w:val="000000" w:themeColor="text1"/>
        </w:rPr>
        <w:t xml:space="preserve">This gap is particularly important in the context of serial acquirers. Repeated acquisition activity creates opportunities for learning, but it also increases the consequences of weak integration structures. If governance remains inconsistent, planning begins too late, technology complexity is underestimated, and lessons are not institutionalized, then repeated acquisition activity may </w:t>
      </w:r>
      <w:r w:rsidRPr="00B95E28">
        <w:rPr>
          <w:color w:val="000000" w:themeColor="text1"/>
        </w:rPr>
        <w:lastRenderedPageBreak/>
        <w:t>amplify integration risk rather than reduce it. In this sense, integration capability functions as the missing link between acquisition experience and acquisition performance.</w:t>
      </w:r>
    </w:p>
    <w:p w14:paraId="4EEA8749" w14:textId="77777777" w:rsidR="00F20EB7" w:rsidRPr="00B95E28" w:rsidRDefault="00F20EB7" w:rsidP="00F20EB7">
      <w:pPr>
        <w:rPr>
          <w:color w:val="000000" w:themeColor="text1"/>
        </w:rPr>
      </w:pPr>
    </w:p>
    <w:p w14:paraId="223FA331" w14:textId="7C8329E1" w:rsidR="004604AB" w:rsidRPr="00B95E28" w:rsidRDefault="004604AB" w:rsidP="00557AB7">
      <w:pPr>
        <w:spacing w:line="480" w:lineRule="auto"/>
        <w:rPr>
          <w:color w:val="000000" w:themeColor="text1"/>
        </w:rPr>
      </w:pPr>
      <w:r w:rsidRPr="00B95E28">
        <w:rPr>
          <w:color w:val="000000" w:themeColor="text1"/>
        </w:rPr>
        <w:t>The present study addresses this gap by examining integration capability as a system of interdependent organizational conditions. Rather than treating integration as a set of best practices to be applied within a single transaction, it examines how governance, leadership, planning, execution, technology, and learning are developed and sustained across transactions. This provides the foundation for the empirical analysis in Chapter 4 and the development of the Integration Capability Loop and Integration Capability Engine in Chapters 5 and 6.</w:t>
      </w:r>
    </w:p>
    <w:p w14:paraId="04B27F0C" w14:textId="77777777" w:rsidR="00F20EB7" w:rsidRPr="00B95E28" w:rsidRDefault="00F20EB7" w:rsidP="00F20EB7">
      <w:pPr>
        <w:rPr>
          <w:color w:val="000000" w:themeColor="text1"/>
        </w:rPr>
      </w:pPr>
    </w:p>
    <w:p w14:paraId="5D66EE3B" w14:textId="34F70CCA" w:rsidR="00C217F9" w:rsidRPr="00B95E28" w:rsidRDefault="004604AB" w:rsidP="00557AB7">
      <w:pPr>
        <w:spacing w:line="480" w:lineRule="auto"/>
        <w:rPr>
          <w:color w:val="000000" w:themeColor="text1"/>
        </w:rPr>
      </w:pPr>
      <w:r w:rsidRPr="00B95E28">
        <w:rPr>
          <w:color w:val="000000" w:themeColor="text1"/>
        </w:rPr>
        <w:t>Addressing this limitation requires an approach capable of capturing how integration capability develops over time, rather than evaluating isolated transaction outcomes. Existing quantitative and process-oriented approaches are limited in their ability to examine the interaction between governance, learning, and execution across multiple acquisitions. As a result, a qualitative, exploratory approach is adopted to examine how organizations develop, refine, and apply integration capability in practice. The following chapter outlines the research methodology designed to capture these dynamics.</w:t>
      </w:r>
    </w:p>
    <w:p w14:paraId="14D03263" w14:textId="77777777" w:rsidR="00C217F9" w:rsidRPr="00B95E28" w:rsidRDefault="00C217F9" w:rsidP="00557AB7">
      <w:pPr>
        <w:spacing w:line="480" w:lineRule="auto"/>
        <w:rPr>
          <w:color w:val="000000" w:themeColor="text1"/>
        </w:rPr>
      </w:pPr>
      <w:r w:rsidRPr="00B95E28">
        <w:rPr>
          <w:color w:val="000000" w:themeColor="text1"/>
        </w:rPr>
        <w:br w:type="page"/>
      </w:r>
    </w:p>
    <w:p w14:paraId="50E9FB64" w14:textId="1470535C" w:rsidR="004604AB" w:rsidRPr="00B95E28" w:rsidRDefault="004604AB" w:rsidP="00557AB7">
      <w:pPr>
        <w:spacing w:line="480" w:lineRule="auto"/>
        <w:jc w:val="center"/>
        <w:rPr>
          <w:b/>
          <w:color w:val="000000" w:themeColor="text1"/>
        </w:rPr>
      </w:pPr>
      <w:r w:rsidRPr="00B95E28">
        <w:rPr>
          <w:b/>
          <w:color w:val="000000" w:themeColor="text1"/>
        </w:rPr>
        <w:lastRenderedPageBreak/>
        <w:t>CHAPTER 3</w:t>
      </w:r>
    </w:p>
    <w:p w14:paraId="309BE6B0" w14:textId="5A0E5C94" w:rsidR="004604AB" w:rsidRPr="00B95E28" w:rsidRDefault="00C217F9" w:rsidP="00557AB7">
      <w:pPr>
        <w:pStyle w:val="Heading1"/>
        <w:rPr>
          <w:color w:val="000000" w:themeColor="text1"/>
        </w:rPr>
      </w:pPr>
      <w:bookmarkStart w:id="84" w:name="_Toc230881438"/>
      <w:bookmarkStart w:id="85" w:name="_Toc232351838"/>
      <w:r w:rsidRPr="00B95E28">
        <w:rPr>
          <w:color w:val="000000" w:themeColor="text1"/>
        </w:rPr>
        <w:t>RESEARCH METHODOLOGY</w:t>
      </w:r>
      <w:bookmarkEnd w:id="84"/>
      <w:bookmarkEnd w:id="85"/>
    </w:p>
    <w:p w14:paraId="6591BDF9" w14:textId="588253EC" w:rsidR="00C217F9" w:rsidRPr="00B95E28" w:rsidRDefault="00A7009E" w:rsidP="00557AB7">
      <w:pPr>
        <w:pStyle w:val="Heading2"/>
        <w:spacing w:before="0" w:after="0" w:line="480" w:lineRule="auto"/>
        <w:ind w:left="0" w:firstLine="0"/>
        <w:rPr>
          <w:color w:val="000000" w:themeColor="text1"/>
        </w:rPr>
      </w:pPr>
      <w:bookmarkStart w:id="86" w:name="_Toc230881439"/>
      <w:bookmarkStart w:id="87" w:name="_Toc232351839"/>
      <w:r w:rsidRPr="00B95E28">
        <w:rPr>
          <w:color w:val="000000" w:themeColor="text1"/>
        </w:rPr>
        <w:t xml:space="preserve">Chapter </w:t>
      </w:r>
      <w:r w:rsidR="00C217F9" w:rsidRPr="00B95E28">
        <w:rPr>
          <w:color w:val="000000" w:themeColor="text1"/>
        </w:rPr>
        <w:t>3</w:t>
      </w:r>
      <w:r w:rsidRPr="00B95E28">
        <w:rPr>
          <w:color w:val="000000" w:themeColor="text1"/>
        </w:rPr>
        <w:t>:</w:t>
      </w:r>
      <w:r w:rsidR="00C217F9" w:rsidRPr="00B95E28">
        <w:rPr>
          <w:color w:val="000000" w:themeColor="text1"/>
        </w:rPr>
        <w:t xml:space="preserve"> Introduction</w:t>
      </w:r>
      <w:bookmarkEnd w:id="86"/>
      <w:bookmarkEnd w:id="87"/>
    </w:p>
    <w:p w14:paraId="2331D579" w14:textId="77777777" w:rsidR="00C217F9" w:rsidRPr="00B95E28" w:rsidRDefault="00C217F9" w:rsidP="00DF73F3">
      <w:pPr>
        <w:spacing w:line="480" w:lineRule="auto"/>
        <w:rPr>
          <w:color w:val="000000" w:themeColor="text1"/>
        </w:rPr>
      </w:pPr>
      <w:r w:rsidRPr="00B95E28">
        <w:rPr>
          <w:color w:val="000000" w:themeColor="text1"/>
        </w:rPr>
        <w:t>This chapter outlines the research methodology adopted to investigate how organizations develop repeatable integration capability across multiple acquisitions. The purpose of this chapter is to provide a clear and structured explanation of the research design, approach, data collection methods, and analytical techniques used to address the research objective. It establishes the foundation for the empirical analysis presented in subsequent chapters and demonstrates the rigour and validity of the research process.</w:t>
      </w:r>
      <w:r w:rsidRPr="00B95E28">
        <w:rPr>
          <w:color w:val="000000" w:themeColor="text1"/>
        </w:rPr>
        <w:br/>
      </w:r>
      <w:r w:rsidRPr="00B95E28">
        <w:rPr>
          <w:color w:val="000000" w:themeColor="text1"/>
        </w:rPr>
        <w:br/>
        <w:t>The study is grounded in a qualitative, inductive approach, reflecting the complex and context-dependent nature of post-merger integration. Rather than focusing on quantitative measures of acquisition performance, the research examines how integration is experienced, managed, and refined over time by practitioners directly involved in mergers and acquisitions. This perspective is particularly relevant given the dissertation’s focus on integration as an organizational capability rather than a one-time transactional process.</w:t>
      </w:r>
      <w:r w:rsidRPr="00B95E28">
        <w:rPr>
          <w:color w:val="000000" w:themeColor="text1"/>
        </w:rPr>
        <w:br/>
      </w:r>
      <w:r w:rsidRPr="00B95E28">
        <w:rPr>
          <w:color w:val="000000" w:themeColor="text1"/>
        </w:rPr>
        <w:br/>
        <w:t>Through semi-structured interviews with experienced practitioners across corporate, advisory, and private equity environments, the research captures insights into integration governance, planning, execution, technology, and organizational learning. These insights form the basis for identifying recurring patterns and developing a capability-based model of integration.</w:t>
      </w:r>
      <w:r w:rsidRPr="00B95E28">
        <w:rPr>
          <w:color w:val="000000" w:themeColor="text1"/>
        </w:rPr>
        <w:br/>
      </w:r>
      <w:r w:rsidRPr="00B95E28">
        <w:rPr>
          <w:color w:val="000000" w:themeColor="text1"/>
        </w:rPr>
        <w:br/>
        <w:t xml:space="preserve">The chapter proceeds by outlining the research design and philosophical positioning, followed by </w:t>
      </w:r>
      <w:r w:rsidRPr="00B95E28">
        <w:rPr>
          <w:color w:val="000000" w:themeColor="text1"/>
        </w:rPr>
        <w:lastRenderedPageBreak/>
        <w:t>the approach to participant selection and data collection. It then details the structure of the interviews and the process of thematic analysis used to interpret the data. Finally, the chapter addresses considerations of reliability, validity, and research ethics.</w:t>
      </w:r>
    </w:p>
    <w:p w14:paraId="49D73888" w14:textId="26652288" w:rsidR="00C217F9" w:rsidRPr="00B95E28" w:rsidRDefault="00C217F9" w:rsidP="00DF73F3">
      <w:pPr>
        <w:spacing w:line="480" w:lineRule="auto"/>
        <w:rPr>
          <w:color w:val="000000" w:themeColor="text1"/>
        </w:rPr>
      </w:pPr>
      <w:r w:rsidRPr="00B95E28">
        <w:rPr>
          <w:color w:val="000000" w:themeColor="text1"/>
        </w:rPr>
        <w:t>This methodological approach ensures that the findings presented in subsequent chapters are</w:t>
      </w:r>
      <w:r w:rsidR="00DF73F3" w:rsidRPr="00B95E28">
        <w:rPr>
          <w:color w:val="000000" w:themeColor="text1"/>
        </w:rPr>
        <w:t xml:space="preserve"> </w:t>
      </w:r>
      <w:r w:rsidRPr="00B95E28">
        <w:rPr>
          <w:color w:val="000000" w:themeColor="text1"/>
        </w:rPr>
        <w:t>grounded in both empirical observation and structured analytical interpretation.</w:t>
      </w:r>
    </w:p>
    <w:p w14:paraId="5B32A722" w14:textId="77777777" w:rsidR="00DF73F3" w:rsidRPr="00B95E28" w:rsidRDefault="00DF73F3" w:rsidP="00DF73F3">
      <w:pPr>
        <w:rPr>
          <w:color w:val="000000" w:themeColor="text1"/>
        </w:rPr>
      </w:pPr>
      <w:bookmarkStart w:id="88" w:name="_Toc230881440"/>
    </w:p>
    <w:p w14:paraId="60A08E60" w14:textId="16692810" w:rsidR="00C217F9" w:rsidRPr="00B95E28" w:rsidRDefault="00C217F9" w:rsidP="00557AB7">
      <w:pPr>
        <w:pStyle w:val="Heading2"/>
        <w:spacing w:before="0" w:after="0" w:line="480" w:lineRule="auto"/>
        <w:ind w:left="0" w:firstLine="0"/>
        <w:rPr>
          <w:color w:val="000000" w:themeColor="text1"/>
        </w:rPr>
      </w:pPr>
      <w:bookmarkStart w:id="89" w:name="_Toc232351840"/>
      <w:r w:rsidRPr="00B95E28">
        <w:rPr>
          <w:color w:val="000000" w:themeColor="text1"/>
        </w:rPr>
        <w:t>3.1 Research Philosophy</w:t>
      </w:r>
      <w:bookmarkEnd w:id="88"/>
      <w:bookmarkEnd w:id="89"/>
    </w:p>
    <w:p w14:paraId="0A82D1F8" w14:textId="77777777" w:rsidR="00C217F9" w:rsidRPr="00B95E28" w:rsidRDefault="00C217F9" w:rsidP="00557AB7">
      <w:pPr>
        <w:spacing w:line="480" w:lineRule="auto"/>
        <w:rPr>
          <w:color w:val="000000" w:themeColor="text1"/>
        </w:rPr>
      </w:pPr>
      <w:r w:rsidRPr="00B95E28">
        <w:rPr>
          <w:color w:val="000000" w:themeColor="text1"/>
        </w:rPr>
        <w:t xml:space="preserve">This study adopts an interpretivist research philosophy, recognizing that post-merger integration is shaped by organizational context, leadership decisions, and practitioner experience. Rather than assuming a single objective approach to integration, this perspective acknowledges that outcomes are influenced by how individuals interpret and apply integration practices within their specific environments. Given the complexity and variability of integration across acquisitions, an interpretivist stance is appropriate as it enables a deeper understanding of how integration capability is developed and applied in practice (Saunders et al., 2019). </w:t>
      </w:r>
    </w:p>
    <w:p w14:paraId="18CA5A14" w14:textId="77777777" w:rsidR="00797CA3" w:rsidRPr="00B95E28" w:rsidRDefault="00797CA3" w:rsidP="00557AB7">
      <w:pPr>
        <w:spacing w:line="480" w:lineRule="auto"/>
        <w:rPr>
          <w:color w:val="000000" w:themeColor="text1"/>
        </w:rPr>
      </w:pPr>
    </w:p>
    <w:p w14:paraId="57BDC972" w14:textId="7D4D47D9" w:rsidR="00C217F9" w:rsidRPr="00B95E28" w:rsidRDefault="00C217F9" w:rsidP="00557AB7">
      <w:pPr>
        <w:spacing w:line="480" w:lineRule="auto"/>
        <w:rPr>
          <w:color w:val="000000" w:themeColor="text1"/>
        </w:rPr>
      </w:pPr>
      <w:r w:rsidRPr="00B95E28">
        <w:rPr>
          <w:color w:val="000000" w:themeColor="text1"/>
        </w:rPr>
        <w:t>This positioning is consistent with qualitative research approaches that seek to understand socially constructed realities within organizational contexts (Lincoln and Guba, 1985).</w:t>
      </w:r>
    </w:p>
    <w:p w14:paraId="011DB633" w14:textId="77777777" w:rsidR="00DF73F3" w:rsidRPr="00B95E28" w:rsidRDefault="00DF73F3" w:rsidP="00DF73F3">
      <w:pPr>
        <w:rPr>
          <w:color w:val="000000" w:themeColor="text1"/>
        </w:rPr>
      </w:pPr>
      <w:bookmarkStart w:id="90" w:name="_Toc230881441"/>
    </w:p>
    <w:p w14:paraId="26E5F6A7" w14:textId="29CB8E45" w:rsidR="00C217F9" w:rsidRPr="00B95E28" w:rsidRDefault="00C217F9" w:rsidP="00557AB7">
      <w:pPr>
        <w:pStyle w:val="Heading2"/>
        <w:spacing w:before="0" w:after="0" w:line="480" w:lineRule="auto"/>
        <w:ind w:left="0" w:firstLine="0"/>
        <w:rPr>
          <w:color w:val="000000" w:themeColor="text1"/>
        </w:rPr>
      </w:pPr>
      <w:bookmarkStart w:id="91" w:name="_Toc232351841"/>
      <w:r w:rsidRPr="00B95E28">
        <w:rPr>
          <w:color w:val="000000" w:themeColor="text1"/>
        </w:rPr>
        <w:t>3.2 Research Design</w:t>
      </w:r>
      <w:bookmarkEnd w:id="90"/>
      <w:bookmarkEnd w:id="91"/>
    </w:p>
    <w:p w14:paraId="5F342F25" w14:textId="77777777" w:rsidR="00C217F9" w:rsidRPr="00B95E28" w:rsidRDefault="00C217F9" w:rsidP="00557AB7">
      <w:pPr>
        <w:spacing w:line="480" w:lineRule="auto"/>
        <w:rPr>
          <w:color w:val="000000" w:themeColor="text1"/>
        </w:rPr>
      </w:pPr>
      <w:r w:rsidRPr="00B95E28">
        <w:rPr>
          <w:color w:val="000000" w:themeColor="text1"/>
        </w:rPr>
        <w:t>This study adopts a qualitative research design to examine how organizations develop repeatable integration capability across multiple acquisitions. The research is positioned within a practitioner-oriented context, focusing on the lived experiences, decision-making processes, and organizational dynamics that shape post-merger integration outcomes.</w:t>
      </w:r>
    </w:p>
    <w:p w14:paraId="0CBBFEC1" w14:textId="77777777" w:rsidR="00797CA3" w:rsidRPr="00B95E28" w:rsidRDefault="00797CA3" w:rsidP="00557AB7">
      <w:pPr>
        <w:spacing w:line="480" w:lineRule="auto"/>
        <w:rPr>
          <w:color w:val="000000" w:themeColor="text1"/>
        </w:rPr>
      </w:pPr>
    </w:p>
    <w:p w14:paraId="70018D68" w14:textId="6BA0A3E2" w:rsidR="00C217F9" w:rsidRPr="00B95E28" w:rsidRDefault="00C217F9" w:rsidP="00557AB7">
      <w:pPr>
        <w:spacing w:line="480" w:lineRule="auto"/>
        <w:rPr>
          <w:color w:val="000000" w:themeColor="text1"/>
        </w:rPr>
      </w:pPr>
      <w:r w:rsidRPr="00B95E28">
        <w:rPr>
          <w:color w:val="000000" w:themeColor="text1"/>
        </w:rPr>
        <w:lastRenderedPageBreak/>
        <w:t>A qualitative design was selected to enable in-depth exploration of how integration capability is developed across organizational contexts, rather than to measure predefined variables.</w:t>
      </w:r>
    </w:p>
    <w:p w14:paraId="069ACF5D" w14:textId="77777777" w:rsidR="00C217F9" w:rsidRPr="00B95E28" w:rsidRDefault="00C217F9" w:rsidP="00557AB7">
      <w:pPr>
        <w:spacing w:line="480" w:lineRule="auto"/>
        <w:rPr>
          <w:color w:val="000000" w:themeColor="text1"/>
        </w:rPr>
      </w:pPr>
      <w:r w:rsidRPr="00B95E28">
        <w:rPr>
          <w:color w:val="000000" w:themeColor="text1"/>
        </w:rPr>
        <w:t>This design is consistent with qualitative research approaches outlined by Saunders et al. (2019), which emphasize the importance of contextual understanding when examining complex organizational phenomena.</w:t>
      </w:r>
    </w:p>
    <w:p w14:paraId="4BF40640" w14:textId="77777777" w:rsidR="00797CA3" w:rsidRPr="00B95E28" w:rsidRDefault="00797CA3" w:rsidP="00DF73F3">
      <w:pPr>
        <w:rPr>
          <w:color w:val="000000" w:themeColor="text1"/>
        </w:rPr>
      </w:pPr>
    </w:p>
    <w:p w14:paraId="7C11CA92" w14:textId="3534F6FD" w:rsidR="00C217F9" w:rsidRPr="00B95E28" w:rsidRDefault="00C217F9" w:rsidP="00557AB7">
      <w:pPr>
        <w:spacing w:line="480" w:lineRule="auto"/>
        <w:rPr>
          <w:color w:val="000000" w:themeColor="text1"/>
        </w:rPr>
      </w:pPr>
      <w:r w:rsidRPr="00B95E28">
        <w:rPr>
          <w:color w:val="000000" w:themeColor="text1"/>
        </w:rPr>
        <w:t>While existing literature provides extensive insight into integration processes, success factors, and frameworks, it does not sufficiently explain why integration outcomes remain inconsistent across transactions. The gap identified in Chapter 2 suggests that the challenge is not a lack of knowledge, but a failure to translate that knowledge into repeatable organizational capability. Addressing this gap requires an approach that captures how integration is understood, interpreted, and executed in practice.</w:t>
      </w:r>
    </w:p>
    <w:p w14:paraId="29AEE286" w14:textId="77777777" w:rsidR="00797CA3" w:rsidRPr="00B95E28" w:rsidRDefault="00797CA3" w:rsidP="00DF73F3">
      <w:pPr>
        <w:rPr>
          <w:color w:val="000000" w:themeColor="text1"/>
        </w:rPr>
      </w:pPr>
    </w:p>
    <w:p w14:paraId="51952E30" w14:textId="15E5BDCB" w:rsidR="00C217F9" w:rsidRPr="00B95E28" w:rsidRDefault="00C217F9" w:rsidP="00557AB7">
      <w:pPr>
        <w:spacing w:line="480" w:lineRule="auto"/>
        <w:rPr>
          <w:color w:val="000000" w:themeColor="text1"/>
        </w:rPr>
      </w:pPr>
      <w:r w:rsidRPr="00B95E28">
        <w:rPr>
          <w:color w:val="000000" w:themeColor="text1"/>
        </w:rPr>
        <w:t>These factors cannot be readily isolated or measured through quantitative methods. Instead, they require in-depth exploration to understand how they influence integration outcomes across different organizational settings and acquisition contexts. A qualitative approach enables this level of exploration by allowing participants to describe their experiences across multiple transactions, providing insight into patterns that may not be observable through structured metrics.</w:t>
      </w:r>
    </w:p>
    <w:p w14:paraId="1F4ADBFA" w14:textId="77777777" w:rsidR="00797CA3" w:rsidRPr="00B95E28" w:rsidRDefault="00797CA3" w:rsidP="00DF73F3">
      <w:pPr>
        <w:rPr>
          <w:color w:val="000000" w:themeColor="text1"/>
        </w:rPr>
      </w:pPr>
    </w:p>
    <w:p w14:paraId="6319B7AF" w14:textId="33C1724E" w:rsidR="00C217F9" w:rsidRPr="00B95E28" w:rsidRDefault="00C217F9" w:rsidP="00557AB7">
      <w:pPr>
        <w:spacing w:line="480" w:lineRule="auto"/>
        <w:rPr>
          <w:color w:val="000000" w:themeColor="text1"/>
        </w:rPr>
      </w:pPr>
      <w:r w:rsidRPr="00B95E28">
        <w:rPr>
          <w:color w:val="000000" w:themeColor="text1"/>
        </w:rPr>
        <w:t>The research design is therefore focused on capturing cross-case patterns rather than individual transaction outcomes. By examining multiple practitioners with experience across a range of acquisitions, the study seeks to identify recurring themes that explain how integration capability is developed, applied, and refined over time. This approach aligns with the study’s objective of understanding integration not as a one-time process, but as an evolving organizational capability.</w:t>
      </w:r>
    </w:p>
    <w:p w14:paraId="6CA8A304" w14:textId="77777777" w:rsidR="00C217F9" w:rsidRPr="00B95E28" w:rsidRDefault="00C217F9" w:rsidP="00557AB7">
      <w:pPr>
        <w:spacing w:line="480" w:lineRule="auto"/>
        <w:rPr>
          <w:color w:val="000000" w:themeColor="text1"/>
        </w:rPr>
      </w:pPr>
      <w:r w:rsidRPr="00B95E28">
        <w:rPr>
          <w:color w:val="000000" w:themeColor="text1"/>
        </w:rPr>
        <w:lastRenderedPageBreak/>
        <w:t>Furthermore, the qualitative design supports the development of theory grounded in empirical observation. Rather than testing predefined hypotheses, the research allows patterns to emerge from the data, enabling the identification of relationships between integration planning, governance, execution, and organizational learning. These relationships form the foundation for the Integration Capability Loop (ICL), which is developed in subsequent chapters as a conceptual model for understanding repeatable integration capability.</w:t>
      </w:r>
    </w:p>
    <w:p w14:paraId="3CFC3D1E" w14:textId="77777777" w:rsidR="00797CA3" w:rsidRPr="00B95E28" w:rsidRDefault="00797CA3" w:rsidP="00DF73F3">
      <w:pPr>
        <w:rPr>
          <w:color w:val="000000" w:themeColor="text1"/>
        </w:rPr>
      </w:pPr>
    </w:p>
    <w:p w14:paraId="1C82C69E" w14:textId="73271276" w:rsidR="00C217F9" w:rsidRPr="00B95E28" w:rsidRDefault="00C217F9" w:rsidP="00557AB7">
      <w:pPr>
        <w:spacing w:line="480" w:lineRule="auto"/>
        <w:rPr>
          <w:color w:val="000000" w:themeColor="text1"/>
        </w:rPr>
      </w:pPr>
      <w:r w:rsidRPr="00B95E28">
        <w:rPr>
          <w:color w:val="000000" w:themeColor="text1"/>
        </w:rPr>
        <w:t>In this context, the research design prioritizes depth of insight over breadth of measurement. The objective is not to generalize findings statistically, but to provide a rich, contextualized understanding of how integration capability is developed in practice. This is particularly relevant given the diversity of acquisition environments, where differences in industry, organizational structure, and deal characteristics require a nuanced understanding of integration dynamics.</w:t>
      </w:r>
    </w:p>
    <w:p w14:paraId="600A601B" w14:textId="77777777" w:rsidR="00C217F9" w:rsidRPr="00B95E28" w:rsidRDefault="00C217F9" w:rsidP="00557AB7">
      <w:pPr>
        <w:spacing w:line="480" w:lineRule="auto"/>
        <w:rPr>
          <w:color w:val="000000" w:themeColor="text1"/>
        </w:rPr>
      </w:pPr>
      <w:r w:rsidRPr="00B95E28">
        <w:rPr>
          <w:color w:val="000000" w:themeColor="text1"/>
        </w:rPr>
        <w:t>Overall, the qualitative research design enables the study to bridge the gap identified in the literature by linking theoretical constructs with practitioner experience. It provides a foundation for examining integration capability as an organizational phenomenon and supports the development of a model that reflects the realities of integration execution across multiple transactions.</w:t>
      </w:r>
    </w:p>
    <w:p w14:paraId="1CDA060E" w14:textId="77777777" w:rsidR="00797CA3" w:rsidRPr="00B95E28" w:rsidRDefault="00797CA3" w:rsidP="00DF73F3">
      <w:pPr>
        <w:rPr>
          <w:color w:val="000000" w:themeColor="text1"/>
        </w:rPr>
      </w:pPr>
    </w:p>
    <w:p w14:paraId="0915DB4E" w14:textId="001ABD3A" w:rsidR="00C217F9" w:rsidRPr="00B95E28" w:rsidRDefault="00C217F9" w:rsidP="00557AB7">
      <w:pPr>
        <w:spacing w:line="480" w:lineRule="auto"/>
        <w:rPr>
          <w:color w:val="000000" w:themeColor="text1"/>
        </w:rPr>
      </w:pPr>
      <w:r w:rsidRPr="00B95E28">
        <w:rPr>
          <w:color w:val="000000" w:themeColor="text1"/>
        </w:rPr>
        <w:t>The inductive approach is also consistent with dynamic capabilities theory, which emphasizes how organizations develop and refine capabilities through experience, learning, and adaptation over time. This alignment supports the study’s focus on understanding how integration capability evolves across repeated acquisitions rather than within isolated transactions.</w:t>
      </w:r>
    </w:p>
    <w:p w14:paraId="6C07BE41" w14:textId="77777777" w:rsidR="00797CA3" w:rsidRPr="00B95E28" w:rsidRDefault="00797CA3" w:rsidP="00557AB7">
      <w:pPr>
        <w:spacing w:line="480" w:lineRule="auto"/>
        <w:rPr>
          <w:color w:val="000000" w:themeColor="text1"/>
        </w:rPr>
      </w:pPr>
    </w:p>
    <w:p w14:paraId="268AFD9A" w14:textId="6CC8BD01" w:rsidR="00C217F9" w:rsidRPr="00B95E28" w:rsidRDefault="00C217F9" w:rsidP="00557AB7">
      <w:pPr>
        <w:spacing w:line="480" w:lineRule="auto"/>
        <w:rPr>
          <w:color w:val="000000" w:themeColor="text1"/>
        </w:rPr>
      </w:pPr>
      <w:r w:rsidRPr="00B95E28">
        <w:rPr>
          <w:color w:val="000000" w:themeColor="text1"/>
        </w:rPr>
        <w:lastRenderedPageBreak/>
        <w:t>Alternative methodological approaches, such as quantitative analysis or single-case study design, were considered but deemed less appropriate. Quantitative approaches would require the abstraction of integration capability into measurable variables, limiting the ability to capture the dynamic and context-dependent nature of integration practices. Similarly, single-case studies would provide depth but limit the ability to identify cross-organizational patterns necessary to understand repeatability. The chosen multi-participant qualitative design enables both depth and cross-case comparison, which is critical for examining integration as an evolving organizational capability.</w:t>
      </w:r>
    </w:p>
    <w:p w14:paraId="43BAB544" w14:textId="77777777" w:rsidR="00797CA3" w:rsidRPr="00B95E28" w:rsidRDefault="00797CA3" w:rsidP="00DF73F3">
      <w:pPr>
        <w:rPr>
          <w:color w:val="000000" w:themeColor="text1"/>
        </w:rPr>
      </w:pPr>
    </w:p>
    <w:p w14:paraId="3D2FD49D" w14:textId="09B018F9" w:rsidR="00C217F9" w:rsidRPr="00B95E28" w:rsidRDefault="00C217F9" w:rsidP="00557AB7">
      <w:pPr>
        <w:spacing w:line="480" w:lineRule="auto"/>
        <w:rPr>
          <w:color w:val="000000" w:themeColor="text1"/>
        </w:rPr>
      </w:pPr>
      <w:r w:rsidRPr="00B95E28">
        <w:rPr>
          <w:color w:val="000000" w:themeColor="text1"/>
        </w:rPr>
        <w:t>This methodological approach directly supports the contribution of this study by enabling the identification of cross-case patterns in how integration capability develops across repeated acquisitions. By combining practitioner perspectives with systematic thematic analysis, the research is able to move beyond descriptive accounts of integration practice and toward an explanatory understanding of the mechanisms that enable or constrain repeatability. This provides the empirical foundation for the Integration Capability Loop (ICL) developed in subsequent chapters.</w:t>
      </w:r>
    </w:p>
    <w:p w14:paraId="3E02BA41" w14:textId="77777777" w:rsidR="00797CA3" w:rsidRPr="00B95E28" w:rsidRDefault="00797CA3" w:rsidP="00DF73F3">
      <w:pPr>
        <w:rPr>
          <w:color w:val="000000" w:themeColor="text1"/>
        </w:rPr>
      </w:pPr>
    </w:p>
    <w:p w14:paraId="6EFC5270" w14:textId="1405CFD4" w:rsidR="00C217F9" w:rsidRPr="00B95E28" w:rsidRDefault="00C217F9" w:rsidP="00557AB7">
      <w:pPr>
        <w:spacing w:line="480" w:lineRule="auto"/>
        <w:rPr>
          <w:color w:val="000000" w:themeColor="text1"/>
        </w:rPr>
      </w:pPr>
      <w:r w:rsidRPr="00B95E28">
        <w:rPr>
          <w:color w:val="000000" w:themeColor="text1"/>
        </w:rPr>
        <w:t>To provide a clear overview of how the research design components align and contribute to the development of the study’s findings and conceptual model, Figure 3.1 presents the overall research design and analytical flow. The figure illustrates the progression from philosophical positioning through data collection and analysis to the generation of findings and the development of the Integration Capability Loop (ICL).</w:t>
      </w:r>
    </w:p>
    <w:p w14:paraId="027AB0EF" w14:textId="562A961B" w:rsidR="00877D11" w:rsidRPr="00B95E28" w:rsidRDefault="00877D11" w:rsidP="00557AB7">
      <w:pPr>
        <w:pStyle w:val="Caption"/>
        <w:keepNext/>
        <w:spacing w:after="0" w:line="480" w:lineRule="auto"/>
        <w:rPr>
          <w:color w:val="000000" w:themeColor="text1"/>
        </w:rPr>
      </w:pPr>
      <w:r w:rsidRPr="00B95E28">
        <w:rPr>
          <w:color w:val="000000" w:themeColor="text1"/>
        </w:rPr>
        <w:lastRenderedPageBreak/>
        <w:fldChar w:fldCharType="begin"/>
      </w:r>
      <w:r w:rsidRPr="00B95E28">
        <w:rPr>
          <w:color w:val="000000" w:themeColor="text1"/>
        </w:rPr>
        <w:instrText xml:space="preserve"> SEQ Figure \* ARABIC </w:instrText>
      </w:r>
      <w:r w:rsidRPr="00B95E28">
        <w:rPr>
          <w:color w:val="000000" w:themeColor="text1"/>
        </w:rPr>
        <w:fldChar w:fldCharType="separate"/>
      </w:r>
      <w:bookmarkStart w:id="92" w:name="_Toc230886210"/>
      <w:r w:rsidR="0033207C" w:rsidRPr="00B95E28">
        <w:rPr>
          <w:noProof/>
          <w:color w:val="000000" w:themeColor="text1"/>
        </w:rPr>
        <w:t>2</w:t>
      </w:r>
      <w:r w:rsidRPr="00B95E28">
        <w:rPr>
          <w:color w:val="000000" w:themeColor="text1"/>
        </w:rPr>
        <w:fldChar w:fldCharType="end"/>
      </w:r>
      <w:r w:rsidRPr="00B95E28">
        <w:rPr>
          <w:color w:val="000000" w:themeColor="text1"/>
        </w:rPr>
        <w:t>: Figure 3.1: Research Design and Analytical Flow (Source: Author)</w:t>
      </w:r>
      <w:bookmarkEnd w:id="92"/>
    </w:p>
    <w:p w14:paraId="7BEF5FA4" w14:textId="77777777" w:rsidR="00C217F9" w:rsidRPr="00B95E28" w:rsidRDefault="00C217F9" w:rsidP="00557AB7">
      <w:pPr>
        <w:spacing w:line="480" w:lineRule="auto"/>
        <w:rPr>
          <w:b/>
          <w:bCs/>
          <w:color w:val="000000" w:themeColor="text1"/>
          <w:lang w:val="en-CA"/>
        </w:rPr>
      </w:pPr>
      <w:r w:rsidRPr="00B95E28">
        <w:rPr>
          <w:b/>
          <w:bCs/>
          <w:noProof/>
          <w:color w:val="000000" w:themeColor="text1"/>
          <w:lang w:val="en-CA"/>
        </w:rPr>
        <w:drawing>
          <wp:inline distT="0" distB="0" distL="0" distR="0" wp14:anchorId="556D99F3" wp14:editId="72D45B42">
            <wp:extent cx="5220729" cy="609600"/>
            <wp:effectExtent l="0" t="0" r="0" b="0"/>
            <wp:docPr id="346394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45310" cy="612470"/>
                    </a:xfrm>
                    <a:prstGeom prst="rect">
                      <a:avLst/>
                    </a:prstGeom>
                    <a:noFill/>
                  </pic:spPr>
                </pic:pic>
              </a:graphicData>
            </a:graphic>
          </wp:inline>
        </w:drawing>
      </w:r>
    </w:p>
    <w:p w14:paraId="29352219" w14:textId="77777777" w:rsidR="00C217F9" w:rsidRPr="00B95E28" w:rsidRDefault="00C217F9" w:rsidP="00557AB7">
      <w:pPr>
        <w:spacing w:line="480" w:lineRule="auto"/>
        <w:rPr>
          <w:color w:val="000000" w:themeColor="text1"/>
          <w:lang w:val="en-CA"/>
        </w:rPr>
      </w:pPr>
      <w:r w:rsidRPr="00B95E28">
        <w:rPr>
          <w:color w:val="000000" w:themeColor="text1"/>
          <w:lang w:val="en-CA"/>
        </w:rPr>
        <w:t>As illustrated in Figure 3.1, the research design follows a structured progression from interpretivist philosophy and inductive reasoning through qualitative data collection and thematic analysis, culminating in the identification of cross-case findings. These findings provide the empirical foundation for the development of the Integration Capability Loop (ICL), which is presented and examined in subsequent chapters.</w:t>
      </w:r>
    </w:p>
    <w:p w14:paraId="288E214E" w14:textId="77777777" w:rsidR="00DF73F3" w:rsidRPr="00B95E28" w:rsidRDefault="00DF73F3" w:rsidP="00DF73F3">
      <w:pPr>
        <w:rPr>
          <w:color w:val="000000" w:themeColor="text1"/>
        </w:rPr>
      </w:pPr>
      <w:bookmarkStart w:id="93" w:name="_Toc230881442"/>
    </w:p>
    <w:p w14:paraId="7669D4F2" w14:textId="17941FA1" w:rsidR="00C217F9" w:rsidRPr="00B95E28" w:rsidRDefault="00C217F9" w:rsidP="00557AB7">
      <w:pPr>
        <w:pStyle w:val="Heading2"/>
        <w:spacing w:before="0" w:after="0" w:line="480" w:lineRule="auto"/>
        <w:ind w:left="0" w:firstLine="0"/>
        <w:rPr>
          <w:color w:val="000000" w:themeColor="text1"/>
        </w:rPr>
      </w:pPr>
      <w:bookmarkStart w:id="94" w:name="_Toc232351842"/>
      <w:r w:rsidRPr="00B95E28">
        <w:rPr>
          <w:color w:val="000000" w:themeColor="text1"/>
        </w:rPr>
        <w:t>3.3 Research Approach</w:t>
      </w:r>
      <w:bookmarkEnd w:id="93"/>
      <w:bookmarkEnd w:id="94"/>
    </w:p>
    <w:p w14:paraId="551B4D23" w14:textId="77777777" w:rsidR="00C217F9" w:rsidRPr="00B95E28" w:rsidRDefault="00C217F9" w:rsidP="00557AB7">
      <w:pPr>
        <w:spacing w:line="480" w:lineRule="auto"/>
        <w:rPr>
          <w:color w:val="000000" w:themeColor="text1"/>
        </w:rPr>
      </w:pPr>
      <w:r w:rsidRPr="00B95E28">
        <w:rPr>
          <w:color w:val="000000" w:themeColor="text1"/>
        </w:rPr>
        <w:t>This study adopts an inductive research approach to allow patterns of integration capability development to emerge from practitioner experience, rather than testing predefined theoretical relationships.</w:t>
      </w:r>
    </w:p>
    <w:p w14:paraId="3E71AAF9" w14:textId="77777777" w:rsidR="00797CA3" w:rsidRPr="00B95E28" w:rsidRDefault="00797CA3" w:rsidP="00DF73F3">
      <w:pPr>
        <w:rPr>
          <w:color w:val="000000" w:themeColor="text1"/>
          <w:lang w:val="en-CA"/>
        </w:rPr>
      </w:pPr>
    </w:p>
    <w:p w14:paraId="136B100F" w14:textId="1282C950" w:rsidR="00C217F9" w:rsidRPr="00B95E28" w:rsidRDefault="00C217F9" w:rsidP="00557AB7">
      <w:pPr>
        <w:spacing w:line="480" w:lineRule="auto"/>
        <w:rPr>
          <w:color w:val="000000" w:themeColor="text1"/>
          <w:lang w:val="en-CA"/>
        </w:rPr>
      </w:pPr>
      <w:r w:rsidRPr="00B95E28">
        <w:rPr>
          <w:color w:val="000000" w:themeColor="text1"/>
          <w:lang w:val="en-CA"/>
        </w:rPr>
        <w:t>Integration capability is shaped by organizational context, leadership decisions, and human dynamics. As a result, understanding how capability develops requires capturing practitioner perspectives on how integration is applied and adapted across transactions, rather than relying solely on formal process descriptions.</w:t>
      </w:r>
    </w:p>
    <w:p w14:paraId="1ED2A7F9" w14:textId="77777777" w:rsidR="00797CA3" w:rsidRPr="00B95E28" w:rsidRDefault="00797CA3" w:rsidP="00DF73F3">
      <w:pPr>
        <w:rPr>
          <w:color w:val="000000" w:themeColor="text1"/>
          <w:lang w:val="en-CA"/>
        </w:rPr>
      </w:pPr>
    </w:p>
    <w:p w14:paraId="0D53C8D9" w14:textId="6C9EAFFF" w:rsidR="00C217F9" w:rsidRPr="00B95E28" w:rsidRDefault="00C217F9" w:rsidP="00557AB7">
      <w:pPr>
        <w:spacing w:line="480" w:lineRule="auto"/>
        <w:rPr>
          <w:color w:val="000000" w:themeColor="text1"/>
          <w:lang w:val="en-CA"/>
        </w:rPr>
      </w:pPr>
      <w:r w:rsidRPr="00B95E28">
        <w:rPr>
          <w:color w:val="000000" w:themeColor="text1"/>
          <w:lang w:val="en-CA"/>
        </w:rPr>
        <w:t>While the literature provides a foundation for understanding integration processes and success factors, it does not fully explain how organizations translate this knowledge into repeatable capability. The inductive approach enables the research to move beyond existing frameworks and identify relationships that are grounded in practitioner experience.</w:t>
      </w:r>
    </w:p>
    <w:p w14:paraId="5E4A8A0B" w14:textId="77777777" w:rsidR="00797CA3" w:rsidRPr="00B95E28" w:rsidRDefault="00797CA3" w:rsidP="00557AB7">
      <w:pPr>
        <w:spacing w:line="480" w:lineRule="auto"/>
        <w:rPr>
          <w:color w:val="000000" w:themeColor="text1"/>
          <w:lang w:val="en-CA"/>
        </w:rPr>
      </w:pPr>
    </w:p>
    <w:p w14:paraId="624CE58D" w14:textId="43ACFBF4" w:rsidR="00C217F9" w:rsidRPr="00B95E28" w:rsidRDefault="00C217F9" w:rsidP="00557AB7">
      <w:pPr>
        <w:spacing w:line="480" w:lineRule="auto"/>
        <w:rPr>
          <w:color w:val="000000" w:themeColor="text1"/>
          <w:lang w:val="en-CA"/>
        </w:rPr>
      </w:pPr>
      <w:r w:rsidRPr="00B95E28">
        <w:rPr>
          <w:color w:val="000000" w:themeColor="text1"/>
          <w:lang w:val="en-CA"/>
        </w:rPr>
        <w:lastRenderedPageBreak/>
        <w:t>Through the analysis of interview data, recurring patterns were identified across key dimensions of integration, including governance, planning, execution, technology integration, and organizational learning. These patterns were not treated in isolation but examined in relation to each other to understand how they collectively influence integration outcomes across multiple transactions. This process led to the identification of a capability-based perspective on integration, in which performance is shaped not only by the presence of processes, but by the organization’s ability to apply and refine those processes over time.</w:t>
      </w:r>
    </w:p>
    <w:p w14:paraId="2E4C6434" w14:textId="77777777" w:rsidR="00797CA3" w:rsidRPr="00B95E28" w:rsidRDefault="00797CA3" w:rsidP="00DF73F3">
      <w:pPr>
        <w:rPr>
          <w:color w:val="000000" w:themeColor="text1"/>
          <w:lang w:val="en-CA"/>
        </w:rPr>
      </w:pPr>
    </w:p>
    <w:p w14:paraId="3B0F3F52" w14:textId="69E5C1E5" w:rsidR="00C217F9" w:rsidRPr="00B95E28" w:rsidRDefault="00C217F9" w:rsidP="00557AB7">
      <w:pPr>
        <w:spacing w:line="480" w:lineRule="auto"/>
        <w:rPr>
          <w:color w:val="000000" w:themeColor="text1"/>
          <w:lang w:val="en-CA"/>
        </w:rPr>
      </w:pPr>
      <w:r w:rsidRPr="00B95E28">
        <w:rPr>
          <w:color w:val="000000" w:themeColor="text1"/>
          <w:lang w:val="en-CA"/>
        </w:rPr>
        <w:t>The inductive nature of the research is particularly important in supporting the development of the Integration Capability Loop (ICL). Rather than being derived from a single theoretical framework, the model emerged from consistent themes observed across interviews, reflecting how practitioners describe the evolution of integration capability in real-world settings. This grounding in empirical data strengthens the relevance of the model and ensures that it reflects the complexity of integration environments.</w:t>
      </w:r>
    </w:p>
    <w:p w14:paraId="52ADA026" w14:textId="77777777" w:rsidR="00797CA3" w:rsidRPr="00B95E28" w:rsidRDefault="00797CA3" w:rsidP="00DF73F3">
      <w:pPr>
        <w:rPr>
          <w:color w:val="000000" w:themeColor="text1"/>
          <w:lang w:val="en-CA"/>
        </w:rPr>
      </w:pPr>
    </w:p>
    <w:p w14:paraId="52FCF23F" w14:textId="3503179D" w:rsidR="00C217F9" w:rsidRPr="00B95E28" w:rsidRDefault="00C217F9" w:rsidP="00557AB7">
      <w:pPr>
        <w:spacing w:line="480" w:lineRule="auto"/>
        <w:rPr>
          <w:color w:val="000000" w:themeColor="text1"/>
          <w:lang w:val="en-CA"/>
        </w:rPr>
      </w:pPr>
      <w:r w:rsidRPr="00B95E28">
        <w:rPr>
          <w:color w:val="000000" w:themeColor="text1"/>
          <w:lang w:val="en-CA"/>
        </w:rPr>
        <w:t>Together, the interpretivist and inductive approach provides a coherent foundation for the research. It enables the study to capture the depth and variability of integration practices while identifying common patterns that contribute to the development of repeatable capability. This approach is aligned with the overall objective of the dissertation, which is to move beyond process-based explanations of integration and toward a capability-based understanding of how organizations achieve consistent outcomes across acquisitions.</w:t>
      </w:r>
    </w:p>
    <w:p w14:paraId="4CE64356" w14:textId="77777777" w:rsidR="00C217F9" w:rsidRPr="00B95E28" w:rsidRDefault="00C217F9" w:rsidP="00557AB7">
      <w:pPr>
        <w:spacing w:line="480" w:lineRule="auto"/>
        <w:rPr>
          <w:rFonts w:eastAsiaTheme="minorEastAsia"/>
          <w:b/>
          <w:bCs/>
          <w:color w:val="000000" w:themeColor="text1"/>
        </w:rPr>
      </w:pPr>
      <w:r w:rsidRPr="00B95E28">
        <w:rPr>
          <w:rFonts w:eastAsiaTheme="minorEastAsia"/>
          <w:color w:val="000000" w:themeColor="text1"/>
        </w:rPr>
        <w:t>This approach aligns with inductive theory-building methods (Eisenhardt, 1989), which emphasize developing theoretical insight from empirical observation rather than testing predefined hypotheses.</w:t>
      </w:r>
    </w:p>
    <w:p w14:paraId="38B21C06" w14:textId="77777777" w:rsidR="00C217F9" w:rsidRPr="00B95E28" w:rsidRDefault="00C217F9" w:rsidP="00557AB7">
      <w:pPr>
        <w:pStyle w:val="Heading2"/>
        <w:spacing w:before="0" w:after="0" w:line="480" w:lineRule="auto"/>
        <w:ind w:left="0" w:firstLine="0"/>
        <w:rPr>
          <w:color w:val="000000" w:themeColor="text1"/>
        </w:rPr>
      </w:pPr>
      <w:bookmarkStart w:id="95" w:name="_Toc230881443"/>
      <w:bookmarkStart w:id="96" w:name="_Toc232351843"/>
      <w:r w:rsidRPr="00B95E28">
        <w:rPr>
          <w:color w:val="000000" w:themeColor="text1"/>
        </w:rPr>
        <w:lastRenderedPageBreak/>
        <w:t>3.4 Researcher Positionality</w:t>
      </w:r>
      <w:bookmarkEnd w:id="95"/>
      <w:bookmarkEnd w:id="96"/>
    </w:p>
    <w:p w14:paraId="23E9ED98" w14:textId="77777777" w:rsidR="00C217F9" w:rsidRPr="00B95E28" w:rsidRDefault="00C217F9" w:rsidP="00557AB7">
      <w:pPr>
        <w:spacing w:line="480" w:lineRule="auto"/>
        <w:rPr>
          <w:color w:val="000000" w:themeColor="text1"/>
        </w:rPr>
      </w:pPr>
      <w:r w:rsidRPr="00B95E28">
        <w:rPr>
          <w:color w:val="000000" w:themeColor="text1"/>
        </w:rPr>
        <w:t>The researcher’s professional background and experience in mergers and acquisitions provides important context for the interpretation of this study. As a practitioner with direct involvement in technology due diligence, integration planning, and post-merger execution, the researcher brings both domain expertise and experiential insight into the research process.</w:t>
      </w:r>
    </w:p>
    <w:p w14:paraId="4C5A1C5F" w14:textId="77777777" w:rsidR="00797CA3" w:rsidRPr="00B95E28" w:rsidRDefault="00797CA3" w:rsidP="00DF73F3">
      <w:pPr>
        <w:rPr>
          <w:color w:val="000000" w:themeColor="text1"/>
        </w:rPr>
      </w:pPr>
    </w:p>
    <w:p w14:paraId="604CAAC5" w14:textId="7E34D847" w:rsidR="00C217F9" w:rsidRPr="00B95E28" w:rsidRDefault="00C217F9" w:rsidP="00557AB7">
      <w:pPr>
        <w:spacing w:line="480" w:lineRule="auto"/>
        <w:rPr>
          <w:color w:val="000000" w:themeColor="text1"/>
        </w:rPr>
      </w:pPr>
      <w:r w:rsidRPr="00B95E28">
        <w:rPr>
          <w:color w:val="000000" w:themeColor="text1"/>
        </w:rPr>
        <w:t>This positioning offers several advantages. First, it enables a deeper understanding of the terminology, processes, and challenges described by participants, facilitating more meaningful interpretation of responses. Participants were able to speak at a practitioner level without the need for simplification, allowing for richer and more detailed data collection. This familiarity also supported the identification of implicit assumptions and nuances within participant responses that may not be immediately evident to an external observer.</w:t>
      </w:r>
    </w:p>
    <w:p w14:paraId="0C4BDEB7" w14:textId="77777777" w:rsidR="00DF73F3" w:rsidRPr="00B95E28" w:rsidRDefault="00DF73F3" w:rsidP="00DF73F3">
      <w:pPr>
        <w:rPr>
          <w:color w:val="000000" w:themeColor="text1"/>
        </w:rPr>
      </w:pPr>
    </w:p>
    <w:p w14:paraId="78403D80" w14:textId="26BBC39B" w:rsidR="00C217F9" w:rsidRPr="00B95E28" w:rsidRDefault="00C217F9" w:rsidP="00557AB7">
      <w:pPr>
        <w:spacing w:line="480" w:lineRule="auto"/>
        <w:rPr>
          <w:color w:val="000000" w:themeColor="text1"/>
        </w:rPr>
      </w:pPr>
      <w:r w:rsidRPr="00B95E28">
        <w:rPr>
          <w:color w:val="000000" w:themeColor="text1"/>
        </w:rPr>
        <w:t>Second, the researcher’s experience informed the design of the interview structure, ensuring alignment with real-world integration practices. The thematic areas explored in the interviews, including governance, planning, execution, technology integration, and organizational learning, reflect both established literature and practitioner relevance. This alignment strengthens the practical applicability of the findings.</w:t>
      </w:r>
    </w:p>
    <w:p w14:paraId="724B2031" w14:textId="77777777" w:rsidR="00DF73F3" w:rsidRPr="00B95E28" w:rsidRDefault="00DF73F3" w:rsidP="00DF73F3">
      <w:pPr>
        <w:rPr>
          <w:color w:val="000000" w:themeColor="text1"/>
        </w:rPr>
      </w:pPr>
    </w:p>
    <w:p w14:paraId="538453F4" w14:textId="4C339796" w:rsidR="00C217F9" w:rsidRPr="00B95E28" w:rsidRDefault="00C217F9" w:rsidP="00557AB7">
      <w:pPr>
        <w:spacing w:line="480" w:lineRule="auto"/>
        <w:rPr>
          <w:color w:val="000000" w:themeColor="text1"/>
        </w:rPr>
      </w:pPr>
      <w:r w:rsidRPr="00B95E28">
        <w:rPr>
          <w:color w:val="000000" w:themeColor="text1"/>
        </w:rPr>
        <w:t>However, this positioning also introduces the potential for bias. Prior experience may influence how data is interpreted, particularly in identifying patterns or prioritizing certain themes. To mitigate this, a structured and transparent analytical approach was adopted. Coding was grounded in participant responses rather than predefined assumptions, and themes were refined iteratively based on consistency across interviews.</w:t>
      </w:r>
    </w:p>
    <w:p w14:paraId="1695AC9B" w14:textId="77777777" w:rsidR="00C217F9" w:rsidRPr="00B95E28" w:rsidRDefault="00C217F9" w:rsidP="00557AB7">
      <w:pPr>
        <w:spacing w:line="480" w:lineRule="auto"/>
        <w:rPr>
          <w:color w:val="000000" w:themeColor="text1"/>
        </w:rPr>
      </w:pPr>
      <w:r w:rsidRPr="00B95E28">
        <w:rPr>
          <w:color w:val="000000" w:themeColor="text1"/>
        </w:rPr>
        <w:lastRenderedPageBreak/>
        <w:t>In addition, the use of a thematic matrix enabled systematic comparison across participants, reducing the risk of selective interpretation. By focusing on patterns that recur across multiple independent interviews, the analysis ensures that findings are not driven by individual perspectives or researcher bias.</w:t>
      </w:r>
    </w:p>
    <w:p w14:paraId="6F41DA8F" w14:textId="77777777" w:rsidR="00DF73F3" w:rsidRPr="00B95E28" w:rsidRDefault="00DF73F3" w:rsidP="00DF73F3">
      <w:pPr>
        <w:rPr>
          <w:color w:val="000000" w:themeColor="text1"/>
        </w:rPr>
      </w:pPr>
    </w:p>
    <w:p w14:paraId="070B7E8B" w14:textId="78A86544" w:rsidR="00C217F9" w:rsidRPr="00B95E28" w:rsidRDefault="00C217F9" w:rsidP="00557AB7">
      <w:pPr>
        <w:spacing w:line="480" w:lineRule="auto"/>
        <w:rPr>
          <w:color w:val="000000" w:themeColor="text1"/>
        </w:rPr>
      </w:pPr>
      <w:r w:rsidRPr="00B95E28">
        <w:rPr>
          <w:color w:val="000000" w:themeColor="text1"/>
        </w:rPr>
        <w:t>The researcher also maintained reflexivity throughout the research process, remaining aware of how prior experience may shape interpretation. This was addressed through deliberate efforts to remain grounded in participant language and to distinguish between practitioner insight and empirical evidence.</w:t>
      </w:r>
    </w:p>
    <w:p w14:paraId="38E44E3A" w14:textId="77777777" w:rsidR="00DF73F3" w:rsidRPr="00B95E28" w:rsidRDefault="00DF73F3" w:rsidP="00DF73F3">
      <w:pPr>
        <w:rPr>
          <w:color w:val="000000" w:themeColor="text1"/>
        </w:rPr>
      </w:pPr>
    </w:p>
    <w:p w14:paraId="5F0251DE" w14:textId="6E57C9C4" w:rsidR="00C217F9" w:rsidRPr="00B95E28" w:rsidRDefault="00C217F9" w:rsidP="00557AB7">
      <w:pPr>
        <w:spacing w:line="480" w:lineRule="auto"/>
        <w:rPr>
          <w:color w:val="000000" w:themeColor="text1"/>
        </w:rPr>
      </w:pPr>
      <w:r w:rsidRPr="00B95E28">
        <w:rPr>
          <w:color w:val="000000" w:themeColor="text1"/>
        </w:rPr>
        <w:t>Overall, the researcher’s positionality enhances the depth and relevance of the study while being managed through structured analytical processes to ensure credibility and rigour.</w:t>
      </w:r>
    </w:p>
    <w:p w14:paraId="770B9467" w14:textId="77777777" w:rsidR="00C217F9" w:rsidRPr="00B95E28" w:rsidRDefault="00C217F9" w:rsidP="00557AB7">
      <w:pPr>
        <w:spacing w:line="480" w:lineRule="auto"/>
        <w:rPr>
          <w:color w:val="000000" w:themeColor="text1"/>
          <w:lang w:val="en-CA"/>
        </w:rPr>
      </w:pPr>
      <w:r w:rsidRPr="00B95E28">
        <w:rPr>
          <w:color w:val="000000" w:themeColor="text1"/>
        </w:rPr>
        <w:t>Rather than limiting objectivity, this practitioner positioning enhances the study’s analytical depth by enabling interpretation grounded in both empirical data and domain expertise, while structured analytical processes ensure that conclusions remain data-driven.</w:t>
      </w:r>
    </w:p>
    <w:p w14:paraId="2F83C57F" w14:textId="77777777" w:rsidR="00DF73F3" w:rsidRPr="00B95E28" w:rsidRDefault="00DF73F3" w:rsidP="00DF73F3">
      <w:pPr>
        <w:rPr>
          <w:color w:val="000000" w:themeColor="text1"/>
          <w:lang w:val="en-CA"/>
        </w:rPr>
      </w:pPr>
      <w:bookmarkStart w:id="97" w:name="_Toc230881444"/>
    </w:p>
    <w:p w14:paraId="12491CB2" w14:textId="1F4EDD12" w:rsidR="00C217F9" w:rsidRPr="00B95E28" w:rsidRDefault="00C217F9" w:rsidP="00557AB7">
      <w:pPr>
        <w:pStyle w:val="Heading2"/>
        <w:spacing w:before="0" w:after="0" w:line="480" w:lineRule="auto"/>
        <w:ind w:left="0" w:firstLine="0"/>
        <w:rPr>
          <w:color w:val="000000" w:themeColor="text1"/>
          <w:lang w:val="en-CA"/>
        </w:rPr>
      </w:pPr>
      <w:bookmarkStart w:id="98" w:name="_Toc232351844"/>
      <w:r w:rsidRPr="00B95E28">
        <w:rPr>
          <w:color w:val="000000" w:themeColor="text1"/>
          <w:lang w:val="en-CA"/>
        </w:rPr>
        <w:t>3.5 Participant Selection</w:t>
      </w:r>
      <w:bookmarkEnd w:id="97"/>
      <w:bookmarkEnd w:id="98"/>
    </w:p>
    <w:p w14:paraId="19DE9416" w14:textId="77777777" w:rsidR="00C217F9" w:rsidRPr="00B95E28" w:rsidRDefault="00C217F9" w:rsidP="00557AB7">
      <w:pPr>
        <w:spacing w:line="480" w:lineRule="auto"/>
        <w:rPr>
          <w:color w:val="000000" w:themeColor="text1"/>
          <w:lang w:val="en-CA"/>
        </w:rPr>
      </w:pPr>
      <w:r w:rsidRPr="00B95E28">
        <w:rPr>
          <w:color w:val="000000" w:themeColor="text1"/>
          <w:lang w:val="en-CA"/>
        </w:rPr>
        <w:t>Participants for this study were selected using purposive sampling to ensure direct relevance to the research objective. The selection criteria focused on individuals with practical experience in mergers and acquisitions, specifically those involved in post-merger integration, corporate development, private equity, or transaction advisory roles. This approach ensured that participants were able to provide informed perspectives on how integration is planned, executed, and refined across multiple acquisitions.</w:t>
      </w:r>
    </w:p>
    <w:p w14:paraId="444EEBCA" w14:textId="77777777" w:rsidR="00DF73F3" w:rsidRPr="00B95E28" w:rsidRDefault="00DF73F3" w:rsidP="00DF73F3">
      <w:pPr>
        <w:rPr>
          <w:color w:val="000000" w:themeColor="text1"/>
        </w:rPr>
      </w:pPr>
    </w:p>
    <w:p w14:paraId="0AE3C50C" w14:textId="19EA15B1" w:rsidR="00C217F9" w:rsidRPr="00B95E28" w:rsidRDefault="00C217F9" w:rsidP="00557AB7">
      <w:pPr>
        <w:spacing w:line="480" w:lineRule="auto"/>
        <w:rPr>
          <w:color w:val="000000" w:themeColor="text1"/>
        </w:rPr>
      </w:pPr>
      <w:r w:rsidRPr="00B95E28">
        <w:rPr>
          <w:color w:val="000000" w:themeColor="text1"/>
        </w:rPr>
        <w:lastRenderedPageBreak/>
        <w:t>In total, twenty-three semi-structured interviews were conducted with practitioners who had direct experience in acquisition integration, corporate development, private equity, operations, technology, human capital, finance, or transaction advisory roles. Collectively, participants represented a substantial body of acquisition and integration experience, ranging from individuals involved in a small number of transactions to practitioners who had participated in dozens, and in some cases hundreds, of acquisition-related initiatives.</w:t>
      </w:r>
    </w:p>
    <w:p w14:paraId="3D9206C9" w14:textId="77777777" w:rsidR="00DF73F3" w:rsidRPr="00B95E28" w:rsidRDefault="00DF73F3" w:rsidP="00DF73F3">
      <w:pPr>
        <w:rPr>
          <w:color w:val="000000" w:themeColor="text1"/>
          <w:lang w:val="en-CA"/>
        </w:rPr>
      </w:pPr>
    </w:p>
    <w:p w14:paraId="5F0B018C" w14:textId="13F8744A" w:rsidR="00C217F9" w:rsidRPr="00B95E28" w:rsidRDefault="00C217F9" w:rsidP="00557AB7">
      <w:pPr>
        <w:spacing w:line="480" w:lineRule="auto"/>
        <w:rPr>
          <w:color w:val="000000" w:themeColor="text1"/>
          <w:lang w:val="en-CA"/>
        </w:rPr>
      </w:pPr>
      <w:r w:rsidRPr="00B95E28">
        <w:rPr>
          <w:color w:val="000000" w:themeColor="text1"/>
          <w:lang w:val="en-CA"/>
        </w:rPr>
        <w:t xml:space="preserve">The participant group was intentionally diverse. Some participants provided executive-level perspectives on acquisition strategy and integration governance, while others contributed functional insights related to technology, finance, human resources, operations, and advisory support. This variation was important because post-merger integration is not experienced through a single organizational lens. It is a cross-functional process in which governance, execution, systems, people, and learning interact. Including participants across these roles therefore strengthened the study’s ability to identify patterns that extend beyond one function or industry. </w:t>
      </w:r>
    </w:p>
    <w:p w14:paraId="104C7F3E" w14:textId="77777777" w:rsidR="00DF73F3" w:rsidRPr="00B95E28" w:rsidRDefault="00DF73F3" w:rsidP="00DF73F3">
      <w:pPr>
        <w:rPr>
          <w:color w:val="000000" w:themeColor="text1"/>
        </w:rPr>
      </w:pPr>
    </w:p>
    <w:p w14:paraId="44474DCC" w14:textId="562CD0A0" w:rsidR="00C217F9" w:rsidRPr="00B95E28" w:rsidRDefault="00C217F9" w:rsidP="00557AB7">
      <w:pPr>
        <w:spacing w:line="480" w:lineRule="auto"/>
        <w:rPr>
          <w:color w:val="000000" w:themeColor="text1"/>
          <w:lang w:val="en-CA"/>
        </w:rPr>
      </w:pPr>
      <w:r w:rsidRPr="00B95E28">
        <w:rPr>
          <w:color w:val="000000" w:themeColor="text1"/>
        </w:rPr>
        <w:t>This diversity also supported the study’s focus on repeatable integration capability rather than industry-specific integration practices. While industry context influences the content of integration, such as regulatory requirements, technology complexity, customer transition risk, or workforce considerations, the recurring patterns identified across participants related more consistently to governance, timing, authority, resourcing, and learning. This suggests that the capability dimensions examined in this study are not confined to a single sector, but reflect broader organizational conditions that shape integration outcomes across acquisition environments.</w:t>
      </w:r>
    </w:p>
    <w:p w14:paraId="7E806133" w14:textId="77777777" w:rsidR="00C217F9" w:rsidRPr="00B95E28" w:rsidRDefault="00C217F9" w:rsidP="00557AB7">
      <w:pPr>
        <w:spacing w:line="480" w:lineRule="auto"/>
        <w:rPr>
          <w:color w:val="000000" w:themeColor="text1"/>
          <w:lang w:val="en-CA"/>
        </w:rPr>
      </w:pPr>
      <w:r w:rsidRPr="00B95E28">
        <w:rPr>
          <w:color w:val="000000" w:themeColor="text1"/>
          <w:lang w:val="en-CA"/>
        </w:rPr>
        <w:lastRenderedPageBreak/>
        <w:t>The sample includes practitioners from a range of organizational contexts, including corporate acquirers, private equity-backed organizations, and advisory firms. Participants occupy roles such as corporate development leaders, integration executives, operating partners, HR integration specialists, and transaction advisors. This diversity of roles provides both strategic and operational perspectives on integration, enabling the study to capture how integration capability is developed and applied at different levels of the organization.</w:t>
      </w:r>
    </w:p>
    <w:p w14:paraId="1EB58C23" w14:textId="77777777" w:rsidR="00DF73F3" w:rsidRPr="00B95E28" w:rsidRDefault="00DF73F3" w:rsidP="00DF73F3">
      <w:pPr>
        <w:rPr>
          <w:color w:val="000000" w:themeColor="text1"/>
          <w:lang w:val="en-CA"/>
        </w:rPr>
      </w:pPr>
    </w:p>
    <w:p w14:paraId="1E1DD66B" w14:textId="0139BA87" w:rsidR="00C217F9" w:rsidRPr="00B95E28" w:rsidRDefault="00C217F9" w:rsidP="00557AB7">
      <w:pPr>
        <w:spacing w:line="480" w:lineRule="auto"/>
        <w:rPr>
          <w:color w:val="000000" w:themeColor="text1"/>
          <w:lang w:val="en-CA"/>
        </w:rPr>
      </w:pPr>
      <w:r w:rsidRPr="00B95E28">
        <w:rPr>
          <w:color w:val="000000" w:themeColor="text1"/>
          <w:lang w:val="en-CA"/>
        </w:rPr>
        <w:t>A key criterion for inclusion was exposure to multiple acquisitions. Participants reported experience ranging from involvement in three transactions to over one hundred and fifty integrations, with several participants having observed or contributed to acquisition programs involving significantly higher volumes. This range of experience is particularly relevant to the research focus on repeatability, as it enables the examination of how integration approaches evolve across repeated transactions rather than within a single deal context.</w:t>
      </w:r>
    </w:p>
    <w:p w14:paraId="3DD98170" w14:textId="77777777" w:rsidR="00DF73F3" w:rsidRPr="00B95E28" w:rsidRDefault="00DF73F3" w:rsidP="00DF73F3">
      <w:pPr>
        <w:rPr>
          <w:color w:val="000000" w:themeColor="text1"/>
          <w:lang w:val="en-CA"/>
        </w:rPr>
      </w:pPr>
    </w:p>
    <w:p w14:paraId="79B78821" w14:textId="2AE21201" w:rsidR="00C217F9" w:rsidRPr="00B95E28" w:rsidRDefault="00C217F9" w:rsidP="00557AB7">
      <w:pPr>
        <w:spacing w:line="480" w:lineRule="auto"/>
        <w:rPr>
          <w:color w:val="000000" w:themeColor="text1"/>
          <w:lang w:val="en-CA"/>
        </w:rPr>
      </w:pPr>
      <w:r w:rsidRPr="00B95E28">
        <w:rPr>
          <w:color w:val="000000" w:themeColor="text1"/>
          <w:lang w:val="en-CA"/>
        </w:rPr>
        <w:t xml:space="preserve">The sample also spans multiple industries, including technology, finance, healthcare, consulting, logistics, and industrial sectors. This cross-industry representation strengthens the robustness of the findings by reducing the likelihood that observed patterns are specific to a single sector. Instead, it supports the identification of recurring themes that are applicable across different organizational environments. </w:t>
      </w:r>
    </w:p>
    <w:p w14:paraId="464FD246" w14:textId="77777777" w:rsidR="00DF73F3" w:rsidRPr="00B95E28" w:rsidRDefault="00DF73F3" w:rsidP="00DF73F3">
      <w:pPr>
        <w:rPr>
          <w:color w:val="000000" w:themeColor="text1"/>
          <w:lang w:val="en-CA"/>
        </w:rPr>
      </w:pPr>
    </w:p>
    <w:p w14:paraId="10EE6236" w14:textId="7D1FC184" w:rsidR="00C217F9" w:rsidRPr="00B95E28" w:rsidRDefault="00C217F9" w:rsidP="00557AB7">
      <w:pPr>
        <w:spacing w:line="480" w:lineRule="auto"/>
        <w:rPr>
          <w:color w:val="000000" w:themeColor="text1"/>
          <w:lang w:val="en-CA"/>
        </w:rPr>
      </w:pPr>
      <w:r w:rsidRPr="00B95E28">
        <w:rPr>
          <w:color w:val="000000" w:themeColor="text1"/>
          <w:lang w:val="en-CA"/>
        </w:rPr>
        <w:t xml:space="preserve">In addition to diversity of industry and role, the sample includes participants with varying degrees of organizational maturity in relation to acquisitions. Some participants represent organizations with established acquisition programs and formalized integration structures, while others reflect environments where integration is less structured and more decentralized. This </w:t>
      </w:r>
      <w:r w:rsidRPr="00B95E28">
        <w:rPr>
          <w:color w:val="000000" w:themeColor="text1"/>
          <w:lang w:val="en-CA"/>
        </w:rPr>
        <w:lastRenderedPageBreak/>
        <w:t>variation is important in understanding not only what effective integration looks like, but why organizations differ in their ability to achieve consistent outcomes.</w:t>
      </w:r>
    </w:p>
    <w:p w14:paraId="39297F9C" w14:textId="77777777" w:rsidR="00DF73F3" w:rsidRPr="00B95E28" w:rsidRDefault="00DF73F3" w:rsidP="00DF73F3">
      <w:pPr>
        <w:rPr>
          <w:color w:val="000000" w:themeColor="text1"/>
          <w:lang w:val="en-CA"/>
        </w:rPr>
      </w:pPr>
    </w:p>
    <w:p w14:paraId="243A6DC9" w14:textId="12A40391" w:rsidR="00C217F9" w:rsidRPr="00B95E28" w:rsidRDefault="00C217F9" w:rsidP="00557AB7">
      <w:pPr>
        <w:spacing w:line="480" w:lineRule="auto"/>
        <w:rPr>
          <w:color w:val="000000" w:themeColor="text1"/>
          <w:lang w:val="en-CA"/>
        </w:rPr>
      </w:pPr>
      <w:r w:rsidRPr="00B95E28">
        <w:rPr>
          <w:color w:val="000000" w:themeColor="text1"/>
          <w:lang w:val="en-CA"/>
        </w:rPr>
        <w:t>The use of purposive sampling in this context is appropriate given the exploratory nature of the research. The objective is not to achieve statistical representation, but to capture depth of insight from individuals with relevant experience. By selecting participants based on their exposure to integration activities, the study ensures that the data reflects real-world practices and challenges associated with repeated acquisitions.</w:t>
      </w:r>
    </w:p>
    <w:p w14:paraId="720D5767" w14:textId="77777777" w:rsidR="00DF73F3" w:rsidRPr="00B95E28" w:rsidRDefault="00DF73F3" w:rsidP="00DF73F3">
      <w:pPr>
        <w:rPr>
          <w:color w:val="000000" w:themeColor="text1"/>
          <w:lang w:val="en-CA"/>
        </w:rPr>
      </w:pPr>
    </w:p>
    <w:p w14:paraId="70928C63" w14:textId="46742DC9" w:rsidR="00C217F9" w:rsidRPr="00B95E28" w:rsidRDefault="00C217F9" w:rsidP="00557AB7">
      <w:pPr>
        <w:spacing w:line="480" w:lineRule="auto"/>
        <w:rPr>
          <w:color w:val="000000" w:themeColor="text1"/>
          <w:lang w:val="en-CA"/>
        </w:rPr>
      </w:pPr>
      <w:r w:rsidRPr="00B95E28">
        <w:rPr>
          <w:color w:val="000000" w:themeColor="text1"/>
          <w:lang w:val="en-CA"/>
        </w:rPr>
        <w:t xml:space="preserve">The consistency of patterns observed across participants indicates that thematic saturation has been achieved, with recurring themes emerging across interviews despite differences in role, industry, and experience level. This supports the reliability of the findings and provides a strong foundation for the development of the Integration Capability Loop (ICL). </w:t>
      </w:r>
    </w:p>
    <w:p w14:paraId="4120A009" w14:textId="77777777" w:rsidR="00C217F9" w:rsidRPr="00B95E28" w:rsidRDefault="00C217F9" w:rsidP="00557AB7">
      <w:pPr>
        <w:spacing w:line="480" w:lineRule="auto"/>
        <w:rPr>
          <w:color w:val="000000" w:themeColor="text1"/>
          <w:lang w:val="en-CA"/>
        </w:rPr>
      </w:pPr>
      <w:r w:rsidRPr="00B95E28">
        <w:rPr>
          <w:color w:val="000000" w:themeColor="text1"/>
          <w:lang w:val="en-CA"/>
        </w:rPr>
        <w:t>Overall, the participant selection approach ensures that the study is grounded in practitioner experience and reflects a broad range of integration environments. This strengthens the credibility of the findings and supports the study’s objective of developing a capability-based understanding of post-merger integration across multiple acquisitions.</w:t>
      </w:r>
    </w:p>
    <w:p w14:paraId="5801DB93" w14:textId="77777777" w:rsidR="00DF73F3" w:rsidRPr="00B95E28" w:rsidRDefault="00DF73F3" w:rsidP="00DF73F3">
      <w:pPr>
        <w:rPr>
          <w:color w:val="000000" w:themeColor="text1"/>
        </w:rPr>
      </w:pPr>
    </w:p>
    <w:p w14:paraId="1BA84CAB" w14:textId="35A6B887" w:rsidR="00C217F9" w:rsidRPr="00B95E28" w:rsidRDefault="00C217F9" w:rsidP="00557AB7">
      <w:pPr>
        <w:spacing w:line="480" w:lineRule="auto"/>
        <w:rPr>
          <w:color w:val="000000" w:themeColor="text1"/>
        </w:rPr>
      </w:pPr>
      <w:r w:rsidRPr="00B95E28">
        <w:rPr>
          <w:color w:val="000000" w:themeColor="text1"/>
        </w:rPr>
        <w:t xml:space="preserve">Data collection continued until thematic saturation was achieved, defined as the point at which no materially new themes emerged from additional interviews. As interviews progressed, recurring patterns began to stabilize across participants, particularly in relation to integration governance, timing of planning, execution challenges, and the absence of structured learning mechanisms. </w:t>
      </w:r>
    </w:p>
    <w:p w14:paraId="1643FDCF" w14:textId="77777777" w:rsidR="00DF73F3" w:rsidRPr="00B95E28" w:rsidRDefault="00DF73F3" w:rsidP="00DF73F3">
      <w:pPr>
        <w:rPr>
          <w:color w:val="000000" w:themeColor="text1"/>
        </w:rPr>
      </w:pPr>
    </w:p>
    <w:p w14:paraId="2291F5F8" w14:textId="19DAB91B" w:rsidR="00C217F9" w:rsidRPr="00B95E28" w:rsidRDefault="00DF73F3" w:rsidP="00557AB7">
      <w:pPr>
        <w:spacing w:line="480" w:lineRule="auto"/>
        <w:rPr>
          <w:color w:val="000000" w:themeColor="text1"/>
        </w:rPr>
      </w:pPr>
      <w:r w:rsidRPr="00B95E28">
        <w:rPr>
          <w:color w:val="000000" w:themeColor="text1"/>
        </w:rPr>
        <w:lastRenderedPageBreak/>
        <w:t>T</w:t>
      </w:r>
      <w:r w:rsidR="00C217F9" w:rsidRPr="00B95E28">
        <w:rPr>
          <w:color w:val="000000" w:themeColor="text1"/>
        </w:rPr>
        <w:t>he final set of interviews confirmed rather than extended existing themes, indicating that additional data collection was unlikely to yield new insights. This is consistent with qualitative research standards, which emphasize depth and consistency of themes over sample size (Saunders et al., 2019).</w:t>
      </w:r>
    </w:p>
    <w:p w14:paraId="518C8E20" w14:textId="77777777" w:rsidR="00DF73F3" w:rsidRPr="00B95E28" w:rsidRDefault="00DF73F3" w:rsidP="00DF73F3">
      <w:pPr>
        <w:rPr>
          <w:color w:val="000000" w:themeColor="text1"/>
        </w:rPr>
      </w:pPr>
    </w:p>
    <w:p w14:paraId="0299151C" w14:textId="77777777" w:rsidR="00DF73F3" w:rsidRPr="00B95E28" w:rsidRDefault="00C217F9" w:rsidP="00557AB7">
      <w:pPr>
        <w:spacing w:line="480" w:lineRule="auto"/>
        <w:rPr>
          <w:color w:val="000000" w:themeColor="text1"/>
        </w:rPr>
      </w:pPr>
      <w:r w:rsidRPr="00B95E28">
        <w:rPr>
          <w:color w:val="000000" w:themeColor="text1"/>
        </w:rPr>
        <w:t xml:space="preserve">The achievement of thematic saturation strengthens the credibility of the findings by demonstrating that identified themes reflect consistent patterns across diverse participants rather than isolated observations. It also supports the robustness of the Integration Capability Loop (ICL), which is grounded in repeated and validated patterns observed across the dataset. The final interviews were particularly useful in confirming the stability of the coding framework. </w:t>
      </w:r>
    </w:p>
    <w:p w14:paraId="2E498557" w14:textId="77777777" w:rsidR="00DF73F3" w:rsidRPr="00B95E28" w:rsidRDefault="00DF73F3" w:rsidP="00DF73F3">
      <w:pPr>
        <w:rPr>
          <w:color w:val="000000" w:themeColor="text1"/>
        </w:rPr>
      </w:pPr>
    </w:p>
    <w:p w14:paraId="5495E743" w14:textId="45CB9615" w:rsidR="00C217F9" w:rsidRPr="00B95E28" w:rsidRDefault="00C217F9" w:rsidP="00557AB7">
      <w:pPr>
        <w:spacing w:line="480" w:lineRule="auto"/>
        <w:rPr>
          <w:color w:val="000000" w:themeColor="text1"/>
        </w:rPr>
      </w:pPr>
      <w:r w:rsidRPr="00B95E28">
        <w:rPr>
          <w:color w:val="000000" w:themeColor="text1"/>
        </w:rPr>
        <w:t>Rather than producing entirely new categories, later interviews reinforced the existing themes and added nuance to the relationships between them. This was especially evident in relation to the timing of integration planning, the role of governance authority, and the challenge of converting experience into organizational learning. This pattern supported the conclusion that the dataset had reached conceptual sufficiency for the purposes of this study. The aim was not to exhaust every possible integration context, but to identify recurring mechanisms that explain how integration capability is developed, applied, and constrained across repeated acquisitions.</w:t>
      </w:r>
    </w:p>
    <w:p w14:paraId="16335C54" w14:textId="77777777" w:rsidR="00DF73F3" w:rsidRPr="00B95E28" w:rsidRDefault="00DF73F3" w:rsidP="00DF73F3">
      <w:pPr>
        <w:rPr>
          <w:rFonts w:eastAsiaTheme="minorEastAsia"/>
          <w:color w:val="000000" w:themeColor="text1"/>
        </w:rPr>
      </w:pPr>
    </w:p>
    <w:p w14:paraId="15D5C9B6" w14:textId="3B3909A2" w:rsidR="00C217F9" w:rsidRPr="00B95E28" w:rsidRDefault="00C217F9" w:rsidP="00557AB7">
      <w:pPr>
        <w:spacing w:line="480" w:lineRule="auto"/>
        <w:rPr>
          <w:rFonts w:eastAsiaTheme="minorEastAsia"/>
          <w:b/>
          <w:bCs/>
          <w:color w:val="000000" w:themeColor="text1"/>
        </w:rPr>
      </w:pPr>
      <w:r w:rsidRPr="00B95E28">
        <w:rPr>
          <w:rFonts w:eastAsiaTheme="minorEastAsia"/>
          <w:color w:val="000000" w:themeColor="text1"/>
        </w:rPr>
        <w:t>This saturation point was important because the purpose of the study was not to capture every possible acquisition context, but to identify recurring mechanisms that explain how integration capability is developed, constrained, and transferred across transactions. The consistency of later interviews strengthened confidence that the findings reflected stable patterns rather than isolated participant views.</w:t>
      </w:r>
    </w:p>
    <w:p w14:paraId="45A812D3" w14:textId="77777777" w:rsidR="00C217F9" w:rsidRPr="00B95E28" w:rsidRDefault="00C217F9" w:rsidP="00557AB7">
      <w:pPr>
        <w:pStyle w:val="Heading2"/>
        <w:spacing w:before="0" w:after="0" w:line="480" w:lineRule="auto"/>
        <w:ind w:left="0" w:firstLine="0"/>
        <w:rPr>
          <w:color w:val="000000" w:themeColor="text1"/>
          <w:lang w:val="en-CA"/>
        </w:rPr>
      </w:pPr>
      <w:bookmarkStart w:id="99" w:name="_Toc230881445"/>
      <w:bookmarkStart w:id="100" w:name="_Toc232351845"/>
      <w:r w:rsidRPr="00B95E28">
        <w:rPr>
          <w:color w:val="000000" w:themeColor="text1"/>
          <w:lang w:val="en-CA"/>
        </w:rPr>
        <w:lastRenderedPageBreak/>
        <w:t>3.6 Data Collection</w:t>
      </w:r>
      <w:bookmarkEnd w:id="99"/>
      <w:bookmarkEnd w:id="100"/>
    </w:p>
    <w:p w14:paraId="5BE6FBF9" w14:textId="77777777" w:rsidR="00C217F9" w:rsidRPr="00B95E28" w:rsidRDefault="00C217F9" w:rsidP="00557AB7">
      <w:pPr>
        <w:spacing w:line="480" w:lineRule="auto"/>
        <w:rPr>
          <w:color w:val="000000" w:themeColor="text1"/>
        </w:rPr>
      </w:pPr>
      <w:r w:rsidRPr="00B95E28">
        <w:rPr>
          <w:color w:val="000000" w:themeColor="text1"/>
        </w:rPr>
        <w:t>Semi-structured interviews are an established method in qualitative research for exploring complex processes while maintaining consistency across participants (Saunders et al., 2019).</w:t>
      </w:r>
    </w:p>
    <w:p w14:paraId="475D58B2" w14:textId="77777777" w:rsidR="00C217F9" w:rsidRPr="00B95E28" w:rsidRDefault="00C217F9" w:rsidP="00557AB7">
      <w:pPr>
        <w:spacing w:line="480" w:lineRule="auto"/>
        <w:rPr>
          <w:color w:val="000000" w:themeColor="text1"/>
        </w:rPr>
      </w:pPr>
      <w:r w:rsidRPr="00B95E28">
        <w:rPr>
          <w:color w:val="000000" w:themeColor="text1"/>
        </w:rPr>
        <w:t>Data for this study was collected through semi-structured interviews conducted between March and May 2026. Interviews were carried out using virtual platforms, including Microsoft Teams, Zoom, and telephone, depending on participant preference and availability.</w:t>
      </w:r>
    </w:p>
    <w:p w14:paraId="4C998F1B" w14:textId="77777777" w:rsidR="00D66D8B" w:rsidRPr="00B95E28" w:rsidRDefault="00D66D8B" w:rsidP="00DF73F3">
      <w:pPr>
        <w:rPr>
          <w:color w:val="000000" w:themeColor="text1"/>
          <w:lang w:val="en-CA"/>
        </w:rPr>
      </w:pPr>
    </w:p>
    <w:p w14:paraId="63208B50" w14:textId="43707732" w:rsidR="00C217F9" w:rsidRPr="00B95E28" w:rsidRDefault="00C217F9" w:rsidP="00557AB7">
      <w:pPr>
        <w:spacing w:line="480" w:lineRule="auto"/>
        <w:rPr>
          <w:color w:val="000000" w:themeColor="text1"/>
          <w:lang w:val="en-CA"/>
        </w:rPr>
      </w:pPr>
      <w:r w:rsidRPr="00B95E28">
        <w:rPr>
          <w:color w:val="000000" w:themeColor="text1"/>
          <w:lang w:val="en-CA"/>
        </w:rPr>
        <w:t>Semi-structured interviews were selected as the primary data collection method to balance consistency with depth. A common set of guiding questions ensured that key themes were explored across all participants, while allowing flexibility to probe deeper into specific experiences, challenges, and organizational contexts. This format was particularly important given the variation in participant roles, industries, and levels of acquisition experience.</w:t>
      </w:r>
    </w:p>
    <w:p w14:paraId="28623359" w14:textId="77777777" w:rsidR="00D66D8B" w:rsidRPr="00B95E28" w:rsidRDefault="00D66D8B" w:rsidP="00DF73F3">
      <w:pPr>
        <w:rPr>
          <w:color w:val="000000" w:themeColor="text1"/>
          <w:lang w:val="en-CA"/>
        </w:rPr>
      </w:pPr>
    </w:p>
    <w:p w14:paraId="728D766B" w14:textId="3A13E5C3" w:rsidR="00C217F9" w:rsidRPr="00B95E28" w:rsidRDefault="00C217F9" w:rsidP="00557AB7">
      <w:pPr>
        <w:spacing w:line="480" w:lineRule="auto"/>
        <w:rPr>
          <w:color w:val="000000" w:themeColor="text1"/>
          <w:lang w:val="en-CA"/>
        </w:rPr>
      </w:pPr>
      <w:r w:rsidRPr="00B95E28">
        <w:rPr>
          <w:color w:val="000000" w:themeColor="text1"/>
          <w:lang w:val="en-CA"/>
        </w:rPr>
        <w:t>Participants were encouraged to reflect not only on individual transactions but on patterns observed across multiple acquisitions. This emphasis on repeated experience aligns with the research objective of understanding integration as a capability developed over time rather than as a one-time event. Several participants highlighted that integration practices often lack consistency across transactions, with one noting that integration is frequently “treated like independent events,” indicating limited standardization across deals. Such insights reinforced the need to explore integration beyond single-case perspectives.</w:t>
      </w:r>
    </w:p>
    <w:p w14:paraId="13CEFA54" w14:textId="77777777" w:rsidR="00D66D8B" w:rsidRPr="00B95E28" w:rsidRDefault="00D66D8B" w:rsidP="00DF73F3">
      <w:pPr>
        <w:rPr>
          <w:color w:val="000000" w:themeColor="text1"/>
          <w:lang w:val="en-CA"/>
        </w:rPr>
      </w:pPr>
    </w:p>
    <w:p w14:paraId="3804D877" w14:textId="5A589813" w:rsidR="00C217F9" w:rsidRPr="00B95E28" w:rsidRDefault="00C217F9" w:rsidP="00557AB7">
      <w:pPr>
        <w:spacing w:line="480" w:lineRule="auto"/>
        <w:rPr>
          <w:color w:val="000000" w:themeColor="text1"/>
          <w:lang w:val="en-CA"/>
        </w:rPr>
      </w:pPr>
      <w:r w:rsidRPr="00B95E28">
        <w:rPr>
          <w:color w:val="000000" w:themeColor="text1"/>
          <w:lang w:val="en-CA"/>
        </w:rPr>
        <w:t xml:space="preserve">The interview format also enabled the capture of insights related to timing and decision-making within the acquisition lifecycle. For example, participants frequently emphasized the importance of early-stage planning, with one noting that “a lot of that work's done while the negotiations are still underway.” This reflects the role of pre-close activities in shaping post-close integration </w:t>
      </w:r>
      <w:r w:rsidRPr="00B95E28">
        <w:rPr>
          <w:color w:val="000000" w:themeColor="text1"/>
          <w:lang w:val="en-CA"/>
        </w:rPr>
        <w:lastRenderedPageBreak/>
        <w:t>outcomes and underscores the importance of including questions related to the full deal lifecycle within the interview design.</w:t>
      </w:r>
    </w:p>
    <w:p w14:paraId="19912B50" w14:textId="77777777" w:rsidR="00D66D8B" w:rsidRPr="00B95E28" w:rsidRDefault="00D66D8B" w:rsidP="00DF73F3">
      <w:pPr>
        <w:rPr>
          <w:color w:val="000000" w:themeColor="text1"/>
          <w:lang w:val="en-CA"/>
        </w:rPr>
      </w:pPr>
    </w:p>
    <w:p w14:paraId="2CF10ECB" w14:textId="066631CD" w:rsidR="00C217F9" w:rsidRPr="00B95E28" w:rsidRDefault="00C217F9" w:rsidP="00557AB7">
      <w:pPr>
        <w:spacing w:line="480" w:lineRule="auto"/>
        <w:rPr>
          <w:color w:val="000000" w:themeColor="text1"/>
          <w:lang w:val="en-CA"/>
        </w:rPr>
      </w:pPr>
      <w:r w:rsidRPr="00B95E28">
        <w:rPr>
          <w:color w:val="000000" w:themeColor="text1"/>
          <w:lang w:val="en-CA"/>
        </w:rPr>
        <w:t>Interviews covered a consistent set of themes, including integration governance, planning approaches, execution challenges, technology integration, human capital considerations, and organizational learning. However, participants were given flexibility to expand on areas most relevant to their experience, resulting in rich, context-specific insights. This flexibility was particularly valuable in identifying recurring challenges that cut across different organizational environments, such as the complexity of systems integration and the impact of human dynamics on execution.</w:t>
      </w:r>
    </w:p>
    <w:p w14:paraId="76236290" w14:textId="77777777" w:rsidR="00D66D8B" w:rsidRPr="00B95E28" w:rsidRDefault="00D66D8B" w:rsidP="00DF73F3">
      <w:pPr>
        <w:rPr>
          <w:color w:val="000000" w:themeColor="text1"/>
        </w:rPr>
      </w:pPr>
    </w:p>
    <w:p w14:paraId="36D1591D" w14:textId="71376B7C" w:rsidR="00C217F9" w:rsidRPr="00B95E28" w:rsidRDefault="00C217F9" w:rsidP="00557AB7">
      <w:pPr>
        <w:spacing w:line="480" w:lineRule="auto"/>
        <w:rPr>
          <w:color w:val="000000" w:themeColor="text1"/>
          <w:lang w:val="en-CA"/>
        </w:rPr>
      </w:pPr>
      <w:r w:rsidRPr="00B95E28">
        <w:rPr>
          <w:color w:val="000000" w:themeColor="text1"/>
        </w:rPr>
        <w:t xml:space="preserve">Data for this study was </w:t>
      </w:r>
      <w:r w:rsidRPr="00B95E28">
        <w:rPr>
          <w:color w:val="000000" w:themeColor="text1"/>
          <w:lang w:val="en-CA"/>
        </w:rPr>
        <w:t xml:space="preserve">captured through detailed notes and structured interview summaries. </w:t>
      </w:r>
      <w:r w:rsidRPr="00B95E28">
        <w:rPr>
          <w:color w:val="000000" w:themeColor="text1"/>
        </w:rPr>
        <w:t xml:space="preserve">Interview summaries were developed and reviewed shortly after each session to ensure accuracy, completeness, and consistency across the dataset. </w:t>
      </w:r>
      <w:r w:rsidRPr="00B95E28">
        <w:rPr>
          <w:color w:val="000000" w:themeColor="text1"/>
          <w:lang w:val="en-CA"/>
        </w:rPr>
        <w:t>Where appropriate, direct quotations were recorded to preserve the language used by participants and support the interpretation of key themes in subsequent analysis.</w:t>
      </w:r>
    </w:p>
    <w:p w14:paraId="106A7A46" w14:textId="77777777" w:rsidR="00DF73F3" w:rsidRPr="00B95E28" w:rsidRDefault="00DF73F3" w:rsidP="00DF73F3">
      <w:pPr>
        <w:rPr>
          <w:color w:val="000000" w:themeColor="text1"/>
          <w:lang w:val="en-CA"/>
        </w:rPr>
      </w:pPr>
    </w:p>
    <w:p w14:paraId="18547F6F" w14:textId="0E9BF74A" w:rsidR="00C217F9" w:rsidRPr="00B95E28" w:rsidRDefault="00C217F9" w:rsidP="00557AB7">
      <w:pPr>
        <w:spacing w:line="480" w:lineRule="auto"/>
        <w:rPr>
          <w:color w:val="000000" w:themeColor="text1"/>
          <w:lang w:val="en-CA"/>
        </w:rPr>
      </w:pPr>
      <w:r w:rsidRPr="00B95E28">
        <w:rPr>
          <w:color w:val="000000" w:themeColor="text1"/>
          <w:lang w:val="en-CA"/>
        </w:rPr>
        <w:t>The combination of structured questioning and flexible probing enabled the collection of both comparable and nuanced data across interviews. As a result, the data collected provides a strong foundation for identifying recurring patterns and developing a capability-based understanding of integration across multiple acquisitions.</w:t>
      </w:r>
    </w:p>
    <w:p w14:paraId="175754E0" w14:textId="77777777" w:rsidR="00D66D8B" w:rsidRPr="00B95E28" w:rsidRDefault="00D66D8B" w:rsidP="00DF73F3">
      <w:pPr>
        <w:rPr>
          <w:color w:val="000000" w:themeColor="text1"/>
          <w:lang w:val="en-CA"/>
        </w:rPr>
      </w:pPr>
    </w:p>
    <w:p w14:paraId="7CA98D41" w14:textId="46892B85" w:rsidR="00C217F9" w:rsidRPr="00B95E28" w:rsidRDefault="00C217F9" w:rsidP="00557AB7">
      <w:pPr>
        <w:spacing w:line="480" w:lineRule="auto"/>
        <w:rPr>
          <w:color w:val="000000" w:themeColor="text1"/>
          <w:lang w:val="en-CA"/>
        </w:rPr>
      </w:pPr>
      <w:r w:rsidRPr="00B95E28">
        <w:rPr>
          <w:color w:val="000000" w:themeColor="text1"/>
          <w:lang w:val="en-CA"/>
        </w:rPr>
        <w:t>These themes were intentionally aligned with the research questions, with flexibility in phrasing to allow participants to provide experience-driven insights.</w:t>
      </w:r>
    </w:p>
    <w:p w14:paraId="0F9CDED8" w14:textId="77777777" w:rsidR="00C217F9" w:rsidRPr="00B95E28" w:rsidRDefault="00C217F9" w:rsidP="00557AB7">
      <w:pPr>
        <w:pStyle w:val="Heading2"/>
        <w:spacing w:before="0" w:after="0" w:line="480" w:lineRule="auto"/>
        <w:ind w:left="0" w:firstLine="0"/>
        <w:rPr>
          <w:color w:val="000000" w:themeColor="text1"/>
          <w:lang w:val="en-CA"/>
        </w:rPr>
      </w:pPr>
      <w:bookmarkStart w:id="101" w:name="_Toc230881446"/>
      <w:bookmarkStart w:id="102" w:name="_Toc232351846"/>
      <w:r w:rsidRPr="00B95E28">
        <w:rPr>
          <w:color w:val="000000" w:themeColor="text1"/>
          <w:lang w:val="en-CA"/>
        </w:rPr>
        <w:lastRenderedPageBreak/>
        <w:t>3.7 Interview Structure</w:t>
      </w:r>
      <w:bookmarkEnd w:id="101"/>
      <w:bookmarkEnd w:id="102"/>
    </w:p>
    <w:p w14:paraId="101DAB0F" w14:textId="77777777" w:rsidR="00C217F9" w:rsidRPr="00B95E28" w:rsidRDefault="00C217F9" w:rsidP="00557AB7">
      <w:pPr>
        <w:spacing w:line="480" w:lineRule="auto"/>
        <w:rPr>
          <w:color w:val="000000" w:themeColor="text1"/>
          <w:lang w:val="en-CA"/>
        </w:rPr>
      </w:pPr>
      <w:r w:rsidRPr="00B95E28">
        <w:rPr>
          <w:color w:val="000000" w:themeColor="text1"/>
          <w:lang w:val="en-CA"/>
        </w:rPr>
        <w:t>The interview structure was designed to ensure consistent coverage of key dimensions of post-merger integration while allowing flexibility for participants to draw on their individual experience. A semi-structured format was adopted, using a common set of thematic areas to guide discussion rather than a fixed sequence of questions. This approach ensured comparability across interviews while enabling participants to elaborate on areas most relevant to their role and organizational context.</w:t>
      </w:r>
    </w:p>
    <w:p w14:paraId="1F2F3339" w14:textId="77777777" w:rsidR="00D66D8B" w:rsidRPr="00B95E28" w:rsidRDefault="00D66D8B" w:rsidP="00DF73F3">
      <w:pPr>
        <w:rPr>
          <w:color w:val="000000" w:themeColor="text1"/>
          <w:lang w:val="en-CA"/>
        </w:rPr>
      </w:pPr>
    </w:p>
    <w:p w14:paraId="5D3826D4" w14:textId="2553E970" w:rsidR="00C217F9" w:rsidRPr="00B95E28" w:rsidRDefault="00C217F9" w:rsidP="00557AB7">
      <w:pPr>
        <w:spacing w:line="480" w:lineRule="auto"/>
        <w:rPr>
          <w:color w:val="000000" w:themeColor="text1"/>
          <w:lang w:val="en-CA"/>
        </w:rPr>
      </w:pPr>
      <w:r w:rsidRPr="00B95E28">
        <w:rPr>
          <w:color w:val="000000" w:themeColor="text1"/>
          <w:lang w:val="en-CA"/>
        </w:rPr>
        <w:t>The interview guide was organized around a series of core themes aligned with both the research objectives and the dimensions of integration capability identified in the literature. These themes included integration governance, leadership and accountability, timing and approach to integration planning, execution challenges, technology and systems integration, human capital considerations, and organizational learning across transactions.</w:t>
      </w:r>
    </w:p>
    <w:p w14:paraId="7DF1487F" w14:textId="77777777" w:rsidR="00D66D8B" w:rsidRPr="00B95E28" w:rsidRDefault="00D66D8B" w:rsidP="00DF73F3">
      <w:pPr>
        <w:rPr>
          <w:color w:val="000000" w:themeColor="text1"/>
          <w:lang w:val="en-CA"/>
        </w:rPr>
      </w:pPr>
    </w:p>
    <w:p w14:paraId="4E367EB0" w14:textId="70CCDAC2" w:rsidR="00C217F9" w:rsidRPr="00B95E28" w:rsidRDefault="00C217F9" w:rsidP="00557AB7">
      <w:pPr>
        <w:spacing w:line="480" w:lineRule="auto"/>
        <w:rPr>
          <w:color w:val="000000" w:themeColor="text1"/>
          <w:lang w:val="en-CA"/>
        </w:rPr>
      </w:pPr>
      <w:r w:rsidRPr="00B95E28">
        <w:rPr>
          <w:color w:val="000000" w:themeColor="text1"/>
          <w:lang w:val="en-CA"/>
        </w:rPr>
        <w:t>Each interview began with a contextual discussion to establish the participant’s experience with mergers and acquisitions, including the number and type of transactions they had been involved in. This provided a baseline for understanding the perspective from which subsequent insights were drawn and ensured that responses could be interpreted within the appropriate organizational and transactional context.</w:t>
      </w:r>
    </w:p>
    <w:p w14:paraId="73D6C7BA" w14:textId="77777777" w:rsidR="00D66D8B" w:rsidRPr="00B95E28" w:rsidRDefault="00D66D8B" w:rsidP="00DF73F3">
      <w:pPr>
        <w:rPr>
          <w:color w:val="000000" w:themeColor="text1"/>
          <w:lang w:val="en-CA"/>
        </w:rPr>
      </w:pPr>
    </w:p>
    <w:p w14:paraId="1BA70074" w14:textId="2C773270" w:rsidR="00C217F9" w:rsidRPr="00B95E28" w:rsidRDefault="00C217F9" w:rsidP="00557AB7">
      <w:pPr>
        <w:spacing w:line="480" w:lineRule="auto"/>
        <w:rPr>
          <w:color w:val="000000" w:themeColor="text1"/>
          <w:lang w:val="en-CA"/>
        </w:rPr>
      </w:pPr>
      <w:r w:rsidRPr="00B95E28">
        <w:rPr>
          <w:color w:val="000000" w:themeColor="text1"/>
          <w:lang w:val="en-CA"/>
        </w:rPr>
        <w:t>Following this, participants were asked to describe how integration is typically structured within their organization, including the presence or absence of dedicated integration teams, governance frameworks, and leadership ownership. This section was designed to explore how integration responsibility is distributed and how decisions are coordinated across functions.</w:t>
      </w:r>
    </w:p>
    <w:p w14:paraId="70C925CC" w14:textId="77777777" w:rsidR="00C217F9" w:rsidRPr="00B95E28" w:rsidRDefault="00C217F9" w:rsidP="00557AB7">
      <w:pPr>
        <w:spacing w:line="480" w:lineRule="auto"/>
        <w:rPr>
          <w:color w:val="000000" w:themeColor="text1"/>
          <w:lang w:val="en-CA"/>
        </w:rPr>
      </w:pPr>
      <w:r w:rsidRPr="00B95E28">
        <w:rPr>
          <w:color w:val="000000" w:themeColor="text1"/>
          <w:lang w:val="en-CA"/>
        </w:rPr>
        <w:lastRenderedPageBreak/>
        <w:t>The interview then examined the timing and approach to integration planning, with particular emphasis on activities undertaken prior to deal close. Participants were encouraged to reflect on when integration planning is introduced, how it is linked to the deal thesis, and the extent to which planning is consistent across transactions. This line of questioning was central to understanding whether integration is treated as a repeatable process or as a deal-specific activity.</w:t>
      </w:r>
    </w:p>
    <w:p w14:paraId="08995505" w14:textId="77777777" w:rsidR="00D66D8B" w:rsidRPr="00B95E28" w:rsidRDefault="00D66D8B" w:rsidP="00DF73F3">
      <w:pPr>
        <w:rPr>
          <w:color w:val="000000" w:themeColor="text1"/>
          <w:lang w:val="en-CA"/>
        </w:rPr>
      </w:pPr>
    </w:p>
    <w:p w14:paraId="6FBC0422" w14:textId="11B930FF" w:rsidR="00C217F9" w:rsidRPr="00B95E28" w:rsidRDefault="00C217F9" w:rsidP="00557AB7">
      <w:pPr>
        <w:spacing w:line="480" w:lineRule="auto"/>
        <w:rPr>
          <w:color w:val="000000" w:themeColor="text1"/>
          <w:lang w:val="en-CA"/>
        </w:rPr>
      </w:pPr>
      <w:r w:rsidRPr="00B95E28">
        <w:rPr>
          <w:color w:val="000000" w:themeColor="text1"/>
          <w:lang w:val="en-CA"/>
        </w:rPr>
        <w:t>Execution was explored through questions related to operational coordination, resource allocation, and common challenges encountered during integration. Participants were asked to describe how integration is managed post-close, including how progress is tracked, how issues are escalated, and where breakdowns typically occur.</w:t>
      </w:r>
    </w:p>
    <w:p w14:paraId="4FB29614" w14:textId="77777777" w:rsidR="00D66D8B" w:rsidRPr="00B95E28" w:rsidRDefault="00D66D8B" w:rsidP="00DF73F3">
      <w:pPr>
        <w:rPr>
          <w:color w:val="000000" w:themeColor="text1"/>
          <w:lang w:val="en-CA"/>
        </w:rPr>
      </w:pPr>
    </w:p>
    <w:p w14:paraId="1AF78477" w14:textId="7D5F64FF" w:rsidR="00C217F9" w:rsidRPr="00B95E28" w:rsidRDefault="00C217F9" w:rsidP="00557AB7">
      <w:pPr>
        <w:spacing w:line="480" w:lineRule="auto"/>
        <w:rPr>
          <w:color w:val="000000" w:themeColor="text1"/>
          <w:lang w:val="en-CA"/>
        </w:rPr>
      </w:pPr>
      <w:r w:rsidRPr="00B95E28">
        <w:rPr>
          <w:color w:val="000000" w:themeColor="text1"/>
          <w:lang w:val="en-CA"/>
        </w:rPr>
        <w:t>Technology integration formed a distinct area of focus, reflecting its recurring importance in both the literature and practitioner experience. Participants were asked to describe how systems integration is approached, including decisions related to system consolidation, data migration, and timing of cutover activities. This enabled the identification of common risks associated with technology integration across different organizational environments.</w:t>
      </w:r>
    </w:p>
    <w:p w14:paraId="20323628" w14:textId="77777777" w:rsidR="00D66D8B" w:rsidRPr="00B95E28" w:rsidRDefault="00D66D8B" w:rsidP="00DF73F3">
      <w:pPr>
        <w:rPr>
          <w:color w:val="000000" w:themeColor="text1"/>
          <w:lang w:val="en-CA"/>
        </w:rPr>
      </w:pPr>
    </w:p>
    <w:p w14:paraId="24A1834D" w14:textId="11345875" w:rsidR="00C217F9" w:rsidRPr="00B95E28" w:rsidRDefault="00C217F9" w:rsidP="00557AB7">
      <w:pPr>
        <w:spacing w:line="480" w:lineRule="auto"/>
        <w:rPr>
          <w:color w:val="000000" w:themeColor="text1"/>
          <w:lang w:val="en-CA"/>
        </w:rPr>
      </w:pPr>
      <w:r w:rsidRPr="00B95E28">
        <w:rPr>
          <w:color w:val="000000" w:themeColor="text1"/>
          <w:lang w:val="en-CA"/>
        </w:rPr>
        <w:t>Human capital considerations were explored through questions related to talent retention, organizational alignment, and change management. Participants were encouraged to reflect on how people-related challenges influence integration outcomes and how these challenges are managed across transactions.</w:t>
      </w:r>
    </w:p>
    <w:p w14:paraId="5ADEAAC7" w14:textId="77777777" w:rsidR="00D66D8B" w:rsidRPr="00B95E28" w:rsidRDefault="00D66D8B" w:rsidP="00DF73F3">
      <w:pPr>
        <w:rPr>
          <w:color w:val="000000" w:themeColor="text1"/>
          <w:lang w:val="en-CA"/>
        </w:rPr>
      </w:pPr>
    </w:p>
    <w:p w14:paraId="6336F20B" w14:textId="4154521B" w:rsidR="00C217F9" w:rsidRPr="00B95E28" w:rsidRDefault="00C217F9" w:rsidP="00557AB7">
      <w:pPr>
        <w:spacing w:line="480" w:lineRule="auto"/>
        <w:rPr>
          <w:color w:val="000000" w:themeColor="text1"/>
          <w:lang w:val="en-CA"/>
        </w:rPr>
      </w:pPr>
      <w:r w:rsidRPr="00B95E28">
        <w:rPr>
          <w:color w:val="000000" w:themeColor="text1"/>
          <w:lang w:val="en-CA"/>
        </w:rPr>
        <w:t xml:space="preserve">Finally, participants were asked to reflect on organizational learning and the extent to which lessons from previous acquisitions are captured and applied in subsequent deals. This included </w:t>
      </w:r>
      <w:r w:rsidRPr="00B95E28">
        <w:rPr>
          <w:color w:val="000000" w:themeColor="text1"/>
          <w:lang w:val="en-CA"/>
        </w:rPr>
        <w:lastRenderedPageBreak/>
        <w:t>discussion of whether formal playbooks, retrospectives, or knowledge-sharing mechanisms are in place, and how integration approaches evolve over time.</w:t>
      </w:r>
    </w:p>
    <w:p w14:paraId="61532151" w14:textId="77777777" w:rsidR="00D66D8B" w:rsidRPr="00B95E28" w:rsidRDefault="00D66D8B" w:rsidP="00DF73F3">
      <w:pPr>
        <w:rPr>
          <w:color w:val="000000" w:themeColor="text1"/>
          <w:lang w:val="en-CA"/>
        </w:rPr>
      </w:pPr>
    </w:p>
    <w:p w14:paraId="4DF07E5D" w14:textId="2B4A6D62" w:rsidR="00C217F9" w:rsidRPr="00B95E28" w:rsidRDefault="00C217F9" w:rsidP="00557AB7">
      <w:pPr>
        <w:spacing w:line="480" w:lineRule="auto"/>
        <w:rPr>
          <w:color w:val="000000" w:themeColor="text1"/>
          <w:lang w:val="en-CA"/>
        </w:rPr>
      </w:pPr>
      <w:r w:rsidRPr="00B95E28">
        <w:rPr>
          <w:color w:val="000000" w:themeColor="text1"/>
          <w:lang w:val="en-CA"/>
        </w:rPr>
        <w:t>In addition to structured themes, participants were asked open-ended reflective questions, including how they would design an integration methodology from scratch and what advice they would provide to organizations pursuing multiple acquisitions. These questions were intended to surface implicit assumptions and provide insight into how practitioners conceptualize effective integration beyond their current organizational practices.</w:t>
      </w:r>
    </w:p>
    <w:p w14:paraId="11B6D03D" w14:textId="77777777" w:rsidR="00D66D8B" w:rsidRPr="00B95E28" w:rsidRDefault="00D66D8B" w:rsidP="00DF73F3">
      <w:pPr>
        <w:rPr>
          <w:color w:val="000000" w:themeColor="text1"/>
          <w:lang w:val="en-CA"/>
        </w:rPr>
      </w:pPr>
    </w:p>
    <w:p w14:paraId="1E2CA4FB" w14:textId="4D31FCA9" w:rsidR="00C217F9" w:rsidRPr="00B95E28" w:rsidRDefault="00C217F9" w:rsidP="00557AB7">
      <w:pPr>
        <w:spacing w:line="480" w:lineRule="auto"/>
        <w:rPr>
          <w:color w:val="000000" w:themeColor="text1"/>
          <w:lang w:val="en-CA"/>
        </w:rPr>
      </w:pPr>
      <w:r w:rsidRPr="00B95E28">
        <w:rPr>
          <w:color w:val="000000" w:themeColor="text1"/>
          <w:lang w:val="en-CA"/>
        </w:rPr>
        <w:t>The use of a consistent thematic structure ensured that all interviews addressed the key dimensions of integration capability, while the flexibility of the semi-structured format enabled the collection of rich, context-specific data. This balance between consistency and adaptability was critical in supporting cross-case comparison while capturing the complexity of integration practices across different organizational settings.</w:t>
      </w:r>
    </w:p>
    <w:p w14:paraId="4342456B" w14:textId="77777777" w:rsidR="00D66D8B" w:rsidRPr="00B95E28" w:rsidRDefault="00D66D8B" w:rsidP="00DF73F3">
      <w:pPr>
        <w:rPr>
          <w:color w:val="000000" w:themeColor="text1"/>
          <w:lang w:val="en-CA"/>
        </w:rPr>
      </w:pPr>
    </w:p>
    <w:p w14:paraId="31C1F9F1" w14:textId="2D5F7CC4" w:rsidR="00C217F9" w:rsidRPr="00B95E28" w:rsidRDefault="00C217F9" w:rsidP="00557AB7">
      <w:pPr>
        <w:spacing w:line="480" w:lineRule="auto"/>
        <w:rPr>
          <w:color w:val="000000" w:themeColor="text1"/>
          <w:lang w:val="en-CA"/>
        </w:rPr>
      </w:pPr>
      <w:r w:rsidRPr="00B95E28">
        <w:rPr>
          <w:color w:val="000000" w:themeColor="text1"/>
          <w:lang w:val="en-CA"/>
        </w:rPr>
        <w:t>To further strengthen the rigour of the research, the study aligns with the criteria for trustworthiness in qualitative research as outlined by Lincoln and Guba (1985), including credibility, transferability, dependability, and confirmability.</w:t>
      </w:r>
    </w:p>
    <w:p w14:paraId="736AF2F6" w14:textId="77777777" w:rsidR="00D66D8B" w:rsidRPr="00B95E28" w:rsidRDefault="00D66D8B" w:rsidP="00DF73F3">
      <w:pPr>
        <w:rPr>
          <w:color w:val="000000" w:themeColor="text1"/>
          <w:lang w:val="en-CA"/>
        </w:rPr>
      </w:pPr>
    </w:p>
    <w:p w14:paraId="799E5456" w14:textId="606DE805" w:rsidR="00C217F9" w:rsidRPr="00B95E28" w:rsidRDefault="00C217F9" w:rsidP="00557AB7">
      <w:pPr>
        <w:spacing w:line="480" w:lineRule="auto"/>
        <w:rPr>
          <w:color w:val="000000" w:themeColor="text1"/>
          <w:lang w:val="en-CA"/>
        </w:rPr>
      </w:pPr>
      <w:r w:rsidRPr="00B95E28">
        <w:rPr>
          <w:color w:val="000000" w:themeColor="text1"/>
          <w:lang w:val="en-CA"/>
        </w:rPr>
        <w:t>Credibility is supported through the use of semi-structured interviews with experienced practitioners, allowing for in-depth exploration of integration practices across multiple transactions. Participant validation was incorporated by sharing summaries for review, ensuring that interpretations accurately reflect practitioner perspectives.</w:t>
      </w:r>
    </w:p>
    <w:p w14:paraId="033A4E9A" w14:textId="77777777" w:rsidR="00D66D8B" w:rsidRPr="00B95E28" w:rsidRDefault="00D66D8B" w:rsidP="00557AB7">
      <w:pPr>
        <w:spacing w:line="480" w:lineRule="auto"/>
        <w:rPr>
          <w:color w:val="000000" w:themeColor="text1"/>
          <w:lang w:val="en-CA"/>
        </w:rPr>
      </w:pPr>
    </w:p>
    <w:p w14:paraId="4A165383" w14:textId="68F7BDD4" w:rsidR="00C217F9" w:rsidRPr="00B95E28" w:rsidRDefault="00C217F9" w:rsidP="00557AB7">
      <w:pPr>
        <w:spacing w:line="480" w:lineRule="auto"/>
        <w:rPr>
          <w:color w:val="000000" w:themeColor="text1"/>
          <w:lang w:val="en-CA"/>
        </w:rPr>
      </w:pPr>
      <w:r w:rsidRPr="00B95E28">
        <w:rPr>
          <w:color w:val="000000" w:themeColor="text1"/>
          <w:lang w:val="en-CA"/>
        </w:rPr>
        <w:lastRenderedPageBreak/>
        <w:t>Transferability is addressed through the inclusion of participants from diverse organizational contexts, including corporate, private equity, and advisory environments. While the findings are not intended to be statistically generalizable, they provide insights that are applicable across a range of acquisition settings.</w:t>
      </w:r>
    </w:p>
    <w:p w14:paraId="0DC9E0FD" w14:textId="77777777" w:rsidR="00D66D8B" w:rsidRPr="00B95E28" w:rsidRDefault="00D66D8B" w:rsidP="00DF73F3">
      <w:pPr>
        <w:rPr>
          <w:color w:val="000000" w:themeColor="text1"/>
          <w:lang w:val="en-CA"/>
        </w:rPr>
      </w:pPr>
    </w:p>
    <w:p w14:paraId="558EB48F" w14:textId="6EE62297" w:rsidR="00C217F9" w:rsidRPr="00B95E28" w:rsidRDefault="00C217F9" w:rsidP="00557AB7">
      <w:pPr>
        <w:spacing w:line="480" w:lineRule="auto"/>
        <w:rPr>
          <w:color w:val="000000" w:themeColor="text1"/>
          <w:lang w:val="en-CA"/>
        </w:rPr>
      </w:pPr>
      <w:r w:rsidRPr="00B95E28">
        <w:rPr>
          <w:color w:val="000000" w:themeColor="text1"/>
          <w:lang w:val="en-CA"/>
        </w:rPr>
        <w:t>Dependability is reinforced through the structured approach to data collection and thematic analysis, ensuring consistency in how data for this study was interpreted across interviews. The use of a theme tracker and systematic coding process provides transparency in how findings were developed.</w:t>
      </w:r>
    </w:p>
    <w:p w14:paraId="087B839F" w14:textId="77777777" w:rsidR="00D66D8B" w:rsidRPr="00B95E28" w:rsidRDefault="00D66D8B" w:rsidP="00DF73F3">
      <w:pPr>
        <w:rPr>
          <w:color w:val="000000" w:themeColor="text1"/>
          <w:lang w:val="en-CA"/>
        </w:rPr>
      </w:pPr>
    </w:p>
    <w:p w14:paraId="5EB1C856" w14:textId="28DEDAC5" w:rsidR="00C217F9" w:rsidRPr="00B95E28" w:rsidRDefault="00C217F9" w:rsidP="00557AB7">
      <w:pPr>
        <w:spacing w:line="480" w:lineRule="auto"/>
        <w:rPr>
          <w:color w:val="000000" w:themeColor="text1"/>
          <w:lang w:val="en-CA"/>
        </w:rPr>
      </w:pPr>
      <w:r w:rsidRPr="00B95E28">
        <w:rPr>
          <w:color w:val="000000" w:themeColor="text1"/>
          <w:lang w:val="en-CA"/>
        </w:rPr>
        <w:t>Confirmability is supported by grounding interpretations in participant data, ensuring that conclusions are derived from empirical evidence rather than researcher bias. The use of direct quotes and consistent patterns across interviews further strengthens the objectivity of the analysis.</w:t>
      </w:r>
    </w:p>
    <w:p w14:paraId="42D42CC5" w14:textId="77777777" w:rsidR="00DF73F3" w:rsidRPr="00B95E28" w:rsidRDefault="00DF73F3" w:rsidP="00DF73F3">
      <w:pPr>
        <w:rPr>
          <w:color w:val="000000" w:themeColor="text1"/>
          <w:lang w:val="en-CA"/>
        </w:rPr>
      </w:pPr>
    </w:p>
    <w:p w14:paraId="655F64C8" w14:textId="3581778D" w:rsidR="00C217F9" w:rsidRPr="00B95E28" w:rsidRDefault="00C217F9" w:rsidP="00557AB7">
      <w:pPr>
        <w:spacing w:line="480" w:lineRule="auto"/>
        <w:rPr>
          <w:color w:val="000000" w:themeColor="text1"/>
          <w:lang w:val="en-CA"/>
        </w:rPr>
      </w:pPr>
      <w:r w:rsidRPr="00B95E28">
        <w:rPr>
          <w:color w:val="000000" w:themeColor="text1"/>
          <w:lang w:val="en-CA"/>
        </w:rPr>
        <w:t>Together, these measures support the reliability and validity of the research and provide a robust foundation for the development of the Integration Capability Loop.</w:t>
      </w:r>
    </w:p>
    <w:p w14:paraId="363184FF" w14:textId="77777777" w:rsidR="00DF73F3" w:rsidRPr="00B95E28" w:rsidRDefault="00DF73F3" w:rsidP="00DF73F3">
      <w:pPr>
        <w:rPr>
          <w:color w:val="000000" w:themeColor="text1"/>
          <w:lang w:val="en-CA"/>
        </w:rPr>
      </w:pPr>
      <w:bookmarkStart w:id="103" w:name="_Toc230881447"/>
    </w:p>
    <w:p w14:paraId="17AA28D2" w14:textId="60C66585" w:rsidR="00C217F9" w:rsidRPr="00B95E28" w:rsidRDefault="00C217F9" w:rsidP="00557AB7">
      <w:pPr>
        <w:pStyle w:val="Heading3"/>
        <w:spacing w:before="0" w:after="0" w:line="480" w:lineRule="auto"/>
        <w:ind w:left="0" w:firstLine="0"/>
        <w:rPr>
          <w:color w:val="000000" w:themeColor="text1"/>
          <w:lang w:val="en-CA"/>
        </w:rPr>
      </w:pPr>
      <w:bookmarkStart w:id="104" w:name="_Toc232351847"/>
      <w:r w:rsidRPr="00B95E28">
        <w:rPr>
          <w:color w:val="000000" w:themeColor="text1"/>
          <w:lang w:val="en-CA"/>
        </w:rPr>
        <w:t>3.7.1 Alignment of Interview Design with Research Questions</w:t>
      </w:r>
      <w:bookmarkEnd w:id="103"/>
      <w:bookmarkEnd w:id="104"/>
    </w:p>
    <w:p w14:paraId="75ECC3CC" w14:textId="77777777" w:rsidR="00C217F9" w:rsidRPr="00B95E28" w:rsidRDefault="00C217F9" w:rsidP="00557AB7">
      <w:pPr>
        <w:spacing w:line="480" w:lineRule="auto"/>
        <w:rPr>
          <w:color w:val="000000" w:themeColor="text1"/>
          <w:lang w:val="en-CA"/>
        </w:rPr>
      </w:pPr>
      <w:r w:rsidRPr="00B95E28">
        <w:rPr>
          <w:color w:val="000000" w:themeColor="text1"/>
          <w:lang w:val="en-CA"/>
        </w:rPr>
        <w:t>While the research questions outlined in Chapter 1 provide the conceptual foundation for this study, the interview protocol was intentionally designed as a semi-structured instrument to allow for exploratory depth and practitioner-led insights. As a result, individual interview questions were not always framed to directly mirror the wording of the research questions.</w:t>
      </w:r>
    </w:p>
    <w:p w14:paraId="6C58E1E4" w14:textId="77777777" w:rsidR="00D66D8B" w:rsidRPr="00B95E28" w:rsidRDefault="00D66D8B" w:rsidP="00557AB7">
      <w:pPr>
        <w:spacing w:line="480" w:lineRule="auto"/>
        <w:rPr>
          <w:color w:val="000000" w:themeColor="text1"/>
          <w:lang w:val="en-CA"/>
        </w:rPr>
      </w:pPr>
    </w:p>
    <w:p w14:paraId="17205C34" w14:textId="37E1CBEC" w:rsidR="00C217F9" w:rsidRPr="00B95E28" w:rsidRDefault="00C217F9" w:rsidP="00557AB7">
      <w:pPr>
        <w:spacing w:line="480" w:lineRule="auto"/>
        <w:rPr>
          <w:color w:val="000000" w:themeColor="text1"/>
          <w:lang w:val="en-CA"/>
        </w:rPr>
      </w:pPr>
      <w:r w:rsidRPr="00B95E28">
        <w:rPr>
          <w:color w:val="000000" w:themeColor="text1"/>
          <w:lang w:val="en-CA"/>
        </w:rPr>
        <w:lastRenderedPageBreak/>
        <w:t>Instead, the interview guide was structured around key thematic domains identified in both the literature and practitioner experience, including integration governance, leadership and accountability, timing of integration planning, execution challenges, technology integration, human capital considerations, and organizational learning. These domains reflect the core dimensions through which integration capability is developed and applied in practice.</w:t>
      </w:r>
    </w:p>
    <w:p w14:paraId="15136E00" w14:textId="77777777" w:rsidR="00DF73F3" w:rsidRPr="00B95E28" w:rsidRDefault="00DF73F3" w:rsidP="00DF73F3">
      <w:pPr>
        <w:rPr>
          <w:color w:val="000000" w:themeColor="text1"/>
          <w:lang w:val="en-CA"/>
        </w:rPr>
      </w:pPr>
    </w:p>
    <w:p w14:paraId="4F7DEA5E" w14:textId="27E19B66" w:rsidR="00C217F9" w:rsidRPr="00B95E28" w:rsidRDefault="00C217F9" w:rsidP="00557AB7">
      <w:pPr>
        <w:spacing w:line="480" w:lineRule="auto"/>
        <w:rPr>
          <w:color w:val="000000" w:themeColor="text1"/>
          <w:lang w:val="en-CA"/>
        </w:rPr>
      </w:pPr>
      <w:r w:rsidRPr="00B95E28">
        <w:rPr>
          <w:color w:val="000000" w:themeColor="text1"/>
          <w:lang w:val="en-CA"/>
        </w:rPr>
        <w:t>This approach is consistent with qualitative research methodology, where semi-structured interviews are used to capture rich, context-dependent insights rather than constrain responses to predefined constructs (Saunders et al., 2019). It also aligns with the inductive research approach adopted in this study, which allows themes to emerge from participant experience rather than being imposed through rigid questioning structures.</w:t>
      </w:r>
    </w:p>
    <w:p w14:paraId="7EB044FE" w14:textId="77777777" w:rsidR="00D66D8B" w:rsidRPr="00B95E28" w:rsidRDefault="00D66D8B" w:rsidP="00DF73F3">
      <w:pPr>
        <w:rPr>
          <w:color w:val="000000" w:themeColor="text1"/>
          <w:lang w:val="en-CA"/>
        </w:rPr>
      </w:pPr>
    </w:p>
    <w:p w14:paraId="2C94E9D2" w14:textId="14C90422" w:rsidR="00C217F9" w:rsidRPr="00B95E28" w:rsidRDefault="00C217F9" w:rsidP="00557AB7">
      <w:pPr>
        <w:spacing w:line="480" w:lineRule="auto"/>
        <w:rPr>
          <w:color w:val="000000" w:themeColor="text1"/>
          <w:lang w:val="en-CA"/>
        </w:rPr>
      </w:pPr>
      <w:r w:rsidRPr="00B95E28">
        <w:rPr>
          <w:color w:val="000000" w:themeColor="text1"/>
          <w:lang w:val="en-CA"/>
        </w:rPr>
        <w:t xml:space="preserve">To ensure analytical rigour and alignment with the research objectives, interview data for this study was subsequently coded and mapped back to the research questions during the thematic analysis process. </w:t>
      </w:r>
      <w:r w:rsidRPr="00B95E28">
        <w:rPr>
          <w:color w:val="000000" w:themeColor="text1"/>
        </w:rPr>
        <w:t>This ensured that, despite variation in phrasing, all collected data directly contributes</w:t>
      </w:r>
      <w:r w:rsidRPr="00B95E28">
        <w:rPr>
          <w:color w:val="000000" w:themeColor="text1"/>
          <w:lang w:val="en-CA"/>
        </w:rPr>
        <w:t xml:space="preserve"> to answering the primary and supporting research questions.</w:t>
      </w:r>
    </w:p>
    <w:p w14:paraId="63D433FF" w14:textId="2B23330D" w:rsidR="00C217F9" w:rsidRPr="00B95E28" w:rsidRDefault="00C217F9" w:rsidP="00557AB7">
      <w:pPr>
        <w:spacing w:line="480" w:lineRule="auto"/>
        <w:rPr>
          <w:b/>
          <w:bCs/>
          <w:color w:val="000000" w:themeColor="text1"/>
        </w:rPr>
      </w:pPr>
      <w:r w:rsidRPr="00B95E28">
        <w:rPr>
          <w:color w:val="000000" w:themeColor="text1"/>
        </w:rPr>
        <w:t>Table 3.1 provides a structured mapping between the research questions, interview themes, and corresponding areas of inquiry explored during data collection.</w:t>
      </w:r>
    </w:p>
    <w:p w14:paraId="0F5F5891" w14:textId="77777777" w:rsidR="00D634DB" w:rsidRPr="00B95E28" w:rsidRDefault="00D634DB" w:rsidP="00557AB7">
      <w:pPr>
        <w:spacing w:line="480" w:lineRule="auto"/>
        <w:rPr>
          <w:b/>
          <w:bCs/>
          <w:color w:val="000000" w:themeColor="text1"/>
        </w:rPr>
      </w:pPr>
    </w:p>
    <w:p w14:paraId="3271A42F" w14:textId="77777777" w:rsidR="00D634DB" w:rsidRPr="00B95E28" w:rsidRDefault="00D634DB" w:rsidP="00557AB7">
      <w:pPr>
        <w:spacing w:line="480" w:lineRule="auto"/>
        <w:rPr>
          <w:b/>
          <w:bCs/>
          <w:color w:val="000000" w:themeColor="text1"/>
        </w:rPr>
      </w:pPr>
    </w:p>
    <w:p w14:paraId="409B512F" w14:textId="77777777" w:rsidR="00D634DB" w:rsidRPr="00B95E28" w:rsidRDefault="00D634DB" w:rsidP="00557AB7">
      <w:pPr>
        <w:spacing w:line="480" w:lineRule="auto"/>
        <w:rPr>
          <w:b/>
          <w:bCs/>
          <w:color w:val="000000" w:themeColor="text1"/>
        </w:rPr>
      </w:pPr>
    </w:p>
    <w:p w14:paraId="3729E4E4" w14:textId="77777777" w:rsidR="00D634DB" w:rsidRPr="00B95E28" w:rsidRDefault="00D634DB" w:rsidP="00557AB7">
      <w:pPr>
        <w:spacing w:line="480" w:lineRule="auto"/>
        <w:rPr>
          <w:b/>
          <w:bCs/>
          <w:color w:val="000000" w:themeColor="text1"/>
        </w:rPr>
      </w:pPr>
    </w:p>
    <w:p w14:paraId="4CC643EB" w14:textId="77777777" w:rsidR="00D634DB" w:rsidRPr="00B95E28" w:rsidRDefault="00D634DB" w:rsidP="00557AB7">
      <w:pPr>
        <w:spacing w:line="480" w:lineRule="auto"/>
        <w:rPr>
          <w:b/>
          <w:bCs/>
          <w:color w:val="000000" w:themeColor="text1"/>
        </w:rPr>
      </w:pPr>
    </w:p>
    <w:p w14:paraId="71D6F2EE" w14:textId="698907D3" w:rsidR="00D634DB" w:rsidRPr="00B95E28" w:rsidRDefault="00D634DB" w:rsidP="00557AB7">
      <w:pPr>
        <w:pStyle w:val="Caption"/>
        <w:keepNext/>
        <w:spacing w:after="0" w:line="480" w:lineRule="auto"/>
        <w:jc w:val="center"/>
        <w:rPr>
          <w:color w:val="000000" w:themeColor="text1"/>
        </w:rPr>
      </w:pPr>
      <w:r w:rsidRPr="00B95E28">
        <w:rPr>
          <w:color w:val="000000" w:themeColor="text1"/>
        </w:rPr>
        <w:lastRenderedPageBreak/>
        <w:fldChar w:fldCharType="begin"/>
      </w:r>
      <w:r w:rsidRPr="00B95E28">
        <w:rPr>
          <w:color w:val="000000" w:themeColor="text1"/>
        </w:rPr>
        <w:instrText xml:space="preserve"> SEQ Table \* ARABIC </w:instrText>
      </w:r>
      <w:r w:rsidRPr="00B95E28">
        <w:rPr>
          <w:color w:val="000000" w:themeColor="text1"/>
        </w:rPr>
        <w:fldChar w:fldCharType="separate"/>
      </w:r>
      <w:bookmarkStart w:id="105" w:name="_Toc230883091"/>
      <w:bookmarkStart w:id="106" w:name="_Toc232351971"/>
      <w:r w:rsidR="00B91B93">
        <w:rPr>
          <w:noProof/>
          <w:color w:val="000000" w:themeColor="text1"/>
        </w:rPr>
        <w:t>3</w:t>
      </w:r>
      <w:r w:rsidRPr="00B95E28">
        <w:rPr>
          <w:color w:val="000000" w:themeColor="text1"/>
        </w:rPr>
        <w:fldChar w:fldCharType="end"/>
      </w:r>
      <w:r w:rsidRPr="00B95E28">
        <w:rPr>
          <w:color w:val="000000" w:themeColor="text1"/>
        </w:rPr>
        <w:t>: Table 3.1: Mapping of Research Questions to Interview Themes and Data Collection Focus (Source: Author)</w:t>
      </w:r>
      <w:bookmarkEnd w:id="105"/>
      <w:bookmarkEnd w:id="106"/>
    </w:p>
    <w:p w14:paraId="2EE0B4D9" w14:textId="77777777" w:rsidR="00C217F9" w:rsidRPr="00B95E28" w:rsidRDefault="00C217F9" w:rsidP="00557AB7">
      <w:pPr>
        <w:spacing w:line="480" w:lineRule="auto"/>
        <w:jc w:val="center"/>
        <w:rPr>
          <w:color w:val="000000" w:themeColor="text1"/>
          <w:lang w:val="en-CA"/>
        </w:rPr>
      </w:pPr>
      <w:r w:rsidRPr="00B95E28">
        <w:rPr>
          <w:noProof/>
          <w:color w:val="000000" w:themeColor="text1"/>
        </w:rPr>
        <w:drawing>
          <wp:inline distT="0" distB="0" distL="0" distR="0" wp14:anchorId="705BE235" wp14:editId="1001EC97">
            <wp:extent cx="5486400" cy="3942715"/>
            <wp:effectExtent l="0" t="0" r="0" b="635"/>
            <wp:docPr id="1965619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3942715"/>
                    </a:xfrm>
                    <a:prstGeom prst="rect">
                      <a:avLst/>
                    </a:prstGeom>
                    <a:noFill/>
                    <a:ln>
                      <a:noFill/>
                    </a:ln>
                  </pic:spPr>
                </pic:pic>
              </a:graphicData>
            </a:graphic>
          </wp:inline>
        </w:drawing>
      </w:r>
    </w:p>
    <w:p w14:paraId="7D86B76E" w14:textId="77777777" w:rsidR="00C217F9" w:rsidRPr="00B95E28" w:rsidRDefault="00C217F9" w:rsidP="00557AB7">
      <w:pPr>
        <w:spacing w:line="480" w:lineRule="auto"/>
        <w:rPr>
          <w:color w:val="000000" w:themeColor="text1"/>
          <w:lang w:val="en-CA"/>
        </w:rPr>
      </w:pPr>
      <w:r w:rsidRPr="00B95E28">
        <w:rPr>
          <w:color w:val="000000" w:themeColor="text1"/>
          <w:lang w:val="en-CA"/>
        </w:rPr>
        <w:t>Core themes identified through analysis were subsequently mapped to the research questions to ensure that all aspects of the study’s objective were addressed through the data.</w:t>
      </w:r>
    </w:p>
    <w:p w14:paraId="3F1D389E" w14:textId="77777777" w:rsidR="00DF73F3" w:rsidRPr="00B95E28" w:rsidRDefault="00DF73F3" w:rsidP="00DF73F3">
      <w:pPr>
        <w:rPr>
          <w:color w:val="000000" w:themeColor="text1"/>
          <w:lang w:val="en-CA"/>
        </w:rPr>
      </w:pPr>
      <w:bookmarkStart w:id="107" w:name="_Toc230881448"/>
    </w:p>
    <w:p w14:paraId="3437E58E" w14:textId="63AEAC84" w:rsidR="00C217F9" w:rsidRPr="00B95E28" w:rsidRDefault="00C217F9" w:rsidP="00557AB7">
      <w:pPr>
        <w:pStyle w:val="Heading2"/>
        <w:spacing w:before="0" w:after="0" w:line="480" w:lineRule="auto"/>
        <w:ind w:left="0" w:firstLine="0"/>
        <w:rPr>
          <w:color w:val="000000" w:themeColor="text1"/>
          <w:lang w:val="en-CA"/>
        </w:rPr>
      </w:pPr>
      <w:bookmarkStart w:id="108" w:name="_Toc232351848"/>
      <w:r w:rsidRPr="00B95E28">
        <w:rPr>
          <w:color w:val="000000" w:themeColor="text1"/>
          <w:lang w:val="en-CA"/>
        </w:rPr>
        <w:t>3.8 Data Analysis</w:t>
      </w:r>
      <w:bookmarkEnd w:id="107"/>
      <w:bookmarkEnd w:id="108"/>
    </w:p>
    <w:p w14:paraId="5F6E5652" w14:textId="77777777" w:rsidR="00C217F9" w:rsidRPr="00B95E28" w:rsidRDefault="00C217F9" w:rsidP="00557AB7">
      <w:pPr>
        <w:spacing w:line="480" w:lineRule="auto"/>
        <w:rPr>
          <w:color w:val="000000" w:themeColor="text1"/>
        </w:rPr>
      </w:pPr>
      <w:r w:rsidRPr="00B95E28">
        <w:rPr>
          <w:color w:val="000000" w:themeColor="text1"/>
        </w:rPr>
        <w:t xml:space="preserve">This analysis is guided by the research questions outlined in Chapter 1, which focus on understanding how integration capability is developed, applied, and refined across multiple acquisitions. While themes emerged inductively from the data, they were subsequently examined in relation to the research questions to ensure analytical alignment. In particular, themes related to governance, planning, execution, and organizational learning directly inform the development of the Integration Capability Loop (ICL) and collectively address how repeatable integration capability is formed in practice. A full grounded theory approach was not adopted, as the study is </w:t>
      </w:r>
      <w:r w:rsidRPr="00B95E28">
        <w:rPr>
          <w:color w:val="000000" w:themeColor="text1"/>
        </w:rPr>
        <w:lastRenderedPageBreak/>
        <w:t>guided by a defined research objective and existing theoretical framing, focusing on model development rather than theory generation from first principles.</w:t>
      </w:r>
    </w:p>
    <w:p w14:paraId="391EFE13" w14:textId="77777777" w:rsidR="00D66D8B" w:rsidRPr="00B95E28" w:rsidRDefault="00D66D8B" w:rsidP="00DF73F3">
      <w:pPr>
        <w:rPr>
          <w:color w:val="000000" w:themeColor="text1"/>
        </w:rPr>
      </w:pPr>
    </w:p>
    <w:p w14:paraId="26F26A8C" w14:textId="6AAAE4F8" w:rsidR="00C217F9" w:rsidRPr="00B95E28" w:rsidRDefault="00C217F9" w:rsidP="00557AB7">
      <w:pPr>
        <w:spacing w:line="480" w:lineRule="auto"/>
        <w:rPr>
          <w:color w:val="000000" w:themeColor="text1"/>
        </w:rPr>
      </w:pPr>
      <w:r w:rsidRPr="00B95E28">
        <w:rPr>
          <w:color w:val="000000" w:themeColor="text1"/>
        </w:rPr>
        <w:t>Thematic analysis was selected as the primary analytical method due to its flexibility in identifying patterns across qualitative datasets without requiring adherence to a specific theoretical framework. Unlike grounded theory, which seeks to generate formal theory through iterative data collection and analysis, thematic analysis allows for the identification and interpretation of recurring patterns while maintaining alignment with the study’s existing theoretical foundation. This makes it particularly suitable for examining how integration capability manifests across different organizational contexts.</w:t>
      </w:r>
    </w:p>
    <w:p w14:paraId="7EF0FC0A" w14:textId="77777777" w:rsidR="00D66D8B" w:rsidRPr="00B95E28" w:rsidRDefault="00D66D8B" w:rsidP="00DF73F3">
      <w:pPr>
        <w:rPr>
          <w:color w:val="000000" w:themeColor="text1"/>
        </w:rPr>
      </w:pPr>
    </w:p>
    <w:p w14:paraId="3CEE3FC5" w14:textId="7505EA0D" w:rsidR="00C217F9" w:rsidRPr="00B95E28" w:rsidRDefault="00C217F9" w:rsidP="00557AB7">
      <w:pPr>
        <w:spacing w:line="480" w:lineRule="auto"/>
        <w:rPr>
          <w:color w:val="000000" w:themeColor="text1"/>
        </w:rPr>
      </w:pPr>
      <w:r w:rsidRPr="00B95E28">
        <w:rPr>
          <w:color w:val="000000" w:themeColor="text1"/>
        </w:rPr>
        <w:t>Data from the semi-structured interviews was analyzed using thematic analysis, following the six-phase approach outlined by Braun and Clarke (2006), including familiarization with the data, initial coding, theme development, review of themes, definition and naming of themes, and final synthesis. This approach ensures systematic identification of patterns while preserving contextual meaning (Braun and Clarke, 2006).</w:t>
      </w:r>
    </w:p>
    <w:p w14:paraId="2FD1DF63" w14:textId="77777777" w:rsidR="00D66D8B" w:rsidRPr="00B95E28" w:rsidRDefault="00D66D8B" w:rsidP="00DF73F3">
      <w:pPr>
        <w:rPr>
          <w:color w:val="000000" w:themeColor="text1"/>
          <w:lang w:val="en-CA"/>
        </w:rPr>
      </w:pPr>
    </w:p>
    <w:p w14:paraId="1B114A47" w14:textId="7E020DA1" w:rsidR="00C217F9" w:rsidRPr="00B95E28" w:rsidRDefault="00C217F9" w:rsidP="00557AB7">
      <w:pPr>
        <w:spacing w:line="480" w:lineRule="auto"/>
        <w:rPr>
          <w:color w:val="000000" w:themeColor="text1"/>
          <w:lang w:val="en-CA"/>
        </w:rPr>
      </w:pPr>
      <w:r w:rsidRPr="00B95E28">
        <w:rPr>
          <w:color w:val="000000" w:themeColor="text1"/>
          <w:lang w:val="en-CA"/>
        </w:rPr>
        <w:t>The analysis followed a structured, multi-stage process. First, interview notes and summaries were reviewed in detail to identify initial observations and recurring concepts. These initial observations were derived directly from participant responses and reflected key aspects of integration practice, including governance structures, planning approaches, execution challenges, technology integration, and organizational learning.</w:t>
      </w:r>
    </w:p>
    <w:p w14:paraId="6C497568" w14:textId="77777777" w:rsidR="00D66D8B" w:rsidRPr="00B95E28" w:rsidRDefault="00D66D8B" w:rsidP="00DF73F3">
      <w:pPr>
        <w:rPr>
          <w:color w:val="000000" w:themeColor="text1"/>
          <w:lang w:val="en-CA"/>
        </w:rPr>
      </w:pPr>
    </w:p>
    <w:p w14:paraId="015B33E1" w14:textId="2173A339" w:rsidR="00C217F9" w:rsidRPr="00B95E28" w:rsidRDefault="00C217F9" w:rsidP="00557AB7">
      <w:pPr>
        <w:spacing w:line="480" w:lineRule="auto"/>
        <w:rPr>
          <w:color w:val="000000" w:themeColor="text1"/>
          <w:lang w:val="en-CA"/>
        </w:rPr>
      </w:pPr>
      <w:r w:rsidRPr="00B95E28">
        <w:rPr>
          <w:color w:val="000000" w:themeColor="text1"/>
          <w:lang w:val="en-CA"/>
        </w:rPr>
        <w:t xml:space="preserve">Second, these observations were coded into a set of preliminary categories aligned with the research focus. Coding was conducted iteratively, with concepts refined as additional interviews </w:t>
      </w:r>
      <w:r w:rsidRPr="00B95E28">
        <w:rPr>
          <w:color w:val="000000" w:themeColor="text1"/>
          <w:lang w:val="en-CA"/>
        </w:rPr>
        <w:lastRenderedPageBreak/>
        <w:t xml:space="preserve">were analyzed. This process ensured that the coding framework remained grounded in the data while allowing for the identification of emerging themes. Codes were not applied in isolation but considered in relation to the broader context of each participant’s experience, ensuring that meaning was preserved rather than reduced to isolated labels. </w:t>
      </w:r>
      <w:r w:rsidRPr="00B95E28">
        <w:rPr>
          <w:color w:val="000000" w:themeColor="text1"/>
        </w:rPr>
        <w:t>This approach aligns with established qualitative research practices, where coding is used not only to categorize data, but to interpret meaning within context (Braun and Clarke, 2006).</w:t>
      </w:r>
    </w:p>
    <w:p w14:paraId="3AE97F86" w14:textId="77777777" w:rsidR="00D66D8B" w:rsidRPr="00B95E28" w:rsidRDefault="00D66D8B" w:rsidP="00DF73F3">
      <w:pPr>
        <w:rPr>
          <w:color w:val="000000" w:themeColor="text1"/>
          <w:lang w:val="en-CA"/>
        </w:rPr>
      </w:pPr>
    </w:p>
    <w:p w14:paraId="22E1E70D" w14:textId="5929FD5B" w:rsidR="00C217F9" w:rsidRPr="00B95E28" w:rsidRDefault="00C217F9" w:rsidP="00557AB7">
      <w:pPr>
        <w:spacing w:line="480" w:lineRule="auto"/>
        <w:rPr>
          <w:color w:val="000000" w:themeColor="text1"/>
          <w:lang w:val="en-CA"/>
        </w:rPr>
      </w:pPr>
      <w:r w:rsidRPr="00B95E28">
        <w:rPr>
          <w:color w:val="000000" w:themeColor="text1"/>
          <w:lang w:val="en-CA"/>
        </w:rPr>
        <w:t>Third, coded data for this study was consolidated into higher-level themes representing consistent patterns across interviews. These themes included both core dissertation themes, such as integration governance, integration planning before close, and organizational learning, as well as contextual themes, such as technology integration and human capital considerations. The distinction between core and contextual themes reflects their relative role in shaping integration capability, with core themes directly influencing repeatability and contextual themes acting as enabling or constraining factors.</w:t>
      </w:r>
    </w:p>
    <w:p w14:paraId="3DFBD311" w14:textId="77777777" w:rsidR="00D66D8B" w:rsidRPr="00B95E28" w:rsidRDefault="00D66D8B" w:rsidP="00DF73F3">
      <w:pPr>
        <w:rPr>
          <w:color w:val="000000" w:themeColor="text1"/>
          <w:lang w:val="en-CA"/>
        </w:rPr>
      </w:pPr>
    </w:p>
    <w:p w14:paraId="4F69ACEC" w14:textId="2ACE0E00" w:rsidR="00C217F9" w:rsidRPr="00B95E28" w:rsidRDefault="00C217F9" w:rsidP="00557AB7">
      <w:pPr>
        <w:spacing w:line="480" w:lineRule="auto"/>
        <w:rPr>
          <w:color w:val="000000" w:themeColor="text1"/>
          <w:lang w:val="en-CA"/>
        </w:rPr>
      </w:pPr>
      <w:r w:rsidRPr="00B95E28">
        <w:rPr>
          <w:color w:val="000000" w:themeColor="text1"/>
          <w:lang w:val="en-CA"/>
        </w:rPr>
        <w:t>To support cross-case analysis, a structured thematic matrix was developed to map the presence of themes across all interviews (see Appendix A). This matrix enabled systematic comparison of themes across participants, allowing for the identification of both frequency and consistency. Rather than treating themes as binary occurrences, the analysis focused on the strength and context of their presence, recognizing that similar themes may manifest differently depending on organizational environment and acquisition context.</w:t>
      </w:r>
    </w:p>
    <w:p w14:paraId="3B7FC1AB" w14:textId="77777777" w:rsidR="00D66D8B" w:rsidRPr="00B95E28" w:rsidRDefault="00D66D8B" w:rsidP="00DF73F3">
      <w:pPr>
        <w:rPr>
          <w:color w:val="000000" w:themeColor="text1"/>
          <w:lang w:val="en-CA"/>
        </w:rPr>
      </w:pPr>
    </w:p>
    <w:p w14:paraId="241BBEDA" w14:textId="00DD0E71" w:rsidR="00C217F9" w:rsidRPr="00B95E28" w:rsidRDefault="00C217F9" w:rsidP="00557AB7">
      <w:pPr>
        <w:spacing w:line="480" w:lineRule="auto"/>
        <w:rPr>
          <w:color w:val="000000" w:themeColor="text1"/>
          <w:lang w:val="en-CA"/>
        </w:rPr>
      </w:pPr>
      <w:r w:rsidRPr="00B95E28">
        <w:rPr>
          <w:color w:val="000000" w:themeColor="text1"/>
          <w:lang w:val="en-CA"/>
        </w:rPr>
        <w:t xml:space="preserve">The use of the thematic matrix provided a transparent and replicable mechanism for identifying patterns across interviews. It enabled the researcher to move beyond individual accounts and examine how themes converge or diverge across different roles, industries, and levels of </w:t>
      </w:r>
      <w:r w:rsidRPr="00B95E28">
        <w:rPr>
          <w:color w:val="000000" w:themeColor="text1"/>
          <w:lang w:val="en-CA"/>
        </w:rPr>
        <w:lastRenderedPageBreak/>
        <w:t>acquisition experience. This cross-case comparison was critical in establishing which elements of integration practice are consistently applied and which remain variable or underdeveloped.</w:t>
      </w:r>
    </w:p>
    <w:p w14:paraId="359F9BFF" w14:textId="77777777" w:rsidR="00D66D8B" w:rsidRPr="00B95E28" w:rsidRDefault="00D66D8B" w:rsidP="00DF73F3">
      <w:pPr>
        <w:rPr>
          <w:color w:val="000000" w:themeColor="text1"/>
          <w:lang w:val="en-CA"/>
        </w:rPr>
      </w:pPr>
    </w:p>
    <w:p w14:paraId="57757C92" w14:textId="2F3594F1" w:rsidR="00C217F9" w:rsidRPr="00B95E28" w:rsidRDefault="00C217F9" w:rsidP="00557AB7">
      <w:pPr>
        <w:spacing w:line="480" w:lineRule="auto"/>
        <w:rPr>
          <w:color w:val="000000" w:themeColor="text1"/>
          <w:lang w:val="en-CA"/>
        </w:rPr>
      </w:pPr>
      <w:r w:rsidRPr="00B95E28">
        <w:rPr>
          <w:color w:val="000000" w:themeColor="text1"/>
          <w:lang w:val="en-CA"/>
        </w:rPr>
        <w:t>In addition to identifying recurring themes, the analysis focused on the relationships between themes across the integration lifecycle. For example, delayed or insufficient integration planning prior to deal close was frequently associated with increased complexity during execution, while weak governance structures were linked to fragmented decision-making and lack of accountability. Similarly, the absence of structured organizational learning mechanisms was consistently associated with a lack of improvement across transactions, despite repeated acquisition activity.</w:t>
      </w:r>
    </w:p>
    <w:p w14:paraId="21638EC5" w14:textId="77777777" w:rsidR="00DF73F3" w:rsidRPr="00B95E28" w:rsidRDefault="00DF73F3" w:rsidP="00DF73F3">
      <w:pPr>
        <w:rPr>
          <w:color w:val="000000" w:themeColor="text1"/>
          <w:lang w:val="en-CA"/>
        </w:rPr>
      </w:pPr>
    </w:p>
    <w:p w14:paraId="5138E2E7" w14:textId="5F3C24FB" w:rsidR="00C217F9" w:rsidRPr="00B95E28" w:rsidRDefault="00C217F9" w:rsidP="00557AB7">
      <w:pPr>
        <w:spacing w:line="480" w:lineRule="auto"/>
        <w:rPr>
          <w:color w:val="000000" w:themeColor="text1"/>
          <w:lang w:val="en-CA"/>
        </w:rPr>
      </w:pPr>
      <w:r w:rsidRPr="00B95E28">
        <w:rPr>
          <w:color w:val="000000" w:themeColor="text1"/>
          <w:lang w:val="en-CA"/>
        </w:rPr>
        <w:t xml:space="preserve">These relationships were examined iteratively, allowing patterns to emerge across multiple interviews rather than being inferred from isolated cases. </w:t>
      </w:r>
    </w:p>
    <w:p w14:paraId="23F43234" w14:textId="77777777" w:rsidR="00D66D8B" w:rsidRPr="00B95E28" w:rsidRDefault="00D66D8B" w:rsidP="00DF73F3">
      <w:pPr>
        <w:rPr>
          <w:color w:val="000000" w:themeColor="text1"/>
        </w:rPr>
      </w:pPr>
    </w:p>
    <w:p w14:paraId="0E65870C" w14:textId="47305330" w:rsidR="00C217F9" w:rsidRPr="00B95E28" w:rsidRDefault="00C217F9" w:rsidP="00557AB7">
      <w:pPr>
        <w:spacing w:line="480" w:lineRule="auto"/>
        <w:rPr>
          <w:color w:val="000000" w:themeColor="text1"/>
        </w:rPr>
      </w:pPr>
      <w:r w:rsidRPr="00B95E28">
        <w:rPr>
          <w:color w:val="000000" w:themeColor="text1"/>
        </w:rPr>
        <w:t>The final stage of analysis involved synthesizing identified patterns into a conceptual model. The Integration Capability Loop (ICL) was developed directly from the relationships observed across interviews, ensuring that the model is grounded in empirical data rather than abstract theorization. The model reflects how integration capability evolves through repeated application, structured governance, and the accumulation and application of organizational learning across transactions.</w:t>
      </w:r>
    </w:p>
    <w:p w14:paraId="72F129C8" w14:textId="77777777" w:rsidR="00DF73F3" w:rsidRPr="00B95E28" w:rsidRDefault="00DF73F3" w:rsidP="00DF73F3">
      <w:pPr>
        <w:rPr>
          <w:color w:val="000000" w:themeColor="text1"/>
        </w:rPr>
      </w:pPr>
    </w:p>
    <w:p w14:paraId="67FA83A4" w14:textId="0EF1F282" w:rsidR="00C217F9" w:rsidRPr="00B95E28" w:rsidRDefault="00C217F9" w:rsidP="00557AB7">
      <w:pPr>
        <w:spacing w:line="480" w:lineRule="auto"/>
        <w:rPr>
          <w:color w:val="000000" w:themeColor="text1"/>
          <w:lang w:val="en-CA"/>
        </w:rPr>
      </w:pPr>
      <w:r w:rsidRPr="00B95E28">
        <w:rPr>
          <w:color w:val="000000" w:themeColor="text1"/>
        </w:rPr>
        <w:t>The model captures the dynamic nature of integration</w:t>
      </w:r>
      <w:r w:rsidRPr="00B95E28">
        <w:rPr>
          <w:color w:val="000000" w:themeColor="text1"/>
          <w:lang w:val="en-CA"/>
        </w:rPr>
        <w:t>, demonstrating how organizations move from transaction-specific execution toward a more structured and repeatable approach. This model forms the basis for the analysis presented in Chapter 5 and the operational framework developed in Chapter 6.</w:t>
      </w:r>
    </w:p>
    <w:p w14:paraId="516107BB" w14:textId="77777777" w:rsidR="00D66D8B" w:rsidRPr="00B95E28" w:rsidRDefault="00D66D8B" w:rsidP="00557AB7">
      <w:pPr>
        <w:spacing w:line="480" w:lineRule="auto"/>
        <w:rPr>
          <w:color w:val="000000" w:themeColor="text1"/>
          <w:lang w:val="en-CA"/>
        </w:rPr>
      </w:pPr>
    </w:p>
    <w:p w14:paraId="109911D5" w14:textId="6A36BF98" w:rsidR="00C217F9" w:rsidRPr="00B95E28" w:rsidRDefault="00C217F9" w:rsidP="00557AB7">
      <w:pPr>
        <w:spacing w:line="480" w:lineRule="auto"/>
        <w:rPr>
          <w:color w:val="000000" w:themeColor="text1"/>
          <w:lang w:val="en-CA"/>
        </w:rPr>
      </w:pPr>
      <w:r w:rsidRPr="00B95E28">
        <w:rPr>
          <w:color w:val="000000" w:themeColor="text1"/>
          <w:lang w:val="en-CA"/>
        </w:rPr>
        <w:t>Overall, the thematic analysis approach provides a rigourous and systematic method for interpreting qualitative data. By combining structured coding, cross-case comparison, and pattern identification, the analysis enables the development of a capability-based understanding of post-merger integration that is both empirically grounded and practically relevant.</w:t>
      </w:r>
    </w:p>
    <w:p w14:paraId="5B4DD764" w14:textId="77777777" w:rsidR="00C217F9" w:rsidRPr="00B95E28" w:rsidRDefault="00C217F9" w:rsidP="00557AB7">
      <w:pPr>
        <w:spacing w:line="480" w:lineRule="auto"/>
        <w:rPr>
          <w:color w:val="000000" w:themeColor="text1"/>
        </w:rPr>
      </w:pPr>
      <w:r w:rsidRPr="00B95E28">
        <w:rPr>
          <w:color w:val="000000" w:themeColor="text1"/>
        </w:rPr>
        <w:t>This analytical approach ensures that the findings presented in Chapter 5 are not descriptive observations, but systematically derived insights that reflect consistent patterns across practitioner experience.</w:t>
      </w:r>
    </w:p>
    <w:p w14:paraId="48AB144B" w14:textId="77777777" w:rsidR="00D66D8B" w:rsidRPr="00B95E28" w:rsidRDefault="00D66D8B" w:rsidP="00DF73F3">
      <w:pPr>
        <w:rPr>
          <w:color w:val="000000" w:themeColor="text1"/>
        </w:rPr>
      </w:pPr>
    </w:p>
    <w:p w14:paraId="544D0E50" w14:textId="12725ECA" w:rsidR="00C217F9" w:rsidRPr="00B95E28" w:rsidRDefault="00C217F9" w:rsidP="00557AB7">
      <w:pPr>
        <w:spacing w:line="480" w:lineRule="auto"/>
        <w:rPr>
          <w:color w:val="000000" w:themeColor="text1"/>
        </w:rPr>
      </w:pPr>
      <w:r w:rsidRPr="00B95E28">
        <w:rPr>
          <w:color w:val="000000" w:themeColor="text1"/>
        </w:rPr>
        <w:t>While thematic analysis provides a structured and flexible approach for identifying patterns across qualitative data, it is not without limitations. In particular, thematic analysis focuses on identifying recurring patterns rather than establishing causal relationships in a statistically generalizable sense. As a result, the analysis emphasizes analytical generalization over empirical generalization.</w:t>
      </w:r>
    </w:p>
    <w:p w14:paraId="7A14519D" w14:textId="77777777" w:rsidR="00DF73F3" w:rsidRPr="00B95E28" w:rsidRDefault="00DF73F3" w:rsidP="00DF73F3">
      <w:pPr>
        <w:rPr>
          <w:color w:val="000000" w:themeColor="text1"/>
        </w:rPr>
      </w:pPr>
    </w:p>
    <w:p w14:paraId="2B2AFDFD" w14:textId="11CCD501" w:rsidR="00C217F9" w:rsidRPr="00B95E28" w:rsidRDefault="00C217F9" w:rsidP="00557AB7">
      <w:pPr>
        <w:spacing w:line="480" w:lineRule="auto"/>
        <w:rPr>
          <w:color w:val="000000" w:themeColor="text1"/>
        </w:rPr>
      </w:pPr>
      <w:r w:rsidRPr="00B95E28">
        <w:rPr>
          <w:color w:val="000000" w:themeColor="text1"/>
        </w:rPr>
        <w:t>This limitation is addressed in the context of this study through the use of cross-case comparison and consistency of themes across participants. Rather than relying on isolated observations, the analysis focuses on patterns that recur across multiple independent perspectives, strengthening the validity of the findings.</w:t>
      </w:r>
    </w:p>
    <w:p w14:paraId="4F53E106" w14:textId="77777777" w:rsidR="00D66D8B" w:rsidRPr="00B95E28" w:rsidRDefault="00D66D8B" w:rsidP="00DF73F3">
      <w:pPr>
        <w:rPr>
          <w:color w:val="000000" w:themeColor="text1"/>
        </w:rPr>
      </w:pPr>
    </w:p>
    <w:p w14:paraId="2B5E8E1B" w14:textId="663661D4" w:rsidR="00C217F9" w:rsidRPr="00B95E28" w:rsidRDefault="00C217F9" w:rsidP="00557AB7">
      <w:pPr>
        <w:spacing w:line="480" w:lineRule="auto"/>
        <w:rPr>
          <w:color w:val="000000" w:themeColor="text1"/>
        </w:rPr>
      </w:pPr>
      <w:r w:rsidRPr="00B95E28">
        <w:rPr>
          <w:color w:val="000000" w:themeColor="text1"/>
        </w:rPr>
        <w:t>Additionally, while thematic analysis allows for the identification of relationships between themes, these relationships are interpretive rather than deterministic. This aligns with the interpretivist positioning of the study, where the objective is to understand how integration capability is experienced and developed in practice, rather than to establish predictive models.</w:t>
      </w:r>
    </w:p>
    <w:p w14:paraId="657E6850" w14:textId="77777777" w:rsidR="00C217F9" w:rsidRPr="00B95E28" w:rsidRDefault="00C217F9" w:rsidP="00557AB7">
      <w:pPr>
        <w:spacing w:line="480" w:lineRule="auto"/>
        <w:rPr>
          <w:color w:val="000000" w:themeColor="text1"/>
        </w:rPr>
      </w:pPr>
      <w:r w:rsidRPr="00B95E28">
        <w:rPr>
          <w:color w:val="000000" w:themeColor="text1"/>
        </w:rPr>
        <w:lastRenderedPageBreak/>
        <w:t>This analytical approach enables the study to move beyond descriptive categorization of integration practices and toward an explanatory understanding of how integration capability develops across repeated acquisitions. By identifying consistent patterns and relationships across participants, the analysis provides a robust empirical foundation for the conceptual model presented in subsequent chapters.</w:t>
      </w:r>
    </w:p>
    <w:p w14:paraId="105C6548" w14:textId="77777777" w:rsidR="00D66D8B" w:rsidRPr="00B95E28" w:rsidRDefault="00D66D8B" w:rsidP="00DF73F3">
      <w:pPr>
        <w:rPr>
          <w:color w:val="000000" w:themeColor="text1"/>
        </w:rPr>
      </w:pPr>
    </w:p>
    <w:p w14:paraId="3D74C258" w14:textId="5FEC894E" w:rsidR="00C217F9" w:rsidRPr="00B95E28" w:rsidRDefault="00C217F9" w:rsidP="00557AB7">
      <w:pPr>
        <w:spacing w:line="480" w:lineRule="auto"/>
        <w:rPr>
          <w:color w:val="000000" w:themeColor="text1"/>
        </w:rPr>
      </w:pPr>
      <w:r w:rsidRPr="00B95E28">
        <w:rPr>
          <w:color w:val="000000" w:themeColor="text1"/>
        </w:rPr>
        <w:t>Despite these limitations, thematic analysis remains appropriate for the research objective, as it enables the identification of patterns and relationships that are grounded in practitioner experience while preserving the complexity of integration environments.</w:t>
      </w:r>
    </w:p>
    <w:p w14:paraId="5B79F5F3" w14:textId="77777777" w:rsidR="00D66D8B" w:rsidRPr="00B95E28" w:rsidRDefault="00D66D8B" w:rsidP="00DF73F3">
      <w:pPr>
        <w:rPr>
          <w:color w:val="000000" w:themeColor="text1"/>
        </w:rPr>
      </w:pPr>
    </w:p>
    <w:p w14:paraId="4350786B" w14:textId="43A63CDE" w:rsidR="00C217F9" w:rsidRPr="00B95E28" w:rsidRDefault="00C217F9" w:rsidP="00557AB7">
      <w:pPr>
        <w:spacing w:line="480" w:lineRule="auto"/>
        <w:rPr>
          <w:color w:val="000000" w:themeColor="text1"/>
        </w:rPr>
      </w:pPr>
      <w:r w:rsidRPr="00B95E28">
        <w:rPr>
          <w:color w:val="000000" w:themeColor="text1"/>
        </w:rPr>
        <w:t>These empirically derived relationships directly informed the structure of the Integration Capability Loop (ICL), ensuring that the model reflects observed patterns rather than abstract theoretical construction.</w:t>
      </w:r>
    </w:p>
    <w:p w14:paraId="77043B49" w14:textId="77777777" w:rsidR="00D66D8B" w:rsidRPr="00B95E28" w:rsidRDefault="00D66D8B" w:rsidP="00DF73F3">
      <w:pPr>
        <w:rPr>
          <w:color w:val="000000" w:themeColor="text1"/>
          <w:lang w:val="en-CA"/>
        </w:rPr>
      </w:pPr>
    </w:p>
    <w:p w14:paraId="01288188" w14:textId="70DD5B4B" w:rsidR="00C217F9" w:rsidRPr="00B95E28" w:rsidRDefault="00C217F9" w:rsidP="00557AB7">
      <w:pPr>
        <w:spacing w:line="480" w:lineRule="auto"/>
        <w:rPr>
          <w:color w:val="000000" w:themeColor="text1"/>
          <w:lang w:val="en-CA"/>
        </w:rPr>
      </w:pPr>
      <w:r w:rsidRPr="00B95E28">
        <w:rPr>
          <w:color w:val="000000" w:themeColor="text1"/>
          <w:lang w:val="en-CA"/>
        </w:rPr>
        <w:t>While thematic analysis provides a structured and flexible approach for identifying patterns across qualitative data, it is not without limitations. In particular, thematic analysis depends on researcher interpretation in the identification, grouping, and naming of themes. To mitigate this limitation, the analysis was grounded in participant language, supported by a thematic matrix, and reviewed iteratively as additional interviews were completed.</w:t>
      </w:r>
    </w:p>
    <w:p w14:paraId="187B8106" w14:textId="77777777" w:rsidR="00D66D8B" w:rsidRPr="00B95E28" w:rsidRDefault="00D66D8B" w:rsidP="00DF73F3">
      <w:pPr>
        <w:rPr>
          <w:color w:val="000000" w:themeColor="text1"/>
          <w:lang w:val="en-CA"/>
        </w:rPr>
      </w:pPr>
    </w:p>
    <w:p w14:paraId="09FDFE06" w14:textId="78636736" w:rsidR="00C217F9" w:rsidRPr="00B95E28" w:rsidRDefault="00C217F9" w:rsidP="00557AB7">
      <w:pPr>
        <w:spacing w:line="480" w:lineRule="auto"/>
        <w:rPr>
          <w:color w:val="000000" w:themeColor="text1"/>
          <w:lang w:val="en-CA"/>
        </w:rPr>
      </w:pPr>
      <w:r w:rsidRPr="00B95E28">
        <w:rPr>
          <w:color w:val="000000" w:themeColor="text1"/>
          <w:lang w:val="en-CA"/>
        </w:rPr>
        <w:t xml:space="preserve">A further limitation is that themes may vary in depth and significance even when they appear with similar frequency. For this reason, the analysis did not rely solely on counting theme occurrences. Instead, frequency was considered alongside the richness of participant explanation, the consistency of the theme across interviews, and its relevance to the research questions. This </w:t>
      </w:r>
      <w:r w:rsidRPr="00B95E28">
        <w:rPr>
          <w:color w:val="000000" w:themeColor="text1"/>
          <w:lang w:val="en-CA"/>
        </w:rPr>
        <w:lastRenderedPageBreak/>
        <w:t>allowed the study to distinguish between themes that were commonly mentioned and themes that were analytically important to explaining integration capability.</w:t>
      </w:r>
    </w:p>
    <w:p w14:paraId="1C7A4041" w14:textId="77777777" w:rsidR="00D66D8B" w:rsidRPr="00B95E28" w:rsidRDefault="00D66D8B" w:rsidP="00DF73F3">
      <w:pPr>
        <w:rPr>
          <w:color w:val="000000" w:themeColor="text1"/>
          <w:lang w:val="en-CA"/>
        </w:rPr>
      </w:pPr>
    </w:p>
    <w:p w14:paraId="7006E7D2" w14:textId="55118724" w:rsidR="00C217F9" w:rsidRPr="00B95E28" w:rsidRDefault="00C217F9" w:rsidP="00557AB7">
      <w:pPr>
        <w:spacing w:line="480" w:lineRule="auto"/>
        <w:rPr>
          <w:color w:val="000000" w:themeColor="text1"/>
          <w:lang w:val="en-CA"/>
        </w:rPr>
      </w:pPr>
      <w:r w:rsidRPr="00B95E28">
        <w:rPr>
          <w:color w:val="000000" w:themeColor="text1"/>
          <w:lang w:val="en-CA"/>
        </w:rPr>
        <w:t>This approach strengthened the dependability of the analysis by ensuring that findings were not based on isolated comments or researcher preference. Themes were retained where they appeared across multiple interviews, connected meaningfully to other themes, and contributed to the development of the Integration Capability Loop. The result is an analytical process that remains interpretive, but also systematic, transparent, and aligned with the study’s qualitative research design.</w:t>
      </w:r>
    </w:p>
    <w:p w14:paraId="62BF389A" w14:textId="77777777" w:rsidR="00DF73F3" w:rsidRPr="00B95E28" w:rsidRDefault="00DF73F3" w:rsidP="00DF73F3">
      <w:pPr>
        <w:rPr>
          <w:color w:val="000000" w:themeColor="text1"/>
        </w:rPr>
      </w:pPr>
      <w:bookmarkStart w:id="109" w:name="_Toc230881449"/>
    </w:p>
    <w:p w14:paraId="53F85F1B" w14:textId="527EBA55" w:rsidR="00C217F9" w:rsidRPr="00B95E28" w:rsidRDefault="00C217F9" w:rsidP="00557AB7">
      <w:pPr>
        <w:pStyle w:val="Heading2"/>
        <w:spacing w:before="0" w:after="0" w:line="480" w:lineRule="auto"/>
        <w:ind w:left="0" w:firstLine="0"/>
        <w:rPr>
          <w:color w:val="000000" w:themeColor="text1"/>
        </w:rPr>
      </w:pPr>
      <w:bookmarkStart w:id="110" w:name="_Toc232351849"/>
      <w:r w:rsidRPr="00B95E28">
        <w:rPr>
          <w:color w:val="000000" w:themeColor="text1"/>
        </w:rPr>
        <w:t>3.9 Research Limitations</w:t>
      </w:r>
      <w:bookmarkEnd w:id="109"/>
      <w:bookmarkEnd w:id="110"/>
    </w:p>
    <w:p w14:paraId="7A65821F" w14:textId="77777777" w:rsidR="00C217F9" w:rsidRPr="00B95E28" w:rsidRDefault="00C217F9" w:rsidP="00557AB7">
      <w:pPr>
        <w:spacing w:line="480" w:lineRule="auto"/>
        <w:rPr>
          <w:color w:val="000000" w:themeColor="text1"/>
        </w:rPr>
      </w:pPr>
      <w:r w:rsidRPr="00B95E28">
        <w:rPr>
          <w:color w:val="000000" w:themeColor="text1"/>
        </w:rPr>
        <w:t>While the study provides in-depth insights into integration capability, several limitations should be acknowledged. First, the research relies on self-reported data, which may be subject to recall bias or subjective interpretation. Second, although the sample includes diverse industries and roles, findings may reflect perspectives more common in organizations with active acquisition programs. Third, the cross-sectional design captures reflections on past experiences rather than real-time observation of integration activities. Despite these limitations, the consistency of themes across participants supports the credibility and relevance of the findings.</w:t>
      </w:r>
    </w:p>
    <w:p w14:paraId="6AF1E9BC" w14:textId="77777777" w:rsidR="00D66D8B" w:rsidRPr="00B95E28" w:rsidRDefault="00D66D8B" w:rsidP="00DF73F3">
      <w:pPr>
        <w:rPr>
          <w:color w:val="000000" w:themeColor="text1"/>
          <w:lang w:val="en-CA"/>
        </w:rPr>
      </w:pPr>
    </w:p>
    <w:p w14:paraId="233DCE02" w14:textId="4E1A8876" w:rsidR="00C217F9" w:rsidRPr="00B95E28" w:rsidRDefault="00C217F9" w:rsidP="00557AB7">
      <w:pPr>
        <w:spacing w:line="480" w:lineRule="auto"/>
        <w:rPr>
          <w:color w:val="000000" w:themeColor="text1"/>
          <w:lang w:val="en-CA"/>
        </w:rPr>
      </w:pPr>
      <w:r w:rsidRPr="00B95E28">
        <w:rPr>
          <w:color w:val="000000" w:themeColor="text1"/>
          <w:lang w:val="en-CA"/>
        </w:rPr>
        <w:t>The cross-sectional nature of the study also limits the ability to observe integration capability development in real time. A longitudinal research design would enable direct observation of how integration practices evolve across transactions. However, this was not feasible within the scope of the study. This limitation is partially mitigated by the use of participants with extensive experience across multiple acquisitions, allowing for the identification of consistent patterns across repeated observations rather than isolated events.</w:t>
      </w:r>
    </w:p>
    <w:p w14:paraId="1514E830" w14:textId="77777777" w:rsidR="00C217F9" w:rsidRPr="00B95E28" w:rsidRDefault="00C217F9" w:rsidP="00557AB7">
      <w:pPr>
        <w:pStyle w:val="Heading2"/>
        <w:spacing w:before="0" w:after="0" w:line="480" w:lineRule="auto"/>
        <w:ind w:left="0" w:firstLine="0"/>
        <w:rPr>
          <w:color w:val="000000" w:themeColor="text1"/>
          <w:lang w:val="en-CA"/>
        </w:rPr>
      </w:pPr>
      <w:bookmarkStart w:id="111" w:name="_Toc230881450"/>
      <w:bookmarkStart w:id="112" w:name="_Toc232351850"/>
      <w:r w:rsidRPr="00B95E28">
        <w:rPr>
          <w:color w:val="000000" w:themeColor="text1"/>
          <w:lang w:val="en-CA"/>
        </w:rPr>
        <w:lastRenderedPageBreak/>
        <w:t>3.10 Reliability and Validity</w:t>
      </w:r>
      <w:bookmarkEnd w:id="111"/>
      <w:bookmarkEnd w:id="112"/>
    </w:p>
    <w:p w14:paraId="5E1C3B86" w14:textId="77777777" w:rsidR="00C217F9" w:rsidRPr="00B95E28" w:rsidRDefault="00C217F9" w:rsidP="00557AB7">
      <w:pPr>
        <w:spacing w:line="480" w:lineRule="auto"/>
        <w:rPr>
          <w:color w:val="000000" w:themeColor="text1"/>
          <w:lang w:val="en-CA"/>
        </w:rPr>
      </w:pPr>
      <w:r w:rsidRPr="00B95E28">
        <w:rPr>
          <w:color w:val="000000" w:themeColor="text1"/>
          <w:lang w:val="en-CA"/>
        </w:rPr>
        <w:t>In qualitative research, the concepts of reliability and validity are reframed as credibility, dependability, confirmability, and transferability (Lincoln and Guba, 1985). Given the interpretivist and inductive nature of this study, these criteria are used to assess the trustworthiness and rigour of the research process.</w:t>
      </w:r>
    </w:p>
    <w:p w14:paraId="6F06FDD6" w14:textId="77777777" w:rsidR="00D66D8B" w:rsidRPr="00B95E28" w:rsidRDefault="00D66D8B" w:rsidP="00DF73F3">
      <w:pPr>
        <w:rPr>
          <w:color w:val="000000" w:themeColor="text1"/>
          <w:lang w:val="en-CA"/>
        </w:rPr>
      </w:pPr>
    </w:p>
    <w:p w14:paraId="7C246575" w14:textId="06FE90D5" w:rsidR="00C217F9" w:rsidRPr="00B95E28" w:rsidRDefault="00C217F9" w:rsidP="00557AB7">
      <w:pPr>
        <w:spacing w:line="480" w:lineRule="auto"/>
        <w:rPr>
          <w:color w:val="000000" w:themeColor="text1"/>
          <w:lang w:val="en-CA"/>
        </w:rPr>
      </w:pPr>
      <w:r w:rsidRPr="00B95E28">
        <w:rPr>
          <w:color w:val="000000" w:themeColor="text1"/>
          <w:lang w:val="en-CA"/>
        </w:rPr>
        <w:t>Credibility refers to the confidence in the accuracy and truthfulness of the findings. In this study, credibility was established through consistency of themes across participants with diverse roles, industries, and levels of acquisition experience. The convergence of perspectives across independent interviews provides strong evidence that the findings reflect recurring patterns rather than isolated opinions. In addition, participants were asked to reflect on multiple transactions rather than single events, enabling the identification of stable patterns across different contexts.</w:t>
      </w:r>
    </w:p>
    <w:p w14:paraId="0A0670F8" w14:textId="77777777" w:rsidR="00DF73F3" w:rsidRPr="00B95E28" w:rsidRDefault="00DF73F3" w:rsidP="00DF73F3">
      <w:pPr>
        <w:rPr>
          <w:color w:val="000000" w:themeColor="text1"/>
          <w:lang w:val="en-CA"/>
        </w:rPr>
      </w:pPr>
    </w:p>
    <w:p w14:paraId="1B553B48" w14:textId="5DD330DD" w:rsidR="00C217F9" w:rsidRPr="00B95E28" w:rsidRDefault="00C217F9" w:rsidP="00557AB7">
      <w:pPr>
        <w:spacing w:line="480" w:lineRule="auto"/>
        <w:rPr>
          <w:color w:val="000000" w:themeColor="text1"/>
          <w:lang w:val="en-CA"/>
        </w:rPr>
      </w:pPr>
      <w:r w:rsidRPr="00B95E28">
        <w:rPr>
          <w:color w:val="000000" w:themeColor="text1"/>
          <w:lang w:val="en-CA"/>
        </w:rPr>
        <w:t>Dependability relates to the consistency and repeatability of the research process. This was addressed through the use of a structured interview framework and a systematic approach to data analysis. All interviews followed a consistent thematic structure, ensuring that comparable data for this study was collected across participants. The use of a defined coding process and thematic matrix provides transparency in how data for this study was analyzed and enables replication of the analytical approach.</w:t>
      </w:r>
    </w:p>
    <w:p w14:paraId="2644B97E" w14:textId="77777777" w:rsidR="00D66D8B" w:rsidRPr="00B95E28" w:rsidRDefault="00D66D8B" w:rsidP="00DF73F3">
      <w:pPr>
        <w:rPr>
          <w:color w:val="000000" w:themeColor="text1"/>
          <w:lang w:val="en-CA"/>
        </w:rPr>
      </w:pPr>
    </w:p>
    <w:p w14:paraId="2FD003B6" w14:textId="18FFBEBB" w:rsidR="00C217F9" w:rsidRPr="00B95E28" w:rsidRDefault="00C217F9" w:rsidP="00557AB7">
      <w:pPr>
        <w:spacing w:line="480" w:lineRule="auto"/>
        <w:rPr>
          <w:color w:val="000000" w:themeColor="text1"/>
          <w:lang w:val="en-CA"/>
        </w:rPr>
      </w:pPr>
      <w:r w:rsidRPr="00B95E28">
        <w:rPr>
          <w:color w:val="000000" w:themeColor="text1"/>
          <w:lang w:val="en-CA"/>
        </w:rPr>
        <w:t xml:space="preserve">Confirmability refers to the extent to which findings are grounded in the data rather than influenced by researcher bias. This was supported through the use of direct quotations, structured interview summaries, and iterative coding grounded in participant responses. The thematic </w:t>
      </w:r>
      <w:r w:rsidRPr="00B95E28">
        <w:rPr>
          <w:color w:val="000000" w:themeColor="text1"/>
          <w:lang w:val="en-CA"/>
        </w:rPr>
        <w:lastRenderedPageBreak/>
        <w:t>matrix further supports confirmability by demonstrating how themes were identified across multiple participants, reducing the influence of individual interpretation.</w:t>
      </w:r>
    </w:p>
    <w:p w14:paraId="75755C58" w14:textId="77777777" w:rsidR="00D66D8B" w:rsidRPr="00B95E28" w:rsidRDefault="00D66D8B" w:rsidP="00DF73F3">
      <w:pPr>
        <w:rPr>
          <w:color w:val="000000" w:themeColor="text1"/>
          <w:lang w:val="en-CA"/>
        </w:rPr>
      </w:pPr>
    </w:p>
    <w:p w14:paraId="5A2B2CB1" w14:textId="760D40A1" w:rsidR="00C217F9" w:rsidRPr="00B95E28" w:rsidRDefault="00C217F9" w:rsidP="00557AB7">
      <w:pPr>
        <w:spacing w:line="480" w:lineRule="auto"/>
        <w:rPr>
          <w:color w:val="000000" w:themeColor="text1"/>
          <w:lang w:val="en-CA"/>
        </w:rPr>
      </w:pPr>
      <w:r w:rsidRPr="00B95E28">
        <w:rPr>
          <w:color w:val="000000" w:themeColor="text1"/>
          <w:lang w:val="en-CA"/>
        </w:rPr>
        <w:t>Transferability considers the extent to which findings can be applied to other contexts. While the study does not aim for statistical generalization, the inclusion of participants across multiple industries, roles, and acquisition environments enhances the applicability of findings to similar organizational contexts. By focusing on patterns that recur across diverse settings, the study provides insights that are relevant beyond individual cases.</w:t>
      </w:r>
    </w:p>
    <w:p w14:paraId="77BBADF3" w14:textId="77777777" w:rsidR="00D66D8B" w:rsidRPr="00B95E28" w:rsidRDefault="00D66D8B" w:rsidP="00DF73F3">
      <w:pPr>
        <w:rPr>
          <w:color w:val="000000" w:themeColor="text1"/>
          <w:lang w:val="en-CA"/>
        </w:rPr>
      </w:pPr>
    </w:p>
    <w:p w14:paraId="455E5865" w14:textId="358CDB09" w:rsidR="00C217F9" w:rsidRPr="00B95E28" w:rsidRDefault="00C217F9" w:rsidP="00557AB7">
      <w:pPr>
        <w:spacing w:line="480" w:lineRule="auto"/>
        <w:rPr>
          <w:color w:val="000000" w:themeColor="text1"/>
          <w:lang w:val="en-CA"/>
        </w:rPr>
      </w:pPr>
      <w:r w:rsidRPr="00B95E28">
        <w:rPr>
          <w:color w:val="000000" w:themeColor="text1"/>
          <w:lang w:val="en-CA"/>
        </w:rPr>
        <w:t xml:space="preserve">Together, these measures ensure that the research process is rigourous, transparent, and grounded in empirical data, supporting the credibility and reliability of the findings. </w:t>
      </w:r>
    </w:p>
    <w:p w14:paraId="547E0722" w14:textId="77777777" w:rsidR="00D66D8B" w:rsidRPr="00B95E28" w:rsidRDefault="00D66D8B" w:rsidP="00DF73F3">
      <w:pPr>
        <w:rPr>
          <w:color w:val="000000" w:themeColor="text1"/>
          <w:lang w:val="en-CA"/>
        </w:rPr>
      </w:pPr>
    </w:p>
    <w:p w14:paraId="4F71E937" w14:textId="32647F8D" w:rsidR="00C217F9" w:rsidRPr="00B95E28" w:rsidRDefault="00C217F9" w:rsidP="00557AB7">
      <w:pPr>
        <w:spacing w:line="480" w:lineRule="auto"/>
        <w:rPr>
          <w:color w:val="000000" w:themeColor="text1"/>
          <w:lang w:val="en-CA"/>
        </w:rPr>
      </w:pPr>
      <w:r w:rsidRPr="00B95E28">
        <w:rPr>
          <w:color w:val="000000" w:themeColor="text1"/>
          <w:lang w:val="en-CA"/>
        </w:rPr>
        <w:t>Furthermore, the analysis focused on identifying patterns across multiple transactions rather than relying on single-case insights. Participants were encouraged to reflect on repeated experiences, enabling the identification of consistent challenges and practices across acquisitions. This emphasis on repeated observation supports the internal validity of the findings by demonstrating that identified themes are stable across different contexts and not driven by isolated events.</w:t>
      </w:r>
    </w:p>
    <w:p w14:paraId="600CCA9B" w14:textId="77777777" w:rsidR="00C217F9" w:rsidRPr="00B95E28" w:rsidRDefault="00C217F9" w:rsidP="00557AB7">
      <w:pPr>
        <w:spacing w:line="480" w:lineRule="auto"/>
        <w:rPr>
          <w:color w:val="000000" w:themeColor="text1"/>
          <w:lang w:val="en-CA"/>
        </w:rPr>
      </w:pPr>
      <w:r w:rsidRPr="00B95E28">
        <w:rPr>
          <w:color w:val="000000" w:themeColor="text1"/>
          <w:lang w:val="en-CA"/>
        </w:rPr>
        <w:t>The iterative nature of the analysis process also contributed to validity. Themes were refined as additional interviews were analyzed, allowing emerging patterns to be tested and validated across subsequent data. This process ensured that the final set of themes reflects consistent and well-supported patterns rather than preliminary or incomplete interpretations.</w:t>
      </w:r>
    </w:p>
    <w:p w14:paraId="36D164E5" w14:textId="77777777" w:rsidR="00D66D8B" w:rsidRPr="00B95E28" w:rsidRDefault="00D66D8B" w:rsidP="00DF73F3">
      <w:pPr>
        <w:rPr>
          <w:color w:val="000000" w:themeColor="text1"/>
          <w:lang w:val="en-CA"/>
        </w:rPr>
      </w:pPr>
    </w:p>
    <w:p w14:paraId="65C57E2A" w14:textId="01E48510" w:rsidR="00C217F9" w:rsidRPr="00B95E28" w:rsidRDefault="00C217F9" w:rsidP="00557AB7">
      <w:pPr>
        <w:spacing w:line="480" w:lineRule="auto"/>
        <w:rPr>
          <w:color w:val="000000" w:themeColor="text1"/>
          <w:lang w:val="en-CA"/>
        </w:rPr>
      </w:pPr>
      <w:r w:rsidRPr="00B95E28">
        <w:rPr>
          <w:color w:val="000000" w:themeColor="text1"/>
          <w:lang w:val="en-CA"/>
        </w:rPr>
        <w:t xml:space="preserve">To further support validity, findings were interpreted within the context of both practitioner experience and existing literature. The alignment between interview data and established themes in the literature, such as the importance of governance, planning, and human capital, provides </w:t>
      </w:r>
      <w:r w:rsidRPr="00B95E28">
        <w:rPr>
          <w:color w:val="000000" w:themeColor="text1"/>
          <w:lang w:val="en-CA"/>
        </w:rPr>
        <w:lastRenderedPageBreak/>
        <w:t>additional confidence in the robustness of the findings. At the same time, the identification of gaps, particularly in relation to organizational learning and repeatability, highlights areas where the research extends beyond existing knowledge.</w:t>
      </w:r>
    </w:p>
    <w:p w14:paraId="3721F1DA" w14:textId="77777777" w:rsidR="00D66D8B" w:rsidRPr="00B95E28" w:rsidRDefault="00D66D8B" w:rsidP="00DF73F3">
      <w:pPr>
        <w:rPr>
          <w:color w:val="000000" w:themeColor="text1"/>
          <w:lang w:val="en-CA"/>
        </w:rPr>
      </w:pPr>
    </w:p>
    <w:p w14:paraId="6485F3A3" w14:textId="1A1873DF" w:rsidR="00C217F9" w:rsidRPr="00B95E28" w:rsidRDefault="00C217F9" w:rsidP="00557AB7">
      <w:pPr>
        <w:spacing w:line="480" w:lineRule="auto"/>
        <w:rPr>
          <w:color w:val="000000" w:themeColor="text1"/>
          <w:lang w:val="en-CA"/>
        </w:rPr>
      </w:pPr>
      <w:r w:rsidRPr="00B95E28">
        <w:rPr>
          <w:color w:val="000000" w:themeColor="text1"/>
          <w:lang w:val="en-CA"/>
        </w:rPr>
        <w:t>It is acknowledged that, as a qualitative study, the findings are not intended to be statistically generalizable. However, the objective of the research is to provide analytical generalization by identifying patterns and relationships that are transferable across similar organizational contexts. The combination of a diverse sample, consistent data collection methods, and structured analysis supports the credibility and applicability of the findings.</w:t>
      </w:r>
    </w:p>
    <w:p w14:paraId="628444FA" w14:textId="77777777" w:rsidR="00D66D8B" w:rsidRPr="00B95E28" w:rsidRDefault="00D66D8B" w:rsidP="00DF73F3">
      <w:pPr>
        <w:rPr>
          <w:color w:val="000000" w:themeColor="text1"/>
          <w:lang w:val="en-CA"/>
        </w:rPr>
      </w:pPr>
    </w:p>
    <w:p w14:paraId="01E0A104" w14:textId="2C4808BF" w:rsidR="00C217F9" w:rsidRPr="00B95E28" w:rsidRDefault="00C217F9" w:rsidP="00557AB7">
      <w:pPr>
        <w:spacing w:line="480" w:lineRule="auto"/>
        <w:rPr>
          <w:color w:val="000000" w:themeColor="text1"/>
          <w:lang w:val="en-CA"/>
        </w:rPr>
      </w:pPr>
      <w:r w:rsidRPr="00B95E28">
        <w:rPr>
          <w:color w:val="000000" w:themeColor="text1"/>
          <w:lang w:val="en-CA"/>
        </w:rPr>
        <w:t>Overall, the measures taken to ensure reliability and validity provide a strong foundation for the study. The use of consistent interview structures, systematic thematic analysis, cross-case comparison, and iterative refinement ensures that the findings are both credible and grounded in empirical data. These elements support the development of the Integration Capability Loop (ICL) as a model that reflects real-world integration practices across multiple acquisitions.</w:t>
      </w:r>
    </w:p>
    <w:p w14:paraId="218DC00A" w14:textId="77777777" w:rsidR="00C217F9" w:rsidRPr="00B95E28" w:rsidRDefault="00C217F9" w:rsidP="00557AB7">
      <w:pPr>
        <w:spacing w:line="480" w:lineRule="auto"/>
        <w:rPr>
          <w:color w:val="000000" w:themeColor="text1"/>
          <w:lang w:val="en-CA"/>
        </w:rPr>
      </w:pPr>
      <w:r w:rsidRPr="00B95E28">
        <w:rPr>
          <w:color w:val="000000" w:themeColor="text1"/>
          <w:lang w:val="en-CA"/>
        </w:rPr>
        <w:t>It is important to distinguish between statistical generalization and analytical transferability within the context of this study. As a qualitative investigation, the findings are not intended to be generalized across all organizations or acquisition contexts. Instead, the study provides analytical generalization by identifying patterns and relationships that are applicable to similar organizational environments.</w:t>
      </w:r>
    </w:p>
    <w:p w14:paraId="3220C4A2" w14:textId="77777777" w:rsidR="00D66D8B" w:rsidRPr="00B95E28" w:rsidRDefault="00D66D8B" w:rsidP="00DF73F3">
      <w:pPr>
        <w:rPr>
          <w:color w:val="000000" w:themeColor="text1"/>
          <w:lang w:val="en-CA"/>
        </w:rPr>
      </w:pPr>
    </w:p>
    <w:p w14:paraId="560D1235" w14:textId="07571080" w:rsidR="00C217F9" w:rsidRPr="00B95E28" w:rsidRDefault="00C217F9" w:rsidP="00557AB7">
      <w:pPr>
        <w:spacing w:line="480" w:lineRule="auto"/>
        <w:rPr>
          <w:color w:val="000000" w:themeColor="text1"/>
          <w:lang w:val="en-CA"/>
        </w:rPr>
      </w:pPr>
      <w:r w:rsidRPr="00B95E28">
        <w:rPr>
          <w:color w:val="000000" w:themeColor="text1"/>
          <w:lang w:val="en-CA"/>
        </w:rPr>
        <w:t>Transferability is supported through the diversity of the participant sample, which includes multiple industries, roles, and levels of acquisition maturity. By capturing recurring themes across varied contexts, the study enables readers to assess the applicability of findings to their own organizational settings.</w:t>
      </w:r>
    </w:p>
    <w:p w14:paraId="4E804C2D" w14:textId="2E24554B" w:rsidR="00C217F9" w:rsidRPr="00B95E28" w:rsidRDefault="00C217F9" w:rsidP="00557AB7">
      <w:pPr>
        <w:spacing w:line="480" w:lineRule="auto"/>
        <w:rPr>
          <w:color w:val="000000" w:themeColor="text1"/>
          <w:lang w:val="en-CA"/>
        </w:rPr>
      </w:pPr>
      <w:r w:rsidRPr="00B95E28">
        <w:rPr>
          <w:color w:val="000000" w:themeColor="text1"/>
          <w:lang w:val="en-CA"/>
        </w:rPr>
        <w:lastRenderedPageBreak/>
        <w:t>This distinction is particularly relevant given the study’s focus on integration capability, which is inherently context-dependent. Rather than seeking universal applicability, the research provides a framework for understanding how integration capability develops, which can be adapted to different organizational environments.</w:t>
      </w:r>
    </w:p>
    <w:p w14:paraId="1D4D5704" w14:textId="77777777" w:rsidR="00DF73F3" w:rsidRPr="00B95E28" w:rsidRDefault="00DF73F3" w:rsidP="00DF73F3">
      <w:pPr>
        <w:rPr>
          <w:color w:val="000000" w:themeColor="text1"/>
          <w:lang w:val="en-CA"/>
        </w:rPr>
      </w:pPr>
      <w:bookmarkStart w:id="113" w:name="_Toc230881451"/>
    </w:p>
    <w:p w14:paraId="2AF73AC8" w14:textId="6CFC120C" w:rsidR="00C217F9" w:rsidRPr="00B95E28" w:rsidRDefault="00C217F9" w:rsidP="00557AB7">
      <w:pPr>
        <w:pStyle w:val="Heading2"/>
        <w:spacing w:before="0" w:after="0" w:line="480" w:lineRule="auto"/>
        <w:ind w:left="0" w:firstLine="0"/>
        <w:rPr>
          <w:color w:val="000000" w:themeColor="text1"/>
          <w:lang w:val="en-CA"/>
        </w:rPr>
      </w:pPr>
      <w:bookmarkStart w:id="114" w:name="_Toc232351851"/>
      <w:r w:rsidRPr="00B95E28">
        <w:rPr>
          <w:color w:val="000000" w:themeColor="text1"/>
          <w:lang w:val="en-CA"/>
        </w:rPr>
        <w:t>3.11 Ethical Considerations</w:t>
      </w:r>
      <w:bookmarkEnd w:id="113"/>
      <w:bookmarkEnd w:id="114"/>
    </w:p>
    <w:p w14:paraId="6996DBBA" w14:textId="77777777" w:rsidR="00C217F9" w:rsidRPr="00B95E28" w:rsidRDefault="00C217F9" w:rsidP="00557AB7">
      <w:pPr>
        <w:spacing w:line="480" w:lineRule="auto"/>
        <w:rPr>
          <w:color w:val="000000" w:themeColor="text1"/>
          <w:lang w:val="en-CA"/>
        </w:rPr>
      </w:pPr>
      <w:r w:rsidRPr="00B95E28">
        <w:rPr>
          <w:color w:val="000000" w:themeColor="text1"/>
          <w:lang w:val="en-CA"/>
        </w:rPr>
        <w:t>Ethical considerations were addressed throughout the research process to ensure that the study was conducted in a responsible and transparent manner. Participants were informed of the purpose of the research, the nature of their involvement, and how the data would be used prior to participating in the study.</w:t>
      </w:r>
    </w:p>
    <w:p w14:paraId="5352ACAE" w14:textId="77777777" w:rsidR="00D66D8B" w:rsidRPr="00B95E28" w:rsidRDefault="00D66D8B" w:rsidP="00DF73F3">
      <w:pPr>
        <w:rPr>
          <w:color w:val="000000" w:themeColor="text1"/>
          <w:lang w:val="en-CA"/>
        </w:rPr>
      </w:pPr>
    </w:p>
    <w:p w14:paraId="5B785CF0" w14:textId="7A2407F8" w:rsidR="00C217F9" w:rsidRPr="00B95E28" w:rsidRDefault="00C217F9" w:rsidP="00557AB7">
      <w:pPr>
        <w:spacing w:line="480" w:lineRule="auto"/>
        <w:rPr>
          <w:color w:val="000000" w:themeColor="text1"/>
          <w:lang w:val="en-CA"/>
        </w:rPr>
      </w:pPr>
      <w:r w:rsidRPr="00B95E28">
        <w:rPr>
          <w:color w:val="000000" w:themeColor="text1"/>
          <w:lang w:val="en-CA"/>
        </w:rPr>
        <w:t>Informed consent was obtained from all participants before conducting interviews. Participants were provided with the option to be cited by name or to remain anonymous, and their preferences were recorded and respected in the reporting of findings. This approach ensured that participants could contribute openly while maintaining control over how their input was represented.</w:t>
      </w:r>
    </w:p>
    <w:p w14:paraId="60941B4B" w14:textId="77777777" w:rsidR="00DF73F3" w:rsidRPr="00B95E28" w:rsidRDefault="00DF73F3" w:rsidP="00DF73F3">
      <w:pPr>
        <w:rPr>
          <w:color w:val="000000" w:themeColor="text1"/>
          <w:lang w:val="en-CA"/>
        </w:rPr>
      </w:pPr>
    </w:p>
    <w:p w14:paraId="33925262" w14:textId="6964F190" w:rsidR="00C217F9" w:rsidRPr="00B95E28" w:rsidRDefault="00C217F9" w:rsidP="00557AB7">
      <w:pPr>
        <w:spacing w:line="480" w:lineRule="auto"/>
        <w:rPr>
          <w:color w:val="000000" w:themeColor="text1"/>
          <w:lang w:val="en-CA"/>
        </w:rPr>
      </w:pPr>
      <w:r w:rsidRPr="00B95E28">
        <w:rPr>
          <w:color w:val="000000" w:themeColor="text1"/>
          <w:lang w:val="en-CA"/>
        </w:rPr>
        <w:t>Confidentiality was maintained by limiting the use of identifiable information to cases where explicit permission was granted. Where participants elected to remain anonymous, identifying details such as specific organizational context or role descriptions were generalized to prevent attribution.</w:t>
      </w:r>
    </w:p>
    <w:p w14:paraId="07B07020" w14:textId="77777777" w:rsidR="00D66D8B" w:rsidRPr="00B95E28" w:rsidRDefault="00D66D8B" w:rsidP="00DF73F3">
      <w:pPr>
        <w:rPr>
          <w:color w:val="000000" w:themeColor="text1"/>
          <w:lang w:val="en-CA"/>
        </w:rPr>
      </w:pPr>
    </w:p>
    <w:p w14:paraId="0F6F425C" w14:textId="25B76528" w:rsidR="00C217F9" w:rsidRPr="00B95E28" w:rsidRDefault="00C217F9" w:rsidP="00557AB7">
      <w:pPr>
        <w:spacing w:line="480" w:lineRule="auto"/>
        <w:rPr>
          <w:color w:val="000000" w:themeColor="text1"/>
          <w:lang w:val="en-CA"/>
        </w:rPr>
      </w:pPr>
      <w:r w:rsidRPr="00B95E28">
        <w:rPr>
          <w:color w:val="000000" w:themeColor="text1"/>
          <w:lang w:val="en-CA"/>
        </w:rPr>
        <w:t xml:space="preserve">All data collected during the study, including interview notes and summaries, was used solely for academic research purposes. Data for this study was stored securely and accessed only by the </w:t>
      </w:r>
      <w:r w:rsidRPr="00B95E28">
        <w:rPr>
          <w:color w:val="000000" w:themeColor="text1"/>
          <w:lang w:val="en-CA"/>
        </w:rPr>
        <w:lastRenderedPageBreak/>
        <w:t>researcher. Care was taken to ensure that participant responses were represented accurately and without distortion.</w:t>
      </w:r>
    </w:p>
    <w:p w14:paraId="630B264F" w14:textId="77777777" w:rsidR="00D66D8B" w:rsidRPr="00B95E28" w:rsidRDefault="00D66D8B" w:rsidP="00DF73F3">
      <w:pPr>
        <w:rPr>
          <w:color w:val="000000" w:themeColor="text1"/>
          <w:lang w:val="en-CA"/>
        </w:rPr>
      </w:pPr>
    </w:p>
    <w:p w14:paraId="3A518536" w14:textId="16CA1EC5" w:rsidR="00C217F9" w:rsidRPr="00B95E28" w:rsidRDefault="00C217F9" w:rsidP="00557AB7">
      <w:pPr>
        <w:spacing w:line="480" w:lineRule="auto"/>
        <w:rPr>
          <w:color w:val="000000" w:themeColor="text1"/>
          <w:lang w:val="en-CA"/>
        </w:rPr>
      </w:pPr>
      <w:r w:rsidRPr="00B95E28">
        <w:rPr>
          <w:color w:val="000000" w:themeColor="text1"/>
          <w:lang w:val="en-CA"/>
        </w:rPr>
        <w:t>In reporting the findings, the researcher aimed to present participant perspectives faithfully, avoiding selective interpretation or misrepresentation. Direct quotations were used where appropriate to preserve the original meaning and context of participant responses.</w:t>
      </w:r>
    </w:p>
    <w:p w14:paraId="64702E86" w14:textId="77777777" w:rsidR="00C217F9" w:rsidRPr="00B95E28" w:rsidRDefault="00C217F9" w:rsidP="00557AB7">
      <w:pPr>
        <w:spacing w:line="480" w:lineRule="auto"/>
        <w:rPr>
          <w:color w:val="000000" w:themeColor="text1"/>
          <w:lang w:val="en-CA"/>
        </w:rPr>
      </w:pPr>
      <w:r w:rsidRPr="00B95E28">
        <w:rPr>
          <w:color w:val="000000" w:themeColor="text1"/>
          <w:lang w:val="en-CA"/>
        </w:rPr>
        <w:t>Following the completion of interview summaries, participants were provided with the opportunity to review and validate the content to ensure accuracy and correct interpretation of their responses. This process enabled participants to confirm that their perspectives had been represented faithfully and reduced the risk of misinterpretation. Incorporating this step strengthened the integrity of the data and supported the credibility of the findings.</w:t>
      </w:r>
    </w:p>
    <w:p w14:paraId="785E2AE7" w14:textId="77777777" w:rsidR="00D66D8B" w:rsidRPr="00B95E28" w:rsidRDefault="00D66D8B" w:rsidP="00DF73F3">
      <w:pPr>
        <w:rPr>
          <w:color w:val="000000" w:themeColor="text1"/>
        </w:rPr>
      </w:pPr>
    </w:p>
    <w:p w14:paraId="3EB5B694" w14:textId="3DC98E20" w:rsidR="00C217F9" w:rsidRPr="00B95E28" w:rsidRDefault="00C217F9" w:rsidP="00557AB7">
      <w:pPr>
        <w:spacing w:line="480" w:lineRule="auto"/>
        <w:rPr>
          <w:color w:val="000000" w:themeColor="text1"/>
        </w:rPr>
      </w:pPr>
      <w:r w:rsidRPr="00B95E28">
        <w:rPr>
          <w:color w:val="000000" w:themeColor="text1"/>
        </w:rPr>
        <w:t>Overall, these measures ensured that the research adhered to established ethical standards while maintaining participant trust, data integrity, and the credibility of the research findings.</w:t>
      </w:r>
    </w:p>
    <w:p w14:paraId="5C2A14D2" w14:textId="77777777" w:rsidR="00C217F9" w:rsidRPr="00B95E28" w:rsidRDefault="00C217F9" w:rsidP="00557AB7">
      <w:pPr>
        <w:spacing w:line="480" w:lineRule="auto"/>
        <w:rPr>
          <w:color w:val="000000" w:themeColor="text1"/>
        </w:rPr>
      </w:pPr>
      <w:r w:rsidRPr="00B95E28">
        <w:rPr>
          <w:color w:val="000000" w:themeColor="text1"/>
        </w:rPr>
        <w:t>This chapter has outlined the research methodology used to examine how organizations develop repeatable integration capability across multiple acquisitions. By adopting a qualitative, interpretivist, and inductive approach, the study captures practitioner insights across diverse integration contexts. The use of semi-structured interviews and thematic analysis provides a rigourous foundation for identifying recurring patterns in integration practice. The findings derived from this methodology are presented in Chapter 4, where recurring themes and cross-case patterns are analysed and interpreted to support the development of the Integration Capability Loop (ICL).</w:t>
      </w:r>
    </w:p>
    <w:p w14:paraId="7675E1D1" w14:textId="77777777" w:rsidR="00D66D8B" w:rsidRPr="00B95E28" w:rsidRDefault="00D66D8B" w:rsidP="00557AB7">
      <w:pPr>
        <w:spacing w:line="480" w:lineRule="auto"/>
        <w:jc w:val="center"/>
        <w:rPr>
          <w:b/>
          <w:color w:val="000000" w:themeColor="text1"/>
        </w:rPr>
      </w:pPr>
    </w:p>
    <w:p w14:paraId="67B7AE8B" w14:textId="77777777" w:rsidR="00D66D8B" w:rsidRPr="00B95E28" w:rsidRDefault="00D66D8B" w:rsidP="00557AB7">
      <w:pPr>
        <w:spacing w:line="480" w:lineRule="auto"/>
        <w:jc w:val="center"/>
        <w:rPr>
          <w:b/>
          <w:color w:val="000000" w:themeColor="text1"/>
        </w:rPr>
      </w:pPr>
    </w:p>
    <w:p w14:paraId="0B51EA60" w14:textId="7B7C433D" w:rsidR="00C217F9" w:rsidRPr="00B95E28" w:rsidRDefault="00C217F9" w:rsidP="00557AB7">
      <w:pPr>
        <w:spacing w:line="480" w:lineRule="auto"/>
        <w:jc w:val="center"/>
        <w:rPr>
          <w:b/>
          <w:color w:val="000000" w:themeColor="text1"/>
        </w:rPr>
      </w:pPr>
      <w:r w:rsidRPr="00B95E28">
        <w:rPr>
          <w:b/>
          <w:color w:val="000000" w:themeColor="text1"/>
        </w:rPr>
        <w:lastRenderedPageBreak/>
        <w:t>CHAPTER 4</w:t>
      </w:r>
    </w:p>
    <w:p w14:paraId="6D05BDD4" w14:textId="77777777" w:rsidR="00C217F9" w:rsidRPr="00B95E28" w:rsidRDefault="00C217F9" w:rsidP="00557AB7">
      <w:pPr>
        <w:pStyle w:val="Heading1"/>
        <w:rPr>
          <w:color w:val="000000" w:themeColor="text1"/>
        </w:rPr>
      </w:pPr>
      <w:bookmarkStart w:id="115" w:name="_Toc232351852"/>
      <w:r w:rsidRPr="00B95E28">
        <w:rPr>
          <w:color w:val="000000" w:themeColor="text1"/>
        </w:rPr>
        <w:t>RESEARCH FINDINGS</w:t>
      </w:r>
      <w:bookmarkEnd w:id="115"/>
    </w:p>
    <w:p w14:paraId="133BE85D" w14:textId="6DF39561" w:rsidR="00C217F9" w:rsidRPr="00B95E28" w:rsidRDefault="00A7009E" w:rsidP="00557AB7">
      <w:pPr>
        <w:pStyle w:val="Heading2"/>
        <w:spacing w:before="0" w:after="0" w:line="480" w:lineRule="auto"/>
        <w:ind w:left="0" w:firstLine="0"/>
        <w:rPr>
          <w:color w:val="000000" w:themeColor="text1"/>
        </w:rPr>
      </w:pPr>
      <w:bookmarkStart w:id="116" w:name="_Toc230881453"/>
      <w:bookmarkStart w:id="117" w:name="_Toc232351853"/>
      <w:r w:rsidRPr="00B95E28">
        <w:rPr>
          <w:color w:val="000000" w:themeColor="text1"/>
        </w:rPr>
        <w:t xml:space="preserve">Chapter </w:t>
      </w:r>
      <w:r w:rsidR="00C217F9" w:rsidRPr="00B95E28">
        <w:rPr>
          <w:color w:val="000000" w:themeColor="text1"/>
        </w:rPr>
        <w:t>4</w:t>
      </w:r>
      <w:r w:rsidRPr="00B95E28">
        <w:rPr>
          <w:color w:val="000000" w:themeColor="text1"/>
        </w:rPr>
        <w:t>:</w:t>
      </w:r>
      <w:r w:rsidR="00C217F9" w:rsidRPr="00B95E28">
        <w:rPr>
          <w:color w:val="000000" w:themeColor="text1"/>
        </w:rPr>
        <w:t xml:space="preserve"> Overview of Participants</w:t>
      </w:r>
      <w:bookmarkEnd w:id="116"/>
      <w:bookmarkEnd w:id="117"/>
    </w:p>
    <w:p w14:paraId="68618249" w14:textId="5CACE592" w:rsidR="00C217F9" w:rsidRPr="00B95E28" w:rsidRDefault="00C217F9" w:rsidP="00DF73F3">
      <w:pPr>
        <w:spacing w:line="480" w:lineRule="auto"/>
        <w:rPr>
          <w:color w:val="000000" w:themeColor="text1"/>
        </w:rPr>
      </w:pPr>
      <w:r w:rsidRPr="00B95E28">
        <w:rPr>
          <w:color w:val="000000" w:themeColor="text1"/>
        </w:rPr>
        <w:t>This chapter presents the research findings from twenty-three semi-structured interviews conducted with senior practitioners involved in mergers and acquisitions, post-merger integration, corporate development, operations, technology, finance, and advisory roles. The chapter addresses the study’s central research question by examining how organizations develop, apply, and refine repeatable integration capability across multiple acquisitions. Findings are presented thematically across six key dimensions of integration capability: governance, planning, execution, technology, human capital, and organizational learning. Sections 4.1 to 4.7 present the major themes identified through the analysis, while Sections 4.8 and 4.9 synthesize the cross-theme relationships that explain how these dimensions interact as part of an interdependent integration capability system.</w:t>
      </w:r>
    </w:p>
    <w:p w14:paraId="61F3EB83" w14:textId="77777777" w:rsidR="00DF73F3" w:rsidRPr="00B95E28" w:rsidRDefault="00DF73F3" w:rsidP="00DF73F3">
      <w:pPr>
        <w:rPr>
          <w:color w:val="000000" w:themeColor="text1"/>
        </w:rPr>
      </w:pPr>
    </w:p>
    <w:p w14:paraId="3EF7F075" w14:textId="77777777" w:rsidR="00DF73F3" w:rsidRPr="00B95E28" w:rsidRDefault="00C217F9" w:rsidP="00DF73F3">
      <w:pPr>
        <w:spacing w:line="480" w:lineRule="auto"/>
        <w:rPr>
          <w:color w:val="000000" w:themeColor="text1"/>
        </w:rPr>
      </w:pPr>
      <w:r w:rsidRPr="00B95E28">
        <w:rPr>
          <w:color w:val="000000" w:themeColor="text1"/>
        </w:rPr>
        <w:t>This study draws on insights from twenty-three semi-structured interviews conducted with practitioners directly involved in mergers and acquisitions across a range of industries and organizational contexts. Participants held senior roles spanning corporate development, finance, technology, operations, and executive leadership, providing a cross-functional perspective on integration practices. The sample includes individuals with experience in both acquiring and acquired organizations, as well as those operating within advisory and consulting capacities.</w:t>
      </w:r>
    </w:p>
    <w:p w14:paraId="02ED1E44" w14:textId="77777777" w:rsidR="00DF73F3" w:rsidRPr="00B95E28" w:rsidRDefault="00DF73F3" w:rsidP="00DF73F3">
      <w:pPr>
        <w:rPr>
          <w:color w:val="000000" w:themeColor="text1"/>
        </w:rPr>
      </w:pPr>
    </w:p>
    <w:p w14:paraId="43878B95" w14:textId="77777777" w:rsidR="00DF73F3" w:rsidRPr="00B95E28" w:rsidRDefault="00C217F9" w:rsidP="00DF73F3">
      <w:pPr>
        <w:spacing w:line="480" w:lineRule="auto"/>
        <w:rPr>
          <w:color w:val="000000" w:themeColor="text1"/>
        </w:rPr>
      </w:pPr>
      <w:r w:rsidRPr="00B95E28">
        <w:rPr>
          <w:color w:val="000000" w:themeColor="text1"/>
        </w:rPr>
        <w:t xml:space="preserve">The participants represent organizations at varying stages of acquisition maturity, including firms that engage in occasional acquisitions and those operating as serial acquirers executing multiple transactions over defined periods. Several participants reported involvement in large-scale </w:t>
      </w:r>
      <w:r w:rsidRPr="00B95E28">
        <w:rPr>
          <w:color w:val="000000" w:themeColor="text1"/>
        </w:rPr>
        <w:lastRenderedPageBreak/>
        <w:t>acquisition programs, while others contributed insights from mid-market and lower mid-market transactions. This diversity allows for comparison across different operating models, governance structures, and integration approaches.</w:t>
      </w:r>
    </w:p>
    <w:p w14:paraId="7D506524" w14:textId="77777777" w:rsidR="00DF73F3" w:rsidRPr="00B95E28" w:rsidRDefault="00DF73F3" w:rsidP="00DF73F3">
      <w:pPr>
        <w:rPr>
          <w:color w:val="000000" w:themeColor="text1"/>
        </w:rPr>
      </w:pPr>
    </w:p>
    <w:p w14:paraId="6D77058F" w14:textId="77777777" w:rsidR="00DF73F3" w:rsidRPr="00B95E28" w:rsidRDefault="00C217F9" w:rsidP="00DF73F3">
      <w:pPr>
        <w:spacing w:line="480" w:lineRule="auto"/>
        <w:rPr>
          <w:color w:val="000000" w:themeColor="text1"/>
        </w:rPr>
      </w:pPr>
      <w:r w:rsidRPr="00B95E28">
        <w:rPr>
          <w:color w:val="000000" w:themeColor="text1"/>
        </w:rPr>
        <w:t>In terms of experience, participants collectively reported involvement in a substantial number of transactions, ranging from early exposure in newly assumed roles to extensive experience spanning decades and dozens of completed deals. This variation provides both depth and contrast, capturing perspectives from individuals actively developing integration capability as well as those reflecting on established practices and long-term outcomes.</w:t>
      </w:r>
    </w:p>
    <w:p w14:paraId="1A7D816C" w14:textId="77777777" w:rsidR="00DF73F3" w:rsidRPr="00B95E28" w:rsidRDefault="00DF73F3" w:rsidP="00DF73F3">
      <w:pPr>
        <w:rPr>
          <w:color w:val="000000" w:themeColor="text1"/>
        </w:rPr>
      </w:pPr>
    </w:p>
    <w:p w14:paraId="599AD7C2" w14:textId="77777777" w:rsidR="00DF73F3" w:rsidRPr="00B95E28" w:rsidRDefault="00C217F9" w:rsidP="00DF73F3">
      <w:pPr>
        <w:spacing w:line="480" w:lineRule="auto"/>
        <w:rPr>
          <w:color w:val="000000" w:themeColor="text1"/>
        </w:rPr>
      </w:pPr>
      <w:r w:rsidRPr="00B95E28">
        <w:rPr>
          <w:color w:val="000000" w:themeColor="text1"/>
        </w:rPr>
        <w:t>The interviews were designed to capture perspectives across key dimensions of integration, including governance, planning, execution, technology, human capital, and organizational learning. While individual participants brought different areas of expertise, consistent patterns emerged across interviews, indicating convergence in how integration challenges and success factors are experienced in practice.</w:t>
      </w:r>
    </w:p>
    <w:p w14:paraId="0274573A" w14:textId="77777777" w:rsidR="00DF73F3" w:rsidRPr="00B95E28" w:rsidRDefault="00DF73F3" w:rsidP="00DF73F3">
      <w:pPr>
        <w:rPr>
          <w:color w:val="000000" w:themeColor="text1"/>
        </w:rPr>
      </w:pPr>
    </w:p>
    <w:p w14:paraId="3F9F7466" w14:textId="77777777" w:rsidR="00DF73F3" w:rsidRPr="00B95E28" w:rsidRDefault="00C217F9" w:rsidP="00DF73F3">
      <w:pPr>
        <w:spacing w:line="480" w:lineRule="auto"/>
        <w:rPr>
          <w:color w:val="000000" w:themeColor="text1"/>
        </w:rPr>
      </w:pPr>
      <w:r w:rsidRPr="00B95E28">
        <w:rPr>
          <w:color w:val="000000" w:themeColor="text1"/>
        </w:rPr>
        <w:t>Participants were offered the option to be identified or remain anonymous. Where explicit consent to be cited by name was not provided, responses have been anonymized. This approach ensures both ethical compliance and consistency in the presentation of findings.</w:t>
      </w:r>
    </w:p>
    <w:p w14:paraId="7A7A76AE" w14:textId="77777777" w:rsidR="00DF73F3" w:rsidRPr="00B95E28" w:rsidRDefault="00DF73F3" w:rsidP="00DF73F3">
      <w:pPr>
        <w:rPr>
          <w:color w:val="000000" w:themeColor="text1"/>
        </w:rPr>
      </w:pPr>
    </w:p>
    <w:p w14:paraId="552A50CB" w14:textId="1E1A8559" w:rsidR="00C217F9" w:rsidRPr="00B95E28" w:rsidRDefault="00C217F9" w:rsidP="00DF73F3">
      <w:pPr>
        <w:spacing w:line="480" w:lineRule="auto"/>
        <w:rPr>
          <w:color w:val="000000" w:themeColor="text1"/>
          <w:lang w:val="en-CA"/>
        </w:rPr>
      </w:pPr>
      <w:r w:rsidRPr="00B95E28">
        <w:rPr>
          <w:color w:val="000000" w:themeColor="text1"/>
        </w:rPr>
        <w:t xml:space="preserve">Overall, the participant group provides a robust empirical foundation for examining how integration is structured, executed, and refined across multiple acquisitions, supporting the analysis presented in the following sections. </w:t>
      </w:r>
      <w:r w:rsidRPr="00B95E28">
        <w:rPr>
          <w:color w:val="000000" w:themeColor="text1"/>
          <w:lang w:val="en-CA"/>
        </w:rPr>
        <w:t xml:space="preserve">To provide an overview of the distribution and consistency of themes identified across the interview dataset, Table 4.1 summarizes the frequency with which each theme was referenced by participants. While the study adopts a </w:t>
      </w:r>
      <w:r w:rsidRPr="00B95E28">
        <w:rPr>
          <w:color w:val="000000" w:themeColor="text1"/>
          <w:lang w:val="en-CA"/>
        </w:rPr>
        <w:lastRenderedPageBreak/>
        <w:t>qualitative approach, the inclusion of frequency indicators supports transparency in the analysis and demonstrates the extent to which themes are shared across different interviews.</w:t>
      </w:r>
    </w:p>
    <w:p w14:paraId="536A68EA" w14:textId="77777777" w:rsidR="00C217F9" w:rsidRPr="00B95E28" w:rsidRDefault="00C217F9" w:rsidP="00DF73F3">
      <w:pPr>
        <w:spacing w:line="480" w:lineRule="auto"/>
        <w:rPr>
          <w:color w:val="000000" w:themeColor="text1"/>
          <w:lang w:val="en-CA"/>
        </w:rPr>
      </w:pPr>
      <w:r w:rsidRPr="00B95E28">
        <w:rPr>
          <w:color w:val="000000" w:themeColor="text1"/>
          <w:lang w:val="en-CA"/>
        </w:rPr>
        <w:t>It is important to note that frequency does not imply importance in isolation. Rather, it provides a complementary perspective on the prevalence of themes, alongside the depth and context captured through participant narratives. Themes with higher frequency indicate strong convergence in practitioner experience, while those with lower frequency may still offer critical insights into specific dimensions of integration capability.</w:t>
      </w:r>
    </w:p>
    <w:p w14:paraId="75B1F55B" w14:textId="6A976A84" w:rsidR="00D634DB" w:rsidRPr="00B95E28" w:rsidRDefault="00D634DB"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18" w:name="_Toc230883092"/>
      <w:bookmarkStart w:id="119" w:name="_Toc232351972"/>
      <w:r w:rsidR="00B91B93">
        <w:rPr>
          <w:noProof/>
          <w:color w:val="000000" w:themeColor="text1"/>
        </w:rPr>
        <w:t>4</w:t>
      </w:r>
      <w:r w:rsidRPr="00B95E28">
        <w:rPr>
          <w:color w:val="000000" w:themeColor="text1"/>
        </w:rPr>
        <w:fldChar w:fldCharType="end"/>
      </w:r>
      <w:r w:rsidRPr="00B95E28">
        <w:rPr>
          <w:color w:val="000000" w:themeColor="text1"/>
        </w:rPr>
        <w:t>: Table 4.1: Frequency of Themes Across Interviews (Source: Author)</w:t>
      </w:r>
      <w:bookmarkEnd w:id="118"/>
      <w:bookmarkEnd w:id="119"/>
    </w:p>
    <w:p w14:paraId="41623570" w14:textId="77777777" w:rsidR="00C217F9" w:rsidRPr="00B95E28" w:rsidRDefault="00C217F9" w:rsidP="00557AB7">
      <w:pPr>
        <w:spacing w:line="480" w:lineRule="auto"/>
        <w:rPr>
          <w:b/>
          <w:bCs/>
          <w:color w:val="000000" w:themeColor="text1"/>
          <w:lang w:val="en-CA"/>
        </w:rPr>
      </w:pPr>
      <w:r w:rsidRPr="00B95E28">
        <w:rPr>
          <w:noProof/>
          <w:color w:val="000000" w:themeColor="text1"/>
        </w:rPr>
        <w:drawing>
          <wp:inline distT="0" distB="0" distL="0" distR="0" wp14:anchorId="18410428" wp14:editId="11493A17">
            <wp:extent cx="5486400" cy="1281430"/>
            <wp:effectExtent l="0" t="0" r="0" b="0"/>
            <wp:docPr id="1128256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1281430"/>
                    </a:xfrm>
                    <a:prstGeom prst="rect">
                      <a:avLst/>
                    </a:prstGeom>
                    <a:noFill/>
                    <a:ln>
                      <a:noFill/>
                    </a:ln>
                  </pic:spPr>
                </pic:pic>
              </a:graphicData>
            </a:graphic>
          </wp:inline>
        </w:drawing>
      </w:r>
    </w:p>
    <w:p w14:paraId="6FA8EBD7" w14:textId="77777777" w:rsidR="00C217F9" w:rsidRPr="00B95E28" w:rsidRDefault="00C217F9" w:rsidP="00557AB7">
      <w:pPr>
        <w:spacing w:line="480" w:lineRule="auto"/>
        <w:rPr>
          <w:color w:val="000000" w:themeColor="text1"/>
        </w:rPr>
      </w:pPr>
      <w:r w:rsidRPr="00B95E28">
        <w:rPr>
          <w:color w:val="000000" w:themeColor="text1"/>
        </w:rPr>
        <w:t>The expanded interview set strengthened confidence in the stability of the findings. Later interviews did not materially alter the coding structure; instead, they added depth to existing themes and clarified the relationships between them. This was particularly evident in the repeated emphasis on early planning, governance authority, execution discipline, and the difficulty of institutionalizing learning. In qualitative terms, this suggests that the study achieved thematic saturation, as additional data reinforced the explanatory framework rather than requiring the creation of new major categories.</w:t>
      </w:r>
    </w:p>
    <w:p w14:paraId="26BB6971" w14:textId="77777777" w:rsidR="00DF73F3" w:rsidRPr="00B95E28" w:rsidRDefault="00DF73F3" w:rsidP="00DF73F3">
      <w:pPr>
        <w:rPr>
          <w:color w:val="000000" w:themeColor="text1"/>
        </w:rPr>
      </w:pPr>
      <w:bookmarkStart w:id="120" w:name="_Toc230881454"/>
    </w:p>
    <w:p w14:paraId="3E6C955C" w14:textId="04BECC97" w:rsidR="00C217F9" w:rsidRPr="00B95E28" w:rsidRDefault="00C217F9" w:rsidP="00557AB7">
      <w:pPr>
        <w:pStyle w:val="Heading2"/>
        <w:spacing w:before="0" w:after="0" w:line="480" w:lineRule="auto"/>
        <w:ind w:left="0" w:firstLine="0"/>
        <w:rPr>
          <w:color w:val="000000" w:themeColor="text1"/>
        </w:rPr>
      </w:pPr>
      <w:bookmarkStart w:id="121" w:name="_Toc232351854"/>
      <w:r w:rsidRPr="00B95E28">
        <w:rPr>
          <w:color w:val="000000" w:themeColor="text1"/>
        </w:rPr>
        <w:t>4.1 Integration Governance Themes</w:t>
      </w:r>
      <w:bookmarkEnd w:id="120"/>
      <w:bookmarkEnd w:id="121"/>
    </w:p>
    <w:p w14:paraId="66AAC6CE" w14:textId="77777777" w:rsidR="00C217F9" w:rsidRPr="00B95E28" w:rsidRDefault="00C217F9" w:rsidP="00557AB7">
      <w:pPr>
        <w:spacing w:line="480" w:lineRule="auto"/>
        <w:rPr>
          <w:color w:val="000000" w:themeColor="text1"/>
        </w:rPr>
      </w:pPr>
      <w:r w:rsidRPr="00B95E28">
        <w:rPr>
          <w:color w:val="000000" w:themeColor="text1"/>
        </w:rPr>
        <w:t xml:space="preserve">Integration governance was referenced in the majority of interviews, emerging as a central and recurring determinant of integration success or failure (P1; P3; P7; P12). While governance structures varied by organization size and acquisition maturity, the presence of clear </w:t>
      </w:r>
      <w:r w:rsidRPr="00B95E28">
        <w:rPr>
          <w:color w:val="000000" w:themeColor="text1"/>
        </w:rPr>
        <w:lastRenderedPageBreak/>
        <w:t>accountability, defined decision rights, and structured oversight mechanisms was repeatedly associated with stronger execution outcomes.</w:t>
      </w:r>
    </w:p>
    <w:p w14:paraId="53CBB741" w14:textId="77777777" w:rsidR="00D634DB" w:rsidRPr="00B95E28" w:rsidRDefault="00D634DB" w:rsidP="00DF73F3">
      <w:pPr>
        <w:rPr>
          <w:color w:val="000000" w:themeColor="text1"/>
        </w:rPr>
      </w:pPr>
    </w:p>
    <w:p w14:paraId="4099CB9D" w14:textId="0332ED71" w:rsidR="00C217F9" w:rsidRPr="00B95E28" w:rsidRDefault="00C217F9" w:rsidP="00557AB7">
      <w:pPr>
        <w:spacing w:line="480" w:lineRule="auto"/>
        <w:rPr>
          <w:color w:val="000000" w:themeColor="text1"/>
        </w:rPr>
      </w:pPr>
      <w:r w:rsidRPr="00B95E28">
        <w:rPr>
          <w:color w:val="000000" w:themeColor="text1"/>
        </w:rPr>
        <w:t>A dominant pattern across interviews was the absence of a clearly defined integration leader with sufficient authority. In many organizations, responsibility for integration was distributed across executive sponsors, functional leaders, and corporate development teams (P2; P5; P9). This distinction becomes more pronounced in organizations with higher acquisition maturity. As one participant noted, “there is a marked difference in the quality of outcomes between a skilled, trained, professional integration leader and a person who is an integration tourist” (P6). This highlights that governance effectiveness is not only structural but depends on the experience and authority of the individual leading integration. Although this created broad involvement, it often resulted in ambiguity around ownership. Participants described situations where “everybody is involved, but nobody is accountable,” leading to delayed decisions and stalled execution (P4; P8). This diffusion of responsibility was frequently cited as a root cause of early integration inefficiencies. This suggests that governance breakdowns are not merely coordination failures, but structural limitations in how authority is defined and exercised within integration environments.</w:t>
      </w:r>
    </w:p>
    <w:p w14:paraId="0948F81C" w14:textId="77777777" w:rsidR="00D634DB" w:rsidRPr="00B95E28" w:rsidRDefault="00D634DB" w:rsidP="00DF73F3">
      <w:pPr>
        <w:rPr>
          <w:color w:val="000000" w:themeColor="text1"/>
        </w:rPr>
      </w:pPr>
    </w:p>
    <w:p w14:paraId="67252CC3" w14:textId="49422317" w:rsidR="00C217F9" w:rsidRPr="00B95E28" w:rsidRDefault="00C217F9" w:rsidP="00557AB7">
      <w:pPr>
        <w:spacing w:line="480" w:lineRule="auto"/>
        <w:rPr>
          <w:color w:val="000000" w:themeColor="text1"/>
        </w:rPr>
      </w:pPr>
      <w:r w:rsidRPr="00B95E28">
        <w:rPr>
          <w:color w:val="000000" w:themeColor="text1"/>
        </w:rPr>
        <w:t>This pattern suggests that governance challenges are not simply structural but reflect a deeper issue of unclear ownership within the integration process. Where accountability is not explicitly defined, integration activities tend to default to consensus-driven decision-making, which slows execution and reduces overall effectiveness.</w:t>
      </w:r>
    </w:p>
    <w:p w14:paraId="231CC151" w14:textId="77777777" w:rsidR="00D634DB" w:rsidRPr="00B95E28" w:rsidRDefault="00D634DB" w:rsidP="00557AB7">
      <w:pPr>
        <w:spacing w:line="480" w:lineRule="auto"/>
        <w:rPr>
          <w:color w:val="000000" w:themeColor="text1"/>
        </w:rPr>
      </w:pPr>
    </w:p>
    <w:p w14:paraId="18330FCE" w14:textId="4F62F9FA" w:rsidR="00C217F9" w:rsidRPr="00B95E28" w:rsidRDefault="00C217F9" w:rsidP="00557AB7">
      <w:pPr>
        <w:spacing w:line="480" w:lineRule="auto"/>
        <w:rPr>
          <w:color w:val="000000" w:themeColor="text1"/>
        </w:rPr>
      </w:pPr>
      <w:r w:rsidRPr="00B95E28">
        <w:rPr>
          <w:color w:val="000000" w:themeColor="text1"/>
        </w:rPr>
        <w:lastRenderedPageBreak/>
        <w:t>In contrast, organizations demonstrating more consistent integration performance established centralized governance structures, often through an Integration Management Office (IMO) or equivalent coordinating function (P6; P10; P14). These structures provided a formal mechanism for aligning cross-functional workstreams, managing dependencies, and ensuring accountability. One participant emphasized the importance of a single accountable leader, noting that “there needs to be one clear operator who owns execution end-to-end” (P11). This role was described not only as a coordinator but as a decision-maker with the authority to resolve issues in real time. This emphasis on ownership is reinforced by practitioner experience. As one participant noted, “the integration lead... needs to be able to control, convince, sway executives,” highlighting that governance effectiveness is not simply structural, but dependent on authority and influence at the leadership level (P3).</w:t>
      </w:r>
    </w:p>
    <w:p w14:paraId="6F7C85E7" w14:textId="77777777" w:rsidR="00D634DB" w:rsidRPr="00B95E28" w:rsidRDefault="00D634DB" w:rsidP="00DF73F3">
      <w:pPr>
        <w:rPr>
          <w:color w:val="000000" w:themeColor="text1"/>
        </w:rPr>
      </w:pPr>
    </w:p>
    <w:p w14:paraId="79F218F1" w14:textId="2130FD92" w:rsidR="00C217F9" w:rsidRPr="00B95E28" w:rsidRDefault="00C217F9" w:rsidP="00557AB7">
      <w:pPr>
        <w:spacing w:line="480" w:lineRule="auto"/>
        <w:rPr>
          <w:color w:val="000000" w:themeColor="text1"/>
        </w:rPr>
      </w:pPr>
      <w:r w:rsidRPr="00B95E28">
        <w:rPr>
          <w:color w:val="000000" w:themeColor="text1"/>
        </w:rPr>
        <w:t>P22 further reinforced that governance must remain connected to the economic logic of the deal. Rather than treating integration oversight as a temporary post-close activity, P22 emphasized that integration reporting on key metrics should remain visible at the board level until the organization can determine whether the acquisition has worked. This extends the governance finding beyond structure and cadence, suggesting that effective governance also requires sustained visibility into whether integration is delivering the value drivers that justified the transaction. In this sense, governance functions not only as a coordination mechanism, but as an accountability system linking the deal thesis to post-close execution.</w:t>
      </w:r>
    </w:p>
    <w:p w14:paraId="773BCECA" w14:textId="77777777" w:rsidR="00C217F9" w:rsidRPr="00B95E28" w:rsidRDefault="00C217F9" w:rsidP="00DF73F3">
      <w:pPr>
        <w:rPr>
          <w:color w:val="000000" w:themeColor="text1"/>
        </w:rPr>
      </w:pPr>
    </w:p>
    <w:p w14:paraId="57B3BDDA" w14:textId="59D90FB1" w:rsidR="00C217F9" w:rsidRPr="00B95E28" w:rsidRDefault="00C217F9" w:rsidP="00557AB7">
      <w:pPr>
        <w:spacing w:line="480" w:lineRule="auto"/>
        <w:rPr>
          <w:color w:val="000000" w:themeColor="text1"/>
        </w:rPr>
      </w:pPr>
      <w:r w:rsidRPr="00B95E28">
        <w:rPr>
          <w:color w:val="000000" w:themeColor="text1"/>
        </w:rPr>
        <w:t xml:space="preserve">This finding adds an important distinction between governance as a formal structure and governance as an active accountability mechanism. Several participants described the presence of committees, workstreams, or executive sponsors, but the findings suggest that these structures </w:t>
      </w:r>
      <w:r w:rsidRPr="00B95E28">
        <w:rPr>
          <w:color w:val="000000" w:themeColor="text1"/>
        </w:rPr>
        <w:lastRenderedPageBreak/>
        <w:t>were only effective when they were supported by clear decision rights and practical authority. In this sense, governance maturity is not demonstrated by the existence of an IMO or steering committee alone, but by whether the integration leader and executive sponsors can resolve trade-offs, escalate constraints, and maintain accountability for value realization after close. This distinction helps explain why some organizations appear to have governance in place yet still experience fragmented execution.</w:t>
      </w:r>
    </w:p>
    <w:p w14:paraId="67E1BB3D" w14:textId="77777777" w:rsidR="00C217F9" w:rsidRPr="00B95E28" w:rsidRDefault="00C217F9" w:rsidP="00DF73F3">
      <w:pPr>
        <w:rPr>
          <w:color w:val="000000" w:themeColor="text1"/>
        </w:rPr>
      </w:pPr>
    </w:p>
    <w:p w14:paraId="2587280B" w14:textId="0CAD1A97" w:rsidR="00C217F9" w:rsidRPr="00B95E28" w:rsidRDefault="00C217F9" w:rsidP="00557AB7">
      <w:pPr>
        <w:spacing w:line="480" w:lineRule="auto"/>
        <w:rPr>
          <w:color w:val="000000" w:themeColor="text1"/>
        </w:rPr>
      </w:pPr>
      <w:r w:rsidRPr="00B95E28">
        <w:rPr>
          <w:color w:val="000000" w:themeColor="text1"/>
        </w:rPr>
        <w:t>P23 extended this finding by emphasizing that integration governance should begin at board level, particularly where the acquisition is material to the buyer’s strategy or operating model. This perspective suggests that governance is not only a management-layer responsibility, but also a board-level accountability issue. P23 noted that boards must ensure the organization has sufficient leadership, capacity, budget, reporting, and oversight to execute integration effectively. This reinforces the finding that governance maturity is not demonstrated solely through workstreams or steering committees, but through the organization’s ability to resource integration properly and hold leaders accountable for post-close value realization.</w:t>
      </w:r>
    </w:p>
    <w:p w14:paraId="6C943473" w14:textId="77777777" w:rsidR="00C217F9" w:rsidRPr="00B95E28" w:rsidRDefault="00C217F9" w:rsidP="00DF73F3">
      <w:pPr>
        <w:rPr>
          <w:color w:val="000000" w:themeColor="text1"/>
        </w:rPr>
      </w:pPr>
    </w:p>
    <w:p w14:paraId="4D17EB49" w14:textId="7FD013CA" w:rsidR="00C217F9" w:rsidRPr="00B95E28" w:rsidRDefault="00C217F9" w:rsidP="00557AB7">
      <w:pPr>
        <w:spacing w:line="480" w:lineRule="auto"/>
        <w:rPr>
          <w:color w:val="000000" w:themeColor="text1"/>
        </w:rPr>
      </w:pPr>
      <w:r w:rsidRPr="00B95E28">
        <w:rPr>
          <w:color w:val="000000" w:themeColor="text1"/>
        </w:rPr>
        <w:t>Decision cadence also emerged as a critical component of effective governance. Participants highlighted that successful integrations maintain a structured rhythm of decision-making, supported by regular checkpoints, escalation pathways, and clearly defined approval authorities (P3; P7; P13). Where such structures were absent, decisions were often deferred, creating bottlenecks and increasing the risk of misalignment across functions.</w:t>
      </w:r>
    </w:p>
    <w:p w14:paraId="5E96EA7B" w14:textId="77777777" w:rsidR="00C217F9" w:rsidRPr="00B95E28" w:rsidRDefault="00C217F9" w:rsidP="00DF73F3">
      <w:pPr>
        <w:rPr>
          <w:color w:val="000000" w:themeColor="text1"/>
        </w:rPr>
      </w:pPr>
    </w:p>
    <w:p w14:paraId="29AA3FB0" w14:textId="4C792540" w:rsidR="00C217F9" w:rsidRPr="00B95E28" w:rsidRDefault="00C217F9" w:rsidP="00557AB7">
      <w:pPr>
        <w:spacing w:line="480" w:lineRule="auto"/>
        <w:rPr>
          <w:color w:val="000000" w:themeColor="text1"/>
        </w:rPr>
      </w:pPr>
      <w:r w:rsidRPr="00B95E28">
        <w:rPr>
          <w:color w:val="000000" w:themeColor="text1"/>
        </w:rPr>
        <w:t xml:space="preserve">The timing of governance establishment further influenced integration outcomes. Several participants noted that governance frameworks are frequently defined too late, often after deal closure, resulting in a reactive approach to execution (P2; P9; P15). In contrast, more mature </w:t>
      </w:r>
      <w:r w:rsidRPr="00B95E28">
        <w:rPr>
          <w:color w:val="000000" w:themeColor="text1"/>
        </w:rPr>
        <w:lastRenderedPageBreak/>
        <w:t>organizations established governance structures during the pre-close phase, enabling immediate mobilization upon deal completion and reducing early-stage uncertainty.</w:t>
      </w:r>
    </w:p>
    <w:p w14:paraId="602E5FAF" w14:textId="77777777" w:rsidR="00C217F9" w:rsidRPr="00B95E28" w:rsidRDefault="00C217F9" w:rsidP="00DF73F3">
      <w:pPr>
        <w:rPr>
          <w:color w:val="000000" w:themeColor="text1"/>
        </w:rPr>
      </w:pPr>
    </w:p>
    <w:p w14:paraId="035A198F" w14:textId="5EAE4F8B" w:rsidR="00C217F9" w:rsidRPr="00B95E28" w:rsidRDefault="00C217F9" w:rsidP="00557AB7">
      <w:pPr>
        <w:spacing w:line="480" w:lineRule="auto"/>
        <w:rPr>
          <w:color w:val="000000" w:themeColor="text1"/>
        </w:rPr>
      </w:pPr>
      <w:r w:rsidRPr="00B95E28">
        <w:rPr>
          <w:color w:val="000000" w:themeColor="text1"/>
        </w:rPr>
        <w:t>Finally, governance maturity was closely linked to acquisition experience. Serial acquirers were more likely to have established governance frameworks supported by repeatable structures and experienced teams, whereas organizations with limited acquisition experience relied on ad hoc governance approaches (P1; P6; P12). This inconsistency contributed to variability in integration outcomes across transactions.</w:t>
      </w:r>
    </w:p>
    <w:p w14:paraId="1803CD36" w14:textId="77777777" w:rsidR="006A250C" w:rsidRPr="00B95E28" w:rsidRDefault="006A250C" w:rsidP="00DF73F3">
      <w:pPr>
        <w:rPr>
          <w:color w:val="000000" w:themeColor="text1"/>
        </w:rPr>
      </w:pPr>
    </w:p>
    <w:p w14:paraId="32933587" w14:textId="6B7C3B82" w:rsidR="00C217F9" w:rsidRPr="00B95E28" w:rsidRDefault="00C217F9" w:rsidP="00557AB7">
      <w:pPr>
        <w:spacing w:line="480" w:lineRule="auto"/>
        <w:rPr>
          <w:color w:val="000000" w:themeColor="text1"/>
        </w:rPr>
      </w:pPr>
      <w:r w:rsidRPr="00B95E28">
        <w:rPr>
          <w:color w:val="000000" w:themeColor="text1"/>
        </w:rPr>
        <w:t>Overall, the findings indicate that integration governance is not merely a structural requirement but a foundational capability. The presence of clear leadership, defined decision-making processes, and early establishment of governance structures enables organizations to coordinate complex integration activities effectively and sustain execution discipline throughout the integration lifecycle.</w:t>
      </w:r>
    </w:p>
    <w:p w14:paraId="23CA61C1" w14:textId="77777777" w:rsidR="006A250C" w:rsidRPr="00B95E28" w:rsidRDefault="006A250C" w:rsidP="00DF73F3">
      <w:pPr>
        <w:rPr>
          <w:color w:val="000000" w:themeColor="text1"/>
        </w:rPr>
      </w:pPr>
    </w:p>
    <w:p w14:paraId="547946D2" w14:textId="64E44225" w:rsidR="00C217F9" w:rsidRPr="00B95E28" w:rsidRDefault="00C217F9" w:rsidP="00557AB7">
      <w:pPr>
        <w:spacing w:line="480" w:lineRule="auto"/>
        <w:rPr>
          <w:color w:val="000000" w:themeColor="text1"/>
        </w:rPr>
      </w:pPr>
      <w:r w:rsidRPr="00B95E28">
        <w:rPr>
          <w:color w:val="000000" w:themeColor="text1"/>
        </w:rPr>
        <w:t>A high degree of consistency was observed in how governance challenges were experienced and described. While organizational structures varied, the absence of clear accountability and decision authority emerged as a common constraint across both mature and less mature acquirers. Participants with experience in serial acquisition environments consistently emphasized the role of centralized governance structures and defined leadership ownership, whereas those operating in less structured environments described recurring inefficiencies linked to fragmented responsibility.</w:t>
      </w:r>
    </w:p>
    <w:p w14:paraId="0DDD2ACD" w14:textId="77777777" w:rsidR="006A250C" w:rsidRPr="00B95E28" w:rsidRDefault="006A250C" w:rsidP="00DF73F3">
      <w:pPr>
        <w:rPr>
          <w:color w:val="000000" w:themeColor="text1"/>
        </w:rPr>
      </w:pPr>
    </w:p>
    <w:p w14:paraId="4B9ECAC4" w14:textId="2614FA90" w:rsidR="00C217F9" w:rsidRPr="00B95E28" w:rsidRDefault="00C217F9" w:rsidP="00557AB7">
      <w:pPr>
        <w:spacing w:line="480" w:lineRule="auto"/>
        <w:rPr>
          <w:color w:val="000000" w:themeColor="text1"/>
        </w:rPr>
      </w:pPr>
      <w:r w:rsidRPr="00B95E28">
        <w:rPr>
          <w:color w:val="000000" w:themeColor="text1"/>
        </w:rPr>
        <w:t xml:space="preserve">This pattern suggests that governance effectiveness is not solely dependent on organizational size or industry, but on the clarity and consistency with which accountability and decision-making are </w:t>
      </w:r>
      <w:r w:rsidRPr="00B95E28">
        <w:rPr>
          <w:color w:val="000000" w:themeColor="text1"/>
        </w:rPr>
        <w:lastRenderedPageBreak/>
        <w:t>established. The convergence of responses across diverse contexts indicates that governance is a foundational enabler of integration capability rather than a context-specific factor.</w:t>
      </w:r>
    </w:p>
    <w:p w14:paraId="008DC0D3" w14:textId="77777777" w:rsidR="00DF73F3" w:rsidRPr="00B95E28" w:rsidRDefault="00DF73F3" w:rsidP="00DF73F3">
      <w:pPr>
        <w:rPr>
          <w:color w:val="000000" w:themeColor="text1"/>
        </w:rPr>
      </w:pPr>
      <w:bookmarkStart w:id="122" w:name="_Toc230881455"/>
    </w:p>
    <w:p w14:paraId="25D5B14C" w14:textId="43FA9E0A" w:rsidR="00C217F9" w:rsidRPr="00B95E28" w:rsidRDefault="00C217F9" w:rsidP="00557AB7">
      <w:pPr>
        <w:pStyle w:val="Heading2"/>
        <w:spacing w:before="0" w:after="0" w:line="480" w:lineRule="auto"/>
        <w:ind w:left="0" w:firstLine="0"/>
        <w:rPr>
          <w:color w:val="000000" w:themeColor="text1"/>
        </w:rPr>
      </w:pPr>
      <w:bookmarkStart w:id="123" w:name="_Toc232351855"/>
      <w:r w:rsidRPr="00B95E28">
        <w:rPr>
          <w:color w:val="000000" w:themeColor="text1"/>
        </w:rPr>
        <w:t>4.2 Integration Planning Practices</w:t>
      </w:r>
      <w:bookmarkEnd w:id="122"/>
      <w:bookmarkEnd w:id="123"/>
    </w:p>
    <w:p w14:paraId="11FF8043" w14:textId="77777777" w:rsidR="00C217F9" w:rsidRPr="00B95E28" w:rsidRDefault="00C217F9" w:rsidP="00557AB7">
      <w:pPr>
        <w:spacing w:line="480" w:lineRule="auto"/>
        <w:rPr>
          <w:color w:val="000000" w:themeColor="text1"/>
        </w:rPr>
      </w:pPr>
      <w:r w:rsidRPr="00B95E28">
        <w:rPr>
          <w:color w:val="000000" w:themeColor="text1"/>
        </w:rPr>
        <w:t>Integration planning was referenced across the majority of interviews, making it one of the most consistently emphasized themes across participants (P1; P4; P6; P10). A dominant finding is that integration planning often begins too late in the acquisition lifecycle, typically after deal closure, when flexibility is reduced and execution pressure is high (P3; P7; P12). In several cases, participants emphasized that integration planning should begin even earlier than commonly practiced. One participant stated that “best practice would be to work on the integration before you even make the offer” (P17). This extends the concept of pre-close planning beyond diligence into earlier stages of deal formation, reinforcing the argument that integration capability begins upstream of execution.</w:t>
      </w:r>
    </w:p>
    <w:p w14:paraId="6C9DD3A7" w14:textId="77777777" w:rsidR="006A250C" w:rsidRPr="00B95E28" w:rsidRDefault="006A250C" w:rsidP="00DF73F3">
      <w:pPr>
        <w:rPr>
          <w:color w:val="000000" w:themeColor="text1"/>
        </w:rPr>
      </w:pPr>
    </w:p>
    <w:p w14:paraId="11E8410A" w14:textId="78BFAEB2" w:rsidR="00C217F9" w:rsidRPr="00B95E28" w:rsidRDefault="00C217F9" w:rsidP="00557AB7">
      <w:pPr>
        <w:spacing w:line="480" w:lineRule="auto"/>
        <w:rPr>
          <w:color w:val="000000" w:themeColor="text1"/>
        </w:rPr>
      </w:pPr>
      <w:r w:rsidRPr="00B95E28">
        <w:rPr>
          <w:color w:val="000000" w:themeColor="text1"/>
        </w:rPr>
        <w:t xml:space="preserve">Participants widely indicated that a significant portion of integration success is determined before the deal is finalized. One participant stated that “a majority of integration success is decided before close,” underscoring the importance of early preparation (P5). Despite this, integration considerations are frequently secondary to deal execution priorities such as valuation, negotiation, and financial due diligence (P2; P8). This finding is strongly reinforced by recent practitioner insights. As P19 stated, “all of it,” referring to the extent to which integration success is determined prior to deal close. This perspective pushes the argument further, suggesting that integration outcomes are not simply influenced by early planning, but fundamentally shaped by pre-close organizational conditions, including trust, data visibility, and leadership alignment. </w:t>
      </w:r>
      <w:r w:rsidRPr="00B95E28">
        <w:rPr>
          <w:color w:val="000000" w:themeColor="text1"/>
        </w:rPr>
        <w:lastRenderedPageBreak/>
        <w:t>This suggests that integration challenges are not primarily execution failures, but originate in earlier stages where operational readiness, alignment, and trust are insufficiently developed.</w:t>
      </w:r>
    </w:p>
    <w:p w14:paraId="56159B73" w14:textId="77777777" w:rsidR="006A250C" w:rsidRPr="00B95E28" w:rsidRDefault="006A250C" w:rsidP="00DF73F3">
      <w:pPr>
        <w:rPr>
          <w:color w:val="000000" w:themeColor="text1"/>
        </w:rPr>
      </w:pPr>
    </w:p>
    <w:p w14:paraId="1613E70A" w14:textId="7DCDAA92" w:rsidR="00C217F9" w:rsidRPr="00B95E28" w:rsidRDefault="00C217F9" w:rsidP="00557AB7">
      <w:pPr>
        <w:spacing w:line="480" w:lineRule="auto"/>
        <w:rPr>
          <w:color w:val="000000" w:themeColor="text1"/>
        </w:rPr>
      </w:pPr>
      <w:r w:rsidRPr="00B95E28">
        <w:rPr>
          <w:color w:val="000000" w:themeColor="text1"/>
        </w:rPr>
        <w:t>P21 and P22 further sharpen this finding by showing that pre-close planning must translate the acquisition thesis into an executable operating model. P21 emphasized that the integration approach should vary according to acquisition strategy: simpler buy-and-build roll-ups may rely more heavily on repeatable parameters and risk screens, while thesis-driven acquisitions require deeper analysis of how the acquired business will fit into the buyer’s operating model, customer strategy, technology platform, leadership structure, and go-to-market approach. P22 similarly argued that integration planning should begin as early as possible in the acquisition cycle, with clear identification of the value drivers that will determine whether the deal creates economic return. Together, these perspectives reinforce that early planning is not merely about preparing Day 1 activities, but about testing whether the deal thesis can actually be operationalized.</w:t>
      </w:r>
    </w:p>
    <w:p w14:paraId="728FD99C" w14:textId="77777777" w:rsidR="00DF73F3" w:rsidRPr="00B95E28" w:rsidRDefault="00DF73F3" w:rsidP="00DF73F3">
      <w:pPr>
        <w:rPr>
          <w:color w:val="000000" w:themeColor="text1"/>
        </w:rPr>
      </w:pPr>
    </w:p>
    <w:p w14:paraId="14932C46" w14:textId="3719C463" w:rsidR="00C217F9" w:rsidRPr="00B95E28" w:rsidRDefault="00C217F9" w:rsidP="00557AB7">
      <w:pPr>
        <w:spacing w:line="480" w:lineRule="auto"/>
        <w:rPr>
          <w:color w:val="000000" w:themeColor="text1"/>
        </w:rPr>
      </w:pPr>
      <w:r w:rsidRPr="00B95E28">
        <w:rPr>
          <w:color w:val="000000" w:themeColor="text1"/>
        </w:rPr>
        <w:t>The findings therefore suggest that pre-close planning serves a translation role between deal intent and integration execution. Participants did not describe effective planning as simply the preparation of task lists or Day 1 activities. Rather, planning was most valuable when it tested whether the assumptions behind the acquisition could be achieved through the buyer’s actual operating model, systems, people, timelines, and governance capacity. Where this translation was weak, the deal thesis remained at the level of strategic or financial logic, while the practical requirements for realizing that logic were deferred into execution. This created the conditions for later integration debt, as unresolved assumptions surfaced after close as delays, resource constraints, or misalignment across functions.</w:t>
      </w:r>
    </w:p>
    <w:p w14:paraId="1B0059CC" w14:textId="77777777" w:rsidR="006A250C" w:rsidRPr="00B95E28" w:rsidRDefault="006A250C" w:rsidP="00557AB7">
      <w:pPr>
        <w:spacing w:line="480" w:lineRule="auto"/>
        <w:rPr>
          <w:color w:val="000000" w:themeColor="text1"/>
        </w:rPr>
      </w:pPr>
    </w:p>
    <w:p w14:paraId="6D163166" w14:textId="15F960B9" w:rsidR="00C217F9" w:rsidRPr="00B95E28" w:rsidRDefault="00C217F9" w:rsidP="00557AB7">
      <w:pPr>
        <w:spacing w:line="480" w:lineRule="auto"/>
        <w:rPr>
          <w:color w:val="000000" w:themeColor="text1"/>
        </w:rPr>
      </w:pPr>
      <w:r w:rsidRPr="00B95E28">
        <w:rPr>
          <w:color w:val="000000" w:themeColor="text1"/>
        </w:rPr>
        <w:lastRenderedPageBreak/>
        <w:t>P23 reinforced this point by arguing that integration teams are often blamed for problems that were created earlier in the acquisition process. From this perspective, integration failure may originate in weak strategy, opportunistic target selection, poor valuation assumptions, insufficient bottom-up business input, or unclear value logic rather than in post-close execution alone. P23 therefore strengthens the finding that pre-close planning must test whether the acquisition thesis is operationally achievable before close. Where organizations do not understand how they intend to integrate the business before buying it, especially when there is significant operational overlap, unresolved assumptions are transferred into execution and later appear as integration failure.</w:t>
      </w:r>
    </w:p>
    <w:p w14:paraId="45615824" w14:textId="77777777" w:rsidR="006A250C" w:rsidRPr="00B95E28" w:rsidRDefault="006A250C" w:rsidP="00DF73F3">
      <w:pPr>
        <w:rPr>
          <w:color w:val="000000" w:themeColor="text1"/>
        </w:rPr>
      </w:pPr>
    </w:p>
    <w:p w14:paraId="07720A33" w14:textId="7781B09C" w:rsidR="00C217F9" w:rsidRPr="00B95E28" w:rsidRDefault="00C217F9" w:rsidP="00557AB7">
      <w:pPr>
        <w:spacing w:line="480" w:lineRule="auto"/>
        <w:rPr>
          <w:color w:val="000000" w:themeColor="text1"/>
        </w:rPr>
      </w:pPr>
      <w:r w:rsidRPr="00B95E28">
        <w:rPr>
          <w:color w:val="000000" w:themeColor="text1"/>
        </w:rPr>
        <w:t>This reinforces a recurring finding across the interviews: many integration challenges that appear during execution originate earlier in the deal lifecycle, where operational considerations are often underdeveloped relative to financial priorities. As a result, integration is often treated as a downstream activity rather than an integral component of the acquisition strategy.</w:t>
      </w:r>
    </w:p>
    <w:p w14:paraId="27C08C25" w14:textId="77777777" w:rsidR="006A250C" w:rsidRPr="00B95E28" w:rsidRDefault="006A250C" w:rsidP="00DF73F3">
      <w:pPr>
        <w:rPr>
          <w:color w:val="000000" w:themeColor="text1"/>
        </w:rPr>
      </w:pPr>
    </w:p>
    <w:p w14:paraId="3CFDE89F" w14:textId="427F4681" w:rsidR="00C217F9" w:rsidRPr="00B95E28" w:rsidRDefault="00C217F9" w:rsidP="00557AB7">
      <w:pPr>
        <w:spacing w:line="480" w:lineRule="auto"/>
        <w:rPr>
          <w:color w:val="000000" w:themeColor="text1"/>
        </w:rPr>
      </w:pPr>
      <w:r w:rsidRPr="00B95E28">
        <w:rPr>
          <w:color w:val="000000" w:themeColor="text1"/>
        </w:rPr>
        <w:t xml:space="preserve">A recurring observation across interviews is that organizations tend to overestimate their ability to execute post-close integration without sufficient preparation (P6; P11; P14). Participants described how assumptions around synergies, cost savings, and operational alignment are often made without a detailed understanding of feasibility. This results in what can be characterized as integration debt, where unresolved pre-close complexities are carried into execution, increasing both risk and cost. This observation is further reinforced by recent interview data. As P18 noted, “we are mostly dependent on the due diligence efforts… KPI analysis… deliverables and trackers,” highlighting the extent to which integration readiness is shaped during pre-close </w:t>
      </w:r>
      <w:r w:rsidRPr="00B95E28">
        <w:rPr>
          <w:color w:val="000000" w:themeColor="text1"/>
        </w:rPr>
        <w:lastRenderedPageBreak/>
        <w:t xml:space="preserve">diligence. This reinforces the view that integration complexity is often embedded before execution begins, rather than emerging solely during post-close activities. </w:t>
      </w:r>
    </w:p>
    <w:p w14:paraId="7B43105D" w14:textId="77777777" w:rsidR="006A250C" w:rsidRPr="00B95E28" w:rsidRDefault="006A250C" w:rsidP="00DF73F3">
      <w:pPr>
        <w:rPr>
          <w:color w:val="000000" w:themeColor="text1"/>
        </w:rPr>
      </w:pPr>
    </w:p>
    <w:p w14:paraId="73D1E809" w14:textId="20CD33A5" w:rsidR="00C217F9" w:rsidRPr="00B95E28" w:rsidRDefault="00C217F9" w:rsidP="00557AB7">
      <w:pPr>
        <w:spacing w:line="480" w:lineRule="auto"/>
        <w:rPr>
          <w:color w:val="000000" w:themeColor="text1"/>
        </w:rPr>
      </w:pPr>
      <w:r w:rsidRPr="00B95E28">
        <w:rPr>
          <w:color w:val="000000" w:themeColor="text1"/>
        </w:rPr>
        <w:t>This overestimation is further reflected in practitioner observations regarding planning completeness. As one participant noted, “how much is thought through… I would say 30%,” indicating that a significant portion of integration requirements only emerge during execution (P11).</w:t>
      </w:r>
    </w:p>
    <w:p w14:paraId="2B46BD2E" w14:textId="77777777" w:rsidR="006A250C" w:rsidRPr="00B95E28" w:rsidRDefault="006A250C" w:rsidP="00DF73F3">
      <w:pPr>
        <w:rPr>
          <w:color w:val="000000" w:themeColor="text1"/>
        </w:rPr>
      </w:pPr>
    </w:p>
    <w:p w14:paraId="56BF9E06" w14:textId="56D7AE4E" w:rsidR="00C217F9" w:rsidRPr="00B95E28" w:rsidRDefault="00C217F9" w:rsidP="00557AB7">
      <w:pPr>
        <w:spacing w:line="480" w:lineRule="auto"/>
        <w:rPr>
          <w:color w:val="000000" w:themeColor="text1"/>
        </w:rPr>
      </w:pPr>
      <w:r w:rsidRPr="00B95E28">
        <w:rPr>
          <w:color w:val="000000" w:themeColor="text1"/>
        </w:rPr>
        <w:t>More mature organizations, particularly serial acquirers, demonstrated a different approach by embedding integration planning into the pre-close phase (P9; P13; P16). This includes defining integration objectives, identifying key risks, establishing governance structures, and outlining execution priorities before deal completion. Participants described this shift as moving from a reactive to a proactive model of integration, enabling faster and more coordinated execution post-close.</w:t>
      </w:r>
    </w:p>
    <w:p w14:paraId="13D51D95" w14:textId="77777777" w:rsidR="006A250C" w:rsidRPr="00B95E28" w:rsidRDefault="006A250C" w:rsidP="00DF73F3">
      <w:pPr>
        <w:rPr>
          <w:color w:val="000000" w:themeColor="text1"/>
        </w:rPr>
      </w:pPr>
    </w:p>
    <w:p w14:paraId="101E36A8" w14:textId="53D45531" w:rsidR="00C217F9" w:rsidRPr="00B95E28" w:rsidRDefault="00C217F9" w:rsidP="00557AB7">
      <w:pPr>
        <w:spacing w:line="480" w:lineRule="auto"/>
        <w:rPr>
          <w:color w:val="000000" w:themeColor="text1"/>
        </w:rPr>
      </w:pPr>
      <w:r w:rsidRPr="00B95E28">
        <w:rPr>
          <w:color w:val="000000" w:themeColor="text1"/>
        </w:rPr>
        <w:t>Another key element identified was the alignment between the deal thesis and the integration strategy. Participants emphasized that successful integration requires a clear understanding of why the acquisition is being pursued and how value will be realized (P1; P7; P15). Where this alignment was weak or unclear, integration efforts became fragmented, with functional teams operating without a unified objective.</w:t>
      </w:r>
    </w:p>
    <w:p w14:paraId="3767A7AD" w14:textId="77777777" w:rsidR="006A250C" w:rsidRPr="00B95E28" w:rsidRDefault="006A250C" w:rsidP="00DF73F3">
      <w:pPr>
        <w:rPr>
          <w:color w:val="000000" w:themeColor="text1"/>
        </w:rPr>
      </w:pPr>
    </w:p>
    <w:p w14:paraId="722382C6" w14:textId="71DC9C5E" w:rsidR="00C217F9" w:rsidRPr="00B95E28" w:rsidRDefault="00C217F9" w:rsidP="00557AB7">
      <w:pPr>
        <w:spacing w:line="480" w:lineRule="auto"/>
        <w:rPr>
          <w:color w:val="000000" w:themeColor="text1"/>
        </w:rPr>
      </w:pPr>
      <w:r w:rsidRPr="00B95E28">
        <w:rPr>
          <w:color w:val="000000" w:themeColor="text1"/>
        </w:rPr>
        <w:t xml:space="preserve">Cross-functional involvement in planning was also highlighted as critical. Effective integration planning required input from technology, operations, finance, and human resources rather than being driven solely by corporate development teams (P4; P10; P12). Participants noted that </w:t>
      </w:r>
      <w:r w:rsidRPr="00B95E28">
        <w:rPr>
          <w:color w:val="000000" w:themeColor="text1"/>
        </w:rPr>
        <w:lastRenderedPageBreak/>
        <w:t>excluding key stakeholders from early planning stages often resulted in misalignment, duplicated effort, and rework during execution.</w:t>
      </w:r>
    </w:p>
    <w:p w14:paraId="5A063655" w14:textId="77777777" w:rsidR="006A250C" w:rsidRPr="00B95E28" w:rsidRDefault="006A250C" w:rsidP="00DF73F3">
      <w:pPr>
        <w:rPr>
          <w:color w:val="000000" w:themeColor="text1"/>
        </w:rPr>
      </w:pPr>
    </w:p>
    <w:p w14:paraId="575CEB87" w14:textId="1E98767C" w:rsidR="00C217F9" w:rsidRPr="00B95E28" w:rsidRDefault="00C217F9" w:rsidP="00557AB7">
      <w:pPr>
        <w:spacing w:line="480" w:lineRule="auto"/>
        <w:rPr>
          <w:color w:val="000000" w:themeColor="text1"/>
        </w:rPr>
      </w:pPr>
      <w:r w:rsidRPr="00B95E28">
        <w:rPr>
          <w:color w:val="000000" w:themeColor="text1"/>
        </w:rPr>
        <w:t>Planning maturity was strongly linked to organizational acquisition experience. Organizations with limited acquisition experience tended to rely on informal or ad hoc planning approaches, whereas serial acquirers developed structured planning processes supported by repeatable frameworks and dedicated resources (P3; P9; P14).</w:t>
      </w:r>
    </w:p>
    <w:p w14:paraId="4F1D0104" w14:textId="77777777" w:rsidR="006A250C" w:rsidRPr="00B95E28" w:rsidRDefault="006A250C" w:rsidP="00DF73F3">
      <w:pPr>
        <w:rPr>
          <w:color w:val="000000" w:themeColor="text1"/>
        </w:rPr>
      </w:pPr>
    </w:p>
    <w:p w14:paraId="22C46ECA" w14:textId="3B5F3910" w:rsidR="00C217F9" w:rsidRPr="00B95E28" w:rsidRDefault="00C217F9" w:rsidP="00557AB7">
      <w:pPr>
        <w:spacing w:line="480" w:lineRule="auto"/>
        <w:rPr>
          <w:color w:val="000000" w:themeColor="text1"/>
        </w:rPr>
      </w:pPr>
      <w:r w:rsidRPr="00B95E28">
        <w:rPr>
          <w:color w:val="000000" w:themeColor="text1"/>
        </w:rPr>
        <w:t>Overall, the findings suggest that integration planning is not merely a preparatory activity but a critical capability that shapes the trajectory of the entire integration lifecycle. Early, structured, and cross-functional planning enables organizations to reduce uncertainty, align stakeholders, and improve the likelihood of achieving intended acquisition outcomes.</w:t>
      </w:r>
    </w:p>
    <w:p w14:paraId="64DAFF91" w14:textId="77777777" w:rsidR="00C217F9" w:rsidRPr="00B95E28" w:rsidRDefault="00C217F9" w:rsidP="00557AB7">
      <w:pPr>
        <w:spacing w:line="480" w:lineRule="auto"/>
        <w:rPr>
          <w:color w:val="000000" w:themeColor="text1"/>
        </w:rPr>
      </w:pPr>
      <w:r w:rsidRPr="00B95E28">
        <w:rPr>
          <w:color w:val="000000" w:themeColor="text1"/>
        </w:rPr>
        <w:t>Findings suggest that a strong pattern emerges in how integration planning is approached. While most organizations recognize its importance, the timing and depth of planning vary significantly based on acquisition maturity. More experienced acquirers consistently embed planning earlier in the deal lifecycle, whereas less mature organizations rely on reactive approaches. This indicates that planning effectiveness is not simply a function of awareness, but of capability development over time.</w:t>
      </w:r>
    </w:p>
    <w:p w14:paraId="332B2EF5" w14:textId="77777777" w:rsidR="006A250C" w:rsidRPr="00B95E28" w:rsidRDefault="006A250C" w:rsidP="00DF73F3">
      <w:pPr>
        <w:rPr>
          <w:color w:val="000000" w:themeColor="text1"/>
        </w:rPr>
      </w:pPr>
    </w:p>
    <w:p w14:paraId="408B42C1" w14:textId="26BCC701" w:rsidR="00C217F9" w:rsidRPr="00B95E28" w:rsidRDefault="00C217F9" w:rsidP="00557AB7">
      <w:pPr>
        <w:spacing w:line="480" w:lineRule="auto"/>
        <w:rPr>
          <w:color w:val="000000" w:themeColor="text1"/>
        </w:rPr>
      </w:pPr>
      <w:r w:rsidRPr="00B95E28">
        <w:rPr>
          <w:color w:val="000000" w:themeColor="text1"/>
        </w:rPr>
        <w:t>However, not all participants viewed early planning as fully achievable. One participant questioned the feasibility of fully anticipating integration requirements, noting that “M&amp;A is so subjective, it’s always case by case,” suggesting that while early planning is critical, it remains inherently constrained by uncertainty (P11).</w:t>
      </w:r>
    </w:p>
    <w:p w14:paraId="398CC13A" w14:textId="77777777" w:rsidR="00C217F9" w:rsidRPr="00B95E28" w:rsidRDefault="00C217F9" w:rsidP="00557AB7">
      <w:pPr>
        <w:spacing w:line="480" w:lineRule="auto"/>
        <w:rPr>
          <w:color w:val="000000" w:themeColor="text1"/>
        </w:rPr>
      </w:pPr>
      <w:r w:rsidRPr="00B95E28">
        <w:rPr>
          <w:color w:val="000000" w:themeColor="text1"/>
        </w:rPr>
        <w:t>Taken together, these findings reinforce that integration outcomes are largely determined prior to execution, challenging the traditional view of integration as a post-close activity.</w:t>
      </w:r>
    </w:p>
    <w:p w14:paraId="67DDA31D" w14:textId="77777777" w:rsidR="00C217F9" w:rsidRPr="00B95E28" w:rsidRDefault="00C217F9" w:rsidP="00557AB7">
      <w:pPr>
        <w:pStyle w:val="Heading2"/>
        <w:spacing w:before="0" w:after="0" w:line="480" w:lineRule="auto"/>
        <w:ind w:left="0" w:firstLine="0"/>
        <w:rPr>
          <w:color w:val="000000" w:themeColor="text1"/>
        </w:rPr>
      </w:pPr>
      <w:bookmarkStart w:id="124" w:name="_Toc230881456"/>
      <w:bookmarkStart w:id="125" w:name="_Toc232351856"/>
      <w:r w:rsidRPr="00B95E28">
        <w:rPr>
          <w:color w:val="000000" w:themeColor="text1"/>
        </w:rPr>
        <w:lastRenderedPageBreak/>
        <w:t>4.3 Integration Execution Practices</w:t>
      </w:r>
      <w:bookmarkEnd w:id="124"/>
      <w:bookmarkEnd w:id="125"/>
    </w:p>
    <w:p w14:paraId="3CC76F98" w14:textId="77777777" w:rsidR="00C217F9" w:rsidRPr="00B95E28" w:rsidRDefault="00C217F9" w:rsidP="00557AB7">
      <w:pPr>
        <w:spacing w:line="480" w:lineRule="auto"/>
        <w:rPr>
          <w:color w:val="000000" w:themeColor="text1"/>
        </w:rPr>
      </w:pPr>
      <w:r w:rsidRPr="00B95E28">
        <w:rPr>
          <w:color w:val="000000" w:themeColor="text1"/>
        </w:rPr>
        <w:t xml:space="preserve">Integration execution was discussed in all interviews, reflecting its central role in translating strategy into operational outcomes. Integration execution emerged as the phase where strategic intent is most visibly translated into operational reality, and where the consequences of earlier decisions in governance and planning become fully apparent. Across all interviews, participants emphasized that execution is not simply a continuation of planning, but rather a distinct and complex phase characterized by coordination challenges, competing priorities, and real-time decision-making (P1; P4; P8; P12). In less mature organizations, this lack of coordination becomes structural rather than situational. One participant described how “each department really drove their own integration” (P16), resulting in fragmented execution and limited accountability across workstreams. </w:t>
      </w:r>
    </w:p>
    <w:p w14:paraId="60403741" w14:textId="77777777" w:rsidR="0069272C" w:rsidRPr="00B95E28" w:rsidRDefault="0069272C" w:rsidP="0069272C">
      <w:pPr>
        <w:rPr>
          <w:color w:val="000000" w:themeColor="text1"/>
        </w:rPr>
      </w:pPr>
    </w:p>
    <w:p w14:paraId="4A10EED0" w14:textId="02BB2327" w:rsidR="00C217F9" w:rsidRPr="00B95E28" w:rsidRDefault="00C217F9" w:rsidP="00557AB7">
      <w:pPr>
        <w:spacing w:line="480" w:lineRule="auto"/>
        <w:rPr>
          <w:color w:val="000000" w:themeColor="text1"/>
        </w:rPr>
      </w:pPr>
      <w:r w:rsidRPr="00B95E28">
        <w:rPr>
          <w:color w:val="000000" w:themeColor="text1"/>
        </w:rPr>
        <w:t>This reinforces the observation that execution outcomes are often determined by the quality of upstream planning and alignment, rather than execution capability alone.</w:t>
      </w:r>
    </w:p>
    <w:p w14:paraId="33720BEC" w14:textId="77777777" w:rsidR="006A250C" w:rsidRPr="00B95E28" w:rsidRDefault="006A250C" w:rsidP="0069272C">
      <w:pPr>
        <w:rPr>
          <w:color w:val="000000" w:themeColor="text1"/>
        </w:rPr>
      </w:pPr>
    </w:p>
    <w:p w14:paraId="06A67E2D" w14:textId="1AB52C52" w:rsidR="00C217F9" w:rsidRPr="00B95E28" w:rsidRDefault="00C217F9" w:rsidP="00557AB7">
      <w:pPr>
        <w:spacing w:line="480" w:lineRule="auto"/>
        <w:rPr>
          <w:color w:val="000000" w:themeColor="text1"/>
        </w:rPr>
      </w:pPr>
      <w:r w:rsidRPr="00B95E28">
        <w:rPr>
          <w:color w:val="000000" w:themeColor="text1"/>
        </w:rPr>
        <w:t xml:space="preserve">A consistent finding is that integration execution often exposes weaknesses. Participants frequently described execution as the point where assumptions are tested against reality. As one participant noted, “this is where organizations find out what they actually acquired” (P6). This sentiment reflects a broader pattern in which insufficient pre-close diligence or planning results in reactive problem-solving during execution. Even where planning is in place, participants emphasized that execution discipline remains a key differentiator. As one participant noted, “we didn’t get the value because we didn’t do the work” (P8), highlighting that failure is often driven by lack of follow-through rather than flawed strategy. This perspective is further supported by participant insights on execution timelines and complexity. As (P18) noted, “integration can take </w:t>
      </w:r>
      <w:r w:rsidRPr="00B95E28">
        <w:rPr>
          <w:color w:val="000000" w:themeColor="text1"/>
        </w:rPr>
        <w:lastRenderedPageBreak/>
        <w:t>anywhere from six months to 24 months,” reinforcing the reality that execution is often more prolonged and resource-intensive than initially anticipated. This further supports the finding that execution challenges are not episodic, but sustained over extended periods.</w:t>
      </w:r>
    </w:p>
    <w:p w14:paraId="6F917609" w14:textId="77777777" w:rsidR="006A250C" w:rsidRPr="00B95E28" w:rsidRDefault="006A250C" w:rsidP="0069272C">
      <w:pPr>
        <w:rPr>
          <w:color w:val="000000" w:themeColor="text1"/>
        </w:rPr>
      </w:pPr>
    </w:p>
    <w:p w14:paraId="3C434B4E" w14:textId="3940372C" w:rsidR="00C217F9" w:rsidRPr="00B95E28" w:rsidRDefault="00C217F9" w:rsidP="00557AB7">
      <w:pPr>
        <w:spacing w:line="480" w:lineRule="auto"/>
        <w:rPr>
          <w:color w:val="000000" w:themeColor="text1"/>
        </w:rPr>
      </w:pPr>
      <w:r w:rsidRPr="00B95E28">
        <w:rPr>
          <w:color w:val="000000" w:themeColor="text1"/>
        </w:rPr>
        <w:t>P22 added that execution discipline requires ground-level project management that understands the value drivers of the acquisition. This suggests that project management capability alone is insufficient if it is disconnected from the economic rationale of the deal. Integration workstreams must understand not only what activities need to be completed, but why those activities matter to value creation. This reinforces the finding that execution is the operational translation of the deal thesis rather than a generic coordination exercise.</w:t>
      </w:r>
    </w:p>
    <w:p w14:paraId="189CA62C" w14:textId="77777777" w:rsidR="006A250C" w:rsidRPr="00B95E28" w:rsidRDefault="006A250C" w:rsidP="0069272C">
      <w:pPr>
        <w:rPr>
          <w:color w:val="000000" w:themeColor="text1"/>
        </w:rPr>
      </w:pPr>
    </w:p>
    <w:p w14:paraId="7CACC9B2" w14:textId="3A6A3C6B" w:rsidR="00C217F9" w:rsidRPr="00B95E28" w:rsidRDefault="00C217F9" w:rsidP="00557AB7">
      <w:pPr>
        <w:spacing w:line="480" w:lineRule="auto"/>
        <w:rPr>
          <w:color w:val="000000" w:themeColor="text1"/>
        </w:rPr>
      </w:pPr>
      <w:r w:rsidRPr="00B95E28">
        <w:rPr>
          <w:color w:val="000000" w:themeColor="text1"/>
        </w:rPr>
        <w:t>The findings also suggest that execution discipline depends on the organization’s ability to maintain alignment while integration conditions change. Participants described execution as a phase in which new information emerges, assumptions are tested, and dependencies become more visible. This means that execution cannot be managed only through static plans created before close. Instead, effective execution requires an active management rhythm in which workstream progress, risks, decisions, and interdependencies are continuously reviewed against the intended value drivers of the acquisition. Where this rhythm is weak, execution can become activity-driven rather than outcome-driven, with teams completing tasks without sufficient clarity on whether those tasks are advancing the business case. This distinction reinforces that execution capability is not simply the ability to manage workstreams, but the ability to keep operational activity connected to strategic intent as conditions evolve.</w:t>
      </w:r>
    </w:p>
    <w:p w14:paraId="2244F03D" w14:textId="77777777" w:rsidR="006A250C" w:rsidRPr="00B95E28" w:rsidRDefault="006A250C" w:rsidP="00557AB7">
      <w:pPr>
        <w:spacing w:line="480" w:lineRule="auto"/>
        <w:rPr>
          <w:color w:val="000000" w:themeColor="text1"/>
        </w:rPr>
      </w:pPr>
    </w:p>
    <w:p w14:paraId="0BC2B41E" w14:textId="4C9F9C88" w:rsidR="00C217F9" w:rsidRPr="00B95E28" w:rsidRDefault="00C217F9" w:rsidP="00557AB7">
      <w:pPr>
        <w:spacing w:line="480" w:lineRule="auto"/>
        <w:rPr>
          <w:color w:val="000000" w:themeColor="text1"/>
        </w:rPr>
      </w:pPr>
      <w:r w:rsidRPr="00B95E28">
        <w:rPr>
          <w:color w:val="000000" w:themeColor="text1"/>
        </w:rPr>
        <w:lastRenderedPageBreak/>
        <w:t>Taken together, this reinforces the broader observation that integration outcomes are often determined earlier than execution itself. As one participant noted, “I think most of it, really,” referring to the extent to which outcomes are shaped before execution begins (P9).</w:t>
      </w:r>
    </w:p>
    <w:p w14:paraId="10AA4339" w14:textId="77777777" w:rsidR="006A250C" w:rsidRPr="00B95E28" w:rsidRDefault="006A250C" w:rsidP="0069272C">
      <w:pPr>
        <w:rPr>
          <w:color w:val="000000" w:themeColor="text1"/>
        </w:rPr>
      </w:pPr>
    </w:p>
    <w:p w14:paraId="688D9E5B" w14:textId="77777777" w:rsidR="0069272C" w:rsidRPr="00B95E28" w:rsidRDefault="00C217F9" w:rsidP="0069272C">
      <w:pPr>
        <w:spacing w:line="480" w:lineRule="auto"/>
        <w:rPr>
          <w:color w:val="000000" w:themeColor="text1"/>
        </w:rPr>
      </w:pPr>
      <w:r w:rsidRPr="00B95E28">
        <w:rPr>
          <w:color w:val="000000" w:themeColor="text1"/>
        </w:rPr>
        <w:t>Coordination across functions was identified as one of the most significant operational challenges. Integration efforts require alignment across technology, finance, operations, and human resources, each with their own priorities and constraints. Participants highlighted that without strong coordination mechanisms, execution becomes fragmented, with teams working in parallel rather than in alignment (P3; P9; P14). One participant described this as “a constant battle of priorities, where integration is just one of many things competing for attention” (P11).</w:t>
      </w:r>
    </w:p>
    <w:p w14:paraId="6C8B5B01" w14:textId="77777777" w:rsidR="0069272C" w:rsidRPr="00B95E28" w:rsidRDefault="0069272C" w:rsidP="0069272C">
      <w:pPr>
        <w:rPr>
          <w:color w:val="000000" w:themeColor="text1"/>
        </w:rPr>
      </w:pPr>
    </w:p>
    <w:p w14:paraId="1EC52660" w14:textId="77777777" w:rsidR="0069272C" w:rsidRPr="00B95E28" w:rsidRDefault="00C217F9" w:rsidP="0069272C">
      <w:pPr>
        <w:spacing w:line="480" w:lineRule="auto"/>
        <w:rPr>
          <w:color w:val="000000" w:themeColor="text1"/>
        </w:rPr>
      </w:pPr>
      <w:r w:rsidRPr="00B95E28">
        <w:rPr>
          <w:color w:val="000000" w:themeColor="text1"/>
        </w:rPr>
        <w:t>Resource constraints further compound execution challenges. In many organizations, integration responsibilities are assigned to individuals who retain their existing roles, resulting in divided focus and limited capacity (P2; P7; P13). This often leads to delays and inconsistent progress across workstreams. As one participant explained, “you’re asking people to do integration on top of their day job, and it just doesn’t get the attention it needs” (P5). In these cases, integration becomes an additional burden rather than a prioritized activity, limiting the organization’s ability to execute effectively. This reinforces the importance of dedicated integration resources, as identified in earlier themes.</w:t>
      </w:r>
    </w:p>
    <w:p w14:paraId="0B1C2AB4" w14:textId="77777777" w:rsidR="0069272C" w:rsidRPr="00B95E28" w:rsidRDefault="0069272C" w:rsidP="0069272C">
      <w:pPr>
        <w:rPr>
          <w:color w:val="000000" w:themeColor="text1"/>
        </w:rPr>
      </w:pPr>
    </w:p>
    <w:p w14:paraId="62C9F876" w14:textId="77777777" w:rsidR="0069272C" w:rsidRPr="00B95E28" w:rsidRDefault="00C217F9" w:rsidP="0069272C">
      <w:pPr>
        <w:spacing w:line="480" w:lineRule="auto"/>
        <w:rPr>
          <w:color w:val="000000" w:themeColor="text1"/>
        </w:rPr>
      </w:pPr>
      <w:r w:rsidRPr="00B95E28">
        <w:rPr>
          <w:color w:val="000000" w:themeColor="text1"/>
        </w:rPr>
        <w:t xml:space="preserve">Another key issue identified during execution is decision latency. Even where governance structures exist, participants noted that delays in decision-making can significantly impact execution timelines (P4; P10; P15). This is often due to unclear escalation paths or a lack of authority at the operational level. One participant described the impact of this dynamic, stating that “every delay in decision-making translates directly into cost and lost momentum” (P8). This </w:t>
      </w:r>
      <w:r w:rsidRPr="00B95E28">
        <w:rPr>
          <w:color w:val="000000" w:themeColor="text1"/>
        </w:rPr>
        <w:lastRenderedPageBreak/>
        <w:t>aligns with earlier findings on governance, where decision clarity and authority were identified as critical enablers.</w:t>
      </w:r>
    </w:p>
    <w:p w14:paraId="352BCE1F" w14:textId="77777777" w:rsidR="0069272C" w:rsidRPr="00B95E28" w:rsidRDefault="0069272C" w:rsidP="0069272C">
      <w:pPr>
        <w:rPr>
          <w:color w:val="000000" w:themeColor="text1"/>
        </w:rPr>
      </w:pPr>
    </w:p>
    <w:p w14:paraId="1E2C9BBB" w14:textId="77777777" w:rsidR="0069272C" w:rsidRPr="00B95E28" w:rsidRDefault="00C217F9" w:rsidP="0069272C">
      <w:pPr>
        <w:spacing w:line="480" w:lineRule="auto"/>
        <w:rPr>
          <w:color w:val="000000" w:themeColor="text1"/>
        </w:rPr>
      </w:pPr>
      <w:r w:rsidRPr="00B95E28">
        <w:rPr>
          <w:color w:val="000000" w:themeColor="text1"/>
        </w:rPr>
        <w:t>Technology integration frequently becomes a focal point during execution, often acting as both a bottleneck and a risk factor. Participants described challenges related to system compatibility, data migration, and process standardization, noting that these issues are rarely as straightforward as initially assumed (P6; P12; P16). One participant summarized this by stating that “systems integration is where things get messy very quickly if you’re not prepared” (P9). These challenges often require iterative problem-solving and can significantly extend integration timelines.</w:t>
      </w:r>
    </w:p>
    <w:p w14:paraId="48CCB613" w14:textId="77777777" w:rsidR="0069272C" w:rsidRPr="00B95E28" w:rsidRDefault="0069272C" w:rsidP="0069272C">
      <w:pPr>
        <w:rPr>
          <w:color w:val="000000" w:themeColor="text1"/>
        </w:rPr>
      </w:pPr>
    </w:p>
    <w:p w14:paraId="5FDDD86F" w14:textId="77777777" w:rsidR="0069272C" w:rsidRPr="00B95E28" w:rsidRDefault="00C217F9" w:rsidP="00557AB7">
      <w:pPr>
        <w:spacing w:line="480" w:lineRule="auto"/>
        <w:rPr>
          <w:color w:val="000000" w:themeColor="text1"/>
        </w:rPr>
      </w:pPr>
      <w:r w:rsidRPr="00B95E28">
        <w:rPr>
          <w:color w:val="000000" w:themeColor="text1"/>
        </w:rPr>
        <w:t>Human capital considerations also play a central role during execution. Participants highlighted the importance of communication, change management, and employee engagement, particularly in the early stages following deal closure (P1; P7; P13). Resistance to change, uncertainty about roles, and loss of key personnel were all identified as risks that can disrupt execution. As one participant noted, “execution is where things start to break down if alignment isn’t there” (P8).</w:t>
      </w:r>
    </w:p>
    <w:p w14:paraId="0AEBE007" w14:textId="77777777" w:rsidR="0069272C" w:rsidRPr="00B95E28" w:rsidRDefault="0069272C" w:rsidP="0069272C">
      <w:pPr>
        <w:rPr>
          <w:color w:val="000000" w:themeColor="text1"/>
        </w:rPr>
      </w:pPr>
    </w:p>
    <w:p w14:paraId="150F2E9D" w14:textId="77777777" w:rsidR="0069272C" w:rsidRPr="00B95E28" w:rsidRDefault="00C217F9" w:rsidP="00557AB7">
      <w:pPr>
        <w:spacing w:line="480" w:lineRule="auto"/>
        <w:rPr>
          <w:color w:val="000000" w:themeColor="text1"/>
        </w:rPr>
      </w:pPr>
      <w:r w:rsidRPr="00B95E28">
        <w:rPr>
          <w:color w:val="000000" w:themeColor="text1"/>
        </w:rPr>
        <w:t>Finally, participants emphasized that execution is inherently dynamic and cannot be fully controlled through planning alone. While structured processes and governance provide a foundation, successful execution requires adaptability and responsiveness to emerging challenges. One participant described this as “managing the unexpected every single day” (P14), highlighting the need for flexibility within a structured framework.</w:t>
      </w:r>
    </w:p>
    <w:p w14:paraId="6F84D2A2" w14:textId="77777777" w:rsidR="0069272C" w:rsidRPr="00B95E28" w:rsidRDefault="0069272C" w:rsidP="0069272C">
      <w:pPr>
        <w:rPr>
          <w:color w:val="000000" w:themeColor="text1"/>
        </w:rPr>
      </w:pPr>
    </w:p>
    <w:p w14:paraId="0F4C35E6" w14:textId="77777777" w:rsidR="0069272C" w:rsidRPr="00B95E28" w:rsidRDefault="00C217F9" w:rsidP="00557AB7">
      <w:pPr>
        <w:spacing w:line="480" w:lineRule="auto"/>
        <w:rPr>
          <w:color w:val="000000" w:themeColor="text1"/>
        </w:rPr>
      </w:pPr>
      <w:r w:rsidRPr="00B95E28">
        <w:rPr>
          <w:color w:val="000000" w:themeColor="text1"/>
        </w:rPr>
        <w:t xml:space="preserve">Overall, the findings indicate that integration execution is where the effectiveness of governance and planning is ultimately tested. Organizations that combine clear structure with operational agility are better positioned to navigate the complexities of execution, whereas those relying </w:t>
      </w:r>
      <w:r w:rsidRPr="00B95E28">
        <w:rPr>
          <w:color w:val="000000" w:themeColor="text1"/>
        </w:rPr>
        <w:lastRenderedPageBreak/>
        <w:t xml:space="preserve">solely on plans or frameworks often struggle to maintain momentum and achieve intended outcomes. </w:t>
      </w:r>
    </w:p>
    <w:p w14:paraId="4AB79587" w14:textId="77777777" w:rsidR="0069272C" w:rsidRPr="00B95E28" w:rsidRDefault="0069272C" w:rsidP="0069272C">
      <w:pPr>
        <w:rPr>
          <w:color w:val="000000" w:themeColor="text1"/>
        </w:rPr>
      </w:pPr>
    </w:p>
    <w:p w14:paraId="43146A0B" w14:textId="77777777" w:rsidR="0069272C" w:rsidRPr="00B95E28" w:rsidRDefault="00C217F9" w:rsidP="00557AB7">
      <w:pPr>
        <w:spacing w:line="480" w:lineRule="auto"/>
        <w:rPr>
          <w:color w:val="000000" w:themeColor="text1"/>
        </w:rPr>
      </w:pPr>
      <w:r w:rsidRPr="00B95E28">
        <w:rPr>
          <w:color w:val="000000" w:themeColor="text1"/>
        </w:rPr>
        <w:t>Across interviews, execution challenges were consistently linked to earlier decisions in governance and planning. Participants described execution not as an isolated phase, but as a reflection of upstream alignment and preparation. Organizations with structured planning and clear governance demonstrated more controlled execution, whereas fragmented approaches resulted in reactive and inconsistent outcomes.</w:t>
      </w:r>
    </w:p>
    <w:p w14:paraId="697A6193" w14:textId="77777777" w:rsidR="0069272C" w:rsidRPr="00B95E28" w:rsidRDefault="0069272C" w:rsidP="0069272C">
      <w:pPr>
        <w:rPr>
          <w:color w:val="000000" w:themeColor="text1"/>
        </w:rPr>
      </w:pPr>
    </w:p>
    <w:p w14:paraId="54BD6436" w14:textId="0135012A" w:rsidR="00C217F9" w:rsidRPr="00B95E28" w:rsidRDefault="00C217F9" w:rsidP="00557AB7">
      <w:pPr>
        <w:spacing w:line="480" w:lineRule="auto"/>
        <w:rPr>
          <w:color w:val="000000" w:themeColor="text1"/>
        </w:rPr>
      </w:pPr>
      <w:r w:rsidRPr="00B95E28">
        <w:rPr>
          <w:color w:val="000000" w:themeColor="text1"/>
        </w:rPr>
        <w:t>Evidence suggests a high degree of consistency in how integration execution challenges were experienced. While the scale and complexity of integrations varied, the underlying issues related to coordination, resource constraints, and decision-making remained consistent across interviews. This suggests that execution challenges are not isolated to specific transactions, but reflect broader structural dynamics within post-acquisition integration, particularly in how organizations translate planning into sustained operational outcomes.</w:t>
      </w:r>
    </w:p>
    <w:p w14:paraId="25E6AFB3" w14:textId="77777777" w:rsidR="0069272C" w:rsidRPr="00B95E28" w:rsidRDefault="0069272C" w:rsidP="0069272C">
      <w:pPr>
        <w:rPr>
          <w:color w:val="000000" w:themeColor="text1"/>
        </w:rPr>
      </w:pPr>
      <w:bookmarkStart w:id="126" w:name="_Toc230881457"/>
    </w:p>
    <w:p w14:paraId="00BA563F" w14:textId="1FB2B56C" w:rsidR="00C217F9" w:rsidRPr="00B95E28" w:rsidRDefault="00C217F9" w:rsidP="00557AB7">
      <w:pPr>
        <w:pStyle w:val="Heading2"/>
        <w:spacing w:before="0" w:after="0" w:line="480" w:lineRule="auto"/>
        <w:ind w:left="0" w:firstLine="0"/>
        <w:rPr>
          <w:color w:val="000000" w:themeColor="text1"/>
        </w:rPr>
      </w:pPr>
      <w:bookmarkStart w:id="127" w:name="_Toc232351857"/>
      <w:r w:rsidRPr="00B95E28">
        <w:rPr>
          <w:color w:val="000000" w:themeColor="text1"/>
        </w:rPr>
        <w:t>4.4 Technology Integration</w:t>
      </w:r>
      <w:bookmarkEnd w:id="126"/>
      <w:bookmarkEnd w:id="127"/>
    </w:p>
    <w:p w14:paraId="61224B5E" w14:textId="77777777" w:rsidR="0069272C" w:rsidRPr="00B95E28" w:rsidRDefault="00C217F9" w:rsidP="00557AB7">
      <w:pPr>
        <w:spacing w:line="480" w:lineRule="auto"/>
        <w:rPr>
          <w:color w:val="000000" w:themeColor="text1"/>
        </w:rPr>
      </w:pPr>
      <w:r w:rsidRPr="00B95E28">
        <w:rPr>
          <w:color w:val="000000" w:themeColor="text1"/>
        </w:rPr>
        <w:t xml:space="preserve">Technology integration was referenced in most interviews as a critical enabler and constraint of integration success. Technology integration emerged as a critical and often underestimated dimension of post-acquisition integration. Across interviews, participants consistently identified technology not merely as a functional workstream, but as a central enabler or constraint of overall integration success (P2; P4; P8; P12). While deal teams frequently focus on financial and strategic considerations, the complexity of integrating systems, data, and processes becomes most visible during execution. However, participants also noted that technology challenges are often symptoms of broader organizational issues rather than isolated technical problems. As one </w:t>
      </w:r>
      <w:r w:rsidRPr="00B95E28">
        <w:rPr>
          <w:color w:val="000000" w:themeColor="text1"/>
        </w:rPr>
        <w:lastRenderedPageBreak/>
        <w:t>participant stated, “the biggest operational challenges are the people” (P4), suggesting that technology integration issues are frequently amplified by governance, communication, and resource constraints.</w:t>
      </w:r>
    </w:p>
    <w:p w14:paraId="021CBF68" w14:textId="77777777" w:rsidR="0069272C" w:rsidRPr="00B95E28" w:rsidRDefault="0069272C" w:rsidP="0069272C">
      <w:pPr>
        <w:rPr>
          <w:color w:val="000000" w:themeColor="text1"/>
        </w:rPr>
      </w:pPr>
    </w:p>
    <w:p w14:paraId="43B4CD59" w14:textId="77777777" w:rsidR="0069272C" w:rsidRPr="00B95E28" w:rsidRDefault="00C217F9" w:rsidP="00557AB7">
      <w:pPr>
        <w:spacing w:line="480" w:lineRule="auto"/>
        <w:rPr>
          <w:color w:val="000000" w:themeColor="text1"/>
        </w:rPr>
      </w:pPr>
      <w:r w:rsidRPr="00B95E28">
        <w:rPr>
          <w:color w:val="000000" w:themeColor="text1"/>
        </w:rPr>
        <w:t xml:space="preserve">A recurring theme is that technology challenges are rarely fully understood at the time of deal evaluation. Participants described how system landscapes, data structures, and process dependencies are often more complex than initially assumed. As one participant noted, “on paper the systems look compatible, but once you get into the data and processes, that’s where the real issues start” (P6). This gap between perceived and actual complexity contributes to delays, cost overruns, and operational disruption. This misalignment indicates that technology is frequently treated as a downstream consideration, despite its central role in enabling operational integration. This perspective reinforces that technology integration should not be treated as a standalone technical activity. As one participant emphasized, “putting in a new financial system… is not an IT project,” but a broader transformation of business processes and operating models, requiring cross-functional coordination and leadership alignment (P3). </w:t>
      </w:r>
    </w:p>
    <w:p w14:paraId="6D0AB9E8" w14:textId="77777777" w:rsidR="0069272C" w:rsidRPr="00B95E28" w:rsidRDefault="0069272C" w:rsidP="0069272C">
      <w:pPr>
        <w:rPr>
          <w:color w:val="000000" w:themeColor="text1"/>
        </w:rPr>
      </w:pPr>
    </w:p>
    <w:p w14:paraId="74AB9233" w14:textId="77777777" w:rsidR="0069272C" w:rsidRPr="00B95E28" w:rsidRDefault="00C217F9" w:rsidP="00557AB7">
      <w:pPr>
        <w:spacing w:line="480" w:lineRule="auto"/>
        <w:rPr>
          <w:color w:val="000000" w:themeColor="text1"/>
        </w:rPr>
      </w:pPr>
      <w:r w:rsidRPr="00B95E28">
        <w:rPr>
          <w:color w:val="000000" w:themeColor="text1"/>
        </w:rPr>
        <w:t>Data migration and system compatibility were highlighted as particularly high-risk areas. Participants emphasized that differences in data quality, definitions, and governance create significant barriers to integration (P3; P9; P14). One participant described data as “the hidden problem that no one fully appreciates until it starts breaking things downstream” (P11). These issues often require extensive remediation efforts, which are difficult to anticipate during early planning stages.</w:t>
      </w:r>
    </w:p>
    <w:p w14:paraId="342FBCE3" w14:textId="77777777" w:rsidR="0069272C" w:rsidRPr="00B95E28" w:rsidRDefault="0069272C" w:rsidP="0069272C">
      <w:pPr>
        <w:rPr>
          <w:color w:val="000000" w:themeColor="text1"/>
        </w:rPr>
      </w:pPr>
    </w:p>
    <w:p w14:paraId="54851894" w14:textId="77777777" w:rsidR="0069272C" w:rsidRPr="00B95E28" w:rsidRDefault="00C217F9" w:rsidP="00557AB7">
      <w:pPr>
        <w:spacing w:line="480" w:lineRule="auto"/>
        <w:rPr>
          <w:color w:val="000000" w:themeColor="text1"/>
        </w:rPr>
      </w:pPr>
      <w:r w:rsidRPr="00B95E28">
        <w:rPr>
          <w:color w:val="000000" w:themeColor="text1"/>
        </w:rPr>
        <w:t xml:space="preserve">Participants also pointed to the challenge of deciding between system consolidation and coexistence. While full system integration can create long-term efficiencies, it requires </w:t>
      </w:r>
      <w:r w:rsidRPr="00B95E28">
        <w:rPr>
          <w:color w:val="000000" w:themeColor="text1"/>
        </w:rPr>
        <w:lastRenderedPageBreak/>
        <w:t>significant time and resources. Conversely, maintaining parallel systems may enable faster stabilization but introduces complexity and limits synergy realization. As one participant explained, “there’s always a trade-off between speed and completeness when it comes to systems integration” (P7). These decisions are often influenced by integration timelines, resource availability, and the strategic importance of the acquired entity.</w:t>
      </w:r>
    </w:p>
    <w:p w14:paraId="192FBBA3" w14:textId="77777777" w:rsidR="0069272C" w:rsidRPr="00B95E28" w:rsidRDefault="0069272C" w:rsidP="0069272C">
      <w:pPr>
        <w:rPr>
          <w:color w:val="000000" w:themeColor="text1"/>
        </w:rPr>
      </w:pPr>
    </w:p>
    <w:p w14:paraId="6D9DF14B" w14:textId="77777777" w:rsidR="0069272C" w:rsidRPr="00B95E28" w:rsidRDefault="00C217F9" w:rsidP="00557AB7">
      <w:pPr>
        <w:spacing w:line="480" w:lineRule="auto"/>
        <w:rPr>
          <w:color w:val="000000" w:themeColor="text1"/>
        </w:rPr>
      </w:pPr>
      <w:r w:rsidRPr="00B95E28">
        <w:rPr>
          <w:color w:val="000000" w:themeColor="text1"/>
        </w:rPr>
        <w:t>Another key finding is that technology integration is closely linked to broader operational processes. Systems are not standalone components but are deeply embedded in how organizations function. Participants emphasized that changes to systems often require parallel changes to workflows, roles, and reporting structures (P5; P10; P15). One participant summarized this by stating, “you’re not just integrating systems, you’re integrating how people actually do their work” (P13). This interdependency increases the complexity of execution and requires careful coordination across functional teams.</w:t>
      </w:r>
    </w:p>
    <w:p w14:paraId="0562811E" w14:textId="77777777" w:rsidR="0069272C" w:rsidRPr="00B95E28" w:rsidRDefault="0069272C" w:rsidP="0069272C">
      <w:pPr>
        <w:rPr>
          <w:color w:val="000000" w:themeColor="text1"/>
        </w:rPr>
      </w:pPr>
    </w:p>
    <w:p w14:paraId="64049B64" w14:textId="77777777" w:rsidR="0069272C" w:rsidRPr="00B95E28" w:rsidRDefault="00C217F9" w:rsidP="00557AB7">
      <w:pPr>
        <w:spacing w:line="480" w:lineRule="auto"/>
        <w:rPr>
          <w:color w:val="000000" w:themeColor="text1"/>
        </w:rPr>
      </w:pPr>
      <w:r w:rsidRPr="00B95E28">
        <w:rPr>
          <w:color w:val="000000" w:themeColor="text1"/>
        </w:rPr>
        <w:t>Resource constraints and competing priorities further complicate technology integration. In many cases, internal technology teams are already operating at capacity, and integration activities must compete with ongoing operational demands (P1; P6; P12). This can lead to delays in system integration and increased reliance on external vendors or temporary solutions. As one participant noted, “technology always becomes the bottleneck because it’s the hardest thing to move quickly” (P9).</w:t>
      </w:r>
    </w:p>
    <w:p w14:paraId="2D59223F" w14:textId="77777777" w:rsidR="0069272C" w:rsidRPr="00B95E28" w:rsidRDefault="0069272C" w:rsidP="0069272C">
      <w:pPr>
        <w:rPr>
          <w:color w:val="000000" w:themeColor="text1"/>
        </w:rPr>
      </w:pPr>
    </w:p>
    <w:p w14:paraId="4D6D74E4" w14:textId="77777777" w:rsidR="0069272C" w:rsidRPr="00B95E28" w:rsidRDefault="00C217F9" w:rsidP="00557AB7">
      <w:pPr>
        <w:spacing w:line="480" w:lineRule="auto"/>
        <w:rPr>
          <w:color w:val="000000" w:themeColor="text1"/>
        </w:rPr>
      </w:pPr>
      <w:r w:rsidRPr="00B95E28">
        <w:rPr>
          <w:color w:val="000000" w:themeColor="text1"/>
        </w:rPr>
        <w:t xml:space="preserve">In some cases, this constraint is amplified by the critical role of technology in overall operations. As one participant noted, “technology is the lifeblood of the business,” reinforcing that system integration challenges directly impact organizational performance (P4). </w:t>
      </w:r>
      <w:r w:rsidRPr="00B95E28">
        <w:rPr>
          <w:color w:val="000000" w:themeColor="text1"/>
        </w:rPr>
        <w:br/>
      </w:r>
      <w:r w:rsidRPr="00B95E28">
        <w:rPr>
          <w:color w:val="000000" w:themeColor="text1"/>
        </w:rPr>
        <w:br/>
      </w:r>
      <w:r w:rsidRPr="00B95E28">
        <w:rPr>
          <w:color w:val="000000" w:themeColor="text1"/>
        </w:rPr>
        <w:lastRenderedPageBreak/>
        <w:t>Finally, participants emphasized that technology integration can either accelerate or hinder value realization depending on how effectively it is managed. Successful integrations leverage technology to enable visibility, standardization, and scalability. In contrast, poorly managed technology integration creates fragmentation, reduces efficiency, and limits the ability to capture synergies. One participant captured this dynamic succinctly, stating that “technology can either unlock the deal or quietly undermine it over time” (P4).</w:t>
      </w:r>
    </w:p>
    <w:p w14:paraId="1EF350EE" w14:textId="77777777" w:rsidR="0069272C" w:rsidRPr="00B95E28" w:rsidRDefault="0069272C" w:rsidP="0069272C">
      <w:pPr>
        <w:rPr>
          <w:color w:val="000000" w:themeColor="text1"/>
        </w:rPr>
      </w:pPr>
    </w:p>
    <w:p w14:paraId="7E4937CE" w14:textId="7B2A4057" w:rsidR="00C217F9" w:rsidRPr="00B95E28" w:rsidRDefault="00C217F9" w:rsidP="00557AB7">
      <w:pPr>
        <w:spacing w:line="480" w:lineRule="auto"/>
        <w:rPr>
          <w:color w:val="000000" w:themeColor="text1"/>
        </w:rPr>
      </w:pPr>
      <w:r w:rsidRPr="00B95E28">
        <w:rPr>
          <w:color w:val="000000" w:themeColor="text1"/>
        </w:rPr>
        <w:t>Overall, the findings suggest that technology integration is not simply a technical exercise but a core component of integration capability. Organizations that recognize its strategic importance and invest in early assessment, cross-functional alignment, and dedicated resources are better positioned to navigate its complexity and support successful integration outcomes.</w:t>
      </w:r>
    </w:p>
    <w:p w14:paraId="6910BB7D" w14:textId="77777777" w:rsidR="006A250C" w:rsidRPr="00B95E28" w:rsidRDefault="006A250C" w:rsidP="0069272C">
      <w:pPr>
        <w:rPr>
          <w:color w:val="000000" w:themeColor="text1"/>
        </w:rPr>
      </w:pPr>
    </w:p>
    <w:p w14:paraId="59EEC505" w14:textId="7AD8C529" w:rsidR="00C217F9" w:rsidRPr="00B95E28" w:rsidRDefault="00C217F9" w:rsidP="00557AB7">
      <w:pPr>
        <w:spacing w:line="480" w:lineRule="auto"/>
        <w:rPr>
          <w:color w:val="000000" w:themeColor="text1"/>
        </w:rPr>
      </w:pPr>
      <w:r w:rsidRPr="00B95E28">
        <w:rPr>
          <w:color w:val="000000" w:themeColor="text1"/>
        </w:rPr>
        <w:t>Across participants, technology integration was consistently identified as both a constraint and an enabler of integration outcomes. While system architectures and technical environments differed across organizations, the underlying challenges related to data, process alignment, and resource constraints remained similar. This indicates that technology integration issues are not purely technical in nature, but reflect broader organizational dynamics, reinforcing its role as a foundational component of integration capability.</w:t>
      </w:r>
    </w:p>
    <w:p w14:paraId="73F70544" w14:textId="77777777" w:rsidR="0069272C" w:rsidRPr="00B95E28" w:rsidRDefault="0069272C" w:rsidP="0069272C">
      <w:pPr>
        <w:rPr>
          <w:color w:val="000000" w:themeColor="text1"/>
        </w:rPr>
      </w:pPr>
      <w:bookmarkStart w:id="128" w:name="_Toc230881458"/>
    </w:p>
    <w:p w14:paraId="380937B2" w14:textId="2D24B315" w:rsidR="00C217F9" w:rsidRPr="00B95E28" w:rsidRDefault="00C217F9" w:rsidP="00557AB7">
      <w:pPr>
        <w:pStyle w:val="Heading2"/>
        <w:spacing w:before="0" w:after="0" w:line="480" w:lineRule="auto"/>
        <w:ind w:left="0" w:firstLine="0"/>
        <w:rPr>
          <w:color w:val="000000" w:themeColor="text1"/>
        </w:rPr>
      </w:pPr>
      <w:bookmarkStart w:id="129" w:name="_Toc232351858"/>
      <w:r w:rsidRPr="00B95E28">
        <w:rPr>
          <w:color w:val="000000" w:themeColor="text1"/>
        </w:rPr>
        <w:t>4.5 Human Capital and Organizational Factors</w:t>
      </w:r>
      <w:bookmarkEnd w:id="128"/>
      <w:bookmarkEnd w:id="129"/>
    </w:p>
    <w:p w14:paraId="0C26BEDF" w14:textId="77777777" w:rsidR="0069272C" w:rsidRPr="00B95E28" w:rsidRDefault="00C217F9" w:rsidP="00557AB7">
      <w:pPr>
        <w:spacing w:line="480" w:lineRule="auto"/>
        <w:rPr>
          <w:color w:val="000000" w:themeColor="text1"/>
        </w:rPr>
      </w:pPr>
      <w:r w:rsidRPr="00B95E28">
        <w:rPr>
          <w:color w:val="000000" w:themeColor="text1"/>
        </w:rPr>
        <w:t xml:space="preserve">Human capital factors were consistently identified across interviews as a major determinant of integration outcomes. Human capital and organizational factors emerged as one of the most consistently cited and complex dimensions of post-acquisition integration. Across interviews, participants emphasized that while financial models, systems, and processes can be structured and planned, the human element introduces a level of variability that is significantly harder to </w:t>
      </w:r>
      <w:r w:rsidRPr="00B95E28">
        <w:rPr>
          <w:color w:val="000000" w:themeColor="text1"/>
        </w:rPr>
        <w:lastRenderedPageBreak/>
        <w:t>manage (P1; P3; P7; P12). In several cases, participants linked these challenges directly to leadership effectiveness rather than employee capability. As one participant stated, “it’s almost always leadership… pointing people in the right direction” (P15), suggesting that human capital issues are often symptoms of misaligned leadership and unclear direction.</w:t>
      </w:r>
    </w:p>
    <w:p w14:paraId="3BD46C43" w14:textId="77777777" w:rsidR="0069272C" w:rsidRPr="00B95E28" w:rsidRDefault="0069272C" w:rsidP="0069272C">
      <w:pPr>
        <w:rPr>
          <w:color w:val="000000" w:themeColor="text1"/>
        </w:rPr>
      </w:pPr>
    </w:p>
    <w:p w14:paraId="178265A0" w14:textId="77777777" w:rsidR="0069272C" w:rsidRPr="00B95E28" w:rsidRDefault="00C217F9" w:rsidP="00557AB7">
      <w:pPr>
        <w:spacing w:line="480" w:lineRule="auto"/>
        <w:rPr>
          <w:color w:val="000000" w:themeColor="text1"/>
        </w:rPr>
      </w:pPr>
      <w:r w:rsidRPr="00B95E28">
        <w:rPr>
          <w:color w:val="000000" w:themeColor="text1"/>
        </w:rPr>
        <w:t>A dominant finding is that people-related challenges are often the most significant barrier to successful integration. Participants frequently described resistance to change, uncertainty, and cultural misalignment as key issues that arise early in the integration process. As one participant stated, “you can have the best plan in the world, but if people don’t buy in, it falls apart” (P3). This highlights the central role of employee engagement in determining integration outcomes. This reinforces the limitation of process-driven integration models, which assume alignment can be engineered without adequately accounting for human behaviour. Participants also emphasized the role of expectation management in shaping employee response. One participant noted that “failures… [happen] because expectations are set wrong” (P17), indicating that misaligned expectations can create unnecessary pressure and reduce perceived success even when execution is effective.</w:t>
      </w:r>
    </w:p>
    <w:p w14:paraId="7D1CF6DD" w14:textId="77777777" w:rsidR="0069272C" w:rsidRPr="00B95E28" w:rsidRDefault="0069272C" w:rsidP="0069272C">
      <w:pPr>
        <w:rPr>
          <w:color w:val="000000" w:themeColor="text1"/>
        </w:rPr>
      </w:pPr>
    </w:p>
    <w:p w14:paraId="28B90BC2" w14:textId="00815816" w:rsidR="00C217F9" w:rsidRPr="00B95E28" w:rsidRDefault="00C217F9" w:rsidP="00557AB7">
      <w:pPr>
        <w:spacing w:line="480" w:lineRule="auto"/>
        <w:rPr>
          <w:color w:val="000000" w:themeColor="text1"/>
        </w:rPr>
      </w:pPr>
      <w:r w:rsidRPr="00B95E28">
        <w:rPr>
          <w:color w:val="000000" w:themeColor="text1"/>
        </w:rPr>
        <w:t xml:space="preserve">P21 and P22 both reinforced the importance of communication and transparency during integration. P21 emphasized that target employees need to understand what is changing and why, particularly because people must see their role in the future business if they are expected to support the combined organization. P22 extended this point by emphasizing sequenced communication across stakeholder groups, including employees, customers, markets, unions, and leadership teams. This suggests that communication is not simply a change-management activity, </w:t>
      </w:r>
      <w:r w:rsidRPr="00B95E28">
        <w:rPr>
          <w:color w:val="000000" w:themeColor="text1"/>
        </w:rPr>
        <w:lastRenderedPageBreak/>
        <w:t>but a risk-control mechanism that helps reduce uncertainty, preserve trust, and prevent informal narratives from undermining integration momentum.</w:t>
      </w:r>
    </w:p>
    <w:p w14:paraId="1A186D18" w14:textId="77777777" w:rsidR="0069272C" w:rsidRPr="00B95E28" w:rsidRDefault="0069272C" w:rsidP="0069272C">
      <w:pPr>
        <w:rPr>
          <w:color w:val="000000" w:themeColor="text1"/>
        </w:rPr>
      </w:pPr>
    </w:p>
    <w:p w14:paraId="5E04D429" w14:textId="7A61EEF0" w:rsidR="00C217F9" w:rsidRPr="00B95E28" w:rsidRDefault="00C217F9" w:rsidP="00557AB7">
      <w:pPr>
        <w:spacing w:line="480" w:lineRule="auto"/>
        <w:rPr>
          <w:color w:val="000000" w:themeColor="text1"/>
        </w:rPr>
      </w:pPr>
      <w:r w:rsidRPr="00B95E28">
        <w:rPr>
          <w:color w:val="000000" w:themeColor="text1"/>
        </w:rPr>
        <w:t>This is further reinforced by participant perspectives on employee expectations during acquisition. As one participant noted, “maintaining morale is critical because employees expect cost cutting during acquisitions,” highlighting the anticipatory nature of employee concern during integration (P2).</w:t>
      </w:r>
    </w:p>
    <w:p w14:paraId="2865EAE1" w14:textId="77777777" w:rsidR="006A250C" w:rsidRPr="00B95E28" w:rsidRDefault="006A250C" w:rsidP="0069272C">
      <w:pPr>
        <w:rPr>
          <w:color w:val="000000" w:themeColor="text1"/>
        </w:rPr>
      </w:pPr>
    </w:p>
    <w:p w14:paraId="7A4C1C0E" w14:textId="101C4A95" w:rsidR="00C217F9" w:rsidRPr="00B95E28" w:rsidRDefault="00C217F9" w:rsidP="00557AB7">
      <w:pPr>
        <w:spacing w:line="480" w:lineRule="auto"/>
        <w:rPr>
          <w:color w:val="000000" w:themeColor="text1"/>
        </w:rPr>
      </w:pPr>
      <w:r w:rsidRPr="00B95E28">
        <w:rPr>
          <w:color w:val="000000" w:themeColor="text1"/>
        </w:rPr>
        <w:t>Communication was identified as a critical factor influencing employee response during integration. Participants noted that a lack of clear, timely, and transparent communication often leads to speculation, reduced morale, and disengagement (P2; P6; P10). One participant described this dynamic by stating that “when communication isn’t clear, people fill in the gaps themselves, and that’s where problems start” (P8). Effective communication was therefore viewed not as a one-time activity, but as an ongoing process requiring consistency and clarity throughout the integration lifecycle.</w:t>
      </w:r>
    </w:p>
    <w:p w14:paraId="306EEC0D" w14:textId="77777777" w:rsidR="0069272C" w:rsidRPr="00B95E28" w:rsidRDefault="0069272C" w:rsidP="0069272C">
      <w:pPr>
        <w:rPr>
          <w:color w:val="000000" w:themeColor="text1"/>
        </w:rPr>
      </w:pPr>
    </w:p>
    <w:p w14:paraId="54DD4C41" w14:textId="367B3A0E" w:rsidR="00C217F9" w:rsidRPr="00B95E28" w:rsidRDefault="00C217F9" w:rsidP="00557AB7">
      <w:pPr>
        <w:spacing w:line="480" w:lineRule="auto"/>
        <w:rPr>
          <w:color w:val="000000" w:themeColor="text1"/>
        </w:rPr>
      </w:pPr>
      <w:r w:rsidRPr="00B95E28">
        <w:rPr>
          <w:color w:val="000000" w:themeColor="text1"/>
        </w:rPr>
        <w:t>Cultural differences between acquiring and acquired organizations further contribute to integration complexity. Participants emphasized that even when operational processes appear compatible, underlying cultural norms and ways of working can differ significantly (P4; P9; P13). One participant noted that “culture is what you don’t see on paper, but it’s what drives how people actually behave day-to-day” (P11). Misalignment in culture can result in friction, reduced collaboration, and challenges in aligning teams toward common objectives.</w:t>
      </w:r>
    </w:p>
    <w:p w14:paraId="6FA26EB6" w14:textId="77777777" w:rsidR="006A250C" w:rsidRPr="00B95E28" w:rsidRDefault="006A250C" w:rsidP="0069272C">
      <w:pPr>
        <w:rPr>
          <w:color w:val="000000" w:themeColor="text1"/>
        </w:rPr>
      </w:pPr>
    </w:p>
    <w:p w14:paraId="48C34D87" w14:textId="68F08EC8" w:rsidR="00C217F9" w:rsidRPr="00B95E28" w:rsidRDefault="00C217F9" w:rsidP="00557AB7">
      <w:pPr>
        <w:spacing w:line="480" w:lineRule="auto"/>
        <w:rPr>
          <w:color w:val="000000" w:themeColor="text1"/>
        </w:rPr>
      </w:pPr>
      <w:r w:rsidRPr="00B95E28">
        <w:rPr>
          <w:color w:val="000000" w:themeColor="text1"/>
        </w:rPr>
        <w:t xml:space="preserve">Retention of key personnel was another recurring concern. Participants highlighted the risk of losing critical talent during integration, particularly when employees feel uncertain about their </w:t>
      </w:r>
      <w:r w:rsidRPr="00B95E28">
        <w:rPr>
          <w:color w:val="000000" w:themeColor="text1"/>
        </w:rPr>
        <w:lastRenderedPageBreak/>
        <w:t xml:space="preserve">roles or future within the organization (P5; P12; P14). One participant observed that “the people you most need to keep are often the first to leave if they don’t see clarity or stability” (P7). This creates additional risk, as the loss of institutional knowledge can further complicate integration efforts. This risk is often observed early in the integration process. As one participant noted, “people update their CV within two weeks,” indicating how quickly uncertainty can translate into attrition risk (P11).  </w:t>
      </w:r>
    </w:p>
    <w:p w14:paraId="14EE6C95" w14:textId="77777777" w:rsidR="0069272C" w:rsidRPr="00B95E28" w:rsidRDefault="0069272C" w:rsidP="0069272C">
      <w:pPr>
        <w:rPr>
          <w:color w:val="000000" w:themeColor="text1"/>
        </w:rPr>
      </w:pPr>
    </w:p>
    <w:p w14:paraId="07820DD0" w14:textId="23BC96B5" w:rsidR="00C217F9" w:rsidRPr="00B95E28" w:rsidRDefault="00C217F9" w:rsidP="00557AB7">
      <w:pPr>
        <w:spacing w:line="480" w:lineRule="auto"/>
        <w:rPr>
          <w:color w:val="000000" w:themeColor="text1"/>
        </w:rPr>
      </w:pPr>
      <w:r w:rsidRPr="00B95E28">
        <w:rPr>
          <w:color w:val="000000" w:themeColor="text1"/>
        </w:rPr>
        <w:t>Participants also emphasized the importance of leadership visibility and trust during integration. Leaders play a critical role in setting the tone, reinforcing priorities, and providing reassurance to employees (P1; P6; P15). One participant described effective leadership during integration as “being present, being clear, and being consistent in what you’re saying and doing” (P10). Where leadership engagement was weak or inconsistent, participants noted a decline in alignment and morale.</w:t>
      </w:r>
    </w:p>
    <w:p w14:paraId="1613B097" w14:textId="77777777" w:rsidR="006A250C" w:rsidRPr="00B95E28" w:rsidRDefault="006A250C" w:rsidP="0069272C">
      <w:pPr>
        <w:rPr>
          <w:color w:val="000000" w:themeColor="text1"/>
        </w:rPr>
      </w:pPr>
    </w:p>
    <w:p w14:paraId="235888E8" w14:textId="457E3713" w:rsidR="00C217F9" w:rsidRPr="00B95E28" w:rsidRDefault="00C217F9" w:rsidP="00557AB7">
      <w:pPr>
        <w:spacing w:line="480" w:lineRule="auto"/>
        <w:rPr>
          <w:color w:val="000000" w:themeColor="text1"/>
        </w:rPr>
      </w:pPr>
      <w:r w:rsidRPr="00B95E28">
        <w:rPr>
          <w:color w:val="000000" w:themeColor="text1"/>
        </w:rPr>
        <w:t xml:space="preserve">The interviews further suggest that human capital integration is shaped by the consistency between leadership communication and leadership behaviour. Participants did not frame communication only as the delivery of messages, announcements, or updates. Rather, communication was effective when employees could see that leadership decisions, timelines, and actions were consistent with what had been communicated. Where leaders communicated reassurance but delayed decisions, avoided difficult role conversations, or failed to explain the rationale for change, uncertainty continued to increase. This finding is important because it shows that trust is not created through communication volume alone. It is created through credible and consistent leadership action. In this sense, human capital integration requires leaders </w:t>
      </w:r>
      <w:r w:rsidRPr="00B95E28">
        <w:rPr>
          <w:color w:val="000000" w:themeColor="text1"/>
        </w:rPr>
        <w:lastRenderedPageBreak/>
        <w:t>to manage both the content of communication and the behavioural signals sent through decisions, priorities, and follow-through.</w:t>
      </w:r>
    </w:p>
    <w:p w14:paraId="67C2F4E6" w14:textId="77777777" w:rsidR="006A250C" w:rsidRPr="00B95E28" w:rsidRDefault="006A250C" w:rsidP="0069272C">
      <w:pPr>
        <w:rPr>
          <w:color w:val="000000" w:themeColor="text1"/>
        </w:rPr>
      </w:pPr>
    </w:p>
    <w:p w14:paraId="1688E36E" w14:textId="0C6A5EC9" w:rsidR="00C217F9" w:rsidRPr="00B95E28" w:rsidRDefault="00C217F9" w:rsidP="00557AB7">
      <w:pPr>
        <w:spacing w:line="480" w:lineRule="auto"/>
        <w:rPr>
          <w:color w:val="000000" w:themeColor="text1"/>
        </w:rPr>
      </w:pPr>
      <w:r w:rsidRPr="00B95E28">
        <w:rPr>
          <w:color w:val="000000" w:themeColor="text1"/>
        </w:rPr>
        <w:t>P23 further strengthened the human capital finding by emphasizing that integration starts with people rather than numbers. This perspective reframes people issues as central to integration rather than secondary change-management concerns. P23 highlighted that employees in acquired organizations are not only concerned about their own roles, but also about customers, products, teams, and the future direction of the business. This reinforces the finding that integration communication must be honest, frequent, multi-channel, and visibly supported by senior leadership. It also suggests that communication cannot simply be delegated to HR or treated as a generic announcement process; it must be owned by leaders who can explain the purpose of the acquisition, the expected changes, and the implications for the people required to make the integration work.</w:t>
      </w:r>
    </w:p>
    <w:p w14:paraId="7F032545" w14:textId="77777777" w:rsidR="0069272C" w:rsidRPr="00B95E28" w:rsidRDefault="0069272C" w:rsidP="0069272C">
      <w:pPr>
        <w:rPr>
          <w:color w:val="000000" w:themeColor="text1"/>
        </w:rPr>
      </w:pPr>
    </w:p>
    <w:p w14:paraId="1C89C0D0" w14:textId="7747227E" w:rsidR="00C217F9" w:rsidRPr="00B95E28" w:rsidRDefault="00C217F9" w:rsidP="00557AB7">
      <w:pPr>
        <w:spacing w:line="480" w:lineRule="auto"/>
        <w:rPr>
          <w:color w:val="000000" w:themeColor="text1"/>
        </w:rPr>
      </w:pPr>
      <w:r w:rsidRPr="00B95E28">
        <w:rPr>
          <w:color w:val="000000" w:themeColor="text1"/>
        </w:rPr>
        <w:t>Another key finding is that integration efforts often fail to fully account for the workload and capacity of employees. In many cases, individuals are expected to manage integration activities alongside their existing responsibilities, leading to overload and reduced effectiveness (P2; P8; P13). As one participant explained, “people are already stretched, and then integration becomes something extra that they have to manage” (P6). This reinforces the need for dedicated resources and realistic workload planning.</w:t>
      </w:r>
    </w:p>
    <w:p w14:paraId="73EC90D6" w14:textId="77777777" w:rsidR="006A250C" w:rsidRPr="00B95E28" w:rsidRDefault="006A250C" w:rsidP="0069272C">
      <w:pPr>
        <w:rPr>
          <w:color w:val="000000" w:themeColor="text1"/>
        </w:rPr>
      </w:pPr>
    </w:p>
    <w:p w14:paraId="6BB6BAD6" w14:textId="3D39F804" w:rsidR="00C217F9" w:rsidRPr="00B95E28" w:rsidRDefault="00C217F9" w:rsidP="00557AB7">
      <w:pPr>
        <w:spacing w:line="480" w:lineRule="auto"/>
        <w:rPr>
          <w:color w:val="000000" w:themeColor="text1"/>
        </w:rPr>
      </w:pPr>
      <w:r w:rsidRPr="00B95E28">
        <w:rPr>
          <w:color w:val="000000" w:themeColor="text1"/>
        </w:rPr>
        <w:t>Finally, participants highlighted that human capital challenges are not isolated issues but are interconnected with governance, planning, and execution. Poor communication, unclear roles, and cultural misalignment often amplify issues in other areas, creating a compounding effect that can hinder overall integration progress (P4; P9; P12).</w:t>
      </w:r>
    </w:p>
    <w:p w14:paraId="5C2A8453" w14:textId="77777777" w:rsidR="00C217F9" w:rsidRPr="00B95E28" w:rsidRDefault="00C217F9" w:rsidP="00557AB7">
      <w:pPr>
        <w:spacing w:line="480" w:lineRule="auto"/>
        <w:rPr>
          <w:color w:val="000000" w:themeColor="text1"/>
        </w:rPr>
      </w:pPr>
      <w:r w:rsidRPr="00B95E28">
        <w:rPr>
          <w:color w:val="000000" w:themeColor="text1"/>
        </w:rPr>
        <w:lastRenderedPageBreak/>
        <w:t xml:space="preserve">Overall, the findings indicate that human capital and organizational factors are central to integration capability. While technical and process-related elements can be structured and controlled, the ability to effectively manage people, culture, and communication ultimately determines whether integration efforts succeed or fail. </w:t>
      </w:r>
    </w:p>
    <w:p w14:paraId="41B3E5AB" w14:textId="77777777" w:rsidR="006A250C" w:rsidRPr="00B95E28" w:rsidRDefault="006A250C" w:rsidP="0069272C">
      <w:pPr>
        <w:rPr>
          <w:color w:val="000000" w:themeColor="text1"/>
        </w:rPr>
      </w:pPr>
    </w:p>
    <w:p w14:paraId="6623433C" w14:textId="557D4459" w:rsidR="00C217F9" w:rsidRPr="00B95E28" w:rsidRDefault="00C217F9" w:rsidP="00557AB7">
      <w:pPr>
        <w:spacing w:line="480" w:lineRule="auto"/>
        <w:rPr>
          <w:color w:val="000000" w:themeColor="text1"/>
        </w:rPr>
      </w:pPr>
      <w:r w:rsidRPr="00B95E28">
        <w:rPr>
          <w:color w:val="000000" w:themeColor="text1"/>
        </w:rPr>
        <w:t>While processes and systems can be structured, participant responses indicate that people-related factors introduce variability that is difficult to control. This suggests that integration capability must account for behavioural and cultural dynamics, not just operational alignment.</w:t>
      </w:r>
    </w:p>
    <w:p w14:paraId="71DB753B" w14:textId="77777777" w:rsidR="006A250C" w:rsidRPr="00B95E28" w:rsidRDefault="006A250C" w:rsidP="0069272C">
      <w:pPr>
        <w:rPr>
          <w:color w:val="000000" w:themeColor="text1"/>
        </w:rPr>
      </w:pPr>
    </w:p>
    <w:p w14:paraId="71D741E4" w14:textId="2D7EBB12" w:rsidR="00C217F9" w:rsidRPr="00B95E28" w:rsidRDefault="00C217F9" w:rsidP="00557AB7">
      <w:pPr>
        <w:spacing w:line="480" w:lineRule="auto"/>
        <w:rPr>
          <w:color w:val="000000" w:themeColor="text1"/>
        </w:rPr>
      </w:pPr>
      <w:r w:rsidRPr="00B95E28">
        <w:rPr>
          <w:color w:val="000000" w:themeColor="text1"/>
        </w:rPr>
        <w:t>Across participants, human capital challenges were consistently described as one of the most complex and least predictable dimensions of integration. While organizational cultures and structures varied, the underlying issues related to communication, alignment, and employee engagement remained consistent across interviews. This suggests that human capital factors are not context-specific challenges, but fundamental drivers of integration outcomes that require deliberate and sustained management.</w:t>
      </w:r>
    </w:p>
    <w:p w14:paraId="0EC6A221" w14:textId="77777777" w:rsidR="0069272C" w:rsidRPr="00B95E28" w:rsidRDefault="0069272C" w:rsidP="0069272C">
      <w:pPr>
        <w:rPr>
          <w:color w:val="000000" w:themeColor="text1"/>
        </w:rPr>
      </w:pPr>
      <w:bookmarkStart w:id="130" w:name="_Toc230881459"/>
    </w:p>
    <w:p w14:paraId="6A07B3A6" w14:textId="36950AA8" w:rsidR="00C217F9" w:rsidRPr="00B95E28" w:rsidRDefault="00C217F9" w:rsidP="00557AB7">
      <w:pPr>
        <w:pStyle w:val="Heading2"/>
        <w:spacing w:before="0" w:after="0" w:line="480" w:lineRule="auto"/>
        <w:ind w:left="0" w:firstLine="0"/>
        <w:rPr>
          <w:color w:val="000000" w:themeColor="text1"/>
        </w:rPr>
      </w:pPr>
      <w:bookmarkStart w:id="131" w:name="_Toc232351859"/>
      <w:r w:rsidRPr="00B95E28">
        <w:rPr>
          <w:color w:val="000000" w:themeColor="text1"/>
        </w:rPr>
        <w:t>4.6 Organizational Learning</w:t>
      </w:r>
      <w:bookmarkEnd w:id="130"/>
      <w:bookmarkEnd w:id="131"/>
    </w:p>
    <w:p w14:paraId="4483CFD4" w14:textId="77777777" w:rsidR="00C217F9" w:rsidRPr="00B95E28" w:rsidRDefault="00C217F9" w:rsidP="00557AB7">
      <w:pPr>
        <w:spacing w:line="480" w:lineRule="auto"/>
        <w:rPr>
          <w:color w:val="000000" w:themeColor="text1"/>
        </w:rPr>
      </w:pPr>
      <w:r w:rsidRPr="00B95E28">
        <w:rPr>
          <w:color w:val="000000" w:themeColor="text1"/>
        </w:rPr>
        <w:t>Organizational learning was referenced in a majority of interviews, though with varying levels of maturity across organizations. Organizational learning emerged as a critical yet inconsistently developed dimension of post-acquisition integration. While participants widely acknowledged the importance of learning from prior transactions, the mechanisms for capturing, retaining, and applying this knowledge varied significantly across organizations (P1; P4; P7; P12). As one participant observed, “they should be writing things down. I don’t see a lot of that” (P7), highlighting the gap between experience and institutional knowledge.</w:t>
      </w:r>
    </w:p>
    <w:p w14:paraId="65101DFF" w14:textId="77777777" w:rsidR="006A250C" w:rsidRPr="00B95E28" w:rsidRDefault="006A250C" w:rsidP="00557AB7">
      <w:pPr>
        <w:spacing w:line="480" w:lineRule="auto"/>
        <w:rPr>
          <w:color w:val="000000" w:themeColor="text1"/>
        </w:rPr>
      </w:pPr>
    </w:p>
    <w:p w14:paraId="0FC8E0C5" w14:textId="0B2D5485" w:rsidR="00C217F9" w:rsidRPr="00B95E28" w:rsidRDefault="00C217F9" w:rsidP="00557AB7">
      <w:pPr>
        <w:spacing w:line="480" w:lineRule="auto"/>
        <w:rPr>
          <w:color w:val="000000" w:themeColor="text1"/>
        </w:rPr>
      </w:pPr>
      <w:r w:rsidRPr="00B95E28">
        <w:rPr>
          <w:color w:val="000000" w:themeColor="text1"/>
        </w:rPr>
        <w:lastRenderedPageBreak/>
        <w:t>A dominant finding is that many organizations fail to systematically capture lessons learned following integration efforts. Participants frequently described a reliance on informal knowledge transfer, where insights remain with individuals rather than being codified at the organizational level (P2; P6; P10). As one participant noted, “we learn a lot during integration, but very little of it actually gets written down or reused” (P8). This results in repeated inefficiencies, as organizations approach each acquisition as a largely independent event. This pattern reinforces that experience alone does not translate into capability. Without structured mechanisms for capturing and applying knowledge, organizations are unable to systematically improve integration performance over time. This pattern is also reflected in participant perspectives on learning through repetition. As (P18) noted, “process gets seamless… you know more things with time,” indicating that learning is often incremental and experience-driven. However, this also reinforces the earlier finding that without structured mechanisms, such learning remains informal and inconsistently applied across transactions.</w:t>
      </w:r>
    </w:p>
    <w:p w14:paraId="784313A1" w14:textId="77777777" w:rsidR="006A250C" w:rsidRPr="00B95E28" w:rsidRDefault="006A250C" w:rsidP="0069272C">
      <w:pPr>
        <w:rPr>
          <w:color w:val="000000" w:themeColor="text1"/>
        </w:rPr>
      </w:pPr>
    </w:p>
    <w:p w14:paraId="2863967F" w14:textId="365BBBDE" w:rsidR="00C217F9" w:rsidRPr="00B95E28" w:rsidRDefault="00C217F9" w:rsidP="00557AB7">
      <w:pPr>
        <w:spacing w:line="480" w:lineRule="auto"/>
        <w:rPr>
          <w:color w:val="000000" w:themeColor="text1"/>
        </w:rPr>
      </w:pPr>
      <w:r w:rsidRPr="00B95E28">
        <w:rPr>
          <w:color w:val="000000" w:themeColor="text1"/>
        </w:rPr>
        <w:t xml:space="preserve">While practitioner interviews emphasized the importance of capturing and reusing lessons learned, additional perspectives highlighted a deeper dimension of organizational learning. As P20 noted, “the stock is actually more important than the flows,” referring to the distinction between accumulated understanding and process execution. This perspective suggests that integration capability is not driven solely by the repetition of activities, but by the organization’s ability to understand what works, under what conditions, and why. In this context, learning extends beyond documentation and playbooks to include the development of causal understanding, enabling organizations to adapt integration approaches across transactions rather than applying standardized processes rigidly. </w:t>
      </w:r>
    </w:p>
    <w:p w14:paraId="1740580E" w14:textId="77777777" w:rsidR="006A250C" w:rsidRPr="00B95E28" w:rsidRDefault="006A250C" w:rsidP="00557AB7">
      <w:pPr>
        <w:spacing w:line="480" w:lineRule="auto"/>
        <w:rPr>
          <w:color w:val="000000" w:themeColor="text1"/>
        </w:rPr>
      </w:pPr>
    </w:p>
    <w:p w14:paraId="0F915111" w14:textId="4054FB7A" w:rsidR="00C217F9" w:rsidRPr="00B95E28" w:rsidRDefault="00C217F9" w:rsidP="00557AB7">
      <w:pPr>
        <w:spacing w:line="480" w:lineRule="auto"/>
        <w:rPr>
          <w:color w:val="000000" w:themeColor="text1"/>
        </w:rPr>
      </w:pPr>
      <w:r w:rsidRPr="00B95E28">
        <w:rPr>
          <w:color w:val="000000" w:themeColor="text1"/>
        </w:rPr>
        <w:lastRenderedPageBreak/>
        <w:t xml:space="preserve">In contrast, more mature organizations demonstrated structured approaches to organizational learning. These included formal post-integration reviews, documentation of key challenges and outcomes, and the development of integration playbooks (P5; P9; P13). One participant described this evolution by stating that “over time, integration becomes less about figuring things out and more about applying what you already know” (P11). This shift reflects the transition from ad hoc execution to capability-based integration. While playbooks were identified as useful tools, participants emphasized their limitations. One participant noted that “maybe 50% of it is repeatable and 50% customized” (P8), indicating that learning must be adaptive rather than purely standardized. </w:t>
      </w:r>
    </w:p>
    <w:p w14:paraId="0F249902" w14:textId="77777777" w:rsidR="006A250C" w:rsidRPr="00B95E28" w:rsidRDefault="006A250C" w:rsidP="0069272C">
      <w:pPr>
        <w:rPr>
          <w:color w:val="000000" w:themeColor="text1"/>
        </w:rPr>
      </w:pPr>
    </w:p>
    <w:p w14:paraId="54DFC53A" w14:textId="1A7ED7AC" w:rsidR="00C217F9" w:rsidRPr="00B95E28" w:rsidRDefault="00C217F9" w:rsidP="00557AB7">
      <w:pPr>
        <w:spacing w:line="480" w:lineRule="auto"/>
        <w:rPr>
          <w:color w:val="000000" w:themeColor="text1"/>
        </w:rPr>
      </w:pPr>
      <w:r w:rsidRPr="00B95E28">
        <w:rPr>
          <w:color w:val="000000" w:themeColor="text1"/>
        </w:rPr>
        <w:t>This limitation is also reflected in practitioner views on standardization. As one participant noted, “playbooks maybe get you to 50–60%,” reinforcing that learning must be adaptive and context-sensitive rather than purely procedural (P13).</w:t>
      </w:r>
    </w:p>
    <w:p w14:paraId="3F87E16B" w14:textId="77777777" w:rsidR="00D634DB" w:rsidRPr="00B95E28" w:rsidRDefault="00D634DB" w:rsidP="0069272C">
      <w:pPr>
        <w:rPr>
          <w:color w:val="000000" w:themeColor="text1"/>
        </w:rPr>
      </w:pPr>
    </w:p>
    <w:p w14:paraId="279E29EC" w14:textId="1729F425" w:rsidR="00C217F9" w:rsidRPr="00B95E28" w:rsidRDefault="00C217F9" w:rsidP="00557AB7">
      <w:pPr>
        <w:spacing w:line="480" w:lineRule="auto"/>
        <w:rPr>
          <w:color w:val="000000" w:themeColor="text1"/>
        </w:rPr>
      </w:pPr>
      <w:r w:rsidRPr="00B95E28">
        <w:rPr>
          <w:color w:val="000000" w:themeColor="text1"/>
        </w:rPr>
        <w:t>However, even in organizations with formal learning mechanisms, participants noted challenges in ensuring that lessons are effectively applied in subsequent transactions. Knowledge transfer across teams and business units was often inconsistent, particularly in larger or more decentralized organizations (P3; P7; P14). One participant explained that “having a playbook is one thing, but making sure people actually use it is another challenge entirely” (P6). This highlights the gap between knowledge creation and knowledge utilization.</w:t>
      </w:r>
    </w:p>
    <w:p w14:paraId="6FEB761E" w14:textId="77777777" w:rsidR="006A250C" w:rsidRPr="00B95E28" w:rsidRDefault="006A250C" w:rsidP="0069272C">
      <w:pPr>
        <w:rPr>
          <w:color w:val="000000" w:themeColor="text1"/>
        </w:rPr>
      </w:pPr>
    </w:p>
    <w:p w14:paraId="79BB1321" w14:textId="0A0EAC0F" w:rsidR="00C217F9" w:rsidRPr="00B95E28" w:rsidRDefault="00C217F9" w:rsidP="00557AB7">
      <w:pPr>
        <w:spacing w:line="480" w:lineRule="auto"/>
        <w:rPr>
          <w:color w:val="000000" w:themeColor="text1"/>
        </w:rPr>
      </w:pPr>
      <w:r w:rsidRPr="00B95E28">
        <w:rPr>
          <w:color w:val="000000" w:themeColor="text1"/>
        </w:rPr>
        <w:t xml:space="preserve">Another key theme is the role of experience in shaping integration capability. Participants emphasized that repeated exposure to acquisitions enables individuals and organizations to refine their approaches over time (P1; P5; P12). However, without deliberate efforts to institutionalize </w:t>
      </w:r>
      <w:r w:rsidRPr="00B95E28">
        <w:rPr>
          <w:color w:val="000000" w:themeColor="text1"/>
        </w:rPr>
        <w:lastRenderedPageBreak/>
        <w:t>this experience, learning remains dependent on specific individuals rather than being embedded within the organization.</w:t>
      </w:r>
    </w:p>
    <w:p w14:paraId="44CE539C" w14:textId="77777777" w:rsidR="006A250C" w:rsidRPr="00B95E28" w:rsidRDefault="006A250C" w:rsidP="0069272C">
      <w:pPr>
        <w:rPr>
          <w:color w:val="000000" w:themeColor="text1"/>
        </w:rPr>
      </w:pPr>
    </w:p>
    <w:p w14:paraId="18D9D55F" w14:textId="371F3F5B" w:rsidR="00C217F9" w:rsidRPr="00B95E28" w:rsidRDefault="00C217F9" w:rsidP="00557AB7">
      <w:pPr>
        <w:spacing w:line="480" w:lineRule="auto"/>
        <w:rPr>
          <w:color w:val="000000" w:themeColor="text1"/>
        </w:rPr>
      </w:pPr>
      <w:r w:rsidRPr="00B95E28">
        <w:rPr>
          <w:color w:val="000000" w:themeColor="text1"/>
        </w:rPr>
        <w:t>The absence of structured learning processes contributes to variability in integration outcomes. Organizations that do not systematically capture and apply lessons learned are more likely to repeat mistakes, leading to inefficiencies and missed value opportunities (P4; P10; P15). Conversely, organizations that invest in learning mechanisms are better positioned to improve consistency and performance across transactions.</w:t>
      </w:r>
    </w:p>
    <w:p w14:paraId="1E28D065" w14:textId="77777777" w:rsidR="006A250C" w:rsidRPr="00B95E28" w:rsidRDefault="006A250C" w:rsidP="0069272C">
      <w:pPr>
        <w:rPr>
          <w:color w:val="000000" w:themeColor="text1"/>
        </w:rPr>
      </w:pPr>
    </w:p>
    <w:p w14:paraId="77DB6511" w14:textId="3A6A6170" w:rsidR="00C217F9" w:rsidRPr="00B95E28" w:rsidRDefault="00C217F9" w:rsidP="00557AB7">
      <w:pPr>
        <w:spacing w:line="480" w:lineRule="auto"/>
        <w:rPr>
          <w:color w:val="000000" w:themeColor="text1"/>
        </w:rPr>
      </w:pPr>
      <w:r w:rsidRPr="00B95E28">
        <w:rPr>
          <w:color w:val="000000" w:themeColor="text1"/>
        </w:rPr>
        <w:t>Participants also highlighted that organizational learning is closely linked to other dimensions of integration. Effective governance supports the capture and dissemination of lessons, while structured planning enables the incorporation of prior insights into future integrations (P2; P9; P13). Without alignment across these areas, learning remains fragmented and underutilized.</w:t>
      </w:r>
    </w:p>
    <w:p w14:paraId="161C2AF5" w14:textId="77777777" w:rsidR="006A250C" w:rsidRPr="00B95E28" w:rsidRDefault="006A250C" w:rsidP="0069272C">
      <w:pPr>
        <w:rPr>
          <w:color w:val="000000" w:themeColor="text1"/>
        </w:rPr>
      </w:pPr>
    </w:p>
    <w:p w14:paraId="36C128EC" w14:textId="1ECF69D7" w:rsidR="00C217F9" w:rsidRPr="00B95E28" w:rsidRDefault="00C217F9" w:rsidP="00557AB7">
      <w:pPr>
        <w:spacing w:line="480" w:lineRule="auto"/>
        <w:rPr>
          <w:color w:val="000000" w:themeColor="text1"/>
        </w:rPr>
      </w:pPr>
      <w:r w:rsidRPr="00B95E28">
        <w:rPr>
          <w:color w:val="000000" w:themeColor="text1"/>
        </w:rPr>
        <w:t>P21 and P22 further supported the finding that repeatable integration capability develops through deliberate learning rather than repetition alone. P21 noted that organizations improve when leaders are willing to examine what worked, what failed, and what should change in future transactions. P22 provided a more institutionalized example, describing how repeat acquirers can build dedicated integration functions, codify a consistent integration script, and involve people who have previously experienced integration in future integration work. This distinction is important because it shows that learning becomes capability only when experience is retained, codified, and redeployed across transactions.</w:t>
      </w:r>
    </w:p>
    <w:p w14:paraId="53182C60" w14:textId="77777777" w:rsidR="006A250C" w:rsidRPr="00B95E28" w:rsidRDefault="006A250C" w:rsidP="0069272C">
      <w:pPr>
        <w:rPr>
          <w:color w:val="000000" w:themeColor="text1"/>
        </w:rPr>
      </w:pPr>
    </w:p>
    <w:p w14:paraId="2B4BC75E" w14:textId="51A8C847" w:rsidR="00C217F9" w:rsidRPr="00B95E28" w:rsidRDefault="00C217F9" w:rsidP="00557AB7">
      <w:pPr>
        <w:spacing w:line="480" w:lineRule="auto"/>
        <w:rPr>
          <w:color w:val="000000" w:themeColor="text1"/>
        </w:rPr>
      </w:pPr>
      <w:r w:rsidRPr="00B95E28">
        <w:rPr>
          <w:color w:val="000000" w:themeColor="text1"/>
        </w:rPr>
        <w:t xml:space="preserve">The findings also indicate that organizational learning has both a capture dimension and a transfer dimension. The capture dimension concerns whether lessons from a transaction are </w:t>
      </w:r>
      <w:r w:rsidRPr="00B95E28">
        <w:rPr>
          <w:color w:val="000000" w:themeColor="text1"/>
        </w:rPr>
        <w:lastRenderedPageBreak/>
        <w:t>identified, documented, and interpreted after integration activity occurs. The transfer dimension concerns whether those lessons are made available to future integration teams in a form that can actually influence planning and execution. Participants described many situations where learning occurred informally through individual experience, but was not converted into institutional knowledge. This creates a vulnerability for serial acquirers because the organization may accumulate transaction experience without developing repeatable capability. In this context, learning becomes valuable only when it is retained beyond the individuals involved in a specific deal and reused in subsequent acquisitions through playbooks, templates, decision rules, or experienced integration resources.</w:t>
      </w:r>
    </w:p>
    <w:p w14:paraId="6A31ED3A" w14:textId="77777777" w:rsidR="006A250C" w:rsidRPr="00B95E28" w:rsidRDefault="006A250C" w:rsidP="0069272C">
      <w:pPr>
        <w:rPr>
          <w:color w:val="000000" w:themeColor="text1"/>
        </w:rPr>
      </w:pPr>
    </w:p>
    <w:p w14:paraId="152C2EA1" w14:textId="616B3DE2" w:rsidR="00C217F9" w:rsidRPr="00B95E28" w:rsidRDefault="00C217F9" w:rsidP="00557AB7">
      <w:pPr>
        <w:spacing w:line="480" w:lineRule="auto"/>
        <w:rPr>
          <w:color w:val="000000" w:themeColor="text1"/>
        </w:rPr>
      </w:pPr>
      <w:r w:rsidRPr="00B95E28">
        <w:rPr>
          <w:color w:val="000000" w:themeColor="text1"/>
        </w:rPr>
        <w:t>P23 added further depth to this finding by asking whether integration capability can “stick beyond people.” This captures a central challenge in serial acquisition environments: integration knowledge often resides in individuals who have accumulated experience across transactions, but it does not always become embedded in the organization. P23 emphasized that spreadsheets, checklists, and project plans are insufficient if teams do not have the experience, credibility, and confidence to use them effectively. This reinforces the finding that repeatable integration capability requires more than documentation. It requires organizations to convert individual know-how into reusable routines, leadership capability, and institutional memory that can survive role changes, turnover, and movement between transactions.</w:t>
      </w:r>
    </w:p>
    <w:p w14:paraId="37FAED2B" w14:textId="77777777" w:rsidR="006A250C" w:rsidRPr="00B95E28" w:rsidRDefault="006A250C" w:rsidP="0069272C">
      <w:pPr>
        <w:rPr>
          <w:color w:val="000000" w:themeColor="text1"/>
        </w:rPr>
      </w:pPr>
    </w:p>
    <w:p w14:paraId="5B0582EB" w14:textId="1866BA04" w:rsidR="00C217F9" w:rsidRPr="00B95E28" w:rsidRDefault="00C217F9" w:rsidP="00557AB7">
      <w:pPr>
        <w:spacing w:line="480" w:lineRule="auto"/>
        <w:rPr>
          <w:color w:val="000000" w:themeColor="text1"/>
        </w:rPr>
      </w:pPr>
      <w:r w:rsidRPr="00B95E28">
        <w:rPr>
          <w:color w:val="000000" w:themeColor="text1"/>
        </w:rPr>
        <w:t>Overall, the findings indicate that organizational learning is a foundational component of integration capability. While experience provides the raw material for learning, it is the deliberate capture, codification, and application of that knowledge that enables organizations to transition from isolated transactions to repeatable integration performance.</w:t>
      </w:r>
    </w:p>
    <w:p w14:paraId="7D7C668E" w14:textId="30694990" w:rsidR="00C217F9" w:rsidRPr="00B95E28" w:rsidRDefault="00C217F9" w:rsidP="00557AB7">
      <w:pPr>
        <w:spacing w:line="480" w:lineRule="auto"/>
        <w:rPr>
          <w:color w:val="000000" w:themeColor="text1"/>
        </w:rPr>
      </w:pPr>
      <w:r w:rsidRPr="00B95E28">
        <w:rPr>
          <w:color w:val="000000" w:themeColor="text1"/>
        </w:rPr>
        <w:lastRenderedPageBreak/>
        <w:t>Responses indicate a clear distinction emerged between organizations that accumulate experience and those that convert experience into capability. While most participants acknowledged the importance of learning, the absence of structured mechanisms for capturing and applying knowledge was consistently observed. This indicates that organizational learning is not an automatic outcome of experience, but a deliberate capability that must be actively developed to improve integration performance over time.</w:t>
      </w:r>
    </w:p>
    <w:p w14:paraId="6212D2D1" w14:textId="77777777" w:rsidR="0069272C" w:rsidRPr="00B95E28" w:rsidRDefault="0069272C" w:rsidP="0069272C">
      <w:pPr>
        <w:rPr>
          <w:color w:val="000000" w:themeColor="text1"/>
        </w:rPr>
      </w:pPr>
      <w:bookmarkStart w:id="132" w:name="_Toc230881460"/>
    </w:p>
    <w:p w14:paraId="28775916" w14:textId="417935D4" w:rsidR="00C217F9" w:rsidRPr="00B95E28" w:rsidRDefault="00C217F9" w:rsidP="00557AB7">
      <w:pPr>
        <w:pStyle w:val="Heading2"/>
        <w:spacing w:before="0" w:after="0" w:line="480" w:lineRule="auto"/>
        <w:ind w:left="0" w:firstLine="0"/>
        <w:rPr>
          <w:color w:val="000000" w:themeColor="text1"/>
        </w:rPr>
      </w:pPr>
      <w:bookmarkStart w:id="133" w:name="_Toc232351860"/>
      <w:r w:rsidRPr="00B95E28">
        <w:rPr>
          <w:color w:val="000000" w:themeColor="text1"/>
        </w:rPr>
        <w:t>4.7 Success Factors in Serial Acquisitions</w:t>
      </w:r>
      <w:bookmarkEnd w:id="132"/>
      <w:bookmarkEnd w:id="133"/>
    </w:p>
    <w:p w14:paraId="05A17271" w14:textId="77777777" w:rsidR="00C217F9" w:rsidRPr="00B95E28" w:rsidRDefault="00C217F9" w:rsidP="00557AB7">
      <w:pPr>
        <w:spacing w:line="480" w:lineRule="auto"/>
        <w:rPr>
          <w:color w:val="000000" w:themeColor="text1"/>
          <w:lang w:val="en-CA"/>
        </w:rPr>
      </w:pPr>
      <w:r w:rsidRPr="00B95E28">
        <w:rPr>
          <w:color w:val="000000" w:themeColor="text1"/>
        </w:rPr>
        <w:t xml:space="preserve">Success factors in serial acquisitions were synthesized across all interviews, reflecting the integration of multiple interdependent dimensions. Success factors in serial acquisitions emerged as a synthesis of the preceding themes, highlighting the conditions under which organizations are able to consistently execute and derive value from multiple transactions. Rather than being driven by any single factor, successful integration outcomes were associated with the interaction of governance, planning, execution discipline, technology alignment, human capital management, and organizational learning (P1; P4; P8; P12). </w:t>
      </w:r>
      <w:r w:rsidRPr="00B95E28">
        <w:rPr>
          <w:color w:val="000000" w:themeColor="text1"/>
          <w:lang w:val="en-CA"/>
        </w:rPr>
        <w:t>Instead, weaker integration outcomes were consistently associated with fragmentation across these dimensions, where gaps in one area amplified challenges in others.</w:t>
      </w:r>
    </w:p>
    <w:p w14:paraId="53F5E91C" w14:textId="77777777" w:rsidR="006A250C" w:rsidRPr="00B95E28" w:rsidRDefault="006A250C" w:rsidP="0069272C">
      <w:pPr>
        <w:rPr>
          <w:color w:val="000000" w:themeColor="text1"/>
          <w:lang w:val="en-CA"/>
        </w:rPr>
      </w:pPr>
    </w:p>
    <w:p w14:paraId="1DB01D8A" w14:textId="450B0CC6" w:rsidR="00C217F9" w:rsidRPr="00B95E28" w:rsidRDefault="00C217F9" w:rsidP="00557AB7">
      <w:pPr>
        <w:spacing w:line="480" w:lineRule="auto"/>
        <w:rPr>
          <w:color w:val="000000" w:themeColor="text1"/>
          <w:lang w:val="en-CA"/>
        </w:rPr>
      </w:pPr>
      <w:r w:rsidRPr="00B95E28">
        <w:rPr>
          <w:color w:val="000000" w:themeColor="text1"/>
          <w:lang w:val="en-CA"/>
        </w:rPr>
        <w:t>Importantly, additional perspectives suggest that successful integration is not solely the result of structured processes or governance mechanisms but reflects underlying organizational conditions. Factors such as trust, leadership alignment, and shared understanding were identified as foundational elements that enable integration activities to function effectively. In this view, integration capability is not imposed through process alone but emerges from the interaction between formal structures and underlying organizational dynamics.</w:t>
      </w:r>
    </w:p>
    <w:p w14:paraId="0869EB5D" w14:textId="77777777" w:rsidR="00C217F9" w:rsidRPr="00B95E28" w:rsidRDefault="00C217F9" w:rsidP="00557AB7">
      <w:pPr>
        <w:spacing w:line="480" w:lineRule="auto"/>
        <w:rPr>
          <w:color w:val="000000" w:themeColor="text1"/>
          <w:lang w:val="en-CA"/>
        </w:rPr>
      </w:pPr>
      <w:r w:rsidRPr="00B95E28">
        <w:rPr>
          <w:color w:val="000000" w:themeColor="text1"/>
        </w:rPr>
        <w:lastRenderedPageBreak/>
        <w:t xml:space="preserve">A dominant finding across interviews is that successful serial acquirers approach integration as an organizational capability rather than a one-time process. Participants emphasized that organizations that consistently perform well in acquisitions treat integration as a core function, supported by dedicated resources, repeatable structures, and accumulated experience (P2; P6; P10). One participant described this shift by stating that “integration becomes part of how the organization operates, not something it figures out each time” (P9). This contrasts with less mature organizations, where integration is approached as an isolated activity for each transaction. </w:t>
      </w:r>
      <w:r w:rsidRPr="00B95E28">
        <w:rPr>
          <w:color w:val="000000" w:themeColor="text1"/>
          <w:lang w:val="en-CA"/>
        </w:rPr>
        <w:t>In these organizations, the absence of repeatable structures and learning mechanisms results in inconsistent outcomes, even when similar acquisition strategies are pursued.</w:t>
      </w:r>
    </w:p>
    <w:p w14:paraId="4B80CAD6" w14:textId="77777777" w:rsidR="006A250C" w:rsidRPr="00B95E28" w:rsidRDefault="006A250C" w:rsidP="0069272C">
      <w:pPr>
        <w:rPr>
          <w:color w:val="000000" w:themeColor="text1"/>
          <w:lang w:val="en-CA"/>
        </w:rPr>
      </w:pPr>
    </w:p>
    <w:p w14:paraId="6276F30C" w14:textId="1BFCC791" w:rsidR="00C217F9" w:rsidRPr="00B95E28" w:rsidRDefault="00C217F9" w:rsidP="00557AB7">
      <w:pPr>
        <w:spacing w:line="480" w:lineRule="auto"/>
        <w:rPr>
          <w:color w:val="000000" w:themeColor="text1"/>
          <w:lang w:val="en-CA"/>
        </w:rPr>
      </w:pPr>
      <w:r w:rsidRPr="00B95E28">
        <w:rPr>
          <w:color w:val="000000" w:themeColor="text1"/>
          <w:lang w:val="en-CA"/>
        </w:rPr>
        <w:t xml:space="preserve">This institutionalization is often reflected structurally within organizations. As one participant noted, “it becomes another business department… they have a dedicated team,” indicating that high-performing acquirers embed integration capability within their operating model rather than treating it as a temporary initiative (P15). </w:t>
      </w:r>
    </w:p>
    <w:p w14:paraId="50E1F092" w14:textId="77777777" w:rsidR="00D634DB" w:rsidRPr="00B95E28" w:rsidRDefault="00D634DB" w:rsidP="0069272C">
      <w:pPr>
        <w:rPr>
          <w:color w:val="000000" w:themeColor="text1"/>
        </w:rPr>
      </w:pPr>
    </w:p>
    <w:p w14:paraId="08571045" w14:textId="5ADFA5A1" w:rsidR="00C217F9" w:rsidRPr="00B95E28" w:rsidRDefault="00C217F9" w:rsidP="00557AB7">
      <w:pPr>
        <w:spacing w:line="480" w:lineRule="auto"/>
        <w:rPr>
          <w:color w:val="000000" w:themeColor="text1"/>
        </w:rPr>
      </w:pPr>
      <w:r w:rsidRPr="00B95E28">
        <w:rPr>
          <w:color w:val="000000" w:themeColor="text1"/>
        </w:rPr>
        <w:t>Early and structured integration planning was identified as a key differentiator. Organizations that begin planning during the pre-close phase are better positioned to execute quickly and effectively post-close (P3; P7; P11). Participants noted that aligning integration strategy with the deal thesis enables clearer prioritization and reduces the risk of fragmented execution. As one participant explained, “if you know what value you’re trying to create, integration becomes much more focused” (P5).</w:t>
      </w:r>
    </w:p>
    <w:p w14:paraId="369A55B1" w14:textId="77777777" w:rsidR="006A250C" w:rsidRPr="00B95E28" w:rsidRDefault="006A250C" w:rsidP="0069272C">
      <w:pPr>
        <w:rPr>
          <w:color w:val="000000" w:themeColor="text1"/>
        </w:rPr>
      </w:pPr>
    </w:p>
    <w:p w14:paraId="0F17D2AE" w14:textId="26F24052" w:rsidR="00C217F9" w:rsidRPr="00B95E28" w:rsidRDefault="00C217F9" w:rsidP="00557AB7">
      <w:pPr>
        <w:spacing w:line="480" w:lineRule="auto"/>
        <w:rPr>
          <w:color w:val="000000" w:themeColor="text1"/>
        </w:rPr>
      </w:pPr>
      <w:r w:rsidRPr="00B95E28">
        <w:rPr>
          <w:color w:val="000000" w:themeColor="text1"/>
        </w:rPr>
        <w:t xml:space="preserve">Strong governance and clear accountability were also consistently linked to successful outcomes. Participants highlighted the importance of having a defined integration leader with decision-making authority, supported by structured governance mechanisms such as Integration </w:t>
      </w:r>
      <w:r w:rsidRPr="00B95E28">
        <w:rPr>
          <w:color w:val="000000" w:themeColor="text1"/>
        </w:rPr>
        <w:lastRenderedPageBreak/>
        <w:t>Management Offices (P1; P6; P13). These structures enable coordination, reduce ambiguity, and maintain execution momentum across complex integration activities.</w:t>
      </w:r>
    </w:p>
    <w:p w14:paraId="0B90B3A0" w14:textId="77777777" w:rsidR="006A250C" w:rsidRPr="00B95E28" w:rsidRDefault="006A250C" w:rsidP="0069272C">
      <w:pPr>
        <w:rPr>
          <w:color w:val="000000" w:themeColor="text1"/>
        </w:rPr>
      </w:pPr>
    </w:p>
    <w:p w14:paraId="1FFA05C0" w14:textId="59D64137" w:rsidR="00C217F9" w:rsidRPr="00B95E28" w:rsidRDefault="00C217F9" w:rsidP="00557AB7">
      <w:pPr>
        <w:spacing w:line="480" w:lineRule="auto"/>
        <w:rPr>
          <w:color w:val="000000" w:themeColor="text1"/>
        </w:rPr>
      </w:pPr>
      <w:r w:rsidRPr="00B95E28">
        <w:rPr>
          <w:color w:val="000000" w:themeColor="text1"/>
        </w:rPr>
        <w:t>Execution discipline emerged as another critical factor. Successful organizations maintain focus on priorities, manage dependencies effectively, and adapt to emerging challenges without losing alignment (P4; P8; P14). In contrast, weaker performers struggle with coordination, resource allocation, and decision-making, leading to delays and reduced value realization.</w:t>
      </w:r>
    </w:p>
    <w:p w14:paraId="5E38F181" w14:textId="77777777" w:rsidR="006A250C" w:rsidRPr="00B95E28" w:rsidRDefault="006A250C" w:rsidP="0069272C">
      <w:pPr>
        <w:rPr>
          <w:color w:val="000000" w:themeColor="text1"/>
        </w:rPr>
      </w:pPr>
    </w:p>
    <w:p w14:paraId="55BB547D" w14:textId="4947B008" w:rsidR="00C217F9" w:rsidRPr="00B95E28" w:rsidRDefault="00C217F9" w:rsidP="00557AB7">
      <w:pPr>
        <w:spacing w:line="480" w:lineRule="auto"/>
        <w:rPr>
          <w:color w:val="000000" w:themeColor="text1"/>
        </w:rPr>
      </w:pPr>
      <w:r w:rsidRPr="00B95E28">
        <w:rPr>
          <w:color w:val="000000" w:themeColor="text1"/>
        </w:rPr>
        <w:t>Technology alignment plays a significant role in enabling integration success. Organizations that proactively assess system compatibility, plan for data integration, and allocate sufficient resources to technology are better able to avoid disruptions and support operational continuity (P2; P9; P12). One participant summarized this by stating that “technology can either accelerate integration or slow it down significantly depending on how it’s handled” (P10).</w:t>
      </w:r>
    </w:p>
    <w:p w14:paraId="136AF63E" w14:textId="77777777" w:rsidR="006A250C" w:rsidRPr="00B95E28" w:rsidRDefault="006A250C" w:rsidP="0069272C">
      <w:pPr>
        <w:rPr>
          <w:color w:val="000000" w:themeColor="text1"/>
        </w:rPr>
      </w:pPr>
    </w:p>
    <w:p w14:paraId="0EA53307" w14:textId="4995D075" w:rsidR="00C217F9" w:rsidRPr="00B95E28" w:rsidRDefault="00C217F9" w:rsidP="00557AB7">
      <w:pPr>
        <w:spacing w:line="480" w:lineRule="auto"/>
        <w:rPr>
          <w:color w:val="000000" w:themeColor="text1"/>
        </w:rPr>
      </w:pPr>
      <w:r w:rsidRPr="00B95E28">
        <w:rPr>
          <w:color w:val="000000" w:themeColor="text1"/>
        </w:rPr>
        <w:t>Human capital factors were also central to success. Effective communication, cultural alignment, and leadership engagement were identified as essential for maintaining employee commitment and minimizing disruption (P3; P7; P15). Participants emphasized that organizations that actively manage the human side of integration are better able to sustain performance during periods of change.</w:t>
      </w:r>
    </w:p>
    <w:p w14:paraId="77AD4E47" w14:textId="77777777" w:rsidR="006A250C" w:rsidRPr="00B95E28" w:rsidRDefault="006A250C" w:rsidP="0069272C">
      <w:pPr>
        <w:rPr>
          <w:color w:val="000000" w:themeColor="text1"/>
        </w:rPr>
      </w:pPr>
    </w:p>
    <w:p w14:paraId="72A3516E" w14:textId="097564EB" w:rsidR="00C217F9" w:rsidRPr="00B95E28" w:rsidRDefault="00C217F9" w:rsidP="00557AB7">
      <w:pPr>
        <w:spacing w:line="480" w:lineRule="auto"/>
        <w:rPr>
          <w:color w:val="000000" w:themeColor="text1"/>
        </w:rPr>
      </w:pPr>
      <w:r w:rsidRPr="00B95E28">
        <w:rPr>
          <w:color w:val="000000" w:themeColor="text1"/>
        </w:rPr>
        <w:t xml:space="preserve">Finally, organizational learning was identified as a key differentiator between average and high-performing acquirers. Successful organizations systematically capture lessons learned, refine their approaches, and apply insights across transactions (P1; P5; P11). One participant noted that “the organizations that get better are the ones that actually take the time to learn from what </w:t>
      </w:r>
      <w:r w:rsidRPr="00B95E28">
        <w:rPr>
          <w:color w:val="000000" w:themeColor="text1"/>
        </w:rPr>
        <w:lastRenderedPageBreak/>
        <w:t>worked and what didn’t” (P6). This continuous improvement process enables the development of repeatable integration capability over time.</w:t>
      </w:r>
    </w:p>
    <w:p w14:paraId="00E04A2D" w14:textId="77777777" w:rsidR="00D634DB" w:rsidRPr="00B95E28" w:rsidRDefault="00D634DB" w:rsidP="0069272C">
      <w:pPr>
        <w:rPr>
          <w:color w:val="000000" w:themeColor="text1"/>
        </w:rPr>
      </w:pPr>
    </w:p>
    <w:p w14:paraId="7E77EA82" w14:textId="06D6FE23" w:rsidR="00C217F9" w:rsidRPr="00B95E28" w:rsidRDefault="00C217F9" w:rsidP="00557AB7">
      <w:pPr>
        <w:spacing w:line="480" w:lineRule="auto"/>
        <w:rPr>
          <w:color w:val="000000" w:themeColor="text1"/>
        </w:rPr>
      </w:pPr>
      <w:r w:rsidRPr="00B95E28">
        <w:rPr>
          <w:color w:val="000000" w:themeColor="text1"/>
        </w:rPr>
        <w:t>Overall, the findings indicate that success in serial acquisitions is not the result of isolated best practices, but the outcome of an integrated system of capabilities. Rather than relying on individual processes or frameworks, high-performing organizations align governance, planning, execution, technology, people, and learning into a cohesive model. This integrated approach enables not only more consistent execution, but also the accumulation of capability over time, allowing organizations to improve performance across successive transactions.</w:t>
      </w:r>
    </w:p>
    <w:p w14:paraId="11D14FBC" w14:textId="77777777" w:rsidR="006A250C" w:rsidRPr="00B95E28" w:rsidRDefault="006A250C" w:rsidP="0069272C">
      <w:pPr>
        <w:rPr>
          <w:color w:val="000000" w:themeColor="text1"/>
        </w:rPr>
      </w:pPr>
    </w:p>
    <w:p w14:paraId="596C7FAD" w14:textId="4EA101DD" w:rsidR="00C217F9" w:rsidRPr="00B95E28" w:rsidRDefault="00C217F9" w:rsidP="00557AB7">
      <w:pPr>
        <w:spacing w:line="480" w:lineRule="auto"/>
        <w:rPr>
          <w:color w:val="000000" w:themeColor="text1"/>
        </w:rPr>
      </w:pPr>
      <w:r w:rsidRPr="00B95E28">
        <w:rPr>
          <w:color w:val="000000" w:themeColor="text1"/>
        </w:rPr>
        <w:t>The later interviews further indicate that successful serial acquirers do not rely on rigid standardization alone. P21 emphasized that integration must be adapted to the acquisition strategy, particularly when the deal is thesis-driven and requires the acquired business to enable a new market, customer segment, or operating capability. P22 similarly emphasized that repeatability is supported by a consistent script or playbook, but that this must be anchored to the value drivers of the transaction. These findings suggest that repeatable integration capability is best understood as disciplined adaptability: the ability to apply a structured methodology while tailoring execution to the specific value logic of the deal.</w:t>
      </w:r>
    </w:p>
    <w:p w14:paraId="7D5422BB" w14:textId="77777777" w:rsidR="0069272C" w:rsidRPr="00B95E28" w:rsidRDefault="0069272C" w:rsidP="0069272C">
      <w:pPr>
        <w:rPr>
          <w:color w:val="000000" w:themeColor="text1"/>
          <w:lang w:val="en-CA"/>
        </w:rPr>
      </w:pPr>
      <w:bookmarkStart w:id="134" w:name="_Toc230881461"/>
    </w:p>
    <w:p w14:paraId="326AF2D4" w14:textId="611853CF" w:rsidR="00C217F9" w:rsidRPr="00B95E28" w:rsidRDefault="00C217F9" w:rsidP="00557AB7">
      <w:pPr>
        <w:pStyle w:val="Heading2"/>
        <w:spacing w:before="0" w:after="0" w:line="480" w:lineRule="auto"/>
        <w:ind w:left="0" w:firstLine="0"/>
        <w:rPr>
          <w:color w:val="000000" w:themeColor="text1"/>
          <w:lang w:val="en-CA"/>
        </w:rPr>
      </w:pPr>
      <w:bookmarkStart w:id="135" w:name="_Toc232351861"/>
      <w:r w:rsidRPr="00B95E28">
        <w:rPr>
          <w:color w:val="000000" w:themeColor="text1"/>
          <w:lang w:val="en-CA"/>
        </w:rPr>
        <w:t>4.8 Synthesis of Cross-Theme Findings</w:t>
      </w:r>
      <w:bookmarkEnd w:id="134"/>
      <w:bookmarkEnd w:id="135"/>
    </w:p>
    <w:p w14:paraId="4BF286D5" w14:textId="77777777" w:rsidR="00C217F9" w:rsidRPr="00B95E28" w:rsidRDefault="00C217F9" w:rsidP="00557AB7">
      <w:pPr>
        <w:spacing w:line="480" w:lineRule="auto"/>
        <w:rPr>
          <w:color w:val="000000" w:themeColor="text1"/>
          <w:lang w:val="en-CA"/>
        </w:rPr>
      </w:pPr>
      <w:r w:rsidRPr="00B95E28">
        <w:rPr>
          <w:color w:val="000000" w:themeColor="text1"/>
          <w:lang w:val="en-CA"/>
        </w:rPr>
        <w:t xml:space="preserve">The findings presented in this chapter indicate that the major integration themes do not operate independently. Governance, planning, execution, technology, human capital, and organizational learning were consistently described by participants as connected dimensions of integration capability. Weakness in one area frequently created pressure in another. For example, unclear governance limited the effectiveness of planning, delayed planning increased execution </w:t>
      </w:r>
      <w:r w:rsidRPr="00B95E28">
        <w:rPr>
          <w:color w:val="000000" w:themeColor="text1"/>
          <w:lang w:val="en-CA"/>
        </w:rPr>
        <w:lastRenderedPageBreak/>
        <w:t>complexity, and fragmented execution reduced the organization’s ability to generate useful learning.</w:t>
      </w:r>
    </w:p>
    <w:p w14:paraId="7E1B3ADE" w14:textId="77777777" w:rsidR="006A250C" w:rsidRPr="00B95E28" w:rsidRDefault="006A250C" w:rsidP="0069272C">
      <w:pPr>
        <w:rPr>
          <w:color w:val="000000" w:themeColor="text1"/>
          <w:lang w:val="en-CA"/>
        </w:rPr>
      </w:pPr>
    </w:p>
    <w:p w14:paraId="322B6EB9" w14:textId="25EC879C" w:rsidR="00C217F9" w:rsidRPr="00B95E28" w:rsidRDefault="00C217F9" w:rsidP="00557AB7">
      <w:pPr>
        <w:spacing w:line="480" w:lineRule="auto"/>
        <w:rPr>
          <w:color w:val="000000" w:themeColor="text1"/>
          <w:lang w:val="en-CA"/>
        </w:rPr>
      </w:pPr>
      <w:r w:rsidRPr="00B95E28">
        <w:rPr>
          <w:color w:val="000000" w:themeColor="text1"/>
          <w:lang w:val="en-CA"/>
        </w:rPr>
        <w:t>This cross-theme relationship is important because it shows that integration outcomes are not determined by isolated best practices. Participants did not suggest that successful integration depends only on having a playbook, a technology plan, a communication strategy, or an integration leader. Rather, the findings indicate that these elements become effective when they are aligned and reinforced across the integration lifecycle. Planning requires authority, execution requires capacity, technology requires operating model alignment, and learning requires codification and reuse.</w:t>
      </w:r>
    </w:p>
    <w:p w14:paraId="3C3E1B41" w14:textId="77777777" w:rsidR="006A250C" w:rsidRPr="00B95E28" w:rsidRDefault="006A250C" w:rsidP="0069272C">
      <w:pPr>
        <w:rPr>
          <w:color w:val="000000" w:themeColor="text1"/>
          <w:lang w:val="en-CA"/>
        </w:rPr>
      </w:pPr>
    </w:p>
    <w:p w14:paraId="474384C6" w14:textId="75AE569F" w:rsidR="00C217F9" w:rsidRPr="00B95E28" w:rsidRDefault="00C217F9" w:rsidP="00557AB7">
      <w:pPr>
        <w:spacing w:line="480" w:lineRule="auto"/>
        <w:rPr>
          <w:color w:val="000000" w:themeColor="text1"/>
          <w:lang w:val="en-CA"/>
        </w:rPr>
      </w:pPr>
      <w:r w:rsidRPr="00B95E28">
        <w:rPr>
          <w:color w:val="000000" w:themeColor="text1"/>
          <w:lang w:val="en-CA"/>
        </w:rPr>
        <w:t>The findings therefore support a capability-based interpretation of integration. Repeatable integration capability emerges from the interaction of multiple organizational conditions rather than from any single process or tool. This provides the empirical foundation for Chapter 5, where these relationships are interpreted through the Integration Capability Loop and Integration Capability Engine.</w:t>
      </w:r>
    </w:p>
    <w:p w14:paraId="1A3B2D1F" w14:textId="77777777" w:rsidR="006A250C" w:rsidRPr="00B95E28" w:rsidRDefault="006A250C" w:rsidP="0069272C">
      <w:pPr>
        <w:rPr>
          <w:color w:val="000000" w:themeColor="text1"/>
        </w:rPr>
      </w:pPr>
    </w:p>
    <w:p w14:paraId="0C41CF6E" w14:textId="77777777" w:rsidR="006A250C" w:rsidRPr="00B95E28" w:rsidRDefault="00C217F9" w:rsidP="00557AB7">
      <w:pPr>
        <w:spacing w:line="480" w:lineRule="auto"/>
        <w:rPr>
          <w:color w:val="000000" w:themeColor="text1"/>
        </w:rPr>
      </w:pPr>
      <w:r w:rsidRPr="00B95E28">
        <w:rPr>
          <w:color w:val="000000" w:themeColor="text1"/>
        </w:rPr>
        <w:t xml:space="preserve">The movement from individual themes to cross-theme relationships is important because it shifts the interpretation of the findings from a list of recurring integration issues to an explanation of how those issues interact to shape repeatable integration capability. The interviews did not present integration challenges as isolated events. Participants repeatedly described situations in which one weakness created pressure elsewhere in the integration system. For example, delayed planning increased execution complexity; unclear governance weakened escalation and accountability; poor communication amplified human capital risk; and limited learning reduced the organization’s ability to improve across subsequent transactions. The significance of these </w:t>
      </w:r>
      <w:r w:rsidRPr="00B95E28">
        <w:rPr>
          <w:color w:val="000000" w:themeColor="text1"/>
        </w:rPr>
        <w:lastRenderedPageBreak/>
        <w:t>relationships is that they show how integration capability is formed through interaction rather than accumulation. An organization may have individual components of integration maturity, such as a playbook, an integration leader, a technology plan, or a communication process, but these components only become capability when they operate together. Table 4.2 therefore consolidates the findings into a relational view of integration capability, showing how the major themes reinforce or constrain one another across the integration lifecycle.</w:t>
      </w:r>
    </w:p>
    <w:p w14:paraId="71885DEA" w14:textId="283E615E" w:rsidR="00D634DB" w:rsidRPr="00B95E28" w:rsidRDefault="00D634DB"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36" w:name="_Toc230883093"/>
      <w:bookmarkStart w:id="137" w:name="_Toc232351973"/>
      <w:r w:rsidR="00B91B93">
        <w:rPr>
          <w:noProof/>
          <w:color w:val="000000" w:themeColor="text1"/>
        </w:rPr>
        <w:t>5</w:t>
      </w:r>
      <w:r w:rsidRPr="00B95E28">
        <w:rPr>
          <w:color w:val="000000" w:themeColor="text1"/>
        </w:rPr>
        <w:fldChar w:fldCharType="end"/>
      </w:r>
      <w:r w:rsidRPr="00B95E28">
        <w:rPr>
          <w:color w:val="000000" w:themeColor="text1"/>
        </w:rPr>
        <w:t>: Table 4.2: Cross-Theme Relationships Across Findings (Source: Author)</w:t>
      </w:r>
      <w:bookmarkEnd w:id="136"/>
      <w:bookmarkEnd w:id="137"/>
    </w:p>
    <w:p w14:paraId="46766D47" w14:textId="0535ED28" w:rsidR="00C217F9" w:rsidRPr="00B95E28" w:rsidRDefault="00C217F9" w:rsidP="00557AB7">
      <w:pPr>
        <w:spacing w:line="480" w:lineRule="auto"/>
        <w:rPr>
          <w:color w:val="000000" w:themeColor="text1"/>
        </w:rPr>
      </w:pPr>
      <w:r w:rsidRPr="00B95E28">
        <w:rPr>
          <w:noProof/>
          <w:color w:val="000000" w:themeColor="text1"/>
        </w:rPr>
        <w:drawing>
          <wp:inline distT="0" distB="0" distL="0" distR="0" wp14:anchorId="414649BD" wp14:editId="4087B924">
            <wp:extent cx="5486400" cy="1627505"/>
            <wp:effectExtent l="0" t="0" r="0" b="0"/>
            <wp:docPr id="8142663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86400" cy="1627505"/>
                    </a:xfrm>
                    <a:prstGeom prst="rect">
                      <a:avLst/>
                    </a:prstGeom>
                    <a:noFill/>
                    <a:ln>
                      <a:noFill/>
                    </a:ln>
                  </pic:spPr>
                </pic:pic>
              </a:graphicData>
            </a:graphic>
          </wp:inline>
        </w:drawing>
      </w:r>
    </w:p>
    <w:p w14:paraId="484B1176" w14:textId="77777777" w:rsidR="00C217F9" w:rsidRPr="00B95E28" w:rsidRDefault="00C217F9" w:rsidP="00557AB7">
      <w:pPr>
        <w:spacing w:line="480" w:lineRule="auto"/>
        <w:rPr>
          <w:color w:val="000000" w:themeColor="text1"/>
        </w:rPr>
      </w:pPr>
      <w:r w:rsidRPr="00B95E28">
        <w:rPr>
          <w:color w:val="000000" w:themeColor="text1"/>
        </w:rPr>
        <w:t>Table 4.2 summarizes the relationships between major findings and reinforces the view of integration as an interdependent capability system rather than a set of isolated workstreams.</w:t>
      </w:r>
    </w:p>
    <w:p w14:paraId="702A749E" w14:textId="77777777" w:rsidR="006A250C" w:rsidRPr="00B95E28" w:rsidRDefault="006A250C" w:rsidP="0069272C">
      <w:pPr>
        <w:rPr>
          <w:color w:val="000000" w:themeColor="text1"/>
        </w:rPr>
      </w:pPr>
    </w:p>
    <w:p w14:paraId="02E9BF73" w14:textId="53BF6249" w:rsidR="00C217F9" w:rsidRPr="00B95E28" w:rsidRDefault="00C217F9" w:rsidP="00557AB7">
      <w:pPr>
        <w:spacing w:line="480" w:lineRule="auto"/>
        <w:rPr>
          <w:color w:val="000000" w:themeColor="text1"/>
        </w:rPr>
      </w:pPr>
      <w:r w:rsidRPr="00B95E28">
        <w:rPr>
          <w:color w:val="000000" w:themeColor="text1"/>
        </w:rPr>
        <w:t xml:space="preserve">The inclusion of P21, P22, and P23 further clarifies the relationship between value thesis, governance, and learning. P21 showed that the acquisition strategy determines the level of integration structure required, while P22 showed that integration governance must remain accountable to the business case and its value drivers. P23 extended this relationship by emphasizing that integration problems are often rooted in earlier strategic, valuation, and resourcing decisions, and that capability must become embedded beyond individual experience. Together, these interviews reinforce that integration capability is not simply a repeatable set of activities. It is the organization’s ability to interpret the strategic intent of the deal, translate that </w:t>
      </w:r>
      <w:r w:rsidRPr="00B95E28">
        <w:rPr>
          <w:color w:val="000000" w:themeColor="text1"/>
        </w:rPr>
        <w:lastRenderedPageBreak/>
        <w:t>intent into operational priorities, govern execution against measurable value drivers, resource the work appropriately, and retain learning for future acquisitions.</w:t>
      </w:r>
    </w:p>
    <w:p w14:paraId="274E5ED4" w14:textId="77777777" w:rsidR="0069272C" w:rsidRPr="00B95E28" w:rsidRDefault="0069272C" w:rsidP="0069272C">
      <w:pPr>
        <w:rPr>
          <w:color w:val="000000" w:themeColor="text1"/>
        </w:rPr>
      </w:pPr>
      <w:bookmarkStart w:id="138" w:name="_Toc230881462"/>
    </w:p>
    <w:p w14:paraId="5C62619D" w14:textId="6AED2918" w:rsidR="00C217F9" w:rsidRPr="00B95E28" w:rsidRDefault="00C217F9" w:rsidP="00557AB7">
      <w:pPr>
        <w:pStyle w:val="Heading2"/>
        <w:spacing w:before="0" w:after="0" w:line="480" w:lineRule="auto"/>
        <w:ind w:left="0" w:firstLine="0"/>
        <w:rPr>
          <w:color w:val="000000" w:themeColor="text1"/>
        </w:rPr>
      </w:pPr>
      <w:bookmarkStart w:id="139" w:name="_Toc232351862"/>
      <w:r w:rsidRPr="00B95E28">
        <w:rPr>
          <w:color w:val="000000" w:themeColor="text1"/>
        </w:rPr>
        <w:t>4.9 Cross-Theme Patterns Across Interviews</w:t>
      </w:r>
      <w:bookmarkEnd w:id="138"/>
      <w:bookmarkEnd w:id="139"/>
    </w:p>
    <w:p w14:paraId="45479EC7" w14:textId="77777777" w:rsidR="00C217F9" w:rsidRPr="00B95E28" w:rsidRDefault="00C217F9" w:rsidP="00557AB7">
      <w:pPr>
        <w:spacing w:line="480" w:lineRule="auto"/>
        <w:rPr>
          <w:color w:val="000000" w:themeColor="text1"/>
          <w:lang w:val="en-CA"/>
        </w:rPr>
      </w:pPr>
      <w:r w:rsidRPr="00B95E28">
        <w:rPr>
          <w:color w:val="000000" w:themeColor="text1"/>
          <w:lang w:val="en-CA"/>
        </w:rPr>
        <w:t>While the findings have been presented thematically, the interviews also revealed important relationships between themes. Participants did not describe governance, planning, execution, technology, people, and learning as isolated factors. Instead, these dimensions were repeatedly described as interdependent. Weakness in one area often created pressure in another, while strength in one area often improved the effectiveness of the broader integration effort.</w:t>
      </w:r>
    </w:p>
    <w:p w14:paraId="59890775" w14:textId="77777777" w:rsidR="006A250C" w:rsidRPr="00B95E28" w:rsidRDefault="006A250C" w:rsidP="0069272C">
      <w:pPr>
        <w:rPr>
          <w:color w:val="000000" w:themeColor="text1"/>
          <w:lang w:val="en-CA"/>
        </w:rPr>
      </w:pPr>
    </w:p>
    <w:p w14:paraId="67A3017F" w14:textId="27C8B308" w:rsidR="00C217F9" w:rsidRPr="00B95E28" w:rsidRDefault="00C217F9" w:rsidP="00557AB7">
      <w:pPr>
        <w:spacing w:line="480" w:lineRule="auto"/>
        <w:rPr>
          <w:color w:val="000000" w:themeColor="text1"/>
          <w:lang w:val="en-CA"/>
        </w:rPr>
      </w:pPr>
      <w:r w:rsidRPr="00B95E28">
        <w:rPr>
          <w:color w:val="000000" w:themeColor="text1"/>
          <w:lang w:val="en-CA"/>
        </w:rPr>
        <w:t>A first cross-theme pattern concerns the relationship between governance and planning. Participants consistently indicated that early planning is more effective when supported by clear governance and leadership authority. Where integration planning begins before close but lacks decision rights, it may identify risks without creating the authority to resolve them. Conversely, when governance is established early, integration planning becomes more actionable because ownership, escalation paths, and decision-making forums are already in place. This suggests that planning effectiveness depends not only on timing, but on the governance conditions surrounding it.</w:t>
      </w:r>
    </w:p>
    <w:p w14:paraId="276E3AC6" w14:textId="77777777" w:rsidR="006A250C" w:rsidRPr="00B95E28" w:rsidRDefault="006A250C" w:rsidP="0069272C">
      <w:pPr>
        <w:rPr>
          <w:color w:val="000000" w:themeColor="text1"/>
          <w:lang w:val="en-CA"/>
        </w:rPr>
      </w:pPr>
    </w:p>
    <w:p w14:paraId="737D50BB" w14:textId="78EFED44" w:rsidR="00C217F9" w:rsidRPr="00B95E28" w:rsidRDefault="00C217F9" w:rsidP="00557AB7">
      <w:pPr>
        <w:spacing w:line="480" w:lineRule="auto"/>
        <w:rPr>
          <w:color w:val="000000" w:themeColor="text1"/>
          <w:lang w:val="en-CA"/>
        </w:rPr>
      </w:pPr>
      <w:r w:rsidRPr="00B95E28">
        <w:rPr>
          <w:color w:val="000000" w:themeColor="text1"/>
          <w:lang w:val="en-CA"/>
        </w:rPr>
        <w:t xml:space="preserve">A second pattern concerns the relationship between planning and execution. Execution challenges were frequently described as the visible expression of upstream decisions. Participants often framed post-close issues as consequences of incomplete diligence, late planning, unrealistic synergy assumptions, unclear ownership, or insufficient resource allocation. This indicates that execution failure should not be interpreted only as a failure of project </w:t>
      </w:r>
      <w:r w:rsidRPr="00B95E28">
        <w:rPr>
          <w:color w:val="000000" w:themeColor="text1"/>
          <w:lang w:val="en-CA"/>
        </w:rPr>
        <w:lastRenderedPageBreak/>
        <w:t>management. In many cases, execution reflects the quality of decisions made before execution begins.</w:t>
      </w:r>
    </w:p>
    <w:p w14:paraId="60882DFC" w14:textId="77777777" w:rsidR="006A250C" w:rsidRPr="00B95E28" w:rsidRDefault="006A250C" w:rsidP="0069272C">
      <w:pPr>
        <w:rPr>
          <w:color w:val="000000" w:themeColor="text1"/>
          <w:lang w:val="en-CA"/>
        </w:rPr>
      </w:pPr>
    </w:p>
    <w:p w14:paraId="298F0FD8" w14:textId="4AD17527" w:rsidR="00C217F9" w:rsidRPr="00B95E28" w:rsidRDefault="00C217F9" w:rsidP="00557AB7">
      <w:pPr>
        <w:spacing w:line="480" w:lineRule="auto"/>
        <w:rPr>
          <w:color w:val="000000" w:themeColor="text1"/>
          <w:lang w:val="en-CA"/>
        </w:rPr>
      </w:pPr>
      <w:r w:rsidRPr="00B95E28">
        <w:rPr>
          <w:color w:val="000000" w:themeColor="text1"/>
          <w:lang w:val="en-CA"/>
        </w:rPr>
        <w:t>A third pattern concerns the relationship between people, communication, and integration pace. Participants emphasized that integration creates uncertainty for employees, leaders, customers, and functional teams. Where communication is delayed or unclear, uncertainty increases and may result in resistance, disengagement, or loss of key talent. However, communication alone is insufficient if it is not supported by credible leadership action. Employees assess integration not only by what is communicated, but by whether decisions, timelines, and operating changes are consistent with that communication.</w:t>
      </w:r>
    </w:p>
    <w:p w14:paraId="6C455942" w14:textId="77777777" w:rsidR="0069272C" w:rsidRPr="00B95E28" w:rsidRDefault="0069272C" w:rsidP="0069272C">
      <w:pPr>
        <w:rPr>
          <w:color w:val="000000" w:themeColor="text1"/>
          <w:lang w:val="en-CA"/>
        </w:rPr>
      </w:pPr>
    </w:p>
    <w:p w14:paraId="705F9953" w14:textId="27B1D501" w:rsidR="00C217F9" w:rsidRPr="00B95E28" w:rsidRDefault="00C217F9" w:rsidP="00557AB7">
      <w:pPr>
        <w:spacing w:line="480" w:lineRule="auto"/>
        <w:rPr>
          <w:color w:val="000000" w:themeColor="text1"/>
          <w:lang w:val="en-CA"/>
        </w:rPr>
      </w:pPr>
      <w:r w:rsidRPr="00B95E28">
        <w:rPr>
          <w:color w:val="000000" w:themeColor="text1"/>
          <w:lang w:val="en-CA"/>
        </w:rPr>
        <w:t>A fourth pattern concerns technology as both an enabler and a constraint. Technology integration was not described merely as a systems activity. Rather, participants connected technology to visibility, reporting, process standardization, operational control, and business continuity. Where technology integration is delayed or poorly understood, organizations may continue operating as separate entities under the appearance of integration. This creates operational fragmentation and limits the acquirer’s ability to realize intended value.</w:t>
      </w:r>
    </w:p>
    <w:p w14:paraId="6A7D5CC4" w14:textId="77777777" w:rsidR="006A250C" w:rsidRPr="00B95E28" w:rsidRDefault="006A250C" w:rsidP="0069272C">
      <w:pPr>
        <w:rPr>
          <w:color w:val="000000" w:themeColor="text1"/>
          <w:lang w:val="en-CA"/>
        </w:rPr>
      </w:pPr>
    </w:p>
    <w:p w14:paraId="1E89E669" w14:textId="63590E10" w:rsidR="00C217F9" w:rsidRPr="00B95E28" w:rsidRDefault="00C217F9" w:rsidP="00557AB7">
      <w:pPr>
        <w:spacing w:line="480" w:lineRule="auto"/>
        <w:rPr>
          <w:color w:val="000000" w:themeColor="text1"/>
          <w:lang w:val="en-CA"/>
        </w:rPr>
      </w:pPr>
      <w:r w:rsidRPr="00B95E28">
        <w:rPr>
          <w:color w:val="000000" w:themeColor="text1"/>
          <w:lang w:val="en-CA"/>
        </w:rPr>
        <w:t>A fifth pattern concerns organizational learning. Across interviews, participants described learning as important but inconsistently formalized. Organizations may improve informally through experienced individuals, but this does not necessarily create institutional capability. Where learning is not captured and reused, the organization remains dependent on the same people being available for the next transaction. This creates vulnerability when integration leaders leave, external advisors exit, or functional teams return to business-as-usual responsibilities.</w:t>
      </w:r>
    </w:p>
    <w:p w14:paraId="1133639C" w14:textId="77777777" w:rsidR="006A250C" w:rsidRPr="00B95E28" w:rsidRDefault="006A250C" w:rsidP="00557AB7">
      <w:pPr>
        <w:spacing w:line="480" w:lineRule="auto"/>
        <w:rPr>
          <w:color w:val="000000" w:themeColor="text1"/>
          <w:lang w:val="en-CA"/>
        </w:rPr>
      </w:pPr>
    </w:p>
    <w:p w14:paraId="2B591B4B" w14:textId="665CCD0D" w:rsidR="00C217F9" w:rsidRPr="00B95E28" w:rsidRDefault="00C217F9" w:rsidP="00557AB7">
      <w:pPr>
        <w:spacing w:line="480" w:lineRule="auto"/>
        <w:rPr>
          <w:color w:val="000000" w:themeColor="text1"/>
          <w:lang w:val="en-CA"/>
        </w:rPr>
      </w:pPr>
      <w:r w:rsidRPr="00B95E28">
        <w:rPr>
          <w:color w:val="000000" w:themeColor="text1"/>
          <w:lang w:val="en-CA"/>
        </w:rPr>
        <w:t>Taken together, these cross-theme patterns indicate that repeatable integration capability is not created by any single factor. Governance without learning may improve one transaction but fail to build capability. Planning without authority may identify risks but fail to resolve them. Execution without reflection may deliver short-term outcomes but fail to improve future performance. Technology without operating model alignment may create technical change without true integration. The findings therefore support the central argument of this research: integration capability emerges from the interaction of governance, planning, execution, technology, people, and learning across transactions.</w:t>
      </w:r>
    </w:p>
    <w:p w14:paraId="60017022" w14:textId="77777777" w:rsidR="0069272C" w:rsidRPr="00B95E28" w:rsidRDefault="0069272C" w:rsidP="0069272C">
      <w:pPr>
        <w:rPr>
          <w:color w:val="000000" w:themeColor="text1"/>
        </w:rPr>
      </w:pPr>
    </w:p>
    <w:p w14:paraId="1478DB39" w14:textId="47AD5778" w:rsidR="00C217F9" w:rsidRPr="00B95E28" w:rsidRDefault="00C217F9" w:rsidP="00557AB7">
      <w:pPr>
        <w:spacing w:line="480" w:lineRule="auto"/>
        <w:rPr>
          <w:color w:val="000000" w:themeColor="text1"/>
          <w:lang w:val="en-CA"/>
        </w:rPr>
      </w:pPr>
      <w:r w:rsidRPr="00B95E28">
        <w:rPr>
          <w:color w:val="000000" w:themeColor="text1"/>
        </w:rPr>
        <w:t>Table 4.3 summarizes the cross-theme relationships identified across the interviews. These relationships show that integration challenges rarely occur in isolation; rather, weaknesses in one area often create pressure in another. The table reinforces the finding that repeatable integration capability depends on the alignment of governance, planning, execution, technology, people, and learning.</w:t>
      </w:r>
    </w:p>
    <w:p w14:paraId="3E24B26B" w14:textId="3A76A5D5" w:rsidR="00D634DB" w:rsidRPr="00B95E28" w:rsidRDefault="00D634DB"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40" w:name="_Toc230883094"/>
      <w:bookmarkStart w:id="141" w:name="_Toc232351974"/>
      <w:r w:rsidR="00B91B93">
        <w:rPr>
          <w:noProof/>
          <w:color w:val="000000" w:themeColor="text1"/>
        </w:rPr>
        <w:t>6</w:t>
      </w:r>
      <w:r w:rsidRPr="00B95E28">
        <w:rPr>
          <w:color w:val="000000" w:themeColor="text1"/>
        </w:rPr>
        <w:fldChar w:fldCharType="end"/>
      </w:r>
      <w:r w:rsidRPr="00B95E28">
        <w:rPr>
          <w:color w:val="000000" w:themeColor="text1"/>
        </w:rPr>
        <w:t>: Table 4.3: Cross-Theme Relationships Identified Across Interviews (Source: Author)</w:t>
      </w:r>
      <w:bookmarkEnd w:id="140"/>
      <w:bookmarkEnd w:id="141"/>
    </w:p>
    <w:p w14:paraId="7B7EDE6A" w14:textId="7DC6E2BA" w:rsidR="00C217F9" w:rsidRPr="00B95E28" w:rsidRDefault="00C217F9" w:rsidP="00557AB7">
      <w:pPr>
        <w:spacing w:line="480" w:lineRule="auto"/>
        <w:rPr>
          <w:color w:val="000000" w:themeColor="text1"/>
          <w:lang w:val="en-CA"/>
        </w:rPr>
      </w:pPr>
      <w:r w:rsidRPr="00B95E28">
        <w:rPr>
          <w:noProof/>
          <w:color w:val="000000" w:themeColor="text1"/>
        </w:rPr>
        <w:drawing>
          <wp:inline distT="0" distB="0" distL="0" distR="0" wp14:anchorId="31D67FFB" wp14:editId="0CF89B3A">
            <wp:extent cx="5251450" cy="1818556"/>
            <wp:effectExtent l="0" t="0" r="6350" b="0"/>
            <wp:docPr id="2078229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30756" cy="1846019"/>
                    </a:xfrm>
                    <a:prstGeom prst="rect">
                      <a:avLst/>
                    </a:prstGeom>
                    <a:noFill/>
                    <a:ln>
                      <a:noFill/>
                    </a:ln>
                  </pic:spPr>
                </pic:pic>
              </a:graphicData>
            </a:graphic>
          </wp:inline>
        </w:drawing>
      </w:r>
    </w:p>
    <w:p w14:paraId="4D277800" w14:textId="77777777" w:rsidR="00C217F9" w:rsidRPr="00B95E28" w:rsidRDefault="00C217F9" w:rsidP="00557AB7">
      <w:pPr>
        <w:spacing w:line="480" w:lineRule="auto"/>
        <w:rPr>
          <w:color w:val="000000" w:themeColor="text1"/>
        </w:rPr>
      </w:pPr>
      <w:r w:rsidRPr="00B95E28">
        <w:rPr>
          <w:color w:val="000000" w:themeColor="text1"/>
        </w:rPr>
        <w:t xml:space="preserve">These cross-theme relationships support the view that integration capability is not created through isolated practices. Instead, it develops when organizations connect early planning with </w:t>
      </w:r>
      <w:r w:rsidRPr="00B95E28">
        <w:rPr>
          <w:color w:val="000000" w:themeColor="text1"/>
        </w:rPr>
        <w:lastRenderedPageBreak/>
        <w:t>authority, execution with value logic, communication with credible leadership action, technology with the operating model, and learning with codification and reuse.</w:t>
      </w:r>
    </w:p>
    <w:p w14:paraId="6EA9D184" w14:textId="77777777" w:rsidR="0069272C" w:rsidRPr="00B95E28" w:rsidRDefault="0069272C" w:rsidP="0069272C">
      <w:pPr>
        <w:rPr>
          <w:color w:val="000000" w:themeColor="text1"/>
        </w:rPr>
      </w:pPr>
    </w:p>
    <w:p w14:paraId="282423F9" w14:textId="0397B93B" w:rsidR="006A250C" w:rsidRPr="00B95E28" w:rsidRDefault="00C217F9" w:rsidP="00557AB7">
      <w:pPr>
        <w:spacing w:line="480" w:lineRule="auto"/>
        <w:rPr>
          <w:color w:val="000000" w:themeColor="text1"/>
        </w:rPr>
      </w:pPr>
      <w:r w:rsidRPr="00B95E28">
        <w:rPr>
          <w:color w:val="000000" w:themeColor="text1"/>
        </w:rPr>
        <w:t xml:space="preserve">This chapter presented the findings from twenty-three semi-structured interviews examining how integration capability is developed, applied, and refined across multiple acquisitions. Across the interviews, governance, planning, execution, technology, human capital, and organizational learning emerged as recurring and interdependent dimensions of integration capability. </w:t>
      </w:r>
    </w:p>
    <w:p w14:paraId="38493165" w14:textId="77777777" w:rsidR="006A250C" w:rsidRPr="00B95E28" w:rsidRDefault="006A250C" w:rsidP="0069272C">
      <w:pPr>
        <w:rPr>
          <w:color w:val="000000" w:themeColor="text1"/>
        </w:rPr>
      </w:pPr>
    </w:p>
    <w:p w14:paraId="61F41F22" w14:textId="77777777" w:rsidR="006A250C" w:rsidRPr="00B95E28" w:rsidRDefault="00C217F9" w:rsidP="00557AB7">
      <w:pPr>
        <w:spacing w:line="480" w:lineRule="auto"/>
        <w:rPr>
          <w:color w:val="000000" w:themeColor="text1"/>
        </w:rPr>
      </w:pPr>
      <w:r w:rsidRPr="00B95E28">
        <w:rPr>
          <w:color w:val="000000" w:themeColor="text1"/>
        </w:rPr>
        <w:t xml:space="preserve">The findings show that integration outcomes are shaped not by isolated practices, but by the alignment between early planning, governance authority, execution discipline, technology and operating model integration, credible leadership communication, and structured learning. Thematic saturation was reached, as later interviews reinforced and deepened existing themes rather than introducing new major categories. The cross-theme analysis further demonstrates that repeatable integration capability operates as an interdependent system, where weakness in one dimension can constrain performance across the broader integration lifecycle. </w:t>
      </w:r>
    </w:p>
    <w:p w14:paraId="618CCE05" w14:textId="77777777" w:rsidR="006A250C" w:rsidRPr="00B95E28" w:rsidRDefault="006A250C" w:rsidP="0069272C">
      <w:pPr>
        <w:rPr>
          <w:color w:val="000000" w:themeColor="text1"/>
        </w:rPr>
      </w:pPr>
    </w:p>
    <w:p w14:paraId="61E6654A" w14:textId="77777777" w:rsidR="00C300D1" w:rsidRPr="00B95E28" w:rsidRDefault="00C217F9" w:rsidP="00C300D1">
      <w:pPr>
        <w:spacing w:line="480" w:lineRule="auto"/>
        <w:rPr>
          <w:color w:val="000000" w:themeColor="text1"/>
        </w:rPr>
      </w:pPr>
      <w:r w:rsidRPr="00B95E28">
        <w:rPr>
          <w:color w:val="000000" w:themeColor="text1"/>
        </w:rPr>
        <w:t>These findings provide the empirical foundation for Chapter 5, which interprets the relationships identified in this chapter and develops the Integration Capability Loop and Integration Capability Engine as explanatory models of repeatable integration capability.</w:t>
      </w:r>
    </w:p>
    <w:p w14:paraId="247E810C" w14:textId="5EC8ABC3" w:rsidR="00C300D1" w:rsidRPr="00B95E28" w:rsidRDefault="00C300D1" w:rsidP="00C300D1">
      <w:pPr>
        <w:pStyle w:val="Heading2"/>
        <w:rPr>
          <w:color w:val="000000" w:themeColor="text1"/>
        </w:rPr>
      </w:pPr>
      <w:bookmarkStart w:id="142" w:name="_Toc232351863"/>
      <w:r w:rsidRPr="00B95E28">
        <w:rPr>
          <w:color w:val="000000" w:themeColor="text1"/>
        </w:rPr>
        <w:t>4.10 Illustrative Integration Vignettes</w:t>
      </w:r>
      <w:bookmarkEnd w:id="142"/>
    </w:p>
    <w:p w14:paraId="72B3C133" w14:textId="5E48A5D3" w:rsidR="00C300D1" w:rsidRPr="00B95E28" w:rsidRDefault="00C300D1" w:rsidP="00C300D1">
      <w:pPr>
        <w:spacing w:line="480" w:lineRule="auto"/>
        <w:rPr>
          <w:color w:val="000000" w:themeColor="text1"/>
        </w:rPr>
      </w:pPr>
      <w:r w:rsidRPr="00B95E28">
        <w:rPr>
          <w:color w:val="000000" w:themeColor="text1"/>
        </w:rPr>
        <w:t>To complement the thematic findings, three short anonymized vignettes are presented below. These examples are not intended as standalone case studies, but as illustrative examples of how the themes identified across the interviews appeared in practice.</w:t>
      </w:r>
    </w:p>
    <w:p w14:paraId="293636C4" w14:textId="77777777" w:rsidR="00C300D1" w:rsidRPr="00B95E28" w:rsidRDefault="00C300D1" w:rsidP="00C300D1">
      <w:pPr>
        <w:spacing w:line="480" w:lineRule="auto"/>
        <w:rPr>
          <w:color w:val="000000" w:themeColor="text1"/>
        </w:rPr>
      </w:pPr>
    </w:p>
    <w:p w14:paraId="1076F7BB" w14:textId="77777777" w:rsidR="00C300D1" w:rsidRPr="00B95E28" w:rsidRDefault="00C300D1" w:rsidP="00C300D1">
      <w:pPr>
        <w:spacing w:line="480" w:lineRule="auto"/>
        <w:rPr>
          <w:color w:val="000000" w:themeColor="text1"/>
          <w:lang w:val="en-CA"/>
        </w:rPr>
      </w:pPr>
      <w:r w:rsidRPr="00B95E28">
        <w:rPr>
          <w:b/>
          <w:bCs/>
          <w:color w:val="000000" w:themeColor="text1"/>
          <w:lang w:val="en-CA"/>
        </w:rPr>
        <w:lastRenderedPageBreak/>
        <w:t>Vignette 1: Governance without decision authority</w:t>
      </w:r>
    </w:p>
    <w:p w14:paraId="3F0A7BD4" w14:textId="77777777" w:rsidR="00C300D1" w:rsidRPr="00B95E28" w:rsidRDefault="00C300D1" w:rsidP="00C300D1">
      <w:pPr>
        <w:spacing w:line="480" w:lineRule="auto"/>
        <w:rPr>
          <w:color w:val="000000" w:themeColor="text1"/>
          <w:lang w:val="en-CA"/>
        </w:rPr>
      </w:pPr>
      <w:r w:rsidRPr="00B95E28">
        <w:rPr>
          <w:color w:val="000000" w:themeColor="text1"/>
          <w:lang w:val="en-CA"/>
        </w:rPr>
        <w:t>In one integration environment, participants described a structure where workstreams were visible through status reporting, but major cross-functional decisions remained unresolved. Functional teams were expected to coordinate across finance, operations, HR, and technology, yet the integration lead lacked sufficient authority to enforce decisions. Issues were repeatedly escalated to executives who were also responsible for running the existing business. This created delays, duplicated conversations, and uncertainty across teams. The example illustrates that governance failure is not always the absence of meetings; it is often the absence of enforceable decision rights.</w:t>
      </w:r>
    </w:p>
    <w:p w14:paraId="103D4504" w14:textId="77777777" w:rsidR="00C300D1" w:rsidRPr="00B95E28" w:rsidRDefault="00C300D1" w:rsidP="00C300D1">
      <w:pPr>
        <w:spacing w:line="480" w:lineRule="auto"/>
        <w:rPr>
          <w:color w:val="000000" w:themeColor="text1"/>
          <w:lang w:val="en-CA"/>
        </w:rPr>
      </w:pPr>
      <w:r w:rsidRPr="00B95E28">
        <w:rPr>
          <w:b/>
          <w:bCs/>
          <w:color w:val="000000" w:themeColor="text1"/>
          <w:lang w:val="en-CA"/>
        </w:rPr>
        <w:t>Vignette 2: Technology treated as a business transformation issue</w:t>
      </w:r>
    </w:p>
    <w:p w14:paraId="198D6B7E" w14:textId="77777777" w:rsidR="00C300D1" w:rsidRPr="00B95E28" w:rsidRDefault="00C300D1" w:rsidP="00C300D1">
      <w:pPr>
        <w:spacing w:line="480" w:lineRule="auto"/>
        <w:rPr>
          <w:color w:val="000000" w:themeColor="text1"/>
          <w:lang w:val="en-CA"/>
        </w:rPr>
      </w:pPr>
      <w:r w:rsidRPr="00B95E28">
        <w:rPr>
          <w:color w:val="000000" w:themeColor="text1"/>
          <w:lang w:val="en-CA"/>
        </w:rPr>
        <w:t>A technology-focused participant described system integration as more than a technical workstream. ERP, CRM, reporting, data structures, and process ownership shaped whether the acquired business could be operationally absorbed. In this example, the challenge was not simply connecting systems, but determining how the combined organization would operate, report, make decisions, and scale. This illustrates why technology integration functions as a capability driver rather than a narrow IT task.</w:t>
      </w:r>
    </w:p>
    <w:p w14:paraId="61618DB9" w14:textId="77777777" w:rsidR="00C300D1" w:rsidRPr="00B95E28" w:rsidRDefault="00C300D1" w:rsidP="00C300D1">
      <w:pPr>
        <w:spacing w:line="480" w:lineRule="auto"/>
        <w:rPr>
          <w:color w:val="000000" w:themeColor="text1"/>
          <w:lang w:val="en-CA"/>
        </w:rPr>
      </w:pPr>
      <w:r w:rsidRPr="00B95E28">
        <w:rPr>
          <w:b/>
          <w:bCs/>
          <w:color w:val="000000" w:themeColor="text1"/>
          <w:lang w:val="en-CA"/>
        </w:rPr>
        <w:t>Vignette 3: Learning converted into repeatable capability</w:t>
      </w:r>
    </w:p>
    <w:p w14:paraId="403514D3" w14:textId="6505E535" w:rsidR="00D634DB" w:rsidRDefault="00C300D1" w:rsidP="00C300D1">
      <w:pPr>
        <w:spacing w:line="480" w:lineRule="auto"/>
        <w:rPr>
          <w:color w:val="000000" w:themeColor="text1"/>
          <w:lang w:val="en-CA"/>
        </w:rPr>
      </w:pPr>
      <w:r w:rsidRPr="00B95E28">
        <w:rPr>
          <w:color w:val="000000" w:themeColor="text1"/>
          <w:lang w:val="en-CA"/>
        </w:rPr>
        <w:t>In another example, stronger repeatability appeared where organizations retained integration knowledge, refined playbooks, and reused lessons from prior transactions. These organizations did not restart integration planning from zero after each deal. Prior decisions, templates, risks, and post-close lessons became part of the next integration cycle. This illustrates how integration capability develops when learning is captured, codified, and applied across successive acquisitions.</w:t>
      </w:r>
    </w:p>
    <w:p w14:paraId="2423211A" w14:textId="77777777" w:rsidR="004C3257" w:rsidRDefault="004C3257" w:rsidP="00557AB7">
      <w:pPr>
        <w:spacing w:line="480" w:lineRule="auto"/>
        <w:jc w:val="center"/>
        <w:rPr>
          <w:b/>
          <w:bCs/>
          <w:color w:val="000000" w:themeColor="text1"/>
        </w:rPr>
      </w:pPr>
    </w:p>
    <w:p w14:paraId="71AD2E2A" w14:textId="1A5AB01E" w:rsidR="001F089D" w:rsidRPr="00B95E28" w:rsidRDefault="002F7BE4" w:rsidP="00557AB7">
      <w:pPr>
        <w:spacing w:line="480" w:lineRule="auto"/>
        <w:jc w:val="center"/>
        <w:rPr>
          <w:b/>
          <w:bCs/>
          <w:color w:val="000000" w:themeColor="text1"/>
        </w:rPr>
      </w:pPr>
      <w:r w:rsidRPr="00B95E28">
        <w:rPr>
          <w:b/>
          <w:bCs/>
          <w:color w:val="000000" w:themeColor="text1"/>
        </w:rPr>
        <w:t>CHAPTER 5</w:t>
      </w:r>
    </w:p>
    <w:p w14:paraId="3B45A267" w14:textId="391E4EB0" w:rsidR="002F7BE4" w:rsidRPr="00B95E28" w:rsidRDefault="002F7BE4" w:rsidP="00557AB7">
      <w:pPr>
        <w:pStyle w:val="Heading1"/>
        <w:rPr>
          <w:color w:val="000000" w:themeColor="text1"/>
        </w:rPr>
      </w:pPr>
      <w:bookmarkStart w:id="143" w:name="_Toc230881463"/>
      <w:bookmarkStart w:id="144" w:name="_Toc232351864"/>
      <w:r w:rsidRPr="00B95E28">
        <w:rPr>
          <w:color w:val="000000" w:themeColor="text1"/>
        </w:rPr>
        <w:t>ANALYSIS AND DISCUSSION</w:t>
      </w:r>
      <w:bookmarkEnd w:id="143"/>
      <w:bookmarkEnd w:id="144"/>
    </w:p>
    <w:p w14:paraId="59F9DE75" w14:textId="4366BC4C" w:rsidR="001F089D" w:rsidRPr="00B95E28" w:rsidRDefault="00013707" w:rsidP="00557AB7">
      <w:pPr>
        <w:pStyle w:val="Heading2"/>
        <w:spacing w:before="0" w:after="0" w:line="480" w:lineRule="auto"/>
        <w:rPr>
          <w:rFonts w:eastAsia="MS Gothic"/>
          <w:color w:val="000000" w:themeColor="text1"/>
        </w:rPr>
      </w:pPr>
      <w:bookmarkStart w:id="145" w:name="_Toc232351865"/>
      <w:r w:rsidRPr="00B95E28">
        <w:rPr>
          <w:rFonts w:eastAsia="MS Gothic"/>
          <w:color w:val="000000" w:themeColor="text1"/>
        </w:rPr>
        <w:t xml:space="preserve">Chapter </w:t>
      </w:r>
      <w:r w:rsidR="001F089D" w:rsidRPr="00B95E28">
        <w:rPr>
          <w:rFonts w:eastAsia="MS Gothic"/>
          <w:color w:val="000000" w:themeColor="text1"/>
        </w:rPr>
        <w:t>5</w:t>
      </w:r>
      <w:r w:rsidRPr="00B95E28">
        <w:rPr>
          <w:rFonts w:eastAsia="MS Gothic"/>
          <w:color w:val="000000" w:themeColor="text1"/>
        </w:rPr>
        <w:t>:</w:t>
      </w:r>
      <w:r w:rsidR="001F089D" w:rsidRPr="00B95E28">
        <w:rPr>
          <w:rFonts w:eastAsia="MS Gothic"/>
          <w:color w:val="000000" w:themeColor="text1"/>
        </w:rPr>
        <w:t xml:space="preserve"> Introduction</w:t>
      </w:r>
      <w:bookmarkEnd w:id="145"/>
    </w:p>
    <w:p w14:paraId="61D81B86" w14:textId="20958884" w:rsidR="001F089D" w:rsidRPr="00B95E28" w:rsidRDefault="001F089D" w:rsidP="00557AB7">
      <w:pPr>
        <w:spacing w:line="480" w:lineRule="auto"/>
        <w:rPr>
          <w:rFonts w:eastAsia="MS Mincho"/>
          <w:color w:val="000000" w:themeColor="text1"/>
        </w:rPr>
      </w:pPr>
      <w:r w:rsidRPr="00B95E28">
        <w:rPr>
          <w:rFonts w:eastAsia="MS Mincho"/>
          <w:color w:val="000000" w:themeColor="text1"/>
        </w:rPr>
        <w:t>Chapter 5 shifts the focus from description to explanation. While Chapter 4 presented the empirical findings, this chapter interprets those findings to explain how organizations develop, apply, and sustain integration capability across multiple acquisitions.</w:t>
      </w:r>
    </w:p>
    <w:p w14:paraId="5D98218D" w14:textId="77777777" w:rsidR="001F089D" w:rsidRPr="00B95E28" w:rsidRDefault="001F089D" w:rsidP="0069272C">
      <w:pPr>
        <w:rPr>
          <w:rFonts w:eastAsia="MS Mincho"/>
          <w:color w:val="000000" w:themeColor="text1"/>
        </w:rPr>
      </w:pPr>
    </w:p>
    <w:p w14:paraId="241FB18A" w14:textId="77777777" w:rsidR="0069272C"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The analysis reveals that integration outcomes are not determined solely by the quality of execution within individual transactions. Rather, they are shaped by the interaction of organizational structures, leadership dynamics, resource allocation, and learning mechanisms that evolve over time. Integration mechanisms in this context include not only formal structures, but the operating routines through which integration is managed in practice. These include cross-functional communication processes, issue and risk escalation routines, RAID-style tracking disciplines, decision forums, and the information flows that connect integration teams, executives, functional leaders, employees, and other affected stakeholders. </w:t>
      </w:r>
    </w:p>
    <w:p w14:paraId="3CE300B7" w14:textId="77777777" w:rsidR="0069272C" w:rsidRPr="00B95E28" w:rsidRDefault="0069272C" w:rsidP="00557AB7">
      <w:pPr>
        <w:spacing w:line="480" w:lineRule="auto"/>
        <w:rPr>
          <w:rFonts w:eastAsia="MS Mincho"/>
          <w:color w:val="000000" w:themeColor="text1"/>
        </w:rPr>
      </w:pPr>
    </w:p>
    <w:p w14:paraId="5EADF5FA" w14:textId="6EEAB307"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The effectiveness of integration capability therefore depends not only on whether an organization has a model, but on whether that model is supported by the communication and control mechanisms required to make it work in real time. This reframes integration from a transaction-specific activity to an organizational capability that develops across successive acquisitions. A consistent pattern across the data is that organizations do not fail due to a lack of frameworks or tools. Instead, they fail to apply them consistently. Integration is repeatedly approached as a standalone initiative, with limited continuity between transactions. As a result, experience does </w:t>
      </w:r>
      <w:r w:rsidRPr="00B95E28">
        <w:rPr>
          <w:rFonts w:eastAsia="MS Mincho"/>
          <w:color w:val="000000" w:themeColor="text1"/>
        </w:rPr>
        <w:lastRenderedPageBreak/>
        <w:t>not translate into improved performance. This reinforces the central argument introduced in Chapter 1: integration success is capability-based and path dependent.</w:t>
      </w:r>
    </w:p>
    <w:p w14:paraId="4D097D55" w14:textId="77777777" w:rsidR="001F089D" w:rsidRPr="00B95E28" w:rsidRDefault="001F089D" w:rsidP="0069272C">
      <w:pPr>
        <w:rPr>
          <w:rFonts w:eastAsia="MS Mincho"/>
          <w:color w:val="000000" w:themeColor="text1"/>
        </w:rPr>
      </w:pPr>
    </w:p>
    <w:p w14:paraId="52C2593A" w14:textId="6EEB1ECC" w:rsidR="001F089D" w:rsidRPr="00B95E28" w:rsidRDefault="001F089D" w:rsidP="00557AB7">
      <w:pPr>
        <w:spacing w:line="480" w:lineRule="auto"/>
        <w:rPr>
          <w:rFonts w:eastAsia="MS Mincho"/>
          <w:color w:val="000000" w:themeColor="text1"/>
        </w:rPr>
      </w:pPr>
      <w:r w:rsidRPr="00B95E28">
        <w:rPr>
          <w:rFonts w:eastAsia="MS Mincho"/>
          <w:color w:val="000000" w:themeColor="text1"/>
        </w:rPr>
        <w:t>To explain this dynamic, this chapter introduces the Integration Capability Loop (ICL), a conceptual model that captures how integration capability is developed and reinforced over time. The model illustrates how organizations move through successive phases of integration, and how learning from one transaction influences the execution of the next.</w:t>
      </w:r>
    </w:p>
    <w:p w14:paraId="003A8A1B" w14:textId="77777777" w:rsidR="001F089D" w:rsidRPr="00B95E28" w:rsidRDefault="001F089D" w:rsidP="0069272C">
      <w:pPr>
        <w:rPr>
          <w:rFonts w:eastAsia="MS Mincho"/>
          <w:color w:val="000000" w:themeColor="text1"/>
        </w:rPr>
      </w:pPr>
    </w:p>
    <w:p w14:paraId="04E5E502" w14:textId="0019FE39"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 analysis proceeds in five stages. First, integration is examined as an organizational capability rather than a discrete process. Second, the Integration Capability Loop is introduced as a dynamic representation of how capability develops across transactions. Third, each phase of the integration lifecycle is analyzed in detail, from readiness through to learning. Fourth, the core organizational enablers that support capability development are identified. Fifth, the causal relationships linking these elements are examined, followed by a comparison with existing literature and a synthesis of findings.</w:t>
      </w:r>
    </w:p>
    <w:p w14:paraId="4928C483" w14:textId="77777777" w:rsidR="001F089D" w:rsidRPr="00B95E28" w:rsidRDefault="001F089D" w:rsidP="0069272C">
      <w:pPr>
        <w:rPr>
          <w:rFonts w:eastAsia="MS Mincho"/>
          <w:color w:val="000000" w:themeColor="text1"/>
        </w:rPr>
      </w:pPr>
    </w:p>
    <w:p w14:paraId="028F3687" w14:textId="60D0E687"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Through this structure, the chapter demonstrates that repeatable integration success is not achieved through process standardization alone, but through the development of a system that enables organizations to learn, adapt, and execute consistently across acquisitions.</w:t>
      </w:r>
    </w:p>
    <w:p w14:paraId="4B2B8061"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 analysis presented in this chapter is structured to address the research questions outlined in Chapter 1. Specifically, the findings relating to governance, leadership, planning, execution, technology, and organizational learning provide empirical insight into how integration capability is developed, applied, and refined across multiple acquisitions. These dimensions are examined both individually and in relation to one another to explain the conditions under which repeatable integration capability emerges.</w:t>
      </w:r>
    </w:p>
    <w:p w14:paraId="0F043393" w14:textId="77777777" w:rsidR="001F089D" w:rsidRPr="00B95E28" w:rsidRDefault="001F089D" w:rsidP="00557AB7">
      <w:pPr>
        <w:spacing w:line="480" w:lineRule="auto"/>
        <w:rPr>
          <w:rFonts w:eastAsia="MS Mincho"/>
          <w:color w:val="000000" w:themeColor="text1"/>
        </w:rPr>
      </w:pPr>
    </w:p>
    <w:p w14:paraId="5EE8F0F1" w14:textId="3C07B6FF"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suggests that integration capability develops not only through continuity across transactions, but through the organization’s ability to refine its understanding of what drives integration outcomes under varying conditions.</w:t>
      </w:r>
    </w:p>
    <w:p w14:paraId="10273D3B" w14:textId="77777777" w:rsidR="001F089D" w:rsidRPr="00B95E28" w:rsidRDefault="001F089D" w:rsidP="0069272C">
      <w:pPr>
        <w:rPr>
          <w:rFonts w:eastAsia="MS Mincho"/>
          <w:color w:val="000000" w:themeColor="text1"/>
        </w:rPr>
      </w:pPr>
    </w:p>
    <w:p w14:paraId="29702704" w14:textId="2F3B4733"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is particularly important because no two acquisitions are identical. Each transaction differs in strategic intent, operational complexity, culture, technology landscape, and degree of required integration. However, this does not mean that every integration must be treated as entirely new. Repeatable capability develops when organizations use prior transactions to improve the questions they ask, the gaps they anticipate, the risks they track, and the assumptions they test before and after close.</w:t>
      </w:r>
    </w:p>
    <w:p w14:paraId="28CFBC48" w14:textId="77777777" w:rsidR="0069272C" w:rsidRPr="00B95E28" w:rsidRDefault="0069272C" w:rsidP="0069272C">
      <w:pPr>
        <w:rPr>
          <w:rFonts w:eastAsia="MS Gothic"/>
          <w:color w:val="000000" w:themeColor="text1"/>
        </w:rPr>
      </w:pPr>
    </w:p>
    <w:p w14:paraId="4E9599A5" w14:textId="170152BC" w:rsidR="001F089D" w:rsidRPr="00B95E28" w:rsidRDefault="001F089D" w:rsidP="00557AB7">
      <w:pPr>
        <w:pStyle w:val="Heading2"/>
        <w:spacing w:before="0" w:after="0" w:line="480" w:lineRule="auto"/>
        <w:rPr>
          <w:rFonts w:eastAsia="MS Gothic"/>
          <w:color w:val="000000" w:themeColor="text1"/>
        </w:rPr>
      </w:pPr>
      <w:bookmarkStart w:id="146" w:name="_Toc232351866"/>
      <w:r w:rsidRPr="00B95E28">
        <w:rPr>
          <w:rFonts w:eastAsia="MS Gothic"/>
          <w:color w:val="000000" w:themeColor="text1"/>
        </w:rPr>
        <w:t>5.1 Integration as an Organizational Capability</w:t>
      </w:r>
      <w:bookmarkEnd w:id="146"/>
    </w:p>
    <w:p w14:paraId="5C343CEF"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 findings of this study indicate that post-merger integration is not experienced in practice as a discrete process executed within the boundaries of a single transaction. While existing frameworks emphasize structured planning, governance, and execution activities, the data suggests that these elements alone do not explain why integration outcomes remain inconsistent across multiple acquisitions.</w:t>
      </w:r>
    </w:p>
    <w:p w14:paraId="506A8B64" w14:textId="77777777" w:rsidR="001F089D" w:rsidRPr="00B95E28" w:rsidRDefault="001F089D" w:rsidP="0069272C">
      <w:pPr>
        <w:rPr>
          <w:rFonts w:eastAsia="MS Mincho"/>
          <w:color w:val="000000" w:themeColor="text1"/>
        </w:rPr>
      </w:pPr>
    </w:p>
    <w:p w14:paraId="5B128F8A" w14:textId="4C64C1C5" w:rsidR="001F089D" w:rsidRPr="00B95E28" w:rsidRDefault="001F089D" w:rsidP="00557AB7">
      <w:pPr>
        <w:spacing w:line="480" w:lineRule="auto"/>
        <w:rPr>
          <w:rFonts w:eastAsia="MS Mincho"/>
          <w:color w:val="000000" w:themeColor="text1"/>
        </w:rPr>
      </w:pPr>
      <w:r w:rsidRPr="00B95E28">
        <w:rPr>
          <w:rFonts w:eastAsia="MS Mincho"/>
          <w:color w:val="000000" w:themeColor="text1"/>
        </w:rPr>
        <w:t>Instead, integration emerges as an organizational capability that develops over time. This capability is not defined by the presence of tools, templates, or playbooks, but by the organization’s ability to apply them consistently across varying contexts. Organizations with access to similar methodologies often produce markedly different outcomes, indicating that the differentiating factor lies not in the process itself, but in the conditions under which it is executed.</w:t>
      </w:r>
    </w:p>
    <w:p w14:paraId="72197E7E" w14:textId="22725997" w:rsidR="001F089D" w:rsidRPr="00B95E28" w:rsidRDefault="001F089D" w:rsidP="00557AB7">
      <w:pPr>
        <w:spacing w:line="480" w:lineRule="auto"/>
        <w:rPr>
          <w:rFonts w:eastAsia="MS Mincho"/>
          <w:color w:val="000000" w:themeColor="text1"/>
        </w:rPr>
      </w:pPr>
      <w:r w:rsidRPr="00B95E28">
        <w:rPr>
          <w:rFonts w:eastAsia="MS Mincho"/>
          <w:color w:val="000000" w:themeColor="text1"/>
        </w:rPr>
        <w:lastRenderedPageBreak/>
        <w:t>To clarify this distinction, it is useful to differentiate between a structured integration process and integration capability. A structured process defines the activities, sequence, templates, and governance routines that should guide integration. Integration capability, by contrast, reflects the organization’s ability to apply, adapt, resource, govern, and improve those processes consistently across different acquisitions. This distinction is central to the present study because it explains why organizations may possess integration frameworks yet continue to experience inconsistent outcomes across transactions. Table 5.1 summarizes this distinction by comparing integration as a structured process with integration as an organizational capability.</w:t>
      </w:r>
    </w:p>
    <w:p w14:paraId="0A20A564" w14:textId="59C9B5F0" w:rsidR="001F089D" w:rsidRPr="00B95E28" w:rsidRDefault="001F089D"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47" w:name="_Toc232351975"/>
      <w:r w:rsidR="00B91B93">
        <w:rPr>
          <w:noProof/>
          <w:color w:val="000000" w:themeColor="text1"/>
        </w:rPr>
        <w:t>7</w:t>
      </w:r>
      <w:r w:rsidRPr="00B95E28">
        <w:rPr>
          <w:color w:val="000000" w:themeColor="text1"/>
        </w:rPr>
        <w:fldChar w:fldCharType="end"/>
      </w:r>
      <w:r w:rsidRPr="00B95E28">
        <w:rPr>
          <w:color w:val="000000" w:themeColor="text1"/>
        </w:rPr>
        <w:t>: Table 5.1: Distinction Between Structured Integration Process and Integration Capability (Source: Author)</w:t>
      </w:r>
      <w:bookmarkEnd w:id="147"/>
    </w:p>
    <w:p w14:paraId="17546051" w14:textId="77777777" w:rsidR="001F089D" w:rsidRPr="00B95E28" w:rsidRDefault="001F089D" w:rsidP="00557AB7">
      <w:pPr>
        <w:spacing w:line="480" w:lineRule="auto"/>
        <w:rPr>
          <w:rFonts w:eastAsia="MS Mincho"/>
          <w:color w:val="000000" w:themeColor="text1"/>
        </w:rPr>
      </w:pPr>
      <w:r w:rsidRPr="00B95E28">
        <w:rPr>
          <w:noProof/>
          <w:color w:val="000000" w:themeColor="text1"/>
        </w:rPr>
        <w:drawing>
          <wp:inline distT="0" distB="0" distL="0" distR="0" wp14:anchorId="212E14C7" wp14:editId="7FDFEAE2">
            <wp:extent cx="5943600" cy="3176905"/>
            <wp:effectExtent l="0" t="0" r="0" b="4445"/>
            <wp:docPr id="896879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3176905"/>
                    </a:xfrm>
                    <a:prstGeom prst="rect">
                      <a:avLst/>
                    </a:prstGeom>
                    <a:noFill/>
                    <a:ln>
                      <a:noFill/>
                    </a:ln>
                  </pic:spPr>
                </pic:pic>
              </a:graphicData>
            </a:graphic>
          </wp:inline>
        </w:drawing>
      </w:r>
    </w:p>
    <w:p w14:paraId="1AFFC3DE"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The distinction is therefore not between having a process and not having one. Rather, it is between process as a documented method and capability as repeatable organizational performance. In the context of serial acquisition, this distinction is important because each deal may require adaptation, yet the organization still requires a stable capability base to govern, coordinate, and learn across transactions. This supports the central argument of the study: </w:t>
      </w:r>
      <w:r w:rsidRPr="00B95E28">
        <w:rPr>
          <w:rFonts w:eastAsia="MS Mincho"/>
          <w:color w:val="000000" w:themeColor="text1"/>
        </w:rPr>
        <w:lastRenderedPageBreak/>
        <w:t>repeatable integration success depends not on process standardization alone, but on the organizational capability to execute integration under varying conditions.</w:t>
      </w:r>
    </w:p>
    <w:p w14:paraId="74C7934A" w14:textId="77777777" w:rsidR="001F089D" w:rsidRPr="00B95E28" w:rsidRDefault="001F089D" w:rsidP="0069272C">
      <w:pPr>
        <w:rPr>
          <w:rFonts w:eastAsia="MS Mincho"/>
          <w:color w:val="000000" w:themeColor="text1"/>
        </w:rPr>
      </w:pPr>
    </w:p>
    <w:p w14:paraId="6109D737" w14:textId="583B44B4"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distinction becomes particularly visible when comparing organizations that apply similar integration frameworks but achieve materially different outcomes. The presence of structured methodologies does not guarantee execution effectiveness if the organization lacks the authority, resources, coordination mechanisms, and learning routines required to operationalize them.</w:t>
      </w:r>
    </w:p>
    <w:p w14:paraId="51924254"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finding directly challenges the implicit assumption in much of the integration literature that the primary barrier to success lies in the selection or design of the appropriate integration approach. The evidence suggests that organizations are not constrained by the absence of frameworks, but by their inability to consistently operationalize them across transactions. This distinction is critical, as it shifts the focus from improving integration methodologies to strengthening the organizational conditions required to execute them.</w:t>
      </w:r>
    </w:p>
    <w:p w14:paraId="3BA1E1AC" w14:textId="77777777" w:rsidR="001F089D" w:rsidRPr="00B95E28" w:rsidRDefault="001F089D" w:rsidP="0069272C">
      <w:pPr>
        <w:rPr>
          <w:rFonts w:eastAsia="MS Mincho"/>
          <w:color w:val="000000" w:themeColor="text1"/>
        </w:rPr>
      </w:pPr>
    </w:p>
    <w:p w14:paraId="73077930" w14:textId="276A7F49"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interpretation is supported by interview evidence showing that integration challenges were rarely described as the result of not knowing what should be done. Instead, respondents repeatedly pointed to weak execution conditions. For example, one participant emphasized that integration planning should begin before an offer is made, linking integration readiness directly to valuation and deal strategy. Another described how integration teams are often brought in too late, creating downstream execution pressure. A further respondent emphasized that integration leaders require real authority to influence executives and coordinate across functions, rather than simply managing tasks. These examples suggest that the challenge is not the absence of process knowledge, but the absence of organizational conditions that allow that knowledge to be applied consistently.</w:t>
      </w:r>
    </w:p>
    <w:p w14:paraId="00C11D21" w14:textId="4C5B4845" w:rsidR="001F089D" w:rsidRPr="00B95E28" w:rsidRDefault="001F089D" w:rsidP="00557AB7">
      <w:pPr>
        <w:spacing w:line="480" w:lineRule="auto"/>
        <w:rPr>
          <w:rFonts w:eastAsia="MS Mincho"/>
          <w:color w:val="000000" w:themeColor="text1"/>
        </w:rPr>
      </w:pPr>
      <w:r w:rsidRPr="00B95E28">
        <w:rPr>
          <w:rFonts w:eastAsia="MS Mincho"/>
          <w:color w:val="000000" w:themeColor="text1"/>
        </w:rPr>
        <w:lastRenderedPageBreak/>
        <w:t>A capability-based perspective shifts the focus from what organizations do during integration to how they enable integration to be executed repeatedly and effectively. Importantly, this does not imply rigid replication. A repeatable integration capability must be adaptable enough to reflect the characteristics of each transaction. The purpose of capability is not to force every acquisition through the same template, but to provide a disciplined way of tailoring governance, planning, communication, technology, and resourcing to the specific integration context.</w:t>
      </w:r>
    </w:p>
    <w:p w14:paraId="43BD2D1B" w14:textId="77777777" w:rsidR="0069272C" w:rsidRPr="00B95E28" w:rsidRDefault="0069272C" w:rsidP="0069272C">
      <w:pPr>
        <w:rPr>
          <w:rFonts w:eastAsia="MS Mincho"/>
          <w:color w:val="000000" w:themeColor="text1"/>
        </w:rPr>
      </w:pPr>
    </w:p>
    <w:p w14:paraId="0B8723AE" w14:textId="2407365C"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includes the establishment of governance structures that provide clarity in decision-making, leadership models that ensure accountability and authority, and resource models that support sustained execution without over-reliance on individuals. It also requires mechanisms for capturing and applying learning across transactions, allowing the organization to refine its approach over time.</w:t>
      </w:r>
    </w:p>
    <w:p w14:paraId="3D7BAF9E" w14:textId="13F8DB87" w:rsidR="001F089D" w:rsidRPr="00B95E28" w:rsidRDefault="001F089D"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48" w:name="_Toc232351976"/>
      <w:r w:rsidR="00B91B93">
        <w:rPr>
          <w:noProof/>
          <w:color w:val="000000" w:themeColor="text1"/>
        </w:rPr>
        <w:t>8</w:t>
      </w:r>
      <w:r w:rsidRPr="00B95E28">
        <w:rPr>
          <w:color w:val="000000" w:themeColor="text1"/>
        </w:rPr>
        <w:fldChar w:fldCharType="end"/>
      </w:r>
      <w:r w:rsidRPr="00B95E28">
        <w:rPr>
          <w:color w:val="000000" w:themeColor="text1"/>
        </w:rPr>
        <w:t>: Table 5.2: Process View vs Capability View of Integration (Source: Author)</w:t>
      </w:r>
      <w:bookmarkEnd w:id="148"/>
    </w:p>
    <w:p w14:paraId="5A706F86" w14:textId="47EE024C" w:rsidR="001F089D" w:rsidRPr="00B95E28" w:rsidRDefault="001F089D" w:rsidP="00557AB7">
      <w:pPr>
        <w:spacing w:line="480" w:lineRule="auto"/>
        <w:rPr>
          <w:rFonts w:eastAsia="MS Mincho"/>
          <w:b/>
          <w:bCs/>
          <w:color w:val="000000" w:themeColor="text1"/>
        </w:rPr>
      </w:pPr>
      <w:r w:rsidRPr="00B95E28">
        <w:rPr>
          <w:noProof/>
          <w:color w:val="000000" w:themeColor="text1"/>
        </w:rPr>
        <w:drawing>
          <wp:inline distT="0" distB="0" distL="0" distR="0" wp14:anchorId="4C42E313" wp14:editId="3D0E3D39">
            <wp:extent cx="5943600" cy="803275"/>
            <wp:effectExtent l="0" t="0" r="0" b="0"/>
            <wp:docPr id="788452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803275"/>
                    </a:xfrm>
                    <a:prstGeom prst="rect">
                      <a:avLst/>
                    </a:prstGeom>
                    <a:noFill/>
                    <a:ln>
                      <a:noFill/>
                    </a:ln>
                  </pic:spPr>
                </pic:pic>
              </a:graphicData>
            </a:graphic>
          </wp:inline>
        </w:drawing>
      </w:r>
    </w:p>
    <w:p w14:paraId="26735E8E"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distinction clarifies the central argument of this research. While process-oriented approaches focus on the execution of activities within a single transaction, a capability-based perspective emphasizes the organization’s ability to deliver consistent outcomes across multiple acquisitions. The shift from process to capability therefore represents a shift in unit of analysis, from the individual deal to the organization as a repeat acquirer. This distinction is critical in explaining why organizations applying similar integration processes continue to experience variable outcomes, as consistency is not determined by process design alone, but by the organizational conditions that enable repeatable execution.</w:t>
      </w:r>
    </w:p>
    <w:p w14:paraId="32FF3AEA" w14:textId="532BD5FE" w:rsidR="001F089D" w:rsidRPr="00B95E28" w:rsidRDefault="001F089D" w:rsidP="00557AB7">
      <w:pPr>
        <w:spacing w:line="480" w:lineRule="auto"/>
        <w:rPr>
          <w:rFonts w:eastAsia="MS Mincho"/>
          <w:color w:val="000000" w:themeColor="text1"/>
        </w:rPr>
      </w:pPr>
      <w:r w:rsidRPr="00B95E28">
        <w:rPr>
          <w:rFonts w:eastAsia="MS Mincho"/>
          <w:color w:val="000000" w:themeColor="text1"/>
        </w:rPr>
        <w:lastRenderedPageBreak/>
        <w:t>The findings further suggest that integration capability is inherently path dependent. Organizations do not approach each integration as a neutral starting point. Rather, prior decisions, structures, and experiences shape how subsequent integrations are planned and executed. Where learning is effectively institutionalized, organizations demonstrate improved coordination, clearer decision-making, and more realistic alignment between deal assumptions and operational execution. Where learning is not captured, similar challenges recur across transactions, regardless of prior experience.</w:t>
      </w:r>
    </w:p>
    <w:p w14:paraId="65C53FF0" w14:textId="77777777" w:rsidR="001F089D" w:rsidRPr="00B95E28" w:rsidRDefault="001F089D" w:rsidP="0069272C">
      <w:pPr>
        <w:rPr>
          <w:rFonts w:eastAsia="MS Mincho"/>
          <w:color w:val="000000" w:themeColor="text1"/>
        </w:rPr>
      </w:pPr>
    </w:p>
    <w:p w14:paraId="0483E7DF" w14:textId="1FBB0BED"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distinction highlights a critical limitation in existing approaches to integration. Process standardization alone does not produce consistency. While processes define expected activities within a transaction, they do not ensure that those activities are executed effectively across multiple transactions. Consistency requires a system that connects governance, leadership, execution, and learning over time.</w:t>
      </w:r>
    </w:p>
    <w:p w14:paraId="4605A1A0" w14:textId="77777777" w:rsidR="001F089D" w:rsidRPr="00B95E28" w:rsidRDefault="001F089D" w:rsidP="0069272C">
      <w:pPr>
        <w:rPr>
          <w:rFonts w:eastAsia="MS Mincho"/>
          <w:color w:val="000000" w:themeColor="text1"/>
        </w:rPr>
      </w:pPr>
    </w:p>
    <w:p w14:paraId="536306B7" w14:textId="5B32C6E8" w:rsidR="001F089D" w:rsidRPr="00B95E28" w:rsidRDefault="001F089D" w:rsidP="00557AB7">
      <w:pPr>
        <w:spacing w:line="480" w:lineRule="auto"/>
        <w:rPr>
          <w:rFonts w:eastAsia="MS Mincho"/>
          <w:color w:val="000000" w:themeColor="text1"/>
        </w:rPr>
      </w:pPr>
      <w:r w:rsidRPr="00B95E28">
        <w:rPr>
          <w:rFonts w:eastAsia="MS Mincho"/>
          <w:color w:val="000000" w:themeColor="text1"/>
        </w:rPr>
        <w:t>From this perspective, integration capability can be understood as a system of interdependent elements that collectively enable repeatable performance. These elements include governance structures that guide decision-making, leadership roles that drive accountability, cross-functional coordination mechanisms that support execution, and learning processes that inform future integrations. The effectiveness of the system depends not only on the presence of these elements, but on how they interact and evolve across successive acquisitions.</w:t>
      </w:r>
    </w:p>
    <w:p w14:paraId="2FB42AD6" w14:textId="77777777" w:rsidR="001F089D" w:rsidRPr="00B95E28" w:rsidRDefault="001F089D" w:rsidP="0069272C">
      <w:pPr>
        <w:rPr>
          <w:rFonts w:eastAsia="MS Mincho"/>
          <w:color w:val="000000" w:themeColor="text1"/>
        </w:rPr>
      </w:pPr>
    </w:p>
    <w:p w14:paraId="190576DF" w14:textId="61164DD1"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This reframing positions integration not as a series of isolated projects, but as a continuous organizational function. It emphasizes that repeatable success is achieved not by redesigning integration for each transaction, but by developing and refining the underlying capability that supports it. This perspective provides the foundation for the Integration Capability Loop </w:t>
      </w:r>
      <w:r w:rsidRPr="00B95E28">
        <w:rPr>
          <w:rFonts w:eastAsia="MS Mincho"/>
          <w:color w:val="000000" w:themeColor="text1"/>
        </w:rPr>
        <w:lastRenderedPageBreak/>
        <w:t>introduced in the following section, which illustrates how this capability is developed and reinforced over time.</w:t>
      </w:r>
    </w:p>
    <w:p w14:paraId="4A57C848" w14:textId="77777777" w:rsidR="0069272C" w:rsidRPr="00B95E28" w:rsidRDefault="0069272C" w:rsidP="0069272C">
      <w:pPr>
        <w:rPr>
          <w:rFonts w:eastAsia="MS Mincho"/>
          <w:color w:val="000000" w:themeColor="text1"/>
        </w:rPr>
      </w:pPr>
    </w:p>
    <w:p w14:paraId="01ADFB11" w14:textId="37AEDCC2" w:rsidR="001F089D" w:rsidRPr="00B95E28" w:rsidRDefault="001F089D" w:rsidP="00557AB7">
      <w:pPr>
        <w:pStyle w:val="Heading3"/>
        <w:spacing w:before="0" w:after="0" w:line="480" w:lineRule="auto"/>
        <w:rPr>
          <w:rFonts w:eastAsia="MS Mincho"/>
          <w:color w:val="000000" w:themeColor="text1"/>
        </w:rPr>
      </w:pPr>
      <w:bookmarkStart w:id="149" w:name="_Toc232351867"/>
      <w:r w:rsidRPr="00B95E28">
        <w:rPr>
          <w:rFonts w:eastAsia="MS Mincho"/>
          <w:color w:val="000000" w:themeColor="text1"/>
        </w:rPr>
        <w:t>5.1.1 Repeatability Does Not Mean Standardization</w:t>
      </w:r>
      <w:bookmarkEnd w:id="149"/>
    </w:p>
    <w:p w14:paraId="0A857B8B" w14:textId="77777777" w:rsidR="001F089D" w:rsidRPr="00B95E28" w:rsidRDefault="001F089D" w:rsidP="00557AB7">
      <w:pPr>
        <w:spacing w:line="480" w:lineRule="auto"/>
        <w:rPr>
          <w:color w:val="000000" w:themeColor="text1"/>
        </w:rPr>
      </w:pPr>
      <w:r w:rsidRPr="00B95E28">
        <w:rPr>
          <w:color w:val="000000" w:themeColor="text1"/>
        </w:rPr>
        <w:t>Repeatability in integration does not mean rigid standardization. Rather, it refers to the organization’s ability to apply a consistent logic of governance, planning, decision-making, and learning across different acquisition contexts. This distinction is important because acquisitions vary significantly in strategic intent, size, operating model, cultural fit, technology complexity, and required degree of integration. A bolt-on acquisition into an existing platform requires a different integration approach than a transformational acquisition, a capability acquisition, or a business that is intentionally left partially standalone.</w:t>
      </w:r>
    </w:p>
    <w:p w14:paraId="6FED9FE8" w14:textId="77777777" w:rsidR="001F089D" w:rsidRPr="00B95E28" w:rsidRDefault="001F089D" w:rsidP="0069272C">
      <w:pPr>
        <w:rPr>
          <w:color w:val="000000" w:themeColor="text1"/>
        </w:rPr>
      </w:pPr>
    </w:p>
    <w:p w14:paraId="3DE13819" w14:textId="2DDC1A67" w:rsidR="001F089D" w:rsidRPr="00B95E28" w:rsidRDefault="001F089D" w:rsidP="00557AB7">
      <w:pPr>
        <w:spacing w:line="480" w:lineRule="auto"/>
        <w:rPr>
          <w:color w:val="000000" w:themeColor="text1"/>
        </w:rPr>
      </w:pPr>
      <w:r w:rsidRPr="00B95E28">
        <w:rPr>
          <w:color w:val="000000" w:themeColor="text1"/>
        </w:rPr>
        <w:t>Therefore, repeatable capability should be understood as disciplined adaptability. The repeatable element is not the exact sequence of tasks, but the organization’s ability to ask consistent questions, establish clear decision rights, identify integration risks early, align integration planning with the deal thesis, and capture lessons that can inform the next transaction. In this sense, a playbook is useful only when it functions as a guide for structured thinking, not as a substitute for judgment.</w:t>
      </w:r>
    </w:p>
    <w:p w14:paraId="009553AE" w14:textId="77777777" w:rsidR="001F089D" w:rsidRPr="00B95E28" w:rsidRDefault="001F089D" w:rsidP="0069272C">
      <w:pPr>
        <w:rPr>
          <w:color w:val="000000" w:themeColor="text1"/>
        </w:rPr>
      </w:pPr>
    </w:p>
    <w:p w14:paraId="0431F530" w14:textId="0A1C73DB" w:rsidR="001F089D" w:rsidRPr="00B95E28" w:rsidRDefault="001F089D" w:rsidP="00557AB7">
      <w:pPr>
        <w:spacing w:line="480" w:lineRule="auto"/>
        <w:rPr>
          <w:color w:val="000000" w:themeColor="text1"/>
        </w:rPr>
      </w:pPr>
      <w:r w:rsidRPr="00B95E28">
        <w:rPr>
          <w:color w:val="000000" w:themeColor="text1"/>
        </w:rPr>
        <w:t xml:space="preserve">This finding is significant because it addresses a common limitation in process-oriented integration models. Many integration frameworks imply that greater standardization will improve outcomes. While standardization can improve efficiency, it can also create false confidence when organizations apply prior templates without assessing whether the assumptions behind those templates still hold. Integration capability therefore depends not only on codified </w:t>
      </w:r>
      <w:r w:rsidRPr="00B95E28">
        <w:rPr>
          <w:color w:val="000000" w:themeColor="text1"/>
        </w:rPr>
        <w:lastRenderedPageBreak/>
        <w:t>“know-how,” but also on the organization’s ability to understand “know-why”: why a particular approach worked, under what conditions it worked, and when it should be adapted.</w:t>
      </w:r>
    </w:p>
    <w:p w14:paraId="5BF515CA" w14:textId="77777777" w:rsidR="001F089D" w:rsidRPr="00B95E28" w:rsidRDefault="001F089D" w:rsidP="0069272C">
      <w:pPr>
        <w:rPr>
          <w:color w:val="000000" w:themeColor="text1"/>
        </w:rPr>
      </w:pPr>
    </w:p>
    <w:p w14:paraId="0B97DC07" w14:textId="7BB7F9BF" w:rsidR="001F089D" w:rsidRPr="00B95E28" w:rsidRDefault="001F089D" w:rsidP="00557AB7">
      <w:pPr>
        <w:spacing w:line="480" w:lineRule="auto"/>
        <w:rPr>
          <w:color w:val="000000" w:themeColor="text1"/>
        </w:rPr>
      </w:pPr>
      <w:r w:rsidRPr="00B95E28">
        <w:rPr>
          <w:color w:val="000000" w:themeColor="text1"/>
        </w:rPr>
        <w:t>This distinction helps explain why organizations with similar integration tools may achieve different outcomes. One organization may use a playbook mechanically, treating integration as a compliance exercise. Another may use the same playbook diagnostically, adapting governance, resourcing, communication, and sequencing to the specific risks of the transaction. The latter reflects a stronger integration capability because it combines structure with contextual judgment.</w:t>
      </w:r>
    </w:p>
    <w:p w14:paraId="2F425CA4" w14:textId="77777777" w:rsidR="001F089D" w:rsidRPr="00B95E28" w:rsidRDefault="001F089D" w:rsidP="0069272C">
      <w:pPr>
        <w:rPr>
          <w:color w:val="000000" w:themeColor="text1"/>
        </w:rPr>
      </w:pPr>
    </w:p>
    <w:p w14:paraId="5BE0A4C0" w14:textId="6451C012" w:rsidR="001F089D" w:rsidRPr="00B95E28" w:rsidRDefault="001F089D" w:rsidP="00557AB7">
      <w:pPr>
        <w:spacing w:line="480" w:lineRule="auto"/>
        <w:rPr>
          <w:color w:val="000000" w:themeColor="text1"/>
        </w:rPr>
      </w:pPr>
      <w:r w:rsidRPr="00B95E28">
        <w:rPr>
          <w:color w:val="000000" w:themeColor="text1"/>
        </w:rPr>
        <w:t>Repeatability, therefore, is not sameness. It is the ability to create consistency in how integration is governed, planned, executed, and learned from, while allowing flexibility in what is integrated, how quickly it is integrated, and which operating model is ultimately pursued. This reframing strengthens the central argument of this research: integration capability is not defined by the existence of a methodology, but by the organization’s ability to apply methodology intelligently across varying deal contexts.</w:t>
      </w:r>
    </w:p>
    <w:p w14:paraId="3E54E44F" w14:textId="77777777" w:rsidR="001F089D" w:rsidRPr="00B95E28" w:rsidRDefault="001F089D" w:rsidP="0069272C">
      <w:pPr>
        <w:rPr>
          <w:rFonts w:eastAsia="MS Mincho"/>
          <w:color w:val="000000" w:themeColor="text1"/>
        </w:rPr>
      </w:pPr>
    </w:p>
    <w:p w14:paraId="541D3A08" w14:textId="1FE8BAD9" w:rsidR="001F089D" w:rsidRPr="00B95E28" w:rsidRDefault="001F089D" w:rsidP="00557AB7">
      <w:pPr>
        <w:spacing w:line="480" w:lineRule="auto"/>
        <w:rPr>
          <w:rFonts w:eastAsia="MS Mincho"/>
          <w:color w:val="000000" w:themeColor="text1"/>
        </w:rPr>
      </w:pPr>
      <w:r w:rsidRPr="00B95E28">
        <w:rPr>
          <w:rFonts w:eastAsia="MS Mincho"/>
          <w:color w:val="000000" w:themeColor="text1"/>
        </w:rPr>
        <w:t>However, while this perspective explains what integration capability is, it does not fully explain why organizations consistently fail to develop it in practice. This gap is explored in the following section.</w:t>
      </w:r>
    </w:p>
    <w:p w14:paraId="55263FF6" w14:textId="77777777" w:rsidR="001F089D" w:rsidRPr="00B95E28" w:rsidRDefault="001F089D" w:rsidP="0069272C">
      <w:pPr>
        <w:rPr>
          <w:rFonts w:eastAsia="MS Mincho"/>
          <w:color w:val="000000" w:themeColor="text1"/>
        </w:rPr>
      </w:pPr>
    </w:p>
    <w:p w14:paraId="00482E69" w14:textId="59C77D7E"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perspective reframes integration from a procedural challenge to a capability-based one. Organizations that develop integration capability are able to reduce variability, improve coordination, and achieve more predictable outcomes over time. In contrast, those that rely solely on process frameworks remain vulnerable to inconsistency, even when applying established best practices.</w:t>
      </w:r>
    </w:p>
    <w:p w14:paraId="6C291C07" w14:textId="37709D81" w:rsidR="001F089D" w:rsidRPr="00B95E28" w:rsidRDefault="001F089D" w:rsidP="00557AB7">
      <w:pPr>
        <w:spacing w:line="480" w:lineRule="auto"/>
        <w:rPr>
          <w:rFonts w:eastAsia="MS Mincho"/>
          <w:color w:val="000000" w:themeColor="text1"/>
        </w:rPr>
      </w:pPr>
      <w:r w:rsidRPr="00B95E28">
        <w:rPr>
          <w:rFonts w:eastAsia="MS Mincho"/>
          <w:color w:val="000000" w:themeColor="text1"/>
        </w:rPr>
        <w:lastRenderedPageBreak/>
        <w:t>This has important implications for both theory and practice. It suggests that the persistent variability in integration outcomes cannot be addressed through process refinement alone, but requires a shift toward capability development at the organizational level. This includes not only the design of integration frameworks, but the establishment of conditions that enable those frameworks to be applied consistently across transactions.</w:t>
      </w:r>
    </w:p>
    <w:p w14:paraId="0AA66FA3" w14:textId="77777777" w:rsidR="001F089D" w:rsidRPr="00B95E28" w:rsidRDefault="001F089D" w:rsidP="0069272C">
      <w:pPr>
        <w:rPr>
          <w:rFonts w:eastAsia="MS Mincho"/>
          <w:color w:val="000000" w:themeColor="text1"/>
        </w:rPr>
      </w:pPr>
    </w:p>
    <w:p w14:paraId="002526FE" w14:textId="09BBF4AE"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In this context, integration capability can be understood as a form of organizational infrastructure. It is not visible within any single transaction, but becomes evident over time through consistency in execution, alignment between strategic intent and operational outcomes, and the organization’s ability to learn and adapt across successive acquisitions. </w:t>
      </w:r>
    </w:p>
    <w:p w14:paraId="230F41E4" w14:textId="77777777" w:rsidR="0069272C" w:rsidRPr="00B95E28" w:rsidRDefault="0069272C" w:rsidP="0069272C">
      <w:pPr>
        <w:rPr>
          <w:rFonts w:eastAsia="MS Mincho"/>
          <w:color w:val="000000" w:themeColor="text1"/>
        </w:rPr>
      </w:pPr>
    </w:p>
    <w:p w14:paraId="2C559619" w14:textId="6E6E9321" w:rsidR="001F089D" w:rsidRPr="00B95E28" w:rsidRDefault="001F089D" w:rsidP="00557AB7">
      <w:pPr>
        <w:pStyle w:val="Heading2"/>
        <w:spacing w:before="0" w:after="0" w:line="480" w:lineRule="auto"/>
        <w:rPr>
          <w:rFonts w:eastAsia="MS Mincho"/>
          <w:color w:val="000000" w:themeColor="text1"/>
        </w:rPr>
      </w:pPr>
      <w:bookmarkStart w:id="150" w:name="_Toc232351868"/>
      <w:r w:rsidRPr="00B95E28">
        <w:rPr>
          <w:rFonts w:eastAsia="MS Mincho"/>
          <w:color w:val="000000" w:themeColor="text1"/>
        </w:rPr>
        <w:t>5.2 Why Capability Fails to Form in Practice</w:t>
      </w:r>
      <w:bookmarkEnd w:id="150"/>
    </w:p>
    <w:p w14:paraId="6A6BFCEC"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While the findings support the framing of integration as an organizational capability, they also reveal a persistent failure in the formation of that capability in practice. This raises an important question: if organizations understand the components of effective integration, why does capability fail to develop consistently across transactions?</w:t>
      </w:r>
    </w:p>
    <w:p w14:paraId="06B98DD9" w14:textId="77777777" w:rsidR="001F089D" w:rsidRPr="00B95E28" w:rsidRDefault="001F089D" w:rsidP="0069272C">
      <w:pPr>
        <w:rPr>
          <w:rFonts w:eastAsia="MS Mincho"/>
          <w:color w:val="000000" w:themeColor="text1"/>
        </w:rPr>
      </w:pPr>
    </w:p>
    <w:p w14:paraId="4BD2C8AB" w14:textId="2E156B13"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 evidence suggests that capability breakdown is not the result of a single deficiency, but the cumulative effect of several reinforcing constraints. First, integration is frequently deprioritized relative to deal execution, resulting in delayed planning and insufficient organizational readiness. Second, integration leadership often lacks formal authority, limiting its ability to coordinate across functions and enforce decisions. Third, resource allocation models rarely reflect the true demands of integration, leading to over-reliance on already constrained functional teams.</w:t>
      </w:r>
    </w:p>
    <w:p w14:paraId="2A95BEBE" w14:textId="77777777" w:rsidR="001F089D" w:rsidRPr="00B95E28" w:rsidRDefault="001F089D" w:rsidP="00557AB7">
      <w:pPr>
        <w:spacing w:line="480" w:lineRule="auto"/>
        <w:rPr>
          <w:rFonts w:eastAsia="MS Mincho"/>
          <w:color w:val="000000" w:themeColor="text1"/>
        </w:rPr>
      </w:pPr>
    </w:p>
    <w:p w14:paraId="70692747" w14:textId="17837E6C" w:rsidR="001F089D" w:rsidRPr="00B95E28" w:rsidRDefault="001F089D" w:rsidP="00557AB7">
      <w:pPr>
        <w:spacing w:line="480" w:lineRule="auto"/>
        <w:rPr>
          <w:rFonts w:eastAsia="MS Mincho"/>
          <w:color w:val="000000" w:themeColor="text1"/>
        </w:rPr>
      </w:pPr>
      <w:r w:rsidRPr="00B95E28">
        <w:rPr>
          <w:rFonts w:eastAsia="MS Mincho"/>
          <w:color w:val="000000" w:themeColor="text1"/>
        </w:rPr>
        <w:lastRenderedPageBreak/>
        <w:t>In addition, organizational learning processes are typically informal and inconsistently applied. While lessons may be discussed following an integration, they are rarely codified into structured knowledge that can be reused. This results in knowledge remaining embedded within individuals rather than becoming institutionalized within the organization. A further constraint is the structural dispersion of integration capability following transaction completion. Integration teams are often disbanded once a deal is declared complete, and leadership attention shifts to subsequent transactions. As a result, knowledge is not only uncodified, but organizationally displaced, limiting the organization’s ability to carry learning forward across transactions.</w:t>
      </w:r>
    </w:p>
    <w:p w14:paraId="0D14C2DC"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These constraints interact to prevent the accumulation of capability. Weak governance limits coordination, insufficient resources constrain execution, and the absence of structured learning prevents improvement across transactions. As a result, organizations repeat similar patterns of behaviour despite increasing experience.</w:t>
      </w:r>
    </w:p>
    <w:p w14:paraId="558BFDA0" w14:textId="77777777" w:rsidR="001F089D" w:rsidRPr="00B95E28" w:rsidRDefault="001F089D" w:rsidP="0069272C">
      <w:pPr>
        <w:rPr>
          <w:rFonts w:eastAsia="MS Mincho"/>
          <w:color w:val="000000" w:themeColor="text1"/>
        </w:rPr>
      </w:pPr>
    </w:p>
    <w:p w14:paraId="70843355" w14:textId="4DC339C4"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These constraints do not operate independently; they compound over successive transactions. For example, delayed integration planning reduces the organization’s ability to define clear decision rights, which in turn increases execution ambiguity. This ambiguity places additional strain on already constrained resources, further limiting execution effectiveness. Over time, these patterns reinforce one another, creating a cycle in which each integration inherits unresolved structural weaknesses from the previous one. Rather than capability accumulating, inefficiencies compound.</w:t>
      </w:r>
    </w:p>
    <w:p w14:paraId="39DB9BC5" w14:textId="77777777" w:rsidR="001F089D" w:rsidRPr="00B95E28" w:rsidRDefault="001F089D" w:rsidP="0069272C">
      <w:pPr>
        <w:rPr>
          <w:rFonts w:eastAsia="MS Mincho"/>
          <w:color w:val="000000" w:themeColor="text1"/>
        </w:rPr>
      </w:pPr>
    </w:p>
    <w:p w14:paraId="75E9EF4C" w14:textId="2A8E2F9F"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This dynamic explains why experience alone does not lead to improved outcomes. Organizations may complete multiple acquisitions, yet continue to encounter similar integration challenges </w:t>
      </w:r>
      <w:r w:rsidRPr="00B95E28">
        <w:rPr>
          <w:rFonts w:eastAsia="MS Mincho"/>
          <w:color w:val="000000" w:themeColor="text1"/>
        </w:rPr>
        <w:lastRenderedPageBreak/>
        <w:t>because the underlying constraints remain unaddressed. In this sense, repeated acquisition activity without structural correction does not build capability; it amplifies inconsistency.</w:t>
      </w:r>
    </w:p>
    <w:p w14:paraId="56475D7B" w14:textId="77777777" w:rsidR="0069272C" w:rsidRPr="00B95E28" w:rsidRDefault="0069272C" w:rsidP="0069272C">
      <w:pPr>
        <w:rPr>
          <w:rFonts w:eastAsia="MS Mincho"/>
          <w:color w:val="000000" w:themeColor="text1"/>
        </w:rPr>
      </w:pPr>
    </w:p>
    <w:p w14:paraId="417527A0" w14:textId="26D8627F" w:rsidR="001F089D" w:rsidRPr="00B95E28" w:rsidRDefault="001F089D" w:rsidP="00557AB7">
      <w:pPr>
        <w:pStyle w:val="Heading3"/>
        <w:spacing w:before="0" w:after="0" w:line="480" w:lineRule="auto"/>
        <w:rPr>
          <w:rFonts w:eastAsia="MS Mincho"/>
          <w:color w:val="000000" w:themeColor="text1"/>
        </w:rPr>
      </w:pPr>
      <w:bookmarkStart w:id="151" w:name="_Toc232351869"/>
      <w:r w:rsidRPr="00B95E28">
        <w:rPr>
          <w:rFonts w:eastAsia="MS Mincho"/>
          <w:color w:val="000000" w:themeColor="text1"/>
        </w:rPr>
        <w:t>5.2.1 The Compounding Nature of Integration Constraints</w:t>
      </w:r>
      <w:bookmarkEnd w:id="151"/>
    </w:p>
    <w:p w14:paraId="467DEC4F" w14:textId="77777777" w:rsidR="001F089D" w:rsidRPr="00B95E28" w:rsidRDefault="001F089D" w:rsidP="00557AB7">
      <w:pPr>
        <w:spacing w:line="480" w:lineRule="auto"/>
        <w:rPr>
          <w:color w:val="000000" w:themeColor="text1"/>
        </w:rPr>
      </w:pPr>
      <w:r w:rsidRPr="00B95E28">
        <w:rPr>
          <w:color w:val="000000" w:themeColor="text1"/>
        </w:rPr>
        <w:t>The findings suggest that integration constraints do not simply appear within individual transactions; they accumulate across transactions when left unresolved. This accumulation is particularly important for serial acquirers because the organization’s acquisition pace can outstrip its ability to absorb operational complexity. When governance, planning, resourcing, and learning gaps are not corrected after one deal, they become embedded assumptions in the next.</w:t>
      </w:r>
    </w:p>
    <w:p w14:paraId="67DF5B9A" w14:textId="77777777" w:rsidR="001F089D" w:rsidRPr="00B95E28" w:rsidRDefault="001F089D" w:rsidP="00557AB7">
      <w:pPr>
        <w:spacing w:line="480" w:lineRule="auto"/>
        <w:rPr>
          <w:color w:val="000000" w:themeColor="text1"/>
        </w:rPr>
      </w:pPr>
      <w:r w:rsidRPr="00B95E28">
        <w:rPr>
          <w:color w:val="000000" w:themeColor="text1"/>
        </w:rPr>
        <w:t>For example, if an organization repeatedly begins integration planning late, functional teams are forced to make execution decisions under compressed timelines. This increases dependence on informal coordination, individual memory, and reactive problem solving. If these issues are not formally reviewed and converted into revised integration practices, the next acquisition begins with the same structural weakness. Over time, the organization may appear more experienced, but its operating model for integration remains immature.</w:t>
      </w:r>
    </w:p>
    <w:p w14:paraId="58C0508D" w14:textId="77777777" w:rsidR="001F089D" w:rsidRPr="00B95E28" w:rsidRDefault="001F089D" w:rsidP="0069272C">
      <w:pPr>
        <w:rPr>
          <w:color w:val="000000" w:themeColor="text1"/>
        </w:rPr>
      </w:pPr>
    </w:p>
    <w:p w14:paraId="7ECA1907" w14:textId="2BC5A7BA" w:rsidR="001F089D" w:rsidRPr="00B95E28" w:rsidRDefault="001F089D" w:rsidP="00557AB7">
      <w:pPr>
        <w:spacing w:line="480" w:lineRule="auto"/>
        <w:rPr>
          <w:color w:val="000000" w:themeColor="text1"/>
        </w:rPr>
      </w:pPr>
      <w:r w:rsidRPr="00B95E28">
        <w:rPr>
          <w:color w:val="000000" w:themeColor="text1"/>
        </w:rPr>
        <w:t>This dynamic also explains why integration fatigue emerges in acquisition-driven organizations. Functional leaders are often expected to support integration while maintaining business-as-usual responsibilities. When each acquisition adds new work without removing previous constraints, the organization accumulates operational drag. Integration work becomes normalized as an additional burden rather than treated as a distinct capability requiring dedicated capacity, authority, and governance support.</w:t>
      </w:r>
    </w:p>
    <w:p w14:paraId="5F784B4A" w14:textId="77777777" w:rsidR="001F089D" w:rsidRPr="00B95E28" w:rsidRDefault="001F089D" w:rsidP="00557AB7">
      <w:pPr>
        <w:spacing w:line="480" w:lineRule="auto"/>
        <w:rPr>
          <w:color w:val="000000" w:themeColor="text1"/>
        </w:rPr>
      </w:pPr>
    </w:p>
    <w:p w14:paraId="2A2F2BF0" w14:textId="64DF2416" w:rsidR="001F089D" w:rsidRPr="00B95E28" w:rsidRDefault="001F089D" w:rsidP="00557AB7">
      <w:pPr>
        <w:spacing w:line="480" w:lineRule="auto"/>
        <w:rPr>
          <w:color w:val="000000" w:themeColor="text1"/>
        </w:rPr>
      </w:pPr>
      <w:r w:rsidRPr="00B95E28">
        <w:rPr>
          <w:color w:val="000000" w:themeColor="text1"/>
        </w:rPr>
        <w:lastRenderedPageBreak/>
        <w:t>The consequence is that serial acquisition activity can scale both capability and risk. Where organizations have strong governance, dedicated leadership, and deliberate learning mechanisms, repeated transactions create a basis for refinement. Where these conditions are absent, repeated transactions magnify inconsistency. Each deal introduces new complexity while unresolved issues from prior deals remain embedded in systems, processes, reporting structures, and operating routines.</w:t>
      </w:r>
    </w:p>
    <w:p w14:paraId="6EB55C8B" w14:textId="77777777" w:rsidR="001F089D" w:rsidRPr="00B95E28" w:rsidRDefault="001F089D" w:rsidP="0069272C">
      <w:pPr>
        <w:rPr>
          <w:color w:val="000000" w:themeColor="text1"/>
        </w:rPr>
      </w:pPr>
    </w:p>
    <w:p w14:paraId="3EAC2FD7" w14:textId="77777777" w:rsidR="001F089D" w:rsidRPr="00B95E28" w:rsidRDefault="001F089D" w:rsidP="00557AB7">
      <w:pPr>
        <w:spacing w:line="480" w:lineRule="auto"/>
        <w:rPr>
          <w:color w:val="000000" w:themeColor="text1"/>
        </w:rPr>
      </w:pPr>
      <w:r w:rsidRPr="00B95E28">
        <w:rPr>
          <w:color w:val="000000" w:themeColor="text1"/>
        </w:rPr>
        <w:t>This finding contributes to the dissertation’s broader argument by showing that capability failure is not passive. Organizations do not merely fail to learn; they can actively reproduce the same weaknesses through repeated execution under unchanged conditions. The issue is therefore not only whether an organization has completed many acquisitions, but whether it has altered the organizational conditions under which integration is performed.</w:t>
      </w:r>
    </w:p>
    <w:p w14:paraId="3AED96A3" w14:textId="77777777" w:rsidR="001F089D" w:rsidRPr="00B95E28" w:rsidRDefault="001F089D" w:rsidP="0069272C">
      <w:pPr>
        <w:rPr>
          <w:rFonts w:eastAsia="MS Mincho"/>
          <w:color w:val="000000" w:themeColor="text1"/>
        </w:rPr>
      </w:pPr>
    </w:p>
    <w:p w14:paraId="6EB421F2" w14:textId="24ED33EB"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reinforces the argument that integration capability is not simply a function of experience or process availability, but of the organizational conditions that enable experience to be translated into repeatable performance. Understanding these constraints is essential to explaining why capability formation remains inconsistent in practice.</w:t>
      </w:r>
    </w:p>
    <w:p w14:paraId="0D6181A3" w14:textId="77777777" w:rsidR="0069272C" w:rsidRPr="00B95E28" w:rsidRDefault="0069272C" w:rsidP="0069272C">
      <w:pPr>
        <w:rPr>
          <w:rFonts w:eastAsia="MS Gothic"/>
          <w:color w:val="000000" w:themeColor="text1"/>
        </w:rPr>
      </w:pPr>
    </w:p>
    <w:p w14:paraId="0F872EC3" w14:textId="391C4A77" w:rsidR="001F089D" w:rsidRPr="00B95E28" w:rsidRDefault="001F089D" w:rsidP="00557AB7">
      <w:pPr>
        <w:pStyle w:val="Heading2"/>
        <w:spacing w:before="0" w:after="0" w:line="480" w:lineRule="auto"/>
        <w:rPr>
          <w:rFonts w:eastAsia="MS Mincho"/>
          <w:color w:val="000000" w:themeColor="text1"/>
        </w:rPr>
      </w:pPr>
      <w:bookmarkStart w:id="152" w:name="_Toc232351870"/>
      <w:r w:rsidRPr="00B95E28">
        <w:rPr>
          <w:rFonts w:eastAsia="MS Gothic"/>
          <w:color w:val="000000" w:themeColor="text1"/>
        </w:rPr>
        <w:t>5.3 The Integration Capability Loop (ICL)</w:t>
      </w:r>
      <w:bookmarkEnd w:id="152"/>
    </w:p>
    <w:p w14:paraId="5019AD68"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Building on the capability-based perspective established in the previous section, the findings of this study point to a dynamic pattern in how integration capability develops across successive acquisitions. Rather than operating as a linear sequence of activities, integration unfolds as a recurring cycle in which each transaction both draws upon and contributes to the organization’s overall capability. </w:t>
      </w:r>
    </w:p>
    <w:p w14:paraId="16443D92" w14:textId="77777777" w:rsidR="001F089D" w:rsidRPr="00B95E28" w:rsidRDefault="001F089D" w:rsidP="00557AB7">
      <w:pPr>
        <w:spacing w:line="480" w:lineRule="auto"/>
        <w:rPr>
          <w:rFonts w:eastAsia="MS Mincho"/>
          <w:color w:val="000000" w:themeColor="text1"/>
        </w:rPr>
      </w:pPr>
    </w:p>
    <w:p w14:paraId="041E3BF6" w14:textId="47B8C401" w:rsidR="001F089D" w:rsidRPr="00B95E28" w:rsidRDefault="001F089D" w:rsidP="00557AB7">
      <w:pPr>
        <w:spacing w:line="480" w:lineRule="auto"/>
        <w:rPr>
          <w:rFonts w:eastAsia="MS Mincho"/>
          <w:color w:val="000000" w:themeColor="text1"/>
        </w:rPr>
      </w:pPr>
      <w:r w:rsidRPr="00B95E28">
        <w:rPr>
          <w:rFonts w:eastAsia="MS Mincho"/>
          <w:color w:val="000000" w:themeColor="text1"/>
        </w:rPr>
        <w:lastRenderedPageBreak/>
        <w:t>The findings support the development of the Integration Capability Loop (ICL), which explains how integration capability is developed, applied, and reinforced across successive acquisitions.</w:t>
      </w:r>
    </w:p>
    <w:p w14:paraId="16EF034B"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For clarity, the Integration Capability Loop explains how integration capability evolves over time across successive acquisitions, while the Integration Capability Engine explains the organizational conditions that enable that evolution. The Loop is temporal; the Engine is structural. Together, they explain both the movement of capability across transactions and the organizational mechanisms required to sustain it.</w:t>
      </w:r>
    </w:p>
    <w:p w14:paraId="170ED498" w14:textId="77777777" w:rsidR="0069272C" w:rsidRPr="00B95E28" w:rsidRDefault="0069272C" w:rsidP="0069272C">
      <w:pPr>
        <w:rPr>
          <w:rFonts w:eastAsia="MS Mincho"/>
          <w:color w:val="000000" w:themeColor="text1"/>
        </w:rPr>
      </w:pPr>
    </w:p>
    <w:p w14:paraId="6A5E0D30" w14:textId="51DC9A0D"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Unlike traditional integration frameworks, which typically describe sequential phases, the Integration Capability Loop incorporates feedback and reinforcement mechanisms that enable capability development across transactions. </w:t>
      </w:r>
    </w:p>
    <w:p w14:paraId="7B19A208" w14:textId="77777777" w:rsidR="001F089D" w:rsidRPr="00B95E28" w:rsidRDefault="001F089D" w:rsidP="0069272C">
      <w:pPr>
        <w:rPr>
          <w:rFonts w:eastAsia="MS Mincho"/>
          <w:color w:val="000000" w:themeColor="text1"/>
        </w:rPr>
      </w:pPr>
    </w:p>
    <w:p w14:paraId="352CEC70" w14:textId="52FAD065"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 loop structure reflects the empirical finding that integration does not occur in isolation, but as part of a broader organizational system in which each transaction contributes to future performance. By embedding learning and control mechanisms within the lifecycle, the model provides a more robust explanation for how organizations achieve repeatable integration outcomes.</w:t>
      </w:r>
    </w:p>
    <w:p w14:paraId="7C0D0259" w14:textId="77777777" w:rsidR="001F089D" w:rsidRPr="00B95E28" w:rsidRDefault="001F089D" w:rsidP="0069272C">
      <w:pPr>
        <w:rPr>
          <w:rFonts w:eastAsia="MS Mincho"/>
          <w:color w:val="000000" w:themeColor="text1"/>
        </w:rPr>
      </w:pPr>
    </w:p>
    <w:p w14:paraId="17776426" w14:textId="216A09F7"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The Integration Capability Loop represents integration as a continuous cycle composed of interconnected phases, beginning with organizational readiness and extending through execution to post-integration learning. Each phase is not isolated, but influences and is influenced by prior and subsequent integrations. In this way, the outcome of one transaction becomes an input into the next. </w:t>
      </w:r>
    </w:p>
    <w:p w14:paraId="59529E85" w14:textId="77777777" w:rsidR="001F089D" w:rsidRPr="00B95E28" w:rsidRDefault="001F089D" w:rsidP="00557AB7">
      <w:pPr>
        <w:spacing w:line="480" w:lineRule="auto"/>
        <w:rPr>
          <w:rFonts w:eastAsia="MS Mincho"/>
          <w:color w:val="000000" w:themeColor="text1"/>
        </w:rPr>
      </w:pPr>
    </w:p>
    <w:p w14:paraId="5A49C904" w14:textId="1A200453" w:rsidR="001F089D" w:rsidRPr="00B95E28" w:rsidRDefault="001F089D" w:rsidP="00557AB7">
      <w:pPr>
        <w:spacing w:line="480" w:lineRule="auto"/>
        <w:rPr>
          <w:rFonts w:eastAsia="MS Mincho"/>
          <w:color w:val="000000" w:themeColor="text1"/>
        </w:rPr>
      </w:pPr>
      <w:r w:rsidRPr="00B95E28">
        <w:rPr>
          <w:rFonts w:eastAsia="MS Mincho"/>
          <w:color w:val="000000" w:themeColor="text1"/>
        </w:rPr>
        <w:lastRenderedPageBreak/>
        <w:t>At the core of the loop is the principle of reinforcement. Successful integrations strengthen capability by improving alignment between governance, leadership, and execution. Conversely, ineffective integrations reinforce inefficiencies when learning is not captured or applied. Over time, these patterns accumulate, shaping the organization’s ability to execute future integrations.</w:t>
      </w:r>
    </w:p>
    <w:p w14:paraId="5BB175AB"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 model highlights that integration capability is not static. It evolves through repeated cycles, with each iteration presenting an opportunity for refinement. Organizations that actively capture insights, adjust structures, and embed learning demonstrate progressive improvement in execution consistency. In contrast, organizations that fail to institutionalize learning tend to repeat similar challenges across transactions, regardless of prior experience.</w:t>
      </w:r>
    </w:p>
    <w:p w14:paraId="590C8539" w14:textId="77777777" w:rsidR="001F089D" w:rsidRPr="00B95E28" w:rsidRDefault="001F089D" w:rsidP="0069272C">
      <w:pPr>
        <w:rPr>
          <w:rFonts w:eastAsia="MS Mincho"/>
          <w:color w:val="000000" w:themeColor="text1"/>
        </w:rPr>
      </w:pPr>
    </w:p>
    <w:p w14:paraId="41FC0B72" w14:textId="51984143"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A key feature of the Integration Capability Loop is its emphasis on continuity. While integration activities may vary depending on the context of each acquisition, the underlying capability is carried forward. This continuity enables organizations to reduce variability in execution, align expectations with operational realities, and improve the reliability of value realization over time.</w:t>
      </w:r>
    </w:p>
    <w:p w14:paraId="7D4FE495"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loop also illustrates the interdependence of phases. Weaknesses in early stages, such as inadequate readiness or delayed planning, create downstream challenges in execution. Similarly, the absence of structured learning mechanisms limits the organization’s ability to improve subsequent integrations. As a result, the effectiveness of the loop depends on the strength of each phase and the connections between them.</w:t>
      </w:r>
    </w:p>
    <w:p w14:paraId="06314617" w14:textId="77777777" w:rsidR="001F089D" w:rsidRPr="00B95E28" w:rsidRDefault="001F089D" w:rsidP="0069272C">
      <w:pPr>
        <w:rPr>
          <w:rFonts w:eastAsia="MS Mincho"/>
          <w:color w:val="000000" w:themeColor="text1"/>
        </w:rPr>
      </w:pPr>
    </w:p>
    <w:p w14:paraId="7D0135F7" w14:textId="505FCC66"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By conceptualizing integration as a loop rather than a sequence, the model provides a more accurate representation of how organizations experience integration in practice. It captures both the temporal dimension of capability development and the cumulative nature of learning across transactions.</w:t>
      </w:r>
    </w:p>
    <w:p w14:paraId="32803F17"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lastRenderedPageBreak/>
        <w:t>This distinction represents a meaningful departure from existing integration frameworks. While traditional models assume that each transaction can be managed as a contained lifecycle, the Integration Capability Loop explicitly recognizes that integration performance is path dependent. Outcomes are not reset between transactions; they are carried forward through organizational structures, leadership behaviours, and accumulated constraints.</w:t>
      </w:r>
    </w:p>
    <w:p w14:paraId="4E30B52D" w14:textId="77777777" w:rsidR="001F089D" w:rsidRPr="00B95E28" w:rsidRDefault="001F089D" w:rsidP="0069272C">
      <w:pPr>
        <w:rPr>
          <w:rFonts w:eastAsia="MS Mincho"/>
          <w:color w:val="000000" w:themeColor="text1"/>
        </w:rPr>
      </w:pPr>
    </w:p>
    <w:p w14:paraId="7D0120A8" w14:textId="2B5A9C73"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As a result, the model does not simply describe how integration should occur, but explains why integration outcomes vary over time within the same organization. This temporal dimension is largely absent from existing process-oriented frameworks, which focus on within-deal execution rather than cross-deal capability development.</w:t>
      </w:r>
    </w:p>
    <w:p w14:paraId="42478E14" w14:textId="77777777" w:rsidR="001F089D" w:rsidRPr="00B95E28" w:rsidRDefault="001F089D" w:rsidP="0069272C">
      <w:pPr>
        <w:rPr>
          <w:rFonts w:eastAsia="MS Mincho"/>
          <w:color w:val="000000" w:themeColor="text1"/>
        </w:rPr>
      </w:pPr>
    </w:p>
    <w:p w14:paraId="2F4EBBED" w14:textId="3DA3718A"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sections that follow examine the components of the loop in detail, beginning with an analysis of each phase in the integration lifecycle, followed by an exploration of the organizational enablers that support capability development and the causal relationships that link these elements together.</w:t>
      </w:r>
    </w:p>
    <w:p w14:paraId="7A8C4657"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Complementing this, the Integration Capability Engine, introduced later in this chapter, represents the structural dimension, capturing the organizational conditions that enable consistent execution. Together, these elements form an integrated model of integration capability, linking process, structure, and learning into a unified system. The Integration Capability Loop therefore extends traditional integration models by showing how learning, governance, and execution are carried forward across transactions rather than contained within a single deal lifecycle.</w:t>
      </w:r>
    </w:p>
    <w:p w14:paraId="1A7D4B70" w14:textId="77777777" w:rsidR="001F089D" w:rsidRPr="00B95E28" w:rsidRDefault="001F089D" w:rsidP="0069272C">
      <w:pPr>
        <w:rPr>
          <w:rFonts w:eastAsia="MS Mincho"/>
          <w:color w:val="000000" w:themeColor="text1"/>
        </w:rPr>
      </w:pPr>
    </w:p>
    <w:p w14:paraId="7273703D" w14:textId="4E22720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This distinction is critical in explaining why organizations that complete multiple acquisitions do not necessarily improve. Without structured reinforcement mechanisms, each integration remains isolated, and learning is not systematically applied. The Integration Capability Loop therefore </w:t>
      </w:r>
      <w:r w:rsidRPr="00B95E28">
        <w:rPr>
          <w:rFonts w:eastAsia="MS Mincho"/>
          <w:color w:val="000000" w:themeColor="text1"/>
        </w:rPr>
        <w:lastRenderedPageBreak/>
        <w:t>extends existing models by incorporating the temporal and cumulative dimensions of capability development, providing a more comprehensive explanation of repeatable integration performance.</w:t>
      </w:r>
    </w:p>
    <w:p w14:paraId="6A293002" w14:textId="77777777" w:rsidR="0069272C" w:rsidRPr="00B95E28" w:rsidRDefault="0069272C" w:rsidP="0069272C">
      <w:pPr>
        <w:rPr>
          <w:rFonts w:eastAsia="MS Gothic"/>
          <w:color w:val="000000" w:themeColor="text1"/>
        </w:rPr>
      </w:pPr>
    </w:p>
    <w:p w14:paraId="51A5BF15" w14:textId="3DFE91B9" w:rsidR="001F089D" w:rsidRPr="00B95E28" w:rsidRDefault="001F089D" w:rsidP="00557AB7">
      <w:pPr>
        <w:pStyle w:val="Heading2"/>
        <w:spacing w:before="0" w:after="0" w:line="480" w:lineRule="auto"/>
        <w:rPr>
          <w:rFonts w:eastAsia="MS Gothic"/>
          <w:color w:val="000000" w:themeColor="text1"/>
        </w:rPr>
      </w:pPr>
      <w:bookmarkStart w:id="153" w:name="_Toc232351871"/>
      <w:r w:rsidRPr="00B95E28">
        <w:rPr>
          <w:rFonts w:eastAsia="MS Gothic"/>
          <w:color w:val="000000" w:themeColor="text1"/>
        </w:rPr>
        <w:t>5.4 Phase Analysis (Readiness to Learning)</w:t>
      </w:r>
      <w:bookmarkEnd w:id="153"/>
    </w:p>
    <w:p w14:paraId="5EA06A42"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Although the phases are presented sequentially for clarity, the findings indicate that they are highly interdependent. Weaknesses in earlier phases create downstream constraints, while strengths established early improve continuity, execution discipline, and the organization’s ability to learn and improve over time.</w:t>
      </w:r>
    </w:p>
    <w:p w14:paraId="1B87B70A" w14:textId="77777777" w:rsidR="001F089D" w:rsidRPr="00B95E28" w:rsidRDefault="001F089D" w:rsidP="0069272C">
      <w:pPr>
        <w:rPr>
          <w:rFonts w:eastAsia="MS Mincho"/>
          <w:color w:val="000000" w:themeColor="text1"/>
        </w:rPr>
      </w:pPr>
    </w:p>
    <w:p w14:paraId="4B1959D1" w14:textId="091CD03C" w:rsidR="001F089D" w:rsidRPr="00B95E28" w:rsidRDefault="001F089D" w:rsidP="00557AB7">
      <w:pPr>
        <w:spacing w:line="480" w:lineRule="auto"/>
        <w:ind w:right="-279"/>
        <w:rPr>
          <w:b/>
          <w:bCs/>
          <w:color w:val="000000" w:themeColor="text1"/>
        </w:rPr>
      </w:pPr>
      <w:r w:rsidRPr="00B95E28">
        <w:rPr>
          <w:rFonts w:eastAsia="MS Mincho"/>
          <w:color w:val="000000" w:themeColor="text1"/>
        </w:rPr>
        <w:t xml:space="preserve">Integration capability does not operate independently of the underlying value drivers of the acquisition. The effectiveness of integration is ultimately determined by the organization’s ability to translate deal assumptions into operational outcomes. Where integration activities are not aligned with the specific mechanisms through which value is expected to be created, execution may be well-coordinated yet fail to deliver intended results. This highlights that integration capability must not only enable </w:t>
      </w:r>
      <w:r w:rsidR="009D07B6" w:rsidRPr="00B95E28">
        <w:rPr>
          <w:rFonts w:eastAsia="MS Mincho"/>
          <w:color w:val="000000" w:themeColor="text1"/>
        </w:rPr>
        <w:t>coordination but</w:t>
      </w:r>
      <w:r w:rsidRPr="00B95E28">
        <w:rPr>
          <w:rFonts w:eastAsia="MS Mincho"/>
          <w:color w:val="000000" w:themeColor="text1"/>
        </w:rPr>
        <w:t xml:space="preserve"> must be aligned with the operational logic of value creation within the acquired business. This reinforces a prevention-based view of integration capability. Problems that are visible during execution often originate much earlier in the lifecycle. Poor readiness, unclear assumptions, weak planning, and untested dependencies do not disappear after close; they reappear as delays, cost overruns, employee uncertainty, system issues, and missed value targets. In this sense, early integration discipline reduces downstream complexity.</w:t>
      </w:r>
    </w:p>
    <w:p w14:paraId="4576E2BC" w14:textId="77777777" w:rsidR="009D07B6" w:rsidRPr="00B95E28" w:rsidRDefault="009D07B6" w:rsidP="0069272C">
      <w:pPr>
        <w:rPr>
          <w:color w:val="000000" w:themeColor="text1"/>
        </w:rPr>
      </w:pPr>
    </w:p>
    <w:p w14:paraId="269779B9" w14:textId="316D3429" w:rsidR="001F089D" w:rsidRPr="00B95E28" w:rsidRDefault="001F089D" w:rsidP="00557AB7">
      <w:pPr>
        <w:spacing w:line="480" w:lineRule="auto"/>
        <w:rPr>
          <w:color w:val="000000" w:themeColor="text1"/>
        </w:rPr>
      </w:pPr>
      <w:r w:rsidRPr="00B95E28">
        <w:rPr>
          <w:color w:val="000000" w:themeColor="text1"/>
        </w:rPr>
        <w:t>As shown in Figure 5.1, the Integration Capability Loop illustrates integration capability as a recurring cycle rather than a single transaction lifecycle.</w:t>
      </w:r>
    </w:p>
    <w:p w14:paraId="4642DFB1" w14:textId="45DAE3BA" w:rsidR="009D07B6" w:rsidRPr="00B95E28" w:rsidRDefault="009D07B6" w:rsidP="00557AB7">
      <w:pPr>
        <w:pStyle w:val="Caption"/>
        <w:keepNext/>
        <w:spacing w:after="0" w:line="480" w:lineRule="auto"/>
        <w:jc w:val="center"/>
        <w:rPr>
          <w:color w:val="000000" w:themeColor="text1"/>
        </w:rPr>
      </w:pPr>
      <w:r w:rsidRPr="00B95E28">
        <w:rPr>
          <w:color w:val="000000" w:themeColor="text1"/>
        </w:rPr>
        <w:lastRenderedPageBreak/>
        <w:fldChar w:fldCharType="begin"/>
      </w:r>
      <w:r w:rsidRPr="00B95E28">
        <w:rPr>
          <w:color w:val="000000" w:themeColor="text1"/>
        </w:rPr>
        <w:instrText xml:space="preserve"> SEQ Figure \* ARABIC </w:instrText>
      </w:r>
      <w:r w:rsidRPr="00B95E28">
        <w:rPr>
          <w:color w:val="000000" w:themeColor="text1"/>
        </w:rPr>
        <w:fldChar w:fldCharType="separate"/>
      </w:r>
      <w:bookmarkStart w:id="154" w:name="_Toc230886211"/>
      <w:r w:rsidR="0033207C" w:rsidRPr="00B95E28">
        <w:rPr>
          <w:noProof/>
          <w:color w:val="000000" w:themeColor="text1"/>
        </w:rPr>
        <w:t>3</w:t>
      </w:r>
      <w:r w:rsidRPr="00B95E28">
        <w:rPr>
          <w:color w:val="000000" w:themeColor="text1"/>
        </w:rPr>
        <w:fldChar w:fldCharType="end"/>
      </w:r>
      <w:r w:rsidRPr="00B95E28">
        <w:rPr>
          <w:color w:val="000000" w:themeColor="text1"/>
        </w:rPr>
        <w:t>: Figure 5.1: Integration Capability Loop (Source: Author)</w:t>
      </w:r>
      <w:bookmarkEnd w:id="154"/>
    </w:p>
    <w:p w14:paraId="653A790A" w14:textId="77777777" w:rsidR="001F089D" w:rsidRPr="00B95E28" w:rsidRDefault="001F089D" w:rsidP="00557AB7">
      <w:pPr>
        <w:spacing w:line="480" w:lineRule="auto"/>
        <w:ind w:right="-279"/>
        <w:jc w:val="center"/>
        <w:rPr>
          <w:rFonts w:eastAsia="MS Mincho"/>
          <w:color w:val="000000" w:themeColor="text1"/>
        </w:rPr>
      </w:pPr>
      <w:r w:rsidRPr="00B95E28">
        <w:rPr>
          <w:rFonts w:eastAsia="MS Mincho"/>
          <w:noProof/>
          <w:color w:val="000000" w:themeColor="text1"/>
        </w:rPr>
        <w:drawing>
          <wp:inline distT="0" distB="0" distL="0" distR="0" wp14:anchorId="664F8E12" wp14:editId="150A24A1">
            <wp:extent cx="4890062" cy="3573710"/>
            <wp:effectExtent l="0" t="0" r="6350" b="8255"/>
            <wp:docPr id="1234673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673815" name=""/>
                    <pic:cNvPicPr/>
                  </pic:nvPicPr>
                  <pic:blipFill>
                    <a:blip r:embed="rId22"/>
                    <a:stretch>
                      <a:fillRect/>
                    </a:stretch>
                  </pic:blipFill>
                  <pic:spPr>
                    <a:xfrm>
                      <a:off x="0" y="0"/>
                      <a:ext cx="4959366" cy="3624358"/>
                    </a:xfrm>
                    <a:prstGeom prst="rect">
                      <a:avLst/>
                    </a:prstGeom>
                  </pic:spPr>
                </pic:pic>
              </a:graphicData>
            </a:graphic>
          </wp:inline>
        </w:drawing>
      </w:r>
    </w:p>
    <w:p w14:paraId="0F426C5F" w14:textId="77777777"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Phase 1: Acquisition Readiness</w:t>
      </w:r>
      <w:r w:rsidRPr="00B95E28">
        <w:rPr>
          <w:rFonts w:eastAsia="MS Mincho"/>
          <w:color w:val="000000" w:themeColor="text1"/>
        </w:rPr>
        <w:br/>
        <w:t>Acquisition readiness represents the organizational conditions that exist before a transaction is pursued and before integration planning begins in earnest. In the model, this phase reflects the organization’s preparedness to absorb an acquisition, including its governance maturity, leadership alignment, resource availability, and clarity regarding acquisition intent.</w:t>
      </w:r>
    </w:p>
    <w:p w14:paraId="60ECD84E" w14:textId="77777777" w:rsidR="009D07B6" w:rsidRPr="00B95E28" w:rsidRDefault="009D07B6" w:rsidP="0069272C">
      <w:pPr>
        <w:rPr>
          <w:rFonts w:eastAsia="MS Mincho"/>
          <w:color w:val="000000" w:themeColor="text1"/>
        </w:rPr>
      </w:pPr>
    </w:p>
    <w:p w14:paraId="02443608" w14:textId="424EB7C5"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findings indicate that readiness plays a foundational role in shaping subsequent integration outcomes. Organizations with stronger readiness demonstrate better target selection discipline, clearer executive alignment, and a more realistic understanding of the operational implications of acquisition-driven growth. In contrast, weak readiness results in poorly scoped transactions, unrealistic assumptions, and increased strain in later phases. Readiness therefore influences not only whether an organization can acquire, but whether it is positioned to integrate effectively.</w:t>
      </w:r>
    </w:p>
    <w:p w14:paraId="0DD98941"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lastRenderedPageBreak/>
        <w:t>Despite its importance, acquisition readiness is frequently underdeveloped in practice. Organizations often prioritize deal execution over integration preparation, resulting in misalignment between acquisition intent and organizational capacity. This creates downstream challenges that are difficult to correct in later phases, as assumptions made early in the process are carried forward into planning and execution. This reinforces the role of readiness not only as a preparatory condition, but as a determinant of integration complexity.</w:t>
      </w:r>
    </w:p>
    <w:p w14:paraId="38EF3B98" w14:textId="77777777" w:rsidR="009D07B6" w:rsidRPr="00B95E28" w:rsidRDefault="009D07B6" w:rsidP="0069272C">
      <w:pPr>
        <w:rPr>
          <w:rFonts w:eastAsia="MS Mincho"/>
          <w:color w:val="000000" w:themeColor="text1"/>
        </w:rPr>
      </w:pPr>
    </w:p>
    <w:p w14:paraId="6D734CDE" w14:textId="79331D12"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A recurring failure mode observed across interviews is the misalignment between acquisition intent and organizational capability at the point of deal initiation. Organizations frequently pursue acquisitions based on strategic or financial rationale without fully assessing their internal capacity to absorb and integrate the target. This misalignment manifests in unrealistic synergy assumptions, insufficient resource allocation, and unclear operational priorities.</w:t>
      </w:r>
    </w:p>
    <w:p w14:paraId="14FDC725" w14:textId="77777777" w:rsidR="009D07B6" w:rsidRPr="00B95E28" w:rsidRDefault="009D07B6" w:rsidP="0069272C">
      <w:pPr>
        <w:rPr>
          <w:rFonts w:eastAsia="MS Mincho"/>
          <w:color w:val="000000" w:themeColor="text1"/>
        </w:rPr>
      </w:pPr>
    </w:p>
    <w:p w14:paraId="7B58D1B6" w14:textId="4CCDFA0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As a result, integration complexity is not only a function of the target itself, but of the acquiring organization’s readiness to execute. Where capability is overestimated, the organization enters subsequent phases structurally constrained, forcing reactive adjustments that could have been mitigated through earlier alignment. This highlights that acquisition readiness is not simply about preparation, but about ensuring that strategic intent is grounded in operational reality.</w:t>
      </w:r>
    </w:p>
    <w:p w14:paraId="79782847" w14:textId="77777777" w:rsidR="009D07B6" w:rsidRPr="00B95E28" w:rsidRDefault="009D07B6" w:rsidP="0069272C">
      <w:pPr>
        <w:rPr>
          <w:rFonts w:eastAsia="MS Mincho"/>
          <w:color w:val="000000" w:themeColor="text1"/>
        </w:rPr>
      </w:pPr>
    </w:p>
    <w:p w14:paraId="19723712" w14:textId="66CD9FCB"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This phase therefore functions as the foundation of the integration capability system rather than a standalone preparatory stage. Its effectiveness is reflected in the extent to which integration considerations are embedded early in the acquisition lifecycle, shaping the quality and timing of subsequent planning activities. Where readiness is well established, organizations are able to approach integration proactively, reducing variability in planning and execution. In contrast, </w:t>
      </w:r>
      <w:r w:rsidRPr="00B95E28">
        <w:rPr>
          <w:rFonts w:eastAsia="MS Mincho"/>
          <w:color w:val="000000" w:themeColor="text1"/>
        </w:rPr>
        <w:lastRenderedPageBreak/>
        <w:t>insufficient readiness introduces structural misalignment that persists across later phases, increasing complexity and limiting the effectiveness of downstream activities.</w:t>
      </w:r>
    </w:p>
    <w:p w14:paraId="383E06EA" w14:textId="77777777" w:rsidR="0069272C" w:rsidRPr="00B95E28" w:rsidRDefault="0069272C" w:rsidP="0069272C">
      <w:pPr>
        <w:rPr>
          <w:rFonts w:eastAsia="MS Mincho"/>
          <w:color w:val="000000" w:themeColor="text1"/>
        </w:rPr>
      </w:pPr>
    </w:p>
    <w:p w14:paraId="4DB75C12" w14:textId="76E131BD"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Phase 2: Pre-Close Integration Planning</w:t>
      </w:r>
      <w:r w:rsidRPr="00B95E28">
        <w:rPr>
          <w:rFonts w:eastAsia="MS Mincho"/>
          <w:color w:val="000000" w:themeColor="text1"/>
        </w:rPr>
        <w:br/>
        <w:t>Pre-close integration planning refers to the structured effort to translate acquisition intent into an actionable integration approach before the deal closes. As reflected in the model, this phase is initiated during diligence and focuses on defining priorities, identifying risks, aligning leadership expectations, and preparing for Day 1.</w:t>
      </w:r>
    </w:p>
    <w:p w14:paraId="5FAD0079" w14:textId="77777777" w:rsidR="009D07B6" w:rsidRPr="00B95E28" w:rsidRDefault="009D07B6" w:rsidP="0069272C">
      <w:pPr>
        <w:rPr>
          <w:rFonts w:eastAsia="MS Mincho"/>
          <w:color w:val="000000" w:themeColor="text1"/>
        </w:rPr>
      </w:pPr>
    </w:p>
    <w:p w14:paraId="0E53F0AA" w14:textId="11AE1D76"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findings suggest that this phase is one of the most decisive points in the lifecycle. Where planning begins early, organizations are better able to align execution with deal logic, clarify decision rights, and anticipate operational constraints. This phase also establishes the initial governance structure, including accountability, escalation pathways, and decision-making authority, which directly shape execution performance post-close.</w:t>
      </w:r>
    </w:p>
    <w:p w14:paraId="6691F222" w14:textId="77777777" w:rsidR="009D07B6" w:rsidRPr="00B95E28" w:rsidRDefault="009D07B6" w:rsidP="0069272C">
      <w:pPr>
        <w:rPr>
          <w:rFonts w:eastAsia="MS Mincho"/>
          <w:color w:val="000000" w:themeColor="text1"/>
        </w:rPr>
      </w:pPr>
    </w:p>
    <w:p w14:paraId="4544603B" w14:textId="0AF7FC2D"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Where planning is delayed, integration becomes reactive and fragmented. Delayed planning also increases the risk that synergy estimates, timelines, resource assumptions, and integration costs are materially wrong. When integration teams are not involved early enough, organizations may announce objectives and timing before the operational implications are understood. This creates pressure on execution teams to deliver against assumptions they did not help form and may not be realistic. The data reinforces that pre-close planning is not a procedural formality, but a mechanism through which strategic intent is converted into operational readiness.</w:t>
      </w:r>
    </w:p>
    <w:p w14:paraId="6B2C934B"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Despite its critical role, pre-close integration planning is often constrained by timing pressures and organizational priorities. In many cases, planning is compressed or initiated too late, limiting the organization’s ability to align stakeholders, define clear decision rights, and anticipate operational </w:t>
      </w:r>
      <w:r w:rsidRPr="00B95E28">
        <w:rPr>
          <w:rFonts w:eastAsia="MS Mincho"/>
          <w:color w:val="000000" w:themeColor="text1"/>
        </w:rPr>
        <w:lastRenderedPageBreak/>
        <w:t>challenges. This results in execution phases that are reactive rather than coordinated. These patterns highlight that planning effectiveness is not determined by the presence of planning activities alone, but by when and how they are performed within the acquisition lifecycle.</w:t>
      </w:r>
    </w:p>
    <w:p w14:paraId="735E1798" w14:textId="77777777" w:rsidR="009D07B6" w:rsidRPr="00B95E28" w:rsidRDefault="009D07B6" w:rsidP="0069272C">
      <w:pPr>
        <w:rPr>
          <w:rFonts w:eastAsia="MS Mincho"/>
          <w:color w:val="000000" w:themeColor="text1"/>
        </w:rPr>
      </w:pPr>
    </w:p>
    <w:p w14:paraId="281B989D" w14:textId="0802ED81"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A consistent failure mode observed across interviews is the compression of planning activities due to deal momentum and timing pressures. Where planning is treated as a parallel activity rather than a prerequisite, critical decisions are deferred into execution, increasing coordination complexity and reducing alignment across functions.</w:t>
      </w:r>
    </w:p>
    <w:p w14:paraId="7C812F65" w14:textId="77777777" w:rsidR="009D07B6" w:rsidRPr="00B95E28" w:rsidRDefault="009D07B6" w:rsidP="0069272C">
      <w:pPr>
        <w:rPr>
          <w:rFonts w:eastAsia="MS Mincho"/>
          <w:color w:val="000000" w:themeColor="text1"/>
        </w:rPr>
      </w:pPr>
    </w:p>
    <w:p w14:paraId="45BA75F5" w14:textId="7BBC2916"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compression results in planning outputs that appear complete but lack depth in key areas such as decision rights, resource allocation, and dependency mapping. As a result, execution phases inherit unresolved assumptions, forcing integration teams to make high-impact decisions under time pressure and incomplete information. This shifts integration from a coordinated process to a reactive one, significantly increasing variability in outcomes.</w:t>
      </w:r>
    </w:p>
    <w:p w14:paraId="7CDDBE96" w14:textId="77777777" w:rsidR="0069272C" w:rsidRPr="00B95E28" w:rsidRDefault="0069272C" w:rsidP="0069272C">
      <w:pPr>
        <w:rPr>
          <w:rFonts w:eastAsia="MS Mincho"/>
          <w:color w:val="000000" w:themeColor="text1"/>
        </w:rPr>
      </w:pPr>
    </w:p>
    <w:p w14:paraId="1D4C1751" w14:textId="29CEC80F"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Phase 3: Day 1 Stabilization</w:t>
      </w:r>
      <w:r w:rsidRPr="00B95E28">
        <w:rPr>
          <w:rFonts w:eastAsia="MS Mincho"/>
          <w:color w:val="000000" w:themeColor="text1"/>
        </w:rPr>
        <w:br/>
        <w:t>Day 1 stabilization refers to the immediate post-close period in which the organization seeks to preserve continuity, maintain control, and stabilize critical operations. In the model, this phase emphasizes preservation rather than transformation. Its purpose is to ensure that the organization can continue operating while broader integration activities are being mobilized.</w:t>
      </w:r>
    </w:p>
    <w:p w14:paraId="0B2733B4"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The findings show that Day 1 performance is heavily influenced by the quality of pre-close planning. Organizations that enter this phase with defined priorities, communication pathways, and clear accountabilities are better positioned to preserve business continuity and reduce disruption. Where these conditions are absent, uncertainty increases, issues escalate more rapidly, and </w:t>
      </w:r>
      <w:r w:rsidRPr="00B95E28">
        <w:rPr>
          <w:rFonts w:eastAsia="MS Mincho"/>
          <w:color w:val="000000" w:themeColor="text1"/>
        </w:rPr>
        <w:lastRenderedPageBreak/>
        <w:t>leadership attention is diverted into reactive problem-solving. Day 1 stabilization therefore serves as the bridge between planning and full integration execution.</w:t>
      </w:r>
    </w:p>
    <w:p w14:paraId="504D09B3" w14:textId="77777777" w:rsidR="009D07B6" w:rsidRPr="00B95E28" w:rsidRDefault="009D07B6" w:rsidP="0069272C">
      <w:pPr>
        <w:rPr>
          <w:rFonts w:eastAsia="MS Mincho"/>
          <w:color w:val="000000" w:themeColor="text1"/>
        </w:rPr>
      </w:pPr>
    </w:p>
    <w:p w14:paraId="79F7397C" w14:textId="03042005"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In practice, Day 1 stabilization is often where weaknesses in earlier phases become most visible. Organizations that enter this phase without clearly defined priorities, communication pathways, or operational readiness frequently experience disruption, uncertainty, and increased reliance on reactive problem-solving. This not only affects immediate performance but also diverts attention away from structured execution activities. As such, Day 1 serves as a critical inflection point, revealing the effectiveness of planning and shaping the trajectory of subsequent integration efforts.</w:t>
      </w:r>
    </w:p>
    <w:p w14:paraId="025736C3" w14:textId="77777777" w:rsidR="009D07B6" w:rsidRPr="00B95E28" w:rsidRDefault="009D07B6" w:rsidP="0069272C">
      <w:pPr>
        <w:rPr>
          <w:color w:val="000000" w:themeColor="text1"/>
        </w:rPr>
      </w:pPr>
    </w:p>
    <w:p w14:paraId="1C6533A0" w14:textId="367A067A" w:rsidR="001F089D" w:rsidRPr="00B95E28" w:rsidRDefault="001F089D" w:rsidP="00557AB7">
      <w:pPr>
        <w:spacing w:line="480" w:lineRule="auto"/>
        <w:rPr>
          <w:color w:val="000000" w:themeColor="text1"/>
        </w:rPr>
      </w:pPr>
      <w:r w:rsidRPr="00B95E28">
        <w:rPr>
          <w:color w:val="000000" w:themeColor="text1"/>
        </w:rPr>
        <w:t>A key failure mode in this phase is the visible breakdown of planning assumptions under live operating conditions. While pre-close plans often assume continuity and alignment, Day 1 frequently exposes gaps in communication, unclear ownership, and misaligned expectations between functions.</w:t>
      </w:r>
    </w:p>
    <w:p w14:paraId="36E98922" w14:textId="77777777" w:rsidR="009D07B6" w:rsidRPr="00B95E28" w:rsidRDefault="009D07B6" w:rsidP="0069272C">
      <w:pPr>
        <w:rPr>
          <w:color w:val="000000" w:themeColor="text1"/>
        </w:rPr>
      </w:pPr>
    </w:p>
    <w:p w14:paraId="717A320D" w14:textId="66DC9268" w:rsidR="001F089D" w:rsidRPr="00B95E28" w:rsidRDefault="001F089D" w:rsidP="00557AB7">
      <w:pPr>
        <w:spacing w:line="480" w:lineRule="auto"/>
        <w:rPr>
          <w:color w:val="000000" w:themeColor="text1"/>
        </w:rPr>
      </w:pPr>
      <w:r w:rsidRPr="00B95E28">
        <w:rPr>
          <w:color w:val="000000" w:themeColor="text1"/>
        </w:rPr>
        <w:t>These breakdowns are particularly evident in areas requiring cross-functional coordination, where the absence of clearly defined escalation pathways results in delayed decision-making and increased operational risk. As a result, leadership attention is diverted from structured execution to issue resolution, reducing momentum and delaying the transition into full integration. This reinforces that Day 1 is not merely a transition point, but a stress test of planning effectiveness.</w:t>
      </w:r>
    </w:p>
    <w:p w14:paraId="0EA44A94" w14:textId="77777777" w:rsidR="0069272C" w:rsidRPr="00B95E28" w:rsidRDefault="0069272C" w:rsidP="0069272C">
      <w:pPr>
        <w:rPr>
          <w:rFonts w:eastAsia="MS Mincho"/>
          <w:color w:val="000000" w:themeColor="text1"/>
        </w:rPr>
      </w:pPr>
    </w:p>
    <w:p w14:paraId="77DF0E03" w14:textId="1EFA97F5" w:rsidR="001F089D" w:rsidRPr="00B95E28" w:rsidRDefault="001F089D" w:rsidP="00557AB7">
      <w:pPr>
        <w:spacing w:line="480" w:lineRule="auto"/>
        <w:rPr>
          <w:color w:val="000000" w:themeColor="text1"/>
        </w:rPr>
      </w:pPr>
      <w:r w:rsidRPr="00B95E28">
        <w:rPr>
          <w:rFonts w:eastAsia="MS Mincho"/>
          <w:b/>
          <w:bCs/>
          <w:color w:val="000000" w:themeColor="text1"/>
        </w:rPr>
        <w:t>Phase 4: Integration Execution</w:t>
      </w:r>
      <w:r w:rsidRPr="00B95E28">
        <w:rPr>
          <w:rFonts w:eastAsia="MS Mincho"/>
          <w:color w:val="000000" w:themeColor="text1"/>
        </w:rPr>
        <w:br/>
        <w:t xml:space="preserve">Integration execution represents the implementation phase in which the organization begins aligning structures, systems, processes, and responsibilities across the combined entity. In the </w:t>
      </w:r>
      <w:r w:rsidRPr="00B95E28">
        <w:rPr>
          <w:rFonts w:eastAsia="MS Mincho"/>
          <w:color w:val="000000" w:themeColor="text1"/>
        </w:rPr>
        <w:lastRenderedPageBreak/>
        <w:t>model, this phase reflects the point at which plans are translated into coordinated operational action.</w:t>
      </w:r>
    </w:p>
    <w:p w14:paraId="58F28560" w14:textId="77777777" w:rsidR="009D07B6" w:rsidRPr="00B95E28" w:rsidRDefault="009D07B6" w:rsidP="0069272C">
      <w:pPr>
        <w:rPr>
          <w:rFonts w:eastAsia="MS Mincho"/>
          <w:color w:val="000000" w:themeColor="text1"/>
        </w:rPr>
      </w:pPr>
    </w:p>
    <w:p w14:paraId="43297B81" w14:textId="383EB6AB"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findings indicate that execution quality depends less on the existence of tasks than on the organization’s ability to coordinate them across functions. Challenges in this phase are frequently linked to unclear ownership, insufficient capacity, misaligned leadership, and weak escalation mechanisms. Where governance and accountability are clear, execution becomes more disciplined and predictable. Where they are weak, execution fragments, and value realization becomes more difficult. This phase therefore represents the operational test of the organization’s integration capability. This challenge is intensified because integrations require coordination across departments that may already struggle to execute large cross-functional projects under normal conditions. During acquisition integration, these dependencies become more complex because teams must align different structures, processes, systems, cultures, and management expectations. As a result, execution difficulty is not merely additive; it is compounded by the need to coordinate work across two organizations while maintaining business continuity.</w:t>
      </w:r>
    </w:p>
    <w:p w14:paraId="20D1E624" w14:textId="77777777" w:rsidR="009D07B6" w:rsidRPr="00B95E28" w:rsidRDefault="009D07B6" w:rsidP="0069272C">
      <w:pPr>
        <w:rPr>
          <w:rFonts w:eastAsia="MS Mincho"/>
          <w:color w:val="000000" w:themeColor="text1"/>
        </w:rPr>
      </w:pPr>
    </w:p>
    <w:p w14:paraId="2973EBCA" w14:textId="6AF3AA1C"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Despite the structured nature of execution activities, this phase is frequently characterized by variability in performance. Organizations often encounter challenges related to unclear ownership, competing priorities, and limited capacity within functional teams. These constraints result in fragmented execution and reduced ability to deliver on integration objectives. This highlights that execution effectiveness is not determined by task completion alone, but by the organization’s ability to coordinate activities across functions and maintain alignment with integration priorities.</w:t>
      </w:r>
    </w:p>
    <w:p w14:paraId="5F297BBF"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A dominant failure mode observed during execution is coordination overload combined with unclear ownership across functions. As integration activities scale, the number of interdependencies </w:t>
      </w:r>
      <w:r w:rsidRPr="00B95E28">
        <w:rPr>
          <w:rFonts w:eastAsia="MS Mincho"/>
          <w:color w:val="000000" w:themeColor="text1"/>
        </w:rPr>
        <w:lastRenderedPageBreak/>
        <w:t>increases significantly, requiring disciplined governance and clearly defined accountability structures. Where these are absent, execution becomes fragmented, with multiple teams operating in parallel without sufficient alignment.</w:t>
      </w:r>
    </w:p>
    <w:p w14:paraId="777894E4" w14:textId="77777777" w:rsidR="009D07B6" w:rsidRPr="00B95E28" w:rsidRDefault="009D07B6" w:rsidP="0069272C">
      <w:pPr>
        <w:rPr>
          <w:rFonts w:eastAsia="MS Mincho"/>
          <w:color w:val="000000" w:themeColor="text1"/>
        </w:rPr>
      </w:pPr>
    </w:p>
    <w:p w14:paraId="557D46A5" w14:textId="2F76B132"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fragmentation leads to duplicated effort, inconsistent decision-making, and delays in critical activities, particularly where dependencies are not actively managed. In addition, functional leaders are often required to balance integration responsibilities with ongoing operational demands, further constraining execution capacity. As a result, even well-designed integration plans fail to translate into outcomes, not due to lack of intent, but due to insufficient coordination capability.</w:t>
      </w:r>
    </w:p>
    <w:p w14:paraId="328A43A9" w14:textId="77777777" w:rsidR="0069272C" w:rsidRPr="00B95E28" w:rsidRDefault="0069272C" w:rsidP="0069272C">
      <w:pPr>
        <w:rPr>
          <w:rFonts w:eastAsia="MS Mincho"/>
          <w:color w:val="000000" w:themeColor="text1"/>
        </w:rPr>
      </w:pPr>
    </w:p>
    <w:p w14:paraId="420C163C" w14:textId="10E4BF44"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Phase 5: Organizational Learning and Capability Maturation</w:t>
      </w:r>
      <w:r w:rsidRPr="00B95E28">
        <w:rPr>
          <w:rFonts w:eastAsia="MS Mincho"/>
          <w:color w:val="000000" w:themeColor="text1"/>
        </w:rPr>
        <w:br/>
        <w:t>Organizational learning and capability maturation represents the phase in which experience from the completed integration is captured, interpreted, and translated into improved capability for future transactions. In the model, this phase is not limited to retrospective review; it reflects the deliberate maturation of the organization’s integration approach over time.</w:t>
      </w:r>
    </w:p>
    <w:p w14:paraId="6414B58F" w14:textId="77777777" w:rsidR="0069272C" w:rsidRPr="00B95E28" w:rsidRDefault="0069272C" w:rsidP="0069272C">
      <w:pPr>
        <w:rPr>
          <w:rFonts w:eastAsia="MS Mincho"/>
          <w:color w:val="000000" w:themeColor="text1"/>
        </w:rPr>
      </w:pPr>
    </w:p>
    <w:p w14:paraId="64BDE405" w14:textId="025DD082"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The findings indicate that this phase is often the weakest in practice. One reason this phase remains weak is that post-integration review is often displaced by business-as-usual demands. Once the immediate integration pressures subside, leaders and functional teams return to operational priorities, and the reflective work required to capture lessons is treated as optional. For learning to contribute to capability formation, post-integration review must be built into the integration plan and calendar from the outset, rather than treated as an informal exercise after the work is complete. Lessons may be recognized informally, but they are not always codified, shared, or incorporated into future integrations. Where structured learning mechanisms are present, organizations show greater consistency across acquisitions, improved readiness, and more realistic planning </w:t>
      </w:r>
      <w:r w:rsidRPr="00B95E28">
        <w:rPr>
          <w:rFonts w:eastAsia="MS Mincho"/>
          <w:color w:val="000000" w:themeColor="text1"/>
        </w:rPr>
        <w:lastRenderedPageBreak/>
        <w:t>assumptions. Where they are absent, prior experience does not translate into improved future performance. This phase is therefore central to the development of repeatable integration capability.</w:t>
      </w:r>
    </w:p>
    <w:p w14:paraId="63E1870E"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phase determines whether integration experience contributes to the development of repeatable organizational capability. A critical failure mode observed in this phase is the loss of knowledge between transactions, resulting in a reset effect where each integration is approached without the benefit of structured prior learning. While lessons are often recognized informally, they are rarely codified into reusable frameworks or embedded into governance and planning processes.</w:t>
      </w:r>
    </w:p>
    <w:p w14:paraId="38FBE93E" w14:textId="77777777" w:rsidR="009D07B6" w:rsidRPr="00B95E28" w:rsidRDefault="009D07B6" w:rsidP="0069272C">
      <w:pPr>
        <w:rPr>
          <w:rFonts w:eastAsia="MS Mincho"/>
          <w:color w:val="000000" w:themeColor="text1"/>
        </w:rPr>
      </w:pPr>
    </w:p>
    <w:p w14:paraId="5E070BDC" w14:textId="67F4E4D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results in knowledge remaining individual rather than institutional, making it vulnerable to turnover, shifting priorities, and time constraints. As a consequence, organizations frequently encounter similar challenges across successive acquisitions, despite having prior experience. This failure to convert experience into institutional capability represents a critical break in the Integration Capability Loop, preventing the accumulation of repeatable performance over time.</w:t>
      </w:r>
    </w:p>
    <w:p w14:paraId="4A07F512" w14:textId="77777777" w:rsidR="009D07B6"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The effectiveness of this phase is not defined by the accumulation of experience alone, but by the organization’s ability to systematically capture, embed, and apply learning across transactions. </w:t>
      </w:r>
    </w:p>
    <w:p w14:paraId="0A646B82" w14:textId="77777777" w:rsidR="009D07B6" w:rsidRPr="00B95E28" w:rsidRDefault="009D07B6" w:rsidP="0069272C">
      <w:pPr>
        <w:rPr>
          <w:rFonts w:eastAsia="MS Mincho"/>
          <w:color w:val="000000" w:themeColor="text1"/>
        </w:rPr>
      </w:pPr>
    </w:p>
    <w:p w14:paraId="4F5EE6B7" w14:textId="2E519240"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Where learning is structured and integrated into the lifecycle, organizations are able to reduce variability and improve performance over time. In contrast, when learning remains informal or isolated, experience does not translate into capability, limiting the organization’s ability to achieve consistent integration outcomes.</w:t>
      </w:r>
    </w:p>
    <w:p w14:paraId="5D8C23AC" w14:textId="77777777" w:rsidR="009D07B6" w:rsidRPr="00B95E28" w:rsidRDefault="009D07B6" w:rsidP="0069272C">
      <w:pPr>
        <w:rPr>
          <w:rFonts w:eastAsia="MS Mincho"/>
          <w:color w:val="000000" w:themeColor="text1"/>
        </w:rPr>
      </w:pPr>
    </w:p>
    <w:p w14:paraId="06C5D49F" w14:textId="497D0DED"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While presented as a distinct phase, the findings indicate that effective organizations embed learning throughout execution, continuously adjusting plans and approaches rather than relying solely on post-integration review.</w:t>
      </w:r>
    </w:p>
    <w:p w14:paraId="6E7A9EF1" w14:textId="77777777"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lastRenderedPageBreak/>
        <w:t>Subsequent Acquisitions</w:t>
      </w:r>
      <w:r w:rsidRPr="00B95E28">
        <w:rPr>
          <w:rFonts w:eastAsia="MS Mincho"/>
          <w:color w:val="000000" w:themeColor="text1"/>
        </w:rPr>
        <w:br/>
        <w:t>The model also includes subsequent acquisitions as the point at which matured capability is tested and re-applied. This element is not a separate phase of integration, but the proof point of whether learning has been effectively carried forward. Stronger learning and capability maturation improve deal selection and readiness in future transactions, while weak learning results in the repetition of similar challenges across deals.</w:t>
      </w:r>
    </w:p>
    <w:p w14:paraId="3D9410B9" w14:textId="77777777" w:rsidR="009D07B6" w:rsidRPr="00B95E28" w:rsidRDefault="009D07B6" w:rsidP="0069272C">
      <w:pPr>
        <w:rPr>
          <w:rFonts w:eastAsia="MS Mincho"/>
          <w:color w:val="000000" w:themeColor="text1"/>
        </w:rPr>
      </w:pPr>
    </w:p>
    <w:p w14:paraId="713072D1" w14:textId="644170DF"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Taken together, the phases demonstrate that integration capability develops through a connected lifecycle rather than through isolated post-close actions. Readiness shapes planning, planning enables Day 1 stability, stabilization supports execution, and learning determines whether performance improves in the next transaction. The strength of the loop therefore depends not only on each phase individually, but on the continuity between them. The next section examines the core organizational enablers that support this continuity across the lifecycle.</w:t>
      </w:r>
    </w:p>
    <w:p w14:paraId="19BC9D5E" w14:textId="77777777" w:rsidR="009D07B6" w:rsidRPr="00B95E28" w:rsidRDefault="009D07B6" w:rsidP="0069272C">
      <w:pPr>
        <w:rPr>
          <w:rFonts w:eastAsia="MS Mincho"/>
          <w:color w:val="000000" w:themeColor="text1"/>
        </w:rPr>
      </w:pPr>
    </w:p>
    <w:p w14:paraId="6AB1B216" w14:textId="745270C1"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Importantly, the findings indicate that acquisition readiness is rarely fully established prior to transaction initiation. In practice, organizations often identify gaps in governance, capacity, and alignment during planning and early execution. This suggests that readiness is not a static precondition, but an evolving state that is refined as integration progresses. As a result, the effectiveness of this phase depends not only on initial preparation, but on the organization’s ability to recognize and address readiness gaps in real time.</w:t>
      </w:r>
    </w:p>
    <w:p w14:paraId="079EBFD1" w14:textId="77777777" w:rsidR="009D07B6" w:rsidRPr="00B95E28" w:rsidRDefault="009D07B6" w:rsidP="0069272C">
      <w:pPr>
        <w:rPr>
          <w:rFonts w:eastAsia="MS Mincho"/>
          <w:color w:val="000000" w:themeColor="text1"/>
        </w:rPr>
      </w:pPr>
    </w:p>
    <w:p w14:paraId="3E09E111" w14:textId="73EDDF5C"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explains why integration capability is not built through isolated improvements, but through the continuity of alignment across the entire lifecycle.</w:t>
      </w:r>
    </w:p>
    <w:p w14:paraId="519AEA58" w14:textId="77777777" w:rsidR="004606AA" w:rsidRPr="00B95E28" w:rsidRDefault="004606AA" w:rsidP="00557AB7">
      <w:pPr>
        <w:spacing w:line="480" w:lineRule="auto"/>
        <w:ind w:right="-279"/>
        <w:rPr>
          <w:rFonts w:eastAsia="MS Mincho"/>
          <w:color w:val="000000" w:themeColor="text1"/>
        </w:rPr>
      </w:pPr>
    </w:p>
    <w:p w14:paraId="1C0C124F" w14:textId="69B4A13F"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lastRenderedPageBreak/>
        <w:t>Across the lifecycle, the failure modes identified in each phase can be understood as part of a broader typology of integration breakdown. These include structural failures (e.g., weak governance and unclear decision rights), temporal failures (e.g., delayed planning and compressed execution), and learning failures (e.g., lack of knowledge codification and transfer).</w:t>
      </w:r>
    </w:p>
    <w:p w14:paraId="33E3A0F8" w14:textId="77777777" w:rsidR="009D07B6" w:rsidRPr="00B95E28" w:rsidRDefault="009D07B6" w:rsidP="004606AA">
      <w:pPr>
        <w:rPr>
          <w:rFonts w:eastAsia="MS Mincho"/>
          <w:color w:val="000000" w:themeColor="text1"/>
        </w:rPr>
      </w:pPr>
    </w:p>
    <w:p w14:paraId="16271EF8" w14:textId="000AA835"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typology highlights that integration failure is not attributable to a single point of breakdown but emerges from the interaction of multiple failure modes across phases. Importantly, these categories are not independent. Structural weaknesses often lead to temporal compression, while temporal pressures limit the organization’s ability to learn. As a result, failure propagates across the lifecycle, reinforcing the cumulative nature of integration challenges identified in this study.</w:t>
      </w:r>
    </w:p>
    <w:p w14:paraId="18488492" w14:textId="77777777" w:rsidR="004606AA" w:rsidRPr="00B95E28" w:rsidRDefault="004606AA" w:rsidP="004606AA">
      <w:pPr>
        <w:rPr>
          <w:rFonts w:eastAsia="MS Gothic"/>
          <w:color w:val="000000" w:themeColor="text1"/>
        </w:rPr>
      </w:pPr>
    </w:p>
    <w:p w14:paraId="75DBC165" w14:textId="59DD4262" w:rsidR="001F089D" w:rsidRPr="00B95E28" w:rsidRDefault="001F089D" w:rsidP="00557AB7">
      <w:pPr>
        <w:pStyle w:val="Heading2"/>
        <w:spacing w:before="0" w:after="0" w:line="480" w:lineRule="auto"/>
        <w:rPr>
          <w:rFonts w:eastAsia="MS Gothic"/>
          <w:color w:val="000000" w:themeColor="text1"/>
        </w:rPr>
      </w:pPr>
      <w:bookmarkStart w:id="155" w:name="_Toc232351872"/>
      <w:r w:rsidRPr="00B95E28">
        <w:rPr>
          <w:rFonts w:eastAsia="MS Gothic"/>
          <w:color w:val="000000" w:themeColor="text1"/>
        </w:rPr>
        <w:t>5.5 Thematic Structure of Integration Capability</w:t>
      </w:r>
      <w:bookmarkEnd w:id="155"/>
    </w:p>
    <w:p w14:paraId="0A972D77" w14:textId="77777777" w:rsidR="001F089D" w:rsidRPr="00B95E28" w:rsidRDefault="001F089D" w:rsidP="00557AB7">
      <w:pPr>
        <w:spacing w:line="480" w:lineRule="auto"/>
        <w:rPr>
          <w:color w:val="000000" w:themeColor="text1"/>
        </w:rPr>
      </w:pPr>
      <w:r w:rsidRPr="00B95E28">
        <w:rPr>
          <w:color w:val="000000" w:themeColor="text1"/>
        </w:rPr>
        <w:t>The thematic analysis conducted in Chapter 4 identified a consistent set of patterns relating to how integration is structured, executed, and improved across transactions. These themes were derived through systematic coding and cross-case comparison and are further abstracted in this section into higher-order constructs that explain how integration capability is enacted in practice.</w:t>
      </w:r>
    </w:p>
    <w:p w14:paraId="48018CC9" w14:textId="4DAF3FC0" w:rsidR="009D07B6" w:rsidRPr="00B95E28" w:rsidRDefault="009D07B6"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56" w:name="_Toc232351977"/>
      <w:r w:rsidR="00B91B93">
        <w:rPr>
          <w:noProof/>
          <w:color w:val="000000" w:themeColor="text1"/>
        </w:rPr>
        <w:t>9</w:t>
      </w:r>
      <w:r w:rsidRPr="00B95E28">
        <w:rPr>
          <w:color w:val="000000" w:themeColor="text1"/>
        </w:rPr>
        <w:fldChar w:fldCharType="end"/>
      </w:r>
      <w:r w:rsidRPr="00B95E28">
        <w:rPr>
          <w:color w:val="000000" w:themeColor="text1"/>
        </w:rPr>
        <w:t>: Table 5.3: Integration Capability Dimensions (Source: Author)</w:t>
      </w:r>
      <w:bookmarkEnd w:id="156"/>
    </w:p>
    <w:p w14:paraId="64B7E5C0" w14:textId="118F7958" w:rsidR="001F089D" w:rsidRPr="00B95E28" w:rsidRDefault="001F089D" w:rsidP="00557AB7">
      <w:pPr>
        <w:spacing w:line="480" w:lineRule="auto"/>
        <w:rPr>
          <w:color w:val="000000" w:themeColor="text1"/>
        </w:rPr>
      </w:pPr>
      <w:r w:rsidRPr="00B95E28">
        <w:rPr>
          <w:noProof/>
          <w:color w:val="000000" w:themeColor="text1"/>
        </w:rPr>
        <w:drawing>
          <wp:inline distT="0" distB="0" distL="0" distR="0" wp14:anchorId="412BF108" wp14:editId="4DCA90C1">
            <wp:extent cx="5943600" cy="1371600"/>
            <wp:effectExtent l="0" t="0" r="0" b="0"/>
            <wp:docPr id="1293483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371600"/>
                    </a:xfrm>
                    <a:prstGeom prst="rect">
                      <a:avLst/>
                    </a:prstGeom>
                    <a:noFill/>
                    <a:ln>
                      <a:noFill/>
                    </a:ln>
                  </pic:spPr>
                </pic:pic>
              </a:graphicData>
            </a:graphic>
          </wp:inline>
        </w:drawing>
      </w:r>
    </w:p>
    <w:p w14:paraId="7DF5E770" w14:textId="77777777" w:rsidR="001F089D" w:rsidRPr="00B95E28" w:rsidRDefault="001F089D" w:rsidP="00557AB7">
      <w:pPr>
        <w:spacing w:line="480" w:lineRule="auto"/>
        <w:rPr>
          <w:color w:val="000000" w:themeColor="text1"/>
        </w:rPr>
      </w:pPr>
      <w:r w:rsidRPr="00B95E28">
        <w:rPr>
          <w:color w:val="000000" w:themeColor="text1"/>
        </w:rPr>
        <w:t>These capability dimensions represent the structural components of integration capability, which are operationalized through the Integration Capability Engine described in the following section.</w:t>
      </w:r>
    </w:p>
    <w:p w14:paraId="5DBCBB15" w14:textId="77777777" w:rsidR="001F089D" w:rsidRPr="00B95E28" w:rsidRDefault="001F089D" w:rsidP="00557AB7">
      <w:pPr>
        <w:spacing w:line="480" w:lineRule="auto"/>
        <w:rPr>
          <w:color w:val="000000" w:themeColor="text1"/>
        </w:rPr>
      </w:pPr>
      <w:r w:rsidRPr="00B95E28">
        <w:rPr>
          <w:color w:val="000000" w:themeColor="text1"/>
        </w:rPr>
        <w:lastRenderedPageBreak/>
        <w:t>Three primary capability domains were identified through thematic abstraction of the interview data.</w:t>
      </w:r>
    </w:p>
    <w:p w14:paraId="1FEA4386" w14:textId="77777777" w:rsidR="009D07B6" w:rsidRPr="00B95E28" w:rsidRDefault="009D07B6" w:rsidP="004606AA">
      <w:pPr>
        <w:rPr>
          <w:color w:val="000000" w:themeColor="text1"/>
        </w:rPr>
      </w:pPr>
    </w:p>
    <w:p w14:paraId="2C61F729" w14:textId="276D1C7A" w:rsidR="001F089D" w:rsidRPr="00B95E28" w:rsidRDefault="001F089D" w:rsidP="00557AB7">
      <w:pPr>
        <w:spacing w:line="480" w:lineRule="auto"/>
        <w:rPr>
          <w:color w:val="000000" w:themeColor="text1"/>
        </w:rPr>
      </w:pPr>
      <w:r w:rsidRPr="00B95E28">
        <w:rPr>
          <w:color w:val="000000" w:themeColor="text1"/>
        </w:rPr>
        <w:t xml:space="preserve">First, </w:t>
      </w:r>
      <w:r w:rsidRPr="00B95E28">
        <w:rPr>
          <w:b/>
          <w:bCs/>
          <w:color w:val="000000" w:themeColor="text1"/>
        </w:rPr>
        <w:t>Integration Governance Capability</w:t>
      </w:r>
      <w:r w:rsidRPr="00B95E28">
        <w:rPr>
          <w:color w:val="000000" w:themeColor="text1"/>
        </w:rPr>
        <w:t xml:space="preserve"> reflects the structures and leadership mechanisms through which decisions are made, accountability is established, and execution is coordinated across functions. This includes the presence of dedicated integration teams, clearly defined decision rights, and aligned leadership authority. This capability also depends on the timeliness and quality of information flowing to governance bodies. Steering committees and executive sponsors can only provide effective oversight when risks, issues, decisions, and dependencies are surfaced early enough to enable action.</w:t>
      </w:r>
    </w:p>
    <w:p w14:paraId="53087397" w14:textId="77777777" w:rsidR="009D07B6" w:rsidRPr="00B95E28" w:rsidRDefault="009D07B6" w:rsidP="004606AA">
      <w:pPr>
        <w:rPr>
          <w:color w:val="000000" w:themeColor="text1"/>
        </w:rPr>
      </w:pPr>
    </w:p>
    <w:p w14:paraId="4553B444" w14:textId="792D1EED" w:rsidR="001F089D" w:rsidRPr="00B95E28" w:rsidRDefault="001F089D" w:rsidP="00557AB7">
      <w:pPr>
        <w:spacing w:line="480" w:lineRule="auto"/>
        <w:rPr>
          <w:color w:val="000000" w:themeColor="text1"/>
        </w:rPr>
      </w:pPr>
      <w:r w:rsidRPr="00B95E28">
        <w:rPr>
          <w:color w:val="000000" w:themeColor="text1"/>
        </w:rPr>
        <w:t xml:space="preserve">Second, </w:t>
      </w:r>
      <w:r w:rsidRPr="00B95E28">
        <w:rPr>
          <w:b/>
          <w:bCs/>
          <w:color w:val="000000" w:themeColor="text1"/>
        </w:rPr>
        <w:t>Integration Planning Capability</w:t>
      </w:r>
      <w:r w:rsidRPr="00B95E28">
        <w:rPr>
          <w:color w:val="000000" w:themeColor="text1"/>
        </w:rPr>
        <w:t xml:space="preserve"> captures the organization’s ability to translate acquisition intent into executable plans prior to close. This includes early integration involvement during diligence, the development of structured integration playbooks, and alignment between deal assumptions and operational realities. For serial acquirers, this capability may also influence target identification and screening, as integration readiness should inform not only how a target is integrated, but whether it is realistically integrable.</w:t>
      </w:r>
    </w:p>
    <w:p w14:paraId="787C06A4" w14:textId="77777777" w:rsidR="009D07B6" w:rsidRPr="00B95E28" w:rsidRDefault="009D07B6" w:rsidP="004606AA">
      <w:pPr>
        <w:rPr>
          <w:color w:val="000000" w:themeColor="text1"/>
        </w:rPr>
      </w:pPr>
    </w:p>
    <w:p w14:paraId="37375C69" w14:textId="06474DB0" w:rsidR="001F089D" w:rsidRPr="00B95E28" w:rsidRDefault="001F089D" w:rsidP="00557AB7">
      <w:pPr>
        <w:spacing w:line="480" w:lineRule="auto"/>
        <w:rPr>
          <w:color w:val="000000" w:themeColor="text1"/>
        </w:rPr>
      </w:pPr>
      <w:r w:rsidRPr="00B95E28">
        <w:rPr>
          <w:color w:val="000000" w:themeColor="text1"/>
        </w:rPr>
        <w:t xml:space="preserve">Third, </w:t>
      </w:r>
      <w:r w:rsidRPr="00B95E28">
        <w:rPr>
          <w:b/>
          <w:bCs/>
          <w:color w:val="000000" w:themeColor="text1"/>
        </w:rPr>
        <w:t>Organizational Learning Capability</w:t>
      </w:r>
      <w:r w:rsidRPr="00B95E28">
        <w:rPr>
          <w:color w:val="000000" w:themeColor="text1"/>
        </w:rPr>
        <w:t xml:space="preserve"> reflects the mechanisms through which experience is captured, codified, and applied across transactions. This includes lessons learned processes, knowledge transfer, and the institutionalization of integration practices over time.</w:t>
      </w:r>
    </w:p>
    <w:p w14:paraId="61E0FB77" w14:textId="77777777" w:rsidR="001F089D" w:rsidRPr="00B95E28" w:rsidRDefault="001F089D" w:rsidP="00557AB7">
      <w:pPr>
        <w:spacing w:line="480" w:lineRule="auto"/>
        <w:rPr>
          <w:color w:val="000000" w:themeColor="text1"/>
        </w:rPr>
      </w:pPr>
      <w:r w:rsidRPr="00B95E28">
        <w:rPr>
          <w:color w:val="000000" w:themeColor="text1"/>
        </w:rPr>
        <w:t>In addition to these core domains, a set of contextual factors were identified, including technology integration complexity, human capital considerations, and cost efficiency pressures. While these factors influence integration outcomes, they do not independently constitute integration capability.</w:t>
      </w:r>
    </w:p>
    <w:p w14:paraId="2E4CB498" w14:textId="77777777" w:rsidR="009D07B6" w:rsidRPr="00B95E28" w:rsidRDefault="009D07B6" w:rsidP="00557AB7">
      <w:pPr>
        <w:spacing w:line="480" w:lineRule="auto"/>
        <w:rPr>
          <w:color w:val="000000" w:themeColor="text1"/>
        </w:rPr>
      </w:pPr>
    </w:p>
    <w:p w14:paraId="0F1BDD79" w14:textId="4917BA23" w:rsidR="001F089D" w:rsidRPr="00B95E28" w:rsidRDefault="001F089D" w:rsidP="00557AB7">
      <w:pPr>
        <w:spacing w:line="480" w:lineRule="auto"/>
        <w:rPr>
          <w:color w:val="000000" w:themeColor="text1"/>
        </w:rPr>
      </w:pPr>
      <w:r w:rsidRPr="00B95E28">
        <w:rPr>
          <w:color w:val="000000" w:themeColor="text1"/>
        </w:rPr>
        <w:t>These thematic domains provide the analytical foundation for the Integration Capability Engine described in the following section, which translates these capabilities into executable organizational conditions.</w:t>
      </w:r>
    </w:p>
    <w:p w14:paraId="13403F0B" w14:textId="62285C77" w:rsidR="00C300D1" w:rsidRPr="00B95E28" w:rsidRDefault="00C300D1" w:rsidP="00C300D1">
      <w:pPr>
        <w:pStyle w:val="Heading3"/>
        <w:rPr>
          <w:color w:val="000000" w:themeColor="text1"/>
        </w:rPr>
      </w:pPr>
      <w:bookmarkStart w:id="157" w:name="_Toc232351873"/>
      <w:r w:rsidRPr="00B95E28">
        <w:rPr>
          <w:color w:val="000000" w:themeColor="text1"/>
        </w:rPr>
        <w:t>5.5.1 The Acquired-Firm Perspective in Integration Capability</w:t>
      </w:r>
      <w:bookmarkEnd w:id="157"/>
    </w:p>
    <w:p w14:paraId="52F2FE73" w14:textId="77777777" w:rsidR="00C300D1" w:rsidRPr="00B95E28" w:rsidRDefault="00C300D1" w:rsidP="00C300D1">
      <w:pPr>
        <w:spacing w:line="480" w:lineRule="auto"/>
        <w:rPr>
          <w:color w:val="000000" w:themeColor="text1"/>
          <w:lang w:val="en-CA"/>
        </w:rPr>
      </w:pPr>
      <w:r w:rsidRPr="00B95E28">
        <w:rPr>
          <w:color w:val="000000" w:themeColor="text1"/>
          <w:lang w:val="en-CA"/>
        </w:rPr>
        <w:t>Although this study focuses primarily on serial acquirers, integration capability is also experienced by the acquired firm. From the acquired organization’s perspective, integration capability is not judged only by the presence of plans, workstreams, or governance structures. It is experienced through communication clarity, leadership behaviour, cultural sensitivity, decision transparency, and the degree to which employees understand what will change, what will remain stable, and how their roles fit into the combined organization.</w:t>
      </w:r>
    </w:p>
    <w:p w14:paraId="132D3B20" w14:textId="77777777" w:rsidR="00C300D1" w:rsidRPr="00B95E28" w:rsidRDefault="00C300D1" w:rsidP="00C300D1">
      <w:pPr>
        <w:rPr>
          <w:color w:val="000000" w:themeColor="text1"/>
          <w:lang w:val="en-CA"/>
        </w:rPr>
      </w:pPr>
    </w:p>
    <w:p w14:paraId="4F1872B2" w14:textId="3F008CFA" w:rsidR="00C300D1" w:rsidRPr="00B95E28" w:rsidRDefault="00C300D1" w:rsidP="00C300D1">
      <w:pPr>
        <w:spacing w:line="480" w:lineRule="auto"/>
        <w:rPr>
          <w:color w:val="000000" w:themeColor="text1"/>
          <w:lang w:val="en-CA"/>
        </w:rPr>
      </w:pPr>
      <w:r w:rsidRPr="00B95E28">
        <w:rPr>
          <w:color w:val="000000" w:themeColor="text1"/>
          <w:lang w:val="en-CA"/>
        </w:rPr>
        <w:t>This perspective is important because resistance is often interpreted by acquirers as a cultural or behavioural issue, when it may reflect uncertainty, identity loss, poor communication, or lack of trust in the integration process. Acquired employees may experience integration as disruption rather than value creation, particularly when decisions about systems, reporting lines, branding, benefits, or leadership roles are delayed or poorly explained. As a result, integration capability must include the ability to absorb the acquired firm without unnecessarily damaging employee commitment, customer continuity, or operational knowledge.</w:t>
      </w:r>
    </w:p>
    <w:p w14:paraId="25495DCE" w14:textId="77777777" w:rsidR="00C300D1" w:rsidRPr="00B95E28" w:rsidRDefault="00C300D1" w:rsidP="00C300D1">
      <w:pPr>
        <w:rPr>
          <w:color w:val="000000" w:themeColor="text1"/>
          <w:lang w:val="en-CA"/>
        </w:rPr>
      </w:pPr>
    </w:p>
    <w:p w14:paraId="77F4E63C" w14:textId="5C041FEB" w:rsidR="00C300D1" w:rsidRDefault="00C300D1" w:rsidP="00C300D1">
      <w:pPr>
        <w:spacing w:line="480" w:lineRule="auto"/>
        <w:rPr>
          <w:color w:val="000000" w:themeColor="text1"/>
          <w:lang w:val="en-CA"/>
        </w:rPr>
      </w:pPr>
      <w:r w:rsidRPr="00B95E28">
        <w:rPr>
          <w:color w:val="000000" w:themeColor="text1"/>
          <w:lang w:val="en-CA"/>
        </w:rPr>
        <w:t xml:space="preserve">For serial acquirers, this means that cultural absorption and resistance management are not soft issues separate from integration execution. They are part of the capability system itself. A mature integration capability therefore includes structured communication, leadership alignment, talent </w:t>
      </w:r>
      <w:r w:rsidRPr="00B95E28">
        <w:rPr>
          <w:color w:val="000000" w:themeColor="text1"/>
          <w:lang w:val="en-CA"/>
        </w:rPr>
        <w:lastRenderedPageBreak/>
        <w:t>retention planning, and mechanisms for preserving critical knowledge from the acquired organization.</w:t>
      </w:r>
    </w:p>
    <w:p w14:paraId="3D4364F5" w14:textId="77777777" w:rsidR="009E0F4E" w:rsidRDefault="009E0F4E" w:rsidP="009E0F4E"/>
    <w:p w14:paraId="1770C830" w14:textId="65966DF8" w:rsidR="00C300D1" w:rsidRPr="004C3257" w:rsidRDefault="009E0F4E" w:rsidP="004C3257">
      <w:pPr>
        <w:spacing w:line="480" w:lineRule="auto"/>
        <w:rPr>
          <w:color w:val="4F81BD" w:themeColor="accent1"/>
          <w:lang w:val="en-CA"/>
        </w:rPr>
      </w:pPr>
      <w:r w:rsidRPr="009E0F4E">
        <w:rPr>
          <w:color w:val="4F81BD" w:themeColor="accent1"/>
        </w:rPr>
        <w:t>The acquired company does not experience integration as an abstract capability model; it experiences integration through changes to reporting lines, leadership access, systems, processes, decision authority, culture, and employment expectations. Employees in the acquired firm may interpret integration as opportunity, disruption, loss of autonomy, or threat, depending on how communication, leadership, and change management are handled. This means that integration capability must include the ability to stabilize the acquired organization, retain critical talent, manage cultural resistance, and translate the deal rationale into practical meaning for employees. Without this acquired-firm perspective, integration risks being designed primarily around the buyer’s operating model while underestimating the human and organizational disruption created in the acquired business.</w:t>
      </w:r>
    </w:p>
    <w:p w14:paraId="0256D671" w14:textId="77777777" w:rsidR="004606AA" w:rsidRPr="00B95E28" w:rsidRDefault="004606AA" w:rsidP="004606AA">
      <w:pPr>
        <w:rPr>
          <w:rFonts w:eastAsia="MS Gothic"/>
          <w:color w:val="000000" w:themeColor="text1"/>
        </w:rPr>
      </w:pPr>
    </w:p>
    <w:p w14:paraId="3B0C2B3F" w14:textId="35FB3CC3" w:rsidR="001F089D" w:rsidRPr="00B95E28" w:rsidRDefault="001F089D" w:rsidP="00557AB7">
      <w:pPr>
        <w:pStyle w:val="Heading2"/>
        <w:spacing w:before="0" w:after="0" w:line="480" w:lineRule="auto"/>
        <w:rPr>
          <w:rFonts w:eastAsia="MS Gothic"/>
          <w:color w:val="000000" w:themeColor="text1"/>
        </w:rPr>
      </w:pPr>
      <w:bookmarkStart w:id="158" w:name="_Toc232351874"/>
      <w:r w:rsidRPr="00B95E28">
        <w:rPr>
          <w:rFonts w:eastAsia="MS Gothic"/>
          <w:color w:val="000000" w:themeColor="text1"/>
        </w:rPr>
        <w:t>5.6 The Integration Capability Engine (Core Enablers)</w:t>
      </w:r>
      <w:bookmarkEnd w:id="158"/>
    </w:p>
    <w:p w14:paraId="5CE3E3E1"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Building on the phase analysis presented in the previous section, this section examines the core organizational enablers that underpin integration capability. While the phases describe how integration unfolds over time, the findings indicate that consistent performance across these phases is dependent on a set of underlying organizational conditions. These conditions form what is described in this study as the Integration Capability Engine.</w:t>
      </w:r>
    </w:p>
    <w:p w14:paraId="08BEB9B8" w14:textId="77777777" w:rsidR="009D07B6" w:rsidRPr="00B95E28" w:rsidRDefault="009D07B6" w:rsidP="004606AA">
      <w:pPr>
        <w:rPr>
          <w:color w:val="000000" w:themeColor="text1"/>
        </w:rPr>
      </w:pPr>
    </w:p>
    <w:p w14:paraId="2DAA2055" w14:textId="4FB909ED" w:rsidR="001F089D" w:rsidRPr="00B95E28" w:rsidRDefault="001F089D" w:rsidP="00557AB7">
      <w:pPr>
        <w:spacing w:line="480" w:lineRule="auto"/>
        <w:ind w:right="-279"/>
        <w:rPr>
          <w:color w:val="000000" w:themeColor="text1"/>
        </w:rPr>
      </w:pPr>
      <w:r w:rsidRPr="00B95E28">
        <w:rPr>
          <w:color w:val="000000" w:themeColor="text1"/>
        </w:rPr>
        <w:t>Figure 5.2 builds on this temporal view by identifying the structural enablers that allow the loop to operate in practice.</w:t>
      </w:r>
    </w:p>
    <w:p w14:paraId="2C07945D" w14:textId="38082341" w:rsidR="009D07B6" w:rsidRPr="00B95E28" w:rsidRDefault="009D07B6" w:rsidP="00557AB7">
      <w:pPr>
        <w:pStyle w:val="Caption"/>
        <w:keepNext/>
        <w:spacing w:after="0" w:line="480" w:lineRule="auto"/>
        <w:jc w:val="center"/>
        <w:rPr>
          <w:color w:val="000000" w:themeColor="text1"/>
        </w:rPr>
      </w:pPr>
      <w:r w:rsidRPr="00B95E28">
        <w:rPr>
          <w:color w:val="000000" w:themeColor="text1"/>
        </w:rPr>
        <w:lastRenderedPageBreak/>
        <w:fldChar w:fldCharType="begin"/>
      </w:r>
      <w:r w:rsidRPr="00B95E28">
        <w:rPr>
          <w:color w:val="000000" w:themeColor="text1"/>
        </w:rPr>
        <w:instrText xml:space="preserve"> SEQ Figure \* ARABIC </w:instrText>
      </w:r>
      <w:r w:rsidRPr="00B95E28">
        <w:rPr>
          <w:color w:val="000000" w:themeColor="text1"/>
        </w:rPr>
        <w:fldChar w:fldCharType="separate"/>
      </w:r>
      <w:bookmarkStart w:id="159" w:name="_Toc230886212"/>
      <w:r w:rsidR="0033207C" w:rsidRPr="00B95E28">
        <w:rPr>
          <w:noProof/>
          <w:color w:val="000000" w:themeColor="text1"/>
        </w:rPr>
        <w:t>4</w:t>
      </w:r>
      <w:r w:rsidRPr="00B95E28">
        <w:rPr>
          <w:color w:val="000000" w:themeColor="text1"/>
        </w:rPr>
        <w:fldChar w:fldCharType="end"/>
      </w:r>
      <w:r w:rsidRPr="00B95E28">
        <w:rPr>
          <w:color w:val="000000" w:themeColor="text1"/>
        </w:rPr>
        <w:t>: Figure 5.2: Integration Capability Engine (Source: Author)</w:t>
      </w:r>
      <w:bookmarkEnd w:id="159"/>
    </w:p>
    <w:p w14:paraId="1047AC6C" w14:textId="77777777" w:rsidR="001F089D" w:rsidRPr="00B95E28" w:rsidRDefault="001F089D" w:rsidP="00557AB7">
      <w:pPr>
        <w:spacing w:line="480" w:lineRule="auto"/>
        <w:ind w:left="-284" w:right="-279"/>
        <w:jc w:val="center"/>
        <w:rPr>
          <w:rFonts w:eastAsia="MS Mincho"/>
          <w:color w:val="000000" w:themeColor="text1"/>
        </w:rPr>
      </w:pPr>
      <w:r w:rsidRPr="00B95E28">
        <w:rPr>
          <w:rFonts w:eastAsia="MS Mincho"/>
          <w:noProof/>
          <w:color w:val="000000" w:themeColor="text1"/>
        </w:rPr>
        <w:drawing>
          <wp:inline distT="0" distB="0" distL="0" distR="0" wp14:anchorId="6F201593" wp14:editId="5D82827A">
            <wp:extent cx="2074127" cy="2412881"/>
            <wp:effectExtent l="0" t="0" r="2540" b="6985"/>
            <wp:docPr id="5282566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12679" cy="2457730"/>
                    </a:xfrm>
                    <a:prstGeom prst="rect">
                      <a:avLst/>
                    </a:prstGeom>
                    <a:noFill/>
                  </pic:spPr>
                </pic:pic>
              </a:graphicData>
            </a:graphic>
          </wp:inline>
        </w:drawing>
      </w:r>
    </w:p>
    <w:p w14:paraId="28AE56EB"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Integration Capability Engine explains the underlying conditions that enable consistent integration performance across transactions. Together, these enablers represent the operational manifestation of integration capability, translating abstract capability into executable organizational conditions.</w:t>
      </w:r>
    </w:p>
    <w:p w14:paraId="074ACF4A" w14:textId="77777777" w:rsidR="009D07B6" w:rsidRPr="00B95E28" w:rsidRDefault="009D07B6" w:rsidP="004606AA">
      <w:pPr>
        <w:rPr>
          <w:rFonts w:eastAsia="MS Mincho"/>
          <w:color w:val="000000" w:themeColor="text1"/>
        </w:rPr>
      </w:pPr>
    </w:p>
    <w:p w14:paraId="43494B3D" w14:textId="06FF32C1" w:rsidR="001F089D" w:rsidRDefault="001F089D" w:rsidP="00557AB7">
      <w:pPr>
        <w:spacing w:line="480" w:lineRule="auto"/>
        <w:ind w:right="-279"/>
        <w:rPr>
          <w:rFonts w:eastAsia="MS Mincho"/>
          <w:color w:val="000000" w:themeColor="text1"/>
        </w:rPr>
      </w:pPr>
      <w:r w:rsidRPr="00B95E28">
        <w:rPr>
          <w:rFonts w:eastAsia="MS Mincho"/>
          <w:color w:val="000000" w:themeColor="text1"/>
        </w:rPr>
        <w:t>The interview findings support this structural interpretation. Respondents repeatedly emphasized that integration outcomes depend on whether governance structures, decision rights, communication routines, and resourcing models are strong enough to support execution. For example, participants described the importance of cross-functional committees, steering structures, dedicated integration leadership, and clear escalation paths. Others emphasized that people already have full-time roles during integration, meaning that integration capability depends not only on planning quality, but on the organization’s willingness to allocate real capacity to the work. These findings reinforce the argument that the Engine is not a separate framework from the Loop, but the organizational infrastructure required for the Loop to function.</w:t>
      </w:r>
    </w:p>
    <w:p w14:paraId="4CA0ED63" w14:textId="77777777" w:rsidR="004530FF" w:rsidRDefault="004530FF" w:rsidP="004530FF">
      <w:pPr>
        <w:rPr>
          <w:rFonts w:eastAsia="MS Mincho"/>
        </w:rPr>
      </w:pPr>
    </w:p>
    <w:p w14:paraId="2A3875EC" w14:textId="7F99DC2F" w:rsidR="004530FF" w:rsidRPr="004530FF" w:rsidRDefault="004530FF" w:rsidP="00557AB7">
      <w:pPr>
        <w:spacing w:line="480" w:lineRule="auto"/>
        <w:ind w:right="-279"/>
        <w:rPr>
          <w:rFonts w:eastAsia="MS Mincho"/>
          <w:color w:val="4F81BD" w:themeColor="accent1"/>
        </w:rPr>
      </w:pPr>
      <w:r w:rsidRPr="004530FF">
        <w:rPr>
          <w:rFonts w:eastAsia="MS Mincho"/>
          <w:color w:val="4F81BD" w:themeColor="accent1"/>
        </w:rPr>
        <w:lastRenderedPageBreak/>
        <w:t>Technology becomes a capability advantage when it reduces the amount of reinvention required in each acquisition. Standard platforms, common data definitions, integration-ready ERP and CRM roadmaps, and repeatable reporting structures allow serial acquirers to absorb acquired companies with greater speed and control. In this sense, technology is not only a workstream within integration; it is an infrastructure for repeatability. Where systems are fragmented, each acquisition creates new complexity. Where systems architecture is scalable, each acquisition can be integrated through a more predictable and controlled pathway.</w:t>
      </w:r>
    </w:p>
    <w:p w14:paraId="5DF1BF1F" w14:textId="77777777" w:rsidR="009D07B6" w:rsidRPr="00B95E28" w:rsidRDefault="009D07B6" w:rsidP="004530FF">
      <w:pPr>
        <w:rPr>
          <w:rFonts w:eastAsia="MS Mincho"/>
        </w:rPr>
      </w:pPr>
    </w:p>
    <w:p w14:paraId="6DD84324" w14:textId="5BFEEDB2"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These enablers do not operate independently; they interact to drive coordination, execution, and learning across the lifecycle.</w:t>
      </w:r>
    </w:p>
    <w:p w14:paraId="4227445E" w14:textId="77777777" w:rsidR="004606AA" w:rsidRPr="00B95E28" w:rsidRDefault="004606AA" w:rsidP="004606AA">
      <w:pPr>
        <w:rPr>
          <w:rFonts w:eastAsia="MS Mincho"/>
          <w:color w:val="000000" w:themeColor="text1"/>
        </w:rPr>
      </w:pPr>
    </w:p>
    <w:p w14:paraId="1C94B012" w14:textId="7720D8BA"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Governance and Leadership</w:t>
      </w:r>
      <w:r w:rsidRPr="00B95E28">
        <w:rPr>
          <w:rFonts w:eastAsia="MS Mincho"/>
          <w:color w:val="000000" w:themeColor="text1"/>
        </w:rPr>
        <w:br/>
        <w:t>Governance and leadership define how decisions are made, who is accountable, and how integration priorities are enforced across the organization. The findings indicate that strong governance structures are a distinguishing feature of organizations that integrate effectively.</w:t>
      </w:r>
    </w:p>
    <w:p w14:paraId="02F271C8" w14:textId="77777777" w:rsidR="004530FF" w:rsidRDefault="004530FF" w:rsidP="004530FF">
      <w:pPr>
        <w:rPr>
          <w:rFonts w:eastAsia="MS Mincho"/>
        </w:rPr>
      </w:pPr>
    </w:p>
    <w:p w14:paraId="0F335CE9" w14:textId="6669C689"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Effective governance includes clearly defined decision rights, escalation pathways, and accountability mechanisms. Escalation pathways are especially important because integration issues often cut across functional boundaries. Effective escalation requires more than reporting status; it requires defined thresholds for raising issues, clear ownership for decisions, agreed timelines for resolution, and tools that make risks, dependencies, and blockers visible. Without these routines, governance forums may exist formally but fail to influence execution in a timely way.</w:t>
      </w:r>
    </w:p>
    <w:p w14:paraId="499E9405" w14:textId="77777777" w:rsidR="009D07B6" w:rsidRPr="00B95E28" w:rsidRDefault="009D07B6" w:rsidP="004606AA">
      <w:pPr>
        <w:rPr>
          <w:rFonts w:eastAsia="MS Mincho"/>
          <w:color w:val="000000" w:themeColor="text1"/>
        </w:rPr>
      </w:pPr>
    </w:p>
    <w:p w14:paraId="40801D3A" w14:textId="1E3DF2F6"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lastRenderedPageBreak/>
        <w:t>Leadership alignment is equally critical, ensuring that integration priorities are consistently reinforced across functions. Where governance is weak or ambiguous, execution becomes fragmented, decisions are delayed, and accountability is diffused.</w:t>
      </w:r>
    </w:p>
    <w:p w14:paraId="3F8773BB" w14:textId="77777777" w:rsidR="009D07B6" w:rsidRPr="00B95E28" w:rsidRDefault="009D07B6" w:rsidP="004606AA">
      <w:pPr>
        <w:rPr>
          <w:rFonts w:eastAsia="MS Mincho"/>
          <w:color w:val="000000" w:themeColor="text1"/>
        </w:rPr>
      </w:pPr>
    </w:p>
    <w:p w14:paraId="0DEE17F5" w14:textId="63A156AF"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Importantly, governance is not static. It is established during pre-close planning, activated during execution, and reinforced through learning. Its effectiveness directly shapes the organization’s ability to coordinate activities across phases.</w:t>
      </w:r>
    </w:p>
    <w:p w14:paraId="0219DC56"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stabilizing role positions governance continuity not as a supporting condition, but as the mechanism through which integration capability is accumulated and sustained across transactions.</w:t>
      </w:r>
    </w:p>
    <w:p w14:paraId="3841DFD7" w14:textId="77777777" w:rsidR="004606AA" w:rsidRPr="00B95E28" w:rsidRDefault="004606AA" w:rsidP="004606AA">
      <w:pPr>
        <w:rPr>
          <w:rFonts w:eastAsia="MS Mincho"/>
          <w:color w:val="000000" w:themeColor="text1"/>
        </w:rPr>
      </w:pPr>
    </w:p>
    <w:p w14:paraId="352689E9" w14:textId="245A537E"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Resource Model</w:t>
      </w:r>
      <w:r w:rsidRPr="00B95E28">
        <w:rPr>
          <w:rFonts w:eastAsia="MS Mincho"/>
          <w:color w:val="000000" w:themeColor="text1"/>
        </w:rPr>
        <w:br/>
        <w:t>The resource model refers to how organizations allocate people, time, and capacity to integration activities. This includes the use of dedicated integration teams, functional ownership structures, and the balance between integration responsibilities and ongoing operations.</w:t>
      </w:r>
    </w:p>
    <w:p w14:paraId="383E2D06" w14:textId="77777777" w:rsidR="009D07B6" w:rsidRPr="00B95E28" w:rsidRDefault="009D07B6" w:rsidP="004606AA">
      <w:pPr>
        <w:rPr>
          <w:rFonts w:eastAsia="MS Mincho"/>
          <w:color w:val="000000" w:themeColor="text1"/>
        </w:rPr>
      </w:pPr>
    </w:p>
    <w:p w14:paraId="1D90BB3D" w14:textId="4C091825" w:rsidR="009D07B6" w:rsidRPr="00B95E28" w:rsidRDefault="001F089D" w:rsidP="00C300D1">
      <w:pPr>
        <w:spacing w:line="480" w:lineRule="auto"/>
        <w:ind w:right="-279"/>
        <w:rPr>
          <w:rFonts w:eastAsia="MS Mincho"/>
          <w:color w:val="000000" w:themeColor="text1"/>
        </w:rPr>
      </w:pPr>
      <w:r w:rsidRPr="00B95E28">
        <w:rPr>
          <w:rFonts w:eastAsia="MS Mincho"/>
          <w:color w:val="000000" w:themeColor="text1"/>
        </w:rPr>
        <w:t>The findings indicate that resource constraints are a common source of execution challenges. Organizations that treat integration as an additional responsibility, rather than a defined operational priority, struggle to maintain consistency and momentum. This is particularly true when integration responsibilities are assigned to individuals who already have full-time operational roles. Adding integration work on top of existing deliverables creates predictable strain: decisions slow down, dependencies are missed, and integration tasks compete with day-to-day business priorities. A repeatable resource model must therefore account for actual capacity, not simply assign ownership on paper.</w:t>
      </w:r>
    </w:p>
    <w:p w14:paraId="7EA5B90E" w14:textId="77777777" w:rsidR="00C300D1" w:rsidRPr="00B95E28" w:rsidRDefault="00C300D1" w:rsidP="00C300D1">
      <w:pPr>
        <w:spacing w:line="480" w:lineRule="auto"/>
        <w:ind w:right="-279"/>
        <w:rPr>
          <w:rFonts w:eastAsia="MS Mincho"/>
          <w:color w:val="000000" w:themeColor="text1"/>
        </w:rPr>
      </w:pPr>
    </w:p>
    <w:p w14:paraId="7942D3D9" w14:textId="44521F8A"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lastRenderedPageBreak/>
        <w:t>In contrast, organizations with defined resource models, including dedicated integration roles and clear ownership, demonstrate greater execution discipline and improved outcomes.</w:t>
      </w:r>
    </w:p>
    <w:p w14:paraId="7F8D7510" w14:textId="77777777" w:rsidR="004606AA" w:rsidRPr="00B95E28" w:rsidRDefault="004606AA" w:rsidP="004606AA">
      <w:pPr>
        <w:rPr>
          <w:rFonts w:eastAsia="MS Mincho"/>
          <w:color w:val="000000" w:themeColor="text1"/>
        </w:rPr>
      </w:pPr>
    </w:p>
    <w:p w14:paraId="13C614F6" w14:textId="3734CC46"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Technology and Data Integration</w:t>
      </w:r>
      <w:r w:rsidRPr="00B95E28">
        <w:rPr>
          <w:rFonts w:eastAsia="MS Mincho"/>
          <w:color w:val="000000" w:themeColor="text1"/>
        </w:rPr>
        <w:br/>
        <w:t>Technology and data integration represent the systems, platforms, and information flows that support operational continuity and enable decision-making. The findings consistently identify technology integration as a major source of risk and complexity.</w:t>
      </w:r>
    </w:p>
    <w:p w14:paraId="26B0484E" w14:textId="77777777" w:rsidR="004606AA" w:rsidRPr="00B95E28" w:rsidRDefault="004606AA" w:rsidP="004606AA">
      <w:pPr>
        <w:rPr>
          <w:rFonts w:eastAsia="MS Mincho"/>
          <w:color w:val="000000" w:themeColor="text1"/>
        </w:rPr>
      </w:pPr>
    </w:p>
    <w:p w14:paraId="311ECEDA" w14:textId="344719A9"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Organizations that approach technology integration proactively, aligning systems and data structures early, are better positioned to support execution and reduce operational disruption. Conversely, delayed or fragmented technology integration introduces inefficiencies, limits visibility, and constrains performance.</w:t>
      </w:r>
    </w:p>
    <w:p w14:paraId="4961E257" w14:textId="77777777" w:rsidR="009D07B6" w:rsidRPr="00B95E28" w:rsidRDefault="009D07B6" w:rsidP="004606AA">
      <w:pPr>
        <w:rPr>
          <w:rFonts w:eastAsia="MS Mincho"/>
          <w:color w:val="000000" w:themeColor="text1"/>
        </w:rPr>
      </w:pPr>
    </w:p>
    <w:p w14:paraId="48E3877E" w14:textId="77777777" w:rsidR="009D07B6"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Technology is not merely a functional component; it is an enabler of coordination, transparency, and control across the integration lifecycle. The findings also suggest that technology integration risk is not limited to system selection or migration. Organizations may place too much trust in incomplete or inconsistent data, particularly when decisions are made quickly during diligence or early execution. In addition, new systems require learning, training, and adoption time. Simply providing teams with new tools does not mean the expected benefits will be realized immediately. </w:t>
      </w:r>
    </w:p>
    <w:p w14:paraId="1C388A21" w14:textId="77777777" w:rsidR="009D07B6" w:rsidRPr="00B95E28" w:rsidRDefault="009D07B6" w:rsidP="004606AA">
      <w:pPr>
        <w:rPr>
          <w:rFonts w:eastAsia="MS Mincho"/>
          <w:color w:val="000000" w:themeColor="text1"/>
        </w:rPr>
      </w:pPr>
    </w:p>
    <w:p w14:paraId="05F23E7E" w14:textId="5BD1D72C"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Technology capability therefore depends on data quality, user readiness, training, and the organization’s ability to embed new systems into daily work.</w:t>
      </w:r>
    </w:p>
    <w:p w14:paraId="345DEFE5" w14:textId="77777777" w:rsidR="00045864" w:rsidRPr="00B95E28" w:rsidRDefault="00045864" w:rsidP="00045864">
      <w:pPr>
        <w:rPr>
          <w:rFonts w:eastAsia="MS Mincho"/>
          <w:color w:val="000000" w:themeColor="text1"/>
          <w:lang w:val="en-CA"/>
        </w:rPr>
      </w:pPr>
    </w:p>
    <w:p w14:paraId="18D58CB7" w14:textId="4FFCE805" w:rsidR="00C300D1" w:rsidRPr="00B95E28" w:rsidRDefault="00C300D1" w:rsidP="00C300D1">
      <w:pPr>
        <w:spacing w:line="480" w:lineRule="auto"/>
        <w:ind w:right="-279"/>
        <w:rPr>
          <w:rFonts w:eastAsia="MS Mincho"/>
          <w:color w:val="000000" w:themeColor="text1"/>
          <w:lang w:val="en-CA"/>
        </w:rPr>
      </w:pPr>
      <w:r w:rsidRPr="00B95E28">
        <w:rPr>
          <w:rFonts w:eastAsia="MS Mincho"/>
          <w:color w:val="000000" w:themeColor="text1"/>
          <w:lang w:val="en-CA"/>
        </w:rPr>
        <w:t xml:space="preserve">Technology integration operates as both a constraint and a capability driver in serial acquisition environments. When technology is addressed late, fragmented systems, inconsistent master data, duplicated reporting structures, and unsupported legacy platforms can delay integration and reduce </w:t>
      </w:r>
      <w:r w:rsidRPr="00B95E28">
        <w:rPr>
          <w:rFonts w:eastAsia="MS Mincho"/>
          <w:color w:val="000000" w:themeColor="text1"/>
          <w:lang w:val="en-CA"/>
        </w:rPr>
        <w:lastRenderedPageBreak/>
        <w:t>visibility into the acquired business. In this sense, technology acts as a constraint because it limits the organization’s ability to standardize processes, consolidate reporting, and execute operating-model decisions.</w:t>
      </w:r>
    </w:p>
    <w:p w14:paraId="77AB3611" w14:textId="77777777" w:rsidR="00C300D1" w:rsidRPr="00B95E28" w:rsidRDefault="00C300D1" w:rsidP="00C300D1">
      <w:pPr>
        <w:rPr>
          <w:rFonts w:eastAsia="MS Mincho"/>
          <w:color w:val="000000" w:themeColor="text1"/>
          <w:lang w:val="en-CA"/>
        </w:rPr>
      </w:pPr>
    </w:p>
    <w:p w14:paraId="53840792" w14:textId="71FC508D" w:rsidR="00C300D1" w:rsidRPr="00B95E28" w:rsidRDefault="00C300D1" w:rsidP="00C300D1">
      <w:pPr>
        <w:spacing w:line="480" w:lineRule="auto"/>
        <w:ind w:right="-279"/>
        <w:rPr>
          <w:rFonts w:eastAsia="MS Mincho"/>
          <w:color w:val="000000" w:themeColor="text1"/>
          <w:lang w:val="en-CA"/>
        </w:rPr>
      </w:pPr>
      <w:r w:rsidRPr="00B95E28">
        <w:rPr>
          <w:rFonts w:eastAsia="MS Mincho"/>
          <w:color w:val="000000" w:themeColor="text1"/>
          <w:lang w:val="en-CA"/>
        </w:rPr>
        <w:t>However, technology also functions as a capability driver when it is deliberately designed to support repeated acquisition integration. Serial acquirers with scalable data architecture, defined platform standards, integration-ready ERP and CRM roadmaps, and clear reporting models are better positioned to absorb acquired firms consistently. The issue is therefore not whether technology integration occurs, but whether the acquirer has an enterprise architecture capable of supporting repeated integration without rebuilding the approach for each transaction.</w:t>
      </w:r>
    </w:p>
    <w:p w14:paraId="72F135E4" w14:textId="77777777" w:rsidR="00C300D1" w:rsidRPr="00B95E28" w:rsidRDefault="00C300D1" w:rsidP="00C300D1">
      <w:pPr>
        <w:rPr>
          <w:rFonts w:eastAsia="MS Mincho"/>
          <w:color w:val="000000" w:themeColor="text1"/>
          <w:lang w:val="en-CA"/>
        </w:rPr>
      </w:pPr>
    </w:p>
    <w:p w14:paraId="0B2343A2" w14:textId="23DD1166" w:rsidR="00C300D1" w:rsidRPr="00B95E28" w:rsidRDefault="00C300D1" w:rsidP="00C300D1">
      <w:pPr>
        <w:spacing w:line="480" w:lineRule="auto"/>
        <w:ind w:right="-279"/>
        <w:rPr>
          <w:rFonts w:eastAsia="MS Mincho"/>
          <w:color w:val="000000" w:themeColor="text1"/>
          <w:lang w:val="en-CA"/>
        </w:rPr>
      </w:pPr>
      <w:r w:rsidRPr="00B95E28">
        <w:rPr>
          <w:rFonts w:eastAsia="MS Mincho"/>
          <w:color w:val="000000" w:themeColor="text1"/>
          <w:lang w:val="en-CA"/>
        </w:rPr>
        <w:t>Data architecture is particularly important because integration decisions depend on visibility. Without common definitions for customers, products, financial reporting, employee records, and operational performance, the combined organization may struggle to understand whether value is being realized. Similarly, platform standardization supports repeatability by reducing the number of unique system decisions required after each acquisition. For this reason, technology integration should be understood as part of the Integration Capability Engine, enabling governance, performance measurement, operational control, and learning across successive transactions.</w:t>
      </w:r>
    </w:p>
    <w:p w14:paraId="00842DAF" w14:textId="77777777" w:rsidR="00C300D1" w:rsidRPr="00B95E28" w:rsidRDefault="00C300D1" w:rsidP="00C300D1">
      <w:pPr>
        <w:rPr>
          <w:rFonts w:eastAsia="MS Mincho"/>
          <w:color w:val="000000" w:themeColor="text1"/>
        </w:rPr>
      </w:pPr>
    </w:p>
    <w:p w14:paraId="39540B37" w14:textId="77777777"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People and Culture Integration</w:t>
      </w:r>
      <w:r w:rsidRPr="00B95E28">
        <w:rPr>
          <w:rFonts w:eastAsia="MS Mincho"/>
          <w:color w:val="000000" w:themeColor="text1"/>
        </w:rPr>
        <w:br/>
        <w:t>People and culture integration refers to how organizations align teams, leadership behaviours, and cultural expectations following an acquisition. The findings highlight that integration is not solely a technical or operational exercise; it is fundamentally a human one.</w:t>
      </w:r>
    </w:p>
    <w:p w14:paraId="6CB9017A" w14:textId="77777777" w:rsidR="009D07B6" w:rsidRPr="00B95E28" w:rsidRDefault="009D07B6" w:rsidP="004606AA">
      <w:pPr>
        <w:rPr>
          <w:rFonts w:eastAsia="MS Mincho"/>
          <w:color w:val="000000" w:themeColor="text1"/>
        </w:rPr>
      </w:pPr>
    </w:p>
    <w:p w14:paraId="683F1398" w14:textId="4017D0FB"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lastRenderedPageBreak/>
        <w:t>Organizations that actively manage cultural integration, communication, and leadership alignment experience fewer disruptions and stronger engagement. In contrast, neglecting this dimension leads to resistance, misalignment, and reduced effectiveness of integration initiatives.</w:t>
      </w:r>
    </w:p>
    <w:p w14:paraId="4869E2AD" w14:textId="77777777" w:rsidR="009D07B6"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People and culture considerations influence every phase of the lifecycle, from readiness through to learning, and play a critical role in sustaining performance over time. Culture assessment also requires more than relying on executive descriptions of how the acquired organization works. </w:t>
      </w:r>
    </w:p>
    <w:p w14:paraId="5E78334A" w14:textId="77777777" w:rsidR="009D07B6" w:rsidRPr="00B95E28" w:rsidRDefault="009D07B6" w:rsidP="004606AA">
      <w:pPr>
        <w:rPr>
          <w:rFonts w:eastAsia="MS Mincho"/>
          <w:color w:val="000000" w:themeColor="text1"/>
        </w:rPr>
      </w:pPr>
    </w:p>
    <w:p w14:paraId="56DFAD85" w14:textId="2129DFB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Leaders may describe culture aspirationally or selectively, while actual norms are reflected in decision-making behaviour, communication patterns, incentives, informal power structures, and employee expectations. Treating culture as a surface-level assessment increases the risk that integration plans are built on assumptions rather than operational reality.</w:t>
      </w:r>
    </w:p>
    <w:p w14:paraId="7A49F17F" w14:textId="77777777" w:rsidR="004606AA" w:rsidRPr="00B95E28" w:rsidRDefault="004606AA" w:rsidP="004606AA">
      <w:pPr>
        <w:rPr>
          <w:rFonts w:eastAsia="MS Mincho"/>
          <w:color w:val="000000" w:themeColor="text1"/>
        </w:rPr>
      </w:pPr>
    </w:p>
    <w:p w14:paraId="5E10B875" w14:textId="5A9AA8C8"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System-Level Interaction</w:t>
      </w:r>
      <w:r w:rsidRPr="00B95E28">
        <w:rPr>
          <w:rFonts w:eastAsia="MS Mincho"/>
          <w:color w:val="000000" w:themeColor="text1"/>
        </w:rPr>
        <w:br/>
        <w:t>While each of these enablers can be examined individually, the findings emphasize that their effectiveness is determined by how they operate together. Governance structures influence resource allocation; leadership alignment shapes cultural integration; technology enables or constrains execution.</w:t>
      </w:r>
    </w:p>
    <w:p w14:paraId="79B80C66" w14:textId="77777777" w:rsidR="009D07B6" w:rsidRPr="00B95E28" w:rsidRDefault="009D07B6" w:rsidP="00C300D1">
      <w:pPr>
        <w:rPr>
          <w:rFonts w:eastAsia="MS Mincho"/>
          <w:color w:val="000000" w:themeColor="text1"/>
        </w:rPr>
      </w:pPr>
    </w:p>
    <w:p w14:paraId="428144FC" w14:textId="4454867C"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Integration Capability Engine therefore functions as an interconnected framework rather than a collection of discrete elements. Weakness in one area can undermine performance across the lifecycle, while strength across all enablers reinforces consistency and supports learning.</w:t>
      </w:r>
    </w:p>
    <w:p w14:paraId="74404146"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Importantly, the interaction between these enablers is not linear. Strength in one dimension cannot fully compensate for weakness in another. For example, strong governance structures cannot offset insufficient resource capacity, as decisions without execution capability remain ineffective. </w:t>
      </w:r>
      <w:r w:rsidRPr="00B95E28">
        <w:rPr>
          <w:rFonts w:eastAsia="MS Mincho"/>
          <w:color w:val="000000" w:themeColor="text1"/>
        </w:rPr>
        <w:lastRenderedPageBreak/>
        <w:t>Similarly, advanced technology systems cannot compensate for weak leadership alignment, as coordination failures persist regardless of system capability.</w:t>
      </w:r>
    </w:p>
    <w:p w14:paraId="4ED45F26" w14:textId="77777777" w:rsidR="004606AA" w:rsidRPr="00B95E28" w:rsidRDefault="004606AA" w:rsidP="004606AA">
      <w:pPr>
        <w:rPr>
          <w:rFonts w:eastAsia="MS Mincho"/>
          <w:color w:val="000000" w:themeColor="text1"/>
        </w:rPr>
      </w:pPr>
    </w:p>
    <w:p w14:paraId="60151071" w14:textId="6BF5C6B1"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interdependence highlights that integration capability is constrained by its weakest element. Organizations therefore do not fail due to the absence of individual components, but due to misalignment between them.</w:t>
      </w:r>
    </w:p>
    <w:p w14:paraId="0C90D250" w14:textId="77777777" w:rsidR="009D07B6" w:rsidRPr="00B95E28" w:rsidRDefault="009D07B6" w:rsidP="004606AA">
      <w:pPr>
        <w:rPr>
          <w:rFonts w:eastAsia="MS Mincho"/>
          <w:color w:val="000000" w:themeColor="text1"/>
        </w:rPr>
      </w:pPr>
    </w:p>
    <w:p w14:paraId="23249C30" w14:textId="24C09E9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engine provides the foundation upon which the Integration Capability Loop operates. Without these enablers, the phases described earlier cannot be executed consistently, and learning cannot be effectively translated into improved performance.</w:t>
      </w:r>
    </w:p>
    <w:p w14:paraId="1376F7A1" w14:textId="77777777" w:rsidR="009D07B6" w:rsidRPr="00B95E28" w:rsidRDefault="009D07B6" w:rsidP="004606AA">
      <w:pPr>
        <w:rPr>
          <w:rFonts w:eastAsia="MS Mincho"/>
          <w:color w:val="000000" w:themeColor="text1"/>
        </w:rPr>
      </w:pPr>
    </w:p>
    <w:p w14:paraId="4E88AECF" w14:textId="2AE0F72B"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A critical insight emerging from the findings is that governance functions not only as an enabling condition, but as a stabilizing mechanism across the integration lifecycle. While existing perspectives treat governance as a structural component within individual transactions, the findings indicate that its consistency across successive acquisitions determines whether integration capability can accumulate over time. Where governance structures, decision rights, and leadership authority are re-established or altered between transactions, continuity is disrupted and learning is not effectively retained. In contrast, consistent governance provides the structural stability required for execution practices and learning mechanisms to persist across transactions, enabling the development of repeatable integration capability. </w:t>
      </w:r>
    </w:p>
    <w:p w14:paraId="53A1D72C" w14:textId="77777777" w:rsidR="009D07B6" w:rsidRPr="00B95E28" w:rsidRDefault="009D07B6" w:rsidP="004606AA">
      <w:pPr>
        <w:rPr>
          <w:rFonts w:eastAsia="MS Mincho"/>
          <w:color w:val="000000" w:themeColor="text1"/>
        </w:rPr>
      </w:pPr>
    </w:p>
    <w:p w14:paraId="6CA71F14" w14:textId="56068825"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next section examines the causal relationships across the lifecycle, exploring how interactions between phases and enablers shape integration outcomes over time.</w:t>
      </w:r>
    </w:p>
    <w:p w14:paraId="7E8D2D27" w14:textId="77777777" w:rsidR="004606AA" w:rsidRPr="00B95E28" w:rsidRDefault="004606AA" w:rsidP="004606AA">
      <w:pPr>
        <w:rPr>
          <w:rFonts w:eastAsia="MS Gothic"/>
          <w:color w:val="000000" w:themeColor="text1"/>
        </w:rPr>
      </w:pPr>
    </w:p>
    <w:p w14:paraId="626020F9" w14:textId="5B5DA844" w:rsidR="001F089D" w:rsidRPr="00B95E28" w:rsidRDefault="001F089D" w:rsidP="00557AB7">
      <w:pPr>
        <w:pStyle w:val="Heading2"/>
        <w:spacing w:before="0" w:after="0" w:line="480" w:lineRule="auto"/>
        <w:rPr>
          <w:rFonts w:eastAsia="MS Gothic"/>
          <w:color w:val="000000" w:themeColor="text1"/>
        </w:rPr>
      </w:pPr>
      <w:bookmarkStart w:id="160" w:name="_Toc232351875"/>
      <w:r w:rsidRPr="00B95E28">
        <w:rPr>
          <w:rFonts w:eastAsia="MS Gothic"/>
          <w:color w:val="000000" w:themeColor="text1"/>
        </w:rPr>
        <w:lastRenderedPageBreak/>
        <w:t xml:space="preserve">5.7 </w:t>
      </w:r>
      <w:r w:rsidR="00C300D1" w:rsidRPr="00B95E28">
        <w:rPr>
          <w:rFonts w:eastAsia="MS Gothic"/>
          <w:color w:val="000000" w:themeColor="text1"/>
        </w:rPr>
        <w:t>Analytical Relationships Across the Integration Lifecycle</w:t>
      </w:r>
      <w:bookmarkEnd w:id="160"/>
    </w:p>
    <w:p w14:paraId="2D06D861" w14:textId="07A72BA3" w:rsidR="00C300D1" w:rsidRPr="00B95E28" w:rsidRDefault="00C300D1" w:rsidP="00C300D1">
      <w:pPr>
        <w:spacing w:line="480" w:lineRule="auto"/>
        <w:rPr>
          <w:color w:val="000000" w:themeColor="text1"/>
        </w:rPr>
      </w:pPr>
      <w:r w:rsidRPr="00B95E28">
        <w:rPr>
          <w:color w:val="000000" w:themeColor="text1"/>
        </w:rPr>
        <w:t>The relationships presented in this section should be understood as analytical and interpretive relationships derived from qualitative evidence, rather than statistically tested causal claims. The findings suggest patterned relationships between planning, governance, execution, and learning, but they do not establish causality in a predictive or generalizable statistical sense. Further quantitative or longitudinal research would be required to test the strength and direction of these relationships across a broader population of serial acquirers.</w:t>
      </w:r>
    </w:p>
    <w:p w14:paraId="22AB76B1" w14:textId="77777777" w:rsidR="00C300D1" w:rsidRPr="00B95E28" w:rsidRDefault="00C300D1" w:rsidP="00C300D1">
      <w:pPr>
        <w:rPr>
          <w:rFonts w:eastAsia="MS Mincho"/>
          <w:color w:val="000000" w:themeColor="text1"/>
        </w:rPr>
      </w:pPr>
    </w:p>
    <w:p w14:paraId="1CDDE114" w14:textId="03F4A0AC" w:rsidR="001F089D" w:rsidRPr="00B95E28" w:rsidRDefault="002C3428" w:rsidP="00557AB7">
      <w:pPr>
        <w:spacing w:line="480" w:lineRule="auto"/>
        <w:ind w:right="-279"/>
        <w:rPr>
          <w:rFonts w:eastAsia="MS Mincho"/>
          <w:color w:val="000000" w:themeColor="text1"/>
        </w:rPr>
      </w:pPr>
      <w:r w:rsidRPr="00B95E28">
        <w:rPr>
          <w:rFonts w:eastAsia="MS Mincho"/>
          <w:color w:val="000000" w:themeColor="text1"/>
        </w:rPr>
        <w:t>he analytical relationships identified in this study extend beyond simple phase dependencies</w:t>
      </w:r>
      <w:r w:rsidR="001F089D" w:rsidRPr="00B95E28">
        <w:rPr>
          <w:rFonts w:eastAsia="MS Mincho"/>
          <w:color w:val="000000" w:themeColor="text1"/>
        </w:rPr>
        <w:t xml:space="preserve"> and reflect underlying mechanisms through which integration capability is either reinforced or constrained. These mechanisms operate through the continuity, or disruption, of organizational conditions across the lifecycle.</w:t>
      </w:r>
    </w:p>
    <w:p w14:paraId="61737BF9" w14:textId="77777777" w:rsidR="009D07B6" w:rsidRPr="00B95E28" w:rsidRDefault="009D07B6" w:rsidP="004606AA">
      <w:pPr>
        <w:rPr>
          <w:rFonts w:eastAsia="MS Mincho"/>
          <w:color w:val="000000" w:themeColor="text1"/>
        </w:rPr>
      </w:pPr>
    </w:p>
    <w:p w14:paraId="07106FF8" w14:textId="02C883C3"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In particular, the findings indicate that causal relationships are mediated by the stability of governance structures, the consistency of leadership authority, and the availability of resources across phases. Where these conditions remain stable, organizations are able to maintain alignment between planning and execution, coordinate activities across functions, and generate structured learning from integration outcomes.</w:t>
      </w:r>
    </w:p>
    <w:p w14:paraId="78F40230" w14:textId="77777777" w:rsidR="009D07B6" w:rsidRPr="00B95E28" w:rsidRDefault="009D07B6" w:rsidP="004606AA">
      <w:pPr>
        <w:rPr>
          <w:rFonts w:eastAsia="MS Mincho"/>
          <w:color w:val="000000" w:themeColor="text1"/>
        </w:rPr>
      </w:pPr>
    </w:p>
    <w:p w14:paraId="1CA43D4F" w14:textId="47024B21"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Conversely, where these conditions change or weaken between phases, causal linkages are disrupted. Decision rights become unclear, accountability is diffused, and execution becomes fragmented. This fragmentation limits the organization’s ability to extract meaningful insights from integration activities, thereby constraining learning and preventing capability accumulation.</w:t>
      </w:r>
    </w:p>
    <w:p w14:paraId="63D0CCB9"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These mechanisms explain why early-phase alignment is often strong, while later-stage learning is inconsistent. Early phases benefit from concentrated leadership attention and structured planning, </w:t>
      </w:r>
      <w:r w:rsidRPr="00B95E28">
        <w:rPr>
          <w:rFonts w:eastAsia="MS Mincho"/>
          <w:color w:val="000000" w:themeColor="text1"/>
        </w:rPr>
        <w:lastRenderedPageBreak/>
        <w:t>while later phases are more dependent on sustained governance and organizational discipline. Where this continuity is absent, the integration lifecycle becomes disconnected, and the reinforcing loop required for capability development breaks down.</w:t>
      </w:r>
    </w:p>
    <w:p w14:paraId="08F6A52D" w14:textId="77777777" w:rsidR="009D07B6" w:rsidRPr="00B95E28" w:rsidRDefault="009D07B6" w:rsidP="004606AA">
      <w:pPr>
        <w:rPr>
          <w:rFonts w:eastAsia="MS Mincho"/>
          <w:color w:val="000000" w:themeColor="text1"/>
        </w:rPr>
      </w:pPr>
    </w:p>
    <w:p w14:paraId="5C4ACAEB" w14:textId="4404D89C"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Understanding these mechanisms is critical to explaining not only how integration unfolds, but why outcomes vary across transactions despite similar processes and intentions.</w:t>
      </w:r>
    </w:p>
    <w:p w14:paraId="3C5780EC" w14:textId="71F517C5" w:rsidR="001F089D" w:rsidRPr="00B95E28" w:rsidRDefault="002C3428" w:rsidP="00557AB7">
      <w:pPr>
        <w:spacing w:line="480" w:lineRule="auto"/>
        <w:ind w:right="-279"/>
        <w:rPr>
          <w:rFonts w:eastAsia="MS Mincho"/>
          <w:color w:val="000000" w:themeColor="text1"/>
        </w:rPr>
      </w:pPr>
      <w:r w:rsidRPr="00B95E28">
        <w:rPr>
          <w:rFonts w:eastAsia="MS Mincho"/>
          <w:color w:val="000000" w:themeColor="text1"/>
        </w:rPr>
        <w:t>The findings suggest that integration outcomes are shaped by cumulative analytical relationships across the lifecycle</w:t>
      </w:r>
      <w:r w:rsidR="001F089D" w:rsidRPr="00B95E28">
        <w:rPr>
          <w:rFonts w:eastAsia="MS Mincho"/>
          <w:color w:val="000000" w:themeColor="text1"/>
        </w:rPr>
        <w:t>, rather than isolated phase performance. The causal relationships identified in this study are summarized in Table 5.4 below.</w:t>
      </w:r>
    </w:p>
    <w:p w14:paraId="45068324" w14:textId="1C479CF0" w:rsidR="009D07B6" w:rsidRPr="00B95E28" w:rsidRDefault="009D07B6"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61" w:name="_Toc232351978"/>
      <w:r w:rsidR="00B91B93">
        <w:rPr>
          <w:noProof/>
          <w:color w:val="000000" w:themeColor="text1"/>
        </w:rPr>
        <w:t>10</w:t>
      </w:r>
      <w:r w:rsidRPr="00B95E28">
        <w:rPr>
          <w:color w:val="000000" w:themeColor="text1"/>
        </w:rPr>
        <w:fldChar w:fldCharType="end"/>
      </w:r>
      <w:r w:rsidRPr="00B95E28">
        <w:rPr>
          <w:color w:val="000000" w:themeColor="text1"/>
        </w:rPr>
        <w:t xml:space="preserve">: Table 5.4: </w:t>
      </w:r>
      <w:r w:rsidR="00045864" w:rsidRPr="00B95E28">
        <w:rPr>
          <w:color w:val="000000" w:themeColor="text1"/>
          <w:lang w:val="en-US"/>
        </w:rPr>
        <w:t xml:space="preserve">Analytical Relationships Across the Integration Lifecycle </w:t>
      </w:r>
      <w:r w:rsidRPr="00B95E28">
        <w:rPr>
          <w:color w:val="000000" w:themeColor="text1"/>
        </w:rPr>
        <w:t>(Source: Author)</w:t>
      </w:r>
      <w:bookmarkEnd w:id="161"/>
    </w:p>
    <w:p w14:paraId="03F9B8A0" w14:textId="5128CD1C" w:rsidR="001F089D" w:rsidRPr="00B95E28" w:rsidRDefault="001F089D" w:rsidP="00557AB7">
      <w:pPr>
        <w:spacing w:line="480" w:lineRule="auto"/>
        <w:ind w:right="-279"/>
        <w:rPr>
          <w:noProof/>
          <w:color w:val="000000" w:themeColor="text1"/>
        </w:rPr>
      </w:pPr>
      <w:r w:rsidRPr="00B95E28">
        <w:rPr>
          <w:noProof/>
          <w:color w:val="000000" w:themeColor="text1"/>
        </w:rPr>
        <w:drawing>
          <wp:inline distT="0" distB="0" distL="0" distR="0" wp14:anchorId="43E6DC13" wp14:editId="0A95983A">
            <wp:extent cx="5943600" cy="2085340"/>
            <wp:effectExtent l="0" t="0" r="0" b="0"/>
            <wp:docPr id="1840293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2085340"/>
                    </a:xfrm>
                    <a:prstGeom prst="rect">
                      <a:avLst/>
                    </a:prstGeom>
                    <a:noFill/>
                    <a:ln>
                      <a:noFill/>
                    </a:ln>
                  </pic:spPr>
                </pic:pic>
              </a:graphicData>
            </a:graphic>
          </wp:inline>
        </w:drawing>
      </w:r>
    </w:p>
    <w:p w14:paraId="15A21E68" w14:textId="77777777" w:rsidR="009D07B6" w:rsidRPr="00B95E28" w:rsidRDefault="001F089D" w:rsidP="00557AB7">
      <w:pPr>
        <w:spacing w:line="480" w:lineRule="auto"/>
        <w:ind w:right="-563"/>
        <w:rPr>
          <w:rFonts w:eastAsia="MS Mincho"/>
          <w:color w:val="000000" w:themeColor="text1"/>
        </w:rPr>
      </w:pPr>
      <w:r w:rsidRPr="00B95E28">
        <w:rPr>
          <w:rFonts w:eastAsia="MS Mincho"/>
          <w:color w:val="000000" w:themeColor="text1"/>
        </w:rPr>
        <w:t xml:space="preserve">The findings indicate that causal relationships across the integration lifecycle are asymmetrical. This asymmetry is significant because it reveals where integration capability most frequently breaks down. More importantly, it explains why organizations that appear disciplined during early phases still fail to improve over time. While early-stage coordination is often driven by deal urgency and executive focus, later-stage learning depends on sustained organizational discipline, which is structurally weaker. </w:t>
      </w:r>
    </w:p>
    <w:p w14:paraId="352A0E15" w14:textId="77777777" w:rsidR="009D07B6" w:rsidRPr="00B95E28" w:rsidRDefault="009D07B6" w:rsidP="004606AA">
      <w:pPr>
        <w:rPr>
          <w:rFonts w:eastAsia="MS Mincho"/>
          <w:color w:val="000000" w:themeColor="text1"/>
        </w:rPr>
      </w:pPr>
    </w:p>
    <w:p w14:paraId="2EF400C3" w14:textId="2FAC0BF0" w:rsidR="001F089D" w:rsidRPr="00B95E28" w:rsidRDefault="001F089D" w:rsidP="00557AB7">
      <w:pPr>
        <w:spacing w:line="480" w:lineRule="auto"/>
        <w:ind w:right="-563"/>
        <w:rPr>
          <w:rFonts w:eastAsia="MS Mincho"/>
          <w:color w:val="000000" w:themeColor="text1"/>
        </w:rPr>
      </w:pPr>
      <w:r w:rsidRPr="00B95E28">
        <w:rPr>
          <w:rFonts w:eastAsia="MS Mincho"/>
          <w:color w:val="000000" w:themeColor="text1"/>
        </w:rPr>
        <w:lastRenderedPageBreak/>
        <w:t>As a result, integration capability fails not at the point of execution, but at the point of retention.</w:t>
      </w:r>
      <w:r w:rsidR="009D07B6" w:rsidRPr="00B95E28">
        <w:rPr>
          <w:rFonts w:eastAsia="MS Mincho"/>
          <w:color w:val="000000" w:themeColor="text1"/>
        </w:rPr>
        <w:t xml:space="preserve"> The </w:t>
      </w:r>
      <w:r w:rsidRPr="00B95E28">
        <w:rPr>
          <w:rFonts w:eastAsia="MS Mincho"/>
          <w:color w:val="000000" w:themeColor="text1"/>
        </w:rPr>
        <w:t>transition from execution to learning represents a structural weak point in the lifecycle, where the absence of formal mechanisms allows experience to dissipate rather than accumulate.</w:t>
      </w:r>
    </w:p>
    <w:p w14:paraId="61CE0C4F" w14:textId="77777777" w:rsidR="001F089D" w:rsidRPr="00B95E28" w:rsidRDefault="001F089D" w:rsidP="00557AB7">
      <w:pPr>
        <w:spacing w:line="480" w:lineRule="auto"/>
        <w:ind w:right="-563"/>
        <w:rPr>
          <w:rFonts w:eastAsia="MS Mincho"/>
          <w:color w:val="000000" w:themeColor="text1"/>
        </w:rPr>
      </w:pPr>
      <w:r w:rsidRPr="00B95E28">
        <w:rPr>
          <w:rFonts w:eastAsia="MS Mincho"/>
          <w:color w:val="000000" w:themeColor="text1"/>
        </w:rPr>
        <w:t>Early-phase relationships, particularly between readiness, planning, and Day 1 stabilization, are consistently strong and well-structured. In contrast, the transition from execution to learning, and from learning to subsequent acquisitions, is significantly weaker and more variable, limiting the development of repeatable integration capability.</w:t>
      </w:r>
    </w:p>
    <w:p w14:paraId="06456E8F" w14:textId="77777777" w:rsidR="004606AA" w:rsidRPr="00B95E28" w:rsidRDefault="004606AA" w:rsidP="004606AA">
      <w:pPr>
        <w:rPr>
          <w:rFonts w:eastAsia="MS Mincho"/>
          <w:color w:val="000000" w:themeColor="text1"/>
        </w:rPr>
      </w:pPr>
    </w:p>
    <w:p w14:paraId="38BB19E0" w14:textId="36A2E84E" w:rsidR="001F089D" w:rsidRPr="00B95E28" w:rsidRDefault="002C3428" w:rsidP="00557AB7">
      <w:pPr>
        <w:spacing w:line="480" w:lineRule="auto"/>
        <w:ind w:right="-563"/>
        <w:rPr>
          <w:rFonts w:eastAsia="MS Mincho"/>
          <w:color w:val="000000" w:themeColor="text1"/>
        </w:rPr>
      </w:pPr>
      <w:r w:rsidRPr="00B95E28">
        <w:rPr>
          <w:rFonts w:eastAsia="MS Mincho"/>
          <w:color w:val="000000" w:themeColor="text1"/>
        </w:rPr>
        <w:t>Table 5.5 presents a heatmap of the analytical relationships identified across the integration lifecycle</w:t>
      </w:r>
      <w:r w:rsidR="001F089D" w:rsidRPr="00B95E28">
        <w:rPr>
          <w:rFonts w:eastAsia="MS Mincho"/>
          <w:color w:val="000000" w:themeColor="text1"/>
        </w:rPr>
        <w:t>, based on interview data. The heatmap illustrates the relative consistency and strength of each linkage, enabling comparison across phases. It complements Table 5.4 by making visible the uneven distribution of relationship strength, particularly the contrast between consistently strong early-phase linkages and more variable learning-related transitions.</w:t>
      </w:r>
    </w:p>
    <w:p w14:paraId="61F7EEBB" w14:textId="77777777" w:rsidR="009D07B6" w:rsidRPr="00B95E28" w:rsidRDefault="009D07B6" w:rsidP="004606AA">
      <w:pPr>
        <w:rPr>
          <w:rFonts w:eastAsia="MS Mincho"/>
          <w:color w:val="000000" w:themeColor="text1"/>
        </w:rPr>
      </w:pPr>
    </w:p>
    <w:p w14:paraId="7CDC84C8" w14:textId="7652CFB9" w:rsidR="001F089D" w:rsidRPr="00B95E28" w:rsidRDefault="001F089D" w:rsidP="00557AB7">
      <w:pPr>
        <w:spacing w:line="480" w:lineRule="auto"/>
        <w:ind w:right="-563"/>
        <w:rPr>
          <w:rFonts w:eastAsia="MS Mincho"/>
          <w:color w:val="000000" w:themeColor="text1"/>
        </w:rPr>
      </w:pPr>
      <w:r w:rsidRPr="00B95E28">
        <w:rPr>
          <w:rFonts w:eastAsia="MS Mincho"/>
          <w:color w:val="000000" w:themeColor="text1"/>
        </w:rPr>
        <w:t>Together, the causal relationship table and heatmap provide empirical support for the Integration Capability Loop, demonstrating not only the existence of these linkages, but their uneven strength across the lifecycle.</w:t>
      </w:r>
    </w:p>
    <w:p w14:paraId="369721A7" w14:textId="130B2508" w:rsidR="009D07B6" w:rsidRPr="00B95E28" w:rsidRDefault="009D07B6"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62" w:name="_Toc232351979"/>
      <w:r w:rsidR="00B91B93">
        <w:rPr>
          <w:noProof/>
          <w:color w:val="000000" w:themeColor="text1"/>
        </w:rPr>
        <w:t>11</w:t>
      </w:r>
      <w:r w:rsidRPr="00B95E28">
        <w:rPr>
          <w:color w:val="000000" w:themeColor="text1"/>
        </w:rPr>
        <w:fldChar w:fldCharType="end"/>
      </w:r>
      <w:r w:rsidRPr="00B95E28">
        <w:rPr>
          <w:color w:val="000000" w:themeColor="text1"/>
        </w:rPr>
        <w:t>: Table 5.5 Heat Map (Source: Author)</w:t>
      </w:r>
      <w:bookmarkEnd w:id="162"/>
    </w:p>
    <w:p w14:paraId="32DEE7C4" w14:textId="73B9590B" w:rsidR="001F089D" w:rsidRPr="00B95E28" w:rsidRDefault="001F089D" w:rsidP="00557AB7">
      <w:pPr>
        <w:spacing w:line="480" w:lineRule="auto"/>
        <w:ind w:right="-563"/>
        <w:rPr>
          <w:rFonts w:eastAsia="MS Mincho"/>
          <w:b/>
          <w:bCs/>
          <w:color w:val="000000" w:themeColor="text1"/>
        </w:rPr>
      </w:pPr>
      <w:r w:rsidRPr="00B95E28">
        <w:rPr>
          <w:noProof/>
          <w:color w:val="000000" w:themeColor="text1"/>
        </w:rPr>
        <w:drawing>
          <wp:inline distT="0" distB="0" distL="0" distR="0" wp14:anchorId="27FD9BF3" wp14:editId="47547991">
            <wp:extent cx="5943600" cy="953135"/>
            <wp:effectExtent l="0" t="0" r="0" b="0"/>
            <wp:docPr id="98655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953135"/>
                    </a:xfrm>
                    <a:prstGeom prst="rect">
                      <a:avLst/>
                    </a:prstGeom>
                    <a:noFill/>
                    <a:ln>
                      <a:noFill/>
                    </a:ln>
                  </pic:spPr>
                </pic:pic>
              </a:graphicData>
            </a:graphic>
          </wp:inline>
        </w:drawing>
      </w:r>
    </w:p>
    <w:p w14:paraId="2C6E0E77" w14:textId="77777777"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Readiness to Planning</w:t>
      </w:r>
      <w:r w:rsidRPr="00B95E28">
        <w:rPr>
          <w:rFonts w:eastAsia="MS Mincho"/>
          <w:color w:val="000000" w:themeColor="text1"/>
        </w:rPr>
        <w:br/>
        <w:t xml:space="preserve">The relationship between acquisition readiness and pre-close integration planning is foundational. Organizations with higher levels of readiness are better positioned to initiate planning earlier, define </w:t>
      </w:r>
      <w:r w:rsidRPr="00B95E28">
        <w:rPr>
          <w:rFonts w:eastAsia="MS Mincho"/>
          <w:color w:val="000000" w:themeColor="text1"/>
        </w:rPr>
        <w:lastRenderedPageBreak/>
        <w:t>realistic priorities, and align leadership expectations. In contrast, limited readiness constrains planning effectiveness, resulting in delayed alignment and unclear objectives.</w:t>
      </w:r>
    </w:p>
    <w:p w14:paraId="152DB0EB"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relationship operates through the alignment of strategic intent and organizational capacity. Where readiness is high, decision-makers are able to define integration priorities early and allocate appropriate resources, enabling planning to be grounded in operational reality rather than assumption.</w:t>
      </w:r>
    </w:p>
    <w:p w14:paraId="06CDA4CC" w14:textId="77777777" w:rsidR="004606AA" w:rsidRPr="00B95E28" w:rsidRDefault="004606AA" w:rsidP="004606AA">
      <w:pPr>
        <w:rPr>
          <w:rFonts w:eastAsia="MS Mincho"/>
          <w:color w:val="000000" w:themeColor="text1"/>
        </w:rPr>
      </w:pPr>
    </w:p>
    <w:p w14:paraId="14E8D801" w14:textId="4FDDB09F"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Planning to Day 1 Stabilization</w:t>
      </w:r>
      <w:r w:rsidRPr="00B95E28">
        <w:rPr>
          <w:rFonts w:eastAsia="MS Mincho"/>
          <w:color w:val="000000" w:themeColor="text1"/>
        </w:rPr>
        <w:br/>
        <w:t>Pre-close integration planning directly shapes Day 1 outcomes. Where planning includes clearly defined decision rights, communication strategies, and operational priorities, organizations are able to stabilize operations more effectively post-close. Where planning is insufficient, Day 1 becomes reactive, increasing disruption and uncertainty.</w:t>
      </w:r>
    </w:p>
    <w:p w14:paraId="174B3B8A" w14:textId="77777777" w:rsidR="009D07B6" w:rsidRPr="00B95E28" w:rsidRDefault="009D07B6" w:rsidP="004606AA">
      <w:pPr>
        <w:rPr>
          <w:rFonts w:eastAsia="MS Mincho"/>
          <w:color w:val="000000" w:themeColor="text1"/>
        </w:rPr>
      </w:pPr>
    </w:p>
    <w:p w14:paraId="43B34D6B" w14:textId="4CE56472"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occurs because early clarification of decision rights, governance structures, and communication pathways reduces ambiguity at the point of transition, enabling coordinated execution and limiting reactive decision-making during Day 1.</w:t>
      </w:r>
    </w:p>
    <w:p w14:paraId="037D6692" w14:textId="77777777" w:rsidR="004606AA" w:rsidRPr="00B95E28" w:rsidRDefault="004606AA" w:rsidP="004606AA">
      <w:pPr>
        <w:rPr>
          <w:rFonts w:eastAsia="MS Mincho"/>
          <w:color w:val="000000" w:themeColor="text1"/>
        </w:rPr>
      </w:pPr>
    </w:p>
    <w:p w14:paraId="50ADDE68" w14:textId="13B78BDD"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Day 1 Stabilization to Execution</w:t>
      </w:r>
      <w:r w:rsidRPr="00B95E28">
        <w:rPr>
          <w:rFonts w:eastAsia="MS Mincho"/>
          <w:color w:val="000000" w:themeColor="text1"/>
        </w:rPr>
        <w:br/>
        <w:t>Day 1 stabilization establishes the conditions for integration execution. Effective stabilization preserves operational continuity and provides a controlled environment for executing integration activities. Where stabilization is weak, execution is disrupted by ongoing issues, reducing coordination and slowing progress.</w:t>
      </w:r>
    </w:p>
    <w:p w14:paraId="44BDBD2C" w14:textId="77777777" w:rsidR="009D07B6" w:rsidRPr="00B95E28" w:rsidRDefault="009D07B6" w:rsidP="004606AA">
      <w:pPr>
        <w:rPr>
          <w:rFonts w:eastAsia="MS Mincho"/>
          <w:color w:val="000000" w:themeColor="text1"/>
        </w:rPr>
      </w:pPr>
    </w:p>
    <w:p w14:paraId="393A2222" w14:textId="3C37D39B"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lastRenderedPageBreak/>
        <w:t>This linkage is mediated by operational stability. Where Day 1 conditions preserve continuity and control, integration teams are able to focus on execution priorities. Where instability persists, execution capacity is diverted to issue resolution, reducing coordination and slowing progress.</w:t>
      </w:r>
    </w:p>
    <w:p w14:paraId="063C50D7" w14:textId="77777777"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Execution to Learning</w:t>
      </w:r>
      <w:r w:rsidRPr="00B95E28">
        <w:rPr>
          <w:rFonts w:eastAsia="MS Mincho"/>
          <w:color w:val="000000" w:themeColor="text1"/>
        </w:rPr>
        <w:br/>
        <w:t>Integration execution generates the experiences and outcomes that inform organizational learning. The findings indicate that execution quality directly affects the value of learning. Structured execution enables clearer identification of successes and failures, while fragmented execution limits the organization’s ability to extract meaningful insights.</w:t>
      </w:r>
    </w:p>
    <w:p w14:paraId="62BEB6C2" w14:textId="77777777" w:rsidR="009D07B6" w:rsidRPr="00B95E28" w:rsidRDefault="009D07B6" w:rsidP="004606AA">
      <w:pPr>
        <w:rPr>
          <w:rFonts w:eastAsia="MS Mincho"/>
          <w:color w:val="000000" w:themeColor="text1"/>
        </w:rPr>
      </w:pPr>
    </w:p>
    <w:p w14:paraId="52F5FD74" w14:textId="3E0F0EFC"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relationship depends on the structure of execution. Coordinated and well-governed execution enables clearer attribution of outcomes, allowing organizations to distinguish between effective and ineffective practices. Fragmented execution limits this visibility, reducing the quality of learning generated.</w:t>
      </w:r>
    </w:p>
    <w:p w14:paraId="3C922B59" w14:textId="77777777" w:rsidR="004606AA" w:rsidRPr="00B95E28" w:rsidRDefault="004606AA" w:rsidP="004606AA">
      <w:pPr>
        <w:rPr>
          <w:rFonts w:eastAsia="MS Mincho"/>
          <w:color w:val="000000" w:themeColor="text1"/>
        </w:rPr>
      </w:pPr>
    </w:p>
    <w:p w14:paraId="42093191" w14:textId="5F117A6A"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Learning to Subsequent Acquisitions</w:t>
      </w:r>
      <w:r w:rsidRPr="00B95E28">
        <w:rPr>
          <w:rFonts w:eastAsia="MS Mincho"/>
          <w:color w:val="000000" w:themeColor="text1"/>
        </w:rPr>
        <w:br/>
        <w:t>Organizational learning influences subsequent acquisitions by shaping readiness, planning assumptions, and execution approaches. Where learning is captured and embedded, organizations demonstrate improved performance in future transactions. Where it is not, similar challenges reoccur across deals.</w:t>
      </w:r>
    </w:p>
    <w:p w14:paraId="503D19AF" w14:textId="77777777" w:rsidR="009D07B6" w:rsidRPr="00B95E28" w:rsidRDefault="009D07B6" w:rsidP="004606AA">
      <w:pPr>
        <w:rPr>
          <w:rFonts w:eastAsia="MS Mincho"/>
          <w:color w:val="000000" w:themeColor="text1"/>
        </w:rPr>
      </w:pPr>
    </w:p>
    <w:p w14:paraId="75BF6D20" w14:textId="497608D1"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This linkage is contingent on the institutionalization of learning. Where lessons are codified and embedded into governance structures and planning processes, they shape future readiness and execution. Where learning remains informal, it is not consistently transferred, resulting in repeated inefficiencies. A further barrier is that lessons-learned exercises are often perceived as fault-finding rather than capability-building. When post-integration reviews become associated with blame, </w:t>
      </w:r>
      <w:r w:rsidRPr="00B95E28">
        <w:rPr>
          <w:rFonts w:eastAsia="MS Mincho"/>
          <w:color w:val="000000" w:themeColor="text1"/>
        </w:rPr>
        <w:lastRenderedPageBreak/>
        <w:t>teams may avoid honest discussion of what failed, what was missed, or which assumptions proved incorrect. Effective learning mechanisms therefore require a culture that separates process improvement from personal criticism and frames retrospective review as an organizational discipline.</w:t>
      </w:r>
    </w:p>
    <w:p w14:paraId="481E47EE" w14:textId="77777777" w:rsidR="004606AA" w:rsidRPr="00B95E28" w:rsidRDefault="004606AA" w:rsidP="004606AA">
      <w:pPr>
        <w:rPr>
          <w:rFonts w:eastAsia="MS Mincho"/>
          <w:color w:val="000000" w:themeColor="text1"/>
        </w:rPr>
      </w:pPr>
    </w:p>
    <w:p w14:paraId="4BCA6294" w14:textId="3EF7EBCF" w:rsidR="001F089D" w:rsidRPr="00B95E28" w:rsidRDefault="001F089D" w:rsidP="00557AB7">
      <w:pPr>
        <w:spacing w:line="480" w:lineRule="auto"/>
        <w:ind w:right="-279"/>
        <w:rPr>
          <w:rFonts w:eastAsia="MS Mincho"/>
          <w:color w:val="000000" w:themeColor="text1"/>
        </w:rPr>
      </w:pPr>
      <w:r w:rsidRPr="00B95E28">
        <w:rPr>
          <w:rFonts w:eastAsia="MS Mincho"/>
          <w:b/>
          <w:bCs/>
          <w:color w:val="000000" w:themeColor="text1"/>
        </w:rPr>
        <w:t>Role of the Integration Capability Engine</w:t>
      </w:r>
      <w:r w:rsidRPr="00B95E28">
        <w:rPr>
          <w:rFonts w:eastAsia="MS Mincho"/>
          <w:color w:val="000000" w:themeColor="text1"/>
        </w:rPr>
        <w:br/>
        <w:t>The Integration Capability Engine mediates these causal relationships across the lifecycle. Governance structures influence how decisions are made at each phase; resource models determine execution capacity; technology enables coordination and visibility; and people and culture affect alignment and adoption.</w:t>
      </w:r>
    </w:p>
    <w:p w14:paraId="08577321" w14:textId="77777777" w:rsidR="009D07B6" w:rsidRPr="00B95E28" w:rsidRDefault="009D07B6" w:rsidP="004606AA">
      <w:pPr>
        <w:rPr>
          <w:rFonts w:eastAsia="MS Mincho"/>
          <w:color w:val="000000" w:themeColor="text1"/>
        </w:rPr>
      </w:pPr>
    </w:p>
    <w:p w14:paraId="2E34AEA5" w14:textId="530F2DA8"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findings indicate that these enablers do not operate in isolation. Instead, they shape the strength and consistency of causal linkages between phases. Weak governance, limited resources, or fragmented systems can disrupt these relationships, while strong enablers reinforce continuity and improve outcomes.</w:t>
      </w:r>
    </w:p>
    <w:p w14:paraId="7B47C3DC" w14:textId="77777777" w:rsidR="009D07B6" w:rsidRPr="00B95E28" w:rsidRDefault="009D07B6" w:rsidP="004606AA">
      <w:pPr>
        <w:rPr>
          <w:rFonts w:eastAsia="MS Mincho"/>
          <w:color w:val="000000" w:themeColor="text1"/>
        </w:rPr>
      </w:pPr>
    </w:p>
    <w:p w14:paraId="361CB27B" w14:textId="1DE87E73"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Overall, the Integration Capability Loop and the Integration Capability Engine together explain not only how integration unfolds, but why some organizations are able to execute consistently across multiple transactions while others are not. The next section compares these findings with existing literature to position this model within the broader academic and practitioner context.</w:t>
      </w:r>
    </w:p>
    <w:p w14:paraId="05F7D78D"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Taken together, the Integration Capability Loop, the Integration Capability Engine, and the causal relationships identified in this study form an integrated model of integration capability across transactions.</w:t>
      </w:r>
    </w:p>
    <w:p w14:paraId="121482AB" w14:textId="77777777" w:rsidR="009D07B6" w:rsidRPr="00B95E28" w:rsidRDefault="009D07B6" w:rsidP="004606AA">
      <w:pPr>
        <w:rPr>
          <w:rFonts w:eastAsia="MS Mincho"/>
          <w:color w:val="000000" w:themeColor="text1"/>
        </w:rPr>
      </w:pPr>
    </w:p>
    <w:p w14:paraId="1014FEE9" w14:textId="0B31D712"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lastRenderedPageBreak/>
        <w:t>A further dimension of integration capability emerging from both the literature and practitioner insight is the development of causal understanding over time. While the Integration Capability Loop captures the sequencing and coordination of integration activities, the effectiveness of these activities depends on the organization’s ability to understand what actions produce which outcomes under specific conditions.</w:t>
      </w:r>
    </w:p>
    <w:p w14:paraId="7B36E69B" w14:textId="77777777" w:rsidR="009D07B6" w:rsidRPr="00B95E28" w:rsidRDefault="009D07B6" w:rsidP="004606AA">
      <w:pPr>
        <w:rPr>
          <w:rFonts w:eastAsia="MS Mincho"/>
          <w:color w:val="000000" w:themeColor="text1"/>
        </w:rPr>
      </w:pPr>
    </w:p>
    <w:p w14:paraId="1083FD73" w14:textId="37E58548"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extends beyond the accumulation of experience or the codification of procedures, requiring the articulation of underlying causal mechanisms that link integration decisions to performance outcomes. In this sense, integration capability is not only a function of continuity under constraint, but also of the organization’s ability to refine and adapt its understanding of what works, under what conditions, and why. This distinction between know-how and know-why is central to the development of a repeatable and adaptive integration capability.</w:t>
      </w:r>
    </w:p>
    <w:p w14:paraId="374CC13B" w14:textId="77777777" w:rsidR="009D07B6" w:rsidRPr="00B95E28" w:rsidRDefault="009D07B6" w:rsidP="004606AA">
      <w:pPr>
        <w:rPr>
          <w:rFonts w:eastAsia="MS Mincho"/>
          <w:color w:val="000000" w:themeColor="text1"/>
        </w:rPr>
      </w:pPr>
    </w:p>
    <w:p w14:paraId="329EDF39" w14:textId="0439C525"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While the causal relationships identified in this study demonstrate consistent patterns across the dataset, it is important to recognize that these relationships are not universally fixed. Their strength and direction are influenced by contextual factors such as acquisition size, industry characteristics, integration strategy, and organizational maturity.</w:t>
      </w:r>
    </w:p>
    <w:p w14:paraId="401038D1" w14:textId="77777777" w:rsidR="009D07B6" w:rsidRPr="00B95E28" w:rsidRDefault="009D07B6" w:rsidP="004606AA">
      <w:pPr>
        <w:rPr>
          <w:rFonts w:eastAsia="MS Mincho"/>
          <w:color w:val="000000" w:themeColor="text1"/>
        </w:rPr>
      </w:pPr>
    </w:p>
    <w:p w14:paraId="13E65B43" w14:textId="169DD565"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For example, acquisitions involving high levels of operational interdependence or technology complexity may amplify the importance of early-phase alignment, while acquisitions structured for autonomy may shift the relative importance of execution and learning phases. Similarly, organizations with established integration functions may exhibit stronger continuity across phases compared to those executing opportunistic or infrequent acquisitions.</w:t>
      </w:r>
    </w:p>
    <w:p w14:paraId="156CB63C" w14:textId="77777777" w:rsidR="009D07B6" w:rsidRPr="00B95E28" w:rsidRDefault="009D07B6" w:rsidP="004606AA">
      <w:pPr>
        <w:rPr>
          <w:rFonts w:eastAsia="MS Mincho"/>
          <w:color w:val="000000" w:themeColor="text1"/>
        </w:rPr>
      </w:pPr>
    </w:p>
    <w:p w14:paraId="0747CCBF" w14:textId="49607B73"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lastRenderedPageBreak/>
        <w:t>These boundary conditions do not invalidate the Integration Capability Loop but rather highlight that its effectiveness is contingent on context. This reinforces the need to view integration capability not as a static model, but as an adaptive system that must be calibrated to the specific conditions of each acquisition.</w:t>
      </w:r>
    </w:p>
    <w:p w14:paraId="68865FBA" w14:textId="77777777" w:rsidR="001F089D" w:rsidRPr="00B95E28" w:rsidRDefault="001F089D" w:rsidP="00557AB7">
      <w:pPr>
        <w:pStyle w:val="Heading3"/>
        <w:spacing w:before="0" w:after="0" w:line="480" w:lineRule="auto"/>
        <w:rPr>
          <w:rFonts w:eastAsia="MS Mincho"/>
          <w:color w:val="000000" w:themeColor="text1"/>
        </w:rPr>
      </w:pPr>
      <w:bookmarkStart w:id="163" w:name="_Toc232351876"/>
      <w:r w:rsidRPr="00B95E28">
        <w:rPr>
          <w:rFonts w:eastAsia="MS Mincho"/>
          <w:color w:val="000000" w:themeColor="text1"/>
        </w:rPr>
        <w:t>5.7.1 Decision-Making Under Uncertainty</w:t>
      </w:r>
      <w:bookmarkEnd w:id="163"/>
    </w:p>
    <w:p w14:paraId="06134016"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A critical mechanism influencing integration outcomes, identified through practitioner insight, is decision-making under conditions of incomplete information. While integration models assume that planning and execution are informed by sufficient data, in practice, integration leaders are frequently required to make decisions before full diligence insights are available.</w:t>
      </w:r>
    </w:p>
    <w:p w14:paraId="087627ED" w14:textId="77777777" w:rsidR="009D07B6" w:rsidRPr="00B95E28" w:rsidRDefault="009D07B6" w:rsidP="004606AA">
      <w:pPr>
        <w:rPr>
          <w:rFonts w:eastAsia="MS Mincho"/>
          <w:color w:val="000000" w:themeColor="text1"/>
        </w:rPr>
      </w:pPr>
    </w:p>
    <w:p w14:paraId="2B8E337B" w14:textId="0697CBE8"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condition is particularly evident in early phases, where planning activities are initiated in parallel with ongoing diligence, and execution decisions are made based on evolving information. As a result, integration outcomes are shaped not only by the quality of planning, but by the organization’s ability to make and adjust decisions under uncertainty.</w:t>
      </w:r>
    </w:p>
    <w:p w14:paraId="1B5ADED8" w14:textId="77777777" w:rsidR="009D07B6" w:rsidRPr="00B95E28" w:rsidRDefault="009D07B6" w:rsidP="004606AA">
      <w:pPr>
        <w:rPr>
          <w:rFonts w:eastAsia="MS Mincho"/>
          <w:color w:val="000000" w:themeColor="text1"/>
        </w:rPr>
      </w:pPr>
    </w:p>
    <w:p w14:paraId="0959C4F6" w14:textId="37E65BC1"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These decisions influence resource allocation, sequencing of integration activities, and prioritization of initiatives, often introducing variability that cannot be fully controlled through process design alone. Where governance structures provide clarity and authority, organizations are better able to manage uncertainty and adjust course. Where governance is weak, decision-making becomes fragmented, leading to inconsistent execution and reduced alignment across functions.</w:t>
      </w:r>
    </w:p>
    <w:p w14:paraId="61B87E05" w14:textId="77777777" w:rsidR="009D07B6" w:rsidRPr="00B95E28" w:rsidRDefault="009D07B6" w:rsidP="004606AA">
      <w:pPr>
        <w:rPr>
          <w:rFonts w:eastAsia="MS Mincho"/>
          <w:color w:val="000000" w:themeColor="text1"/>
        </w:rPr>
      </w:pPr>
    </w:p>
    <w:p w14:paraId="53E5CB96" w14:textId="0823D53F"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highlights that integration capability is not only a function of structured processes, but of the organization’s ability to operate effectively under conditions of uncertainty. As such, decision-making under uncertainty represents a key mechanism through which integration capability is either reinforced or constrained.</w:t>
      </w:r>
    </w:p>
    <w:p w14:paraId="3E70CA42" w14:textId="77777777" w:rsidR="004606AA" w:rsidRPr="00B95E28" w:rsidRDefault="004606AA" w:rsidP="004606AA">
      <w:pPr>
        <w:rPr>
          <w:rFonts w:eastAsia="MS Mincho"/>
          <w:color w:val="000000" w:themeColor="text1"/>
        </w:rPr>
      </w:pPr>
    </w:p>
    <w:p w14:paraId="31C01881" w14:textId="5DE89389"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perspective supports the central argument of this research: integration capability is best understood as a coordinated system of governance, planning, execution, and learning, rather than a linear process.</w:t>
      </w:r>
    </w:p>
    <w:p w14:paraId="3178CCA1" w14:textId="77777777" w:rsidR="001F089D" w:rsidRPr="00B95E28" w:rsidRDefault="001F089D" w:rsidP="00557AB7">
      <w:pPr>
        <w:pStyle w:val="Heading3"/>
        <w:spacing w:before="0" w:after="0" w:line="480" w:lineRule="auto"/>
        <w:rPr>
          <w:rFonts w:eastAsia="MS Mincho"/>
          <w:color w:val="000000" w:themeColor="text1"/>
        </w:rPr>
      </w:pPr>
      <w:bookmarkStart w:id="164" w:name="_Toc232351877"/>
      <w:r w:rsidRPr="00B95E28">
        <w:rPr>
          <w:rFonts w:eastAsia="MS Mincho"/>
          <w:color w:val="000000" w:themeColor="text1"/>
        </w:rPr>
        <w:t>5.7.2 The Weakest Link: Execution to Learning</w:t>
      </w:r>
      <w:bookmarkEnd w:id="164"/>
    </w:p>
    <w:p w14:paraId="024F0612" w14:textId="77777777" w:rsidR="001F089D" w:rsidRPr="00B95E28" w:rsidRDefault="001F089D" w:rsidP="00557AB7">
      <w:pPr>
        <w:spacing w:line="480" w:lineRule="auto"/>
        <w:rPr>
          <w:color w:val="000000" w:themeColor="text1"/>
        </w:rPr>
      </w:pPr>
      <w:r w:rsidRPr="00B95E28">
        <w:rPr>
          <w:color w:val="000000" w:themeColor="text1"/>
        </w:rPr>
        <w:t>The weakest causal linkage identified in the study is the transition from execution to organizational learning. While planning influences execution relatively directly, and governance influences planning and decision-making, the conversion of execution experience into institutional learning is less consistent. This creates a break in the capability loop. Organizations may generate significant knowledge during integration, but that knowledge does not reliably become part of the organization’s future integration capability.</w:t>
      </w:r>
    </w:p>
    <w:p w14:paraId="6499629B" w14:textId="77777777" w:rsidR="009D07B6" w:rsidRPr="00B95E28" w:rsidRDefault="009D07B6" w:rsidP="004606AA">
      <w:pPr>
        <w:rPr>
          <w:color w:val="000000" w:themeColor="text1"/>
        </w:rPr>
      </w:pPr>
    </w:p>
    <w:p w14:paraId="2CA8A241" w14:textId="7DC75F21" w:rsidR="001F089D" w:rsidRPr="00B95E28" w:rsidRDefault="001F089D" w:rsidP="00557AB7">
      <w:pPr>
        <w:spacing w:line="480" w:lineRule="auto"/>
        <w:rPr>
          <w:color w:val="000000" w:themeColor="text1"/>
        </w:rPr>
      </w:pPr>
      <w:r w:rsidRPr="00B95E28">
        <w:rPr>
          <w:color w:val="000000" w:themeColor="text1"/>
        </w:rPr>
        <w:t>Several factors contribute to this weak linkage. First, integration teams are often temporary. Once the immediate integration objectives are complete, the team disperses, external advisors exit, and internal leaders return to their functional roles. As a result, knowledge remains distributed across individuals rather than consolidated into an organizational asset. Second, executive attention often shifts quickly to the next deal, operational priority, or performance issue. The reflective work required to convert experience into reusable learning is therefore treated as optional rather than essential.</w:t>
      </w:r>
    </w:p>
    <w:p w14:paraId="2E320856" w14:textId="77777777" w:rsidR="009D07B6" w:rsidRPr="00B95E28" w:rsidRDefault="009D07B6" w:rsidP="004606AA">
      <w:pPr>
        <w:rPr>
          <w:color w:val="000000" w:themeColor="text1"/>
        </w:rPr>
      </w:pPr>
    </w:p>
    <w:p w14:paraId="5C65568E" w14:textId="6B68CA9E" w:rsidR="001F089D" w:rsidRPr="00B95E28" w:rsidRDefault="001F089D" w:rsidP="00557AB7">
      <w:pPr>
        <w:spacing w:line="480" w:lineRule="auto"/>
        <w:rPr>
          <w:color w:val="000000" w:themeColor="text1"/>
        </w:rPr>
      </w:pPr>
      <w:r w:rsidRPr="00B95E28">
        <w:rPr>
          <w:color w:val="000000" w:themeColor="text1"/>
        </w:rPr>
        <w:t xml:space="preserve">Third, lessons learned processes are frequently descriptive rather than causal. Organizations may document what happened but fail to examine why it happened. This distinction is critical. A list of issues does not necessarily improve future performance unless the organization identifies the underlying conditions that produced those issues. For example, noting that Day 1 reporting was delayed is useful, but insufficient. The more important learning concerns whether the delay was </w:t>
      </w:r>
      <w:r w:rsidRPr="00B95E28">
        <w:rPr>
          <w:color w:val="000000" w:themeColor="text1"/>
        </w:rPr>
        <w:lastRenderedPageBreak/>
        <w:t>caused by late data access, unclear ownership, poor system mapping, underestimated resource requirements, or a decision made during diligence.</w:t>
      </w:r>
    </w:p>
    <w:p w14:paraId="6DE51F22" w14:textId="77777777" w:rsidR="009D07B6" w:rsidRPr="00B95E28" w:rsidRDefault="009D07B6" w:rsidP="00557AB7">
      <w:pPr>
        <w:spacing w:line="480" w:lineRule="auto"/>
        <w:rPr>
          <w:color w:val="000000" w:themeColor="text1"/>
        </w:rPr>
      </w:pPr>
    </w:p>
    <w:p w14:paraId="36B6663F" w14:textId="50768550" w:rsidR="001F089D" w:rsidRPr="00B95E28" w:rsidRDefault="001F089D" w:rsidP="00557AB7">
      <w:pPr>
        <w:spacing w:line="480" w:lineRule="auto"/>
        <w:rPr>
          <w:color w:val="000000" w:themeColor="text1"/>
        </w:rPr>
      </w:pPr>
      <w:r w:rsidRPr="00B95E28">
        <w:rPr>
          <w:color w:val="000000" w:themeColor="text1"/>
        </w:rPr>
        <w:t>This explains why organizations may repeat integration mistakes despite having completed postmortems. If lessons learned are not translated into revised governance structures, updated playbooks, improved diligence questions, clearer decision gates, or different resourcing models, they remain informational rather than developmental. Learning only contributes to capability when it changes how the organization prepares for and executes the next acquisition.</w:t>
      </w:r>
    </w:p>
    <w:p w14:paraId="2F61071D" w14:textId="77777777" w:rsidR="009D07B6" w:rsidRPr="00B95E28" w:rsidRDefault="009D07B6" w:rsidP="004606AA">
      <w:pPr>
        <w:rPr>
          <w:color w:val="000000" w:themeColor="text1"/>
        </w:rPr>
      </w:pPr>
    </w:p>
    <w:p w14:paraId="0E7D3E81" w14:textId="09E849B9" w:rsidR="001F089D" w:rsidRPr="00B95E28" w:rsidRDefault="001F089D" w:rsidP="00557AB7">
      <w:pPr>
        <w:spacing w:line="480" w:lineRule="auto"/>
        <w:rPr>
          <w:color w:val="000000" w:themeColor="text1"/>
        </w:rPr>
      </w:pPr>
      <w:r w:rsidRPr="00B95E28">
        <w:rPr>
          <w:color w:val="000000" w:themeColor="text1"/>
        </w:rPr>
        <w:t>The weak execution-to-learning linkage also helps explain why acquisition experience does not automatically improve performance. Experience creates the opportunity for learning, but not the mechanism for learning. In the absence of deliberate articulation, codification, and application, experience remains episodic. This finding aligns with the broader capability-based argument of the dissertation: repeatable integration capability develops when organizations create structures that allow knowledge to move from individual experience into organizational practice.</w:t>
      </w:r>
    </w:p>
    <w:p w14:paraId="0A9BCF02" w14:textId="77777777" w:rsidR="009D07B6" w:rsidRPr="00B95E28" w:rsidRDefault="009D07B6" w:rsidP="004606AA">
      <w:pPr>
        <w:rPr>
          <w:color w:val="000000" w:themeColor="text1"/>
        </w:rPr>
      </w:pPr>
    </w:p>
    <w:p w14:paraId="75D39681" w14:textId="385AB342" w:rsidR="001F089D" w:rsidRPr="00B95E28" w:rsidRDefault="001F089D" w:rsidP="00557AB7">
      <w:pPr>
        <w:spacing w:line="480" w:lineRule="auto"/>
        <w:rPr>
          <w:color w:val="000000" w:themeColor="text1"/>
        </w:rPr>
      </w:pPr>
      <w:r w:rsidRPr="00B95E28">
        <w:rPr>
          <w:color w:val="000000" w:themeColor="text1"/>
        </w:rPr>
        <w:t>Strengthening this linkage is therefore central to building repeatable integration capability. It requires treating learning as a formal phase of integration rather than an informal afterthought. The final stage of integration should not simply ask whether the deal is complete, but whether the organization is better prepared for the next transaction. This shift changes the purpose of post-integration review from administrative closure to capability development.</w:t>
      </w:r>
    </w:p>
    <w:p w14:paraId="0F409CE0" w14:textId="77777777" w:rsidR="004606AA" w:rsidRPr="00B95E28" w:rsidRDefault="004606AA" w:rsidP="004606AA">
      <w:pPr>
        <w:rPr>
          <w:rFonts w:eastAsia="MS Gothic"/>
          <w:color w:val="000000" w:themeColor="text1"/>
        </w:rPr>
      </w:pPr>
    </w:p>
    <w:p w14:paraId="5141C32E" w14:textId="46358BCA" w:rsidR="001F089D" w:rsidRPr="00B95E28" w:rsidRDefault="001F089D" w:rsidP="00557AB7">
      <w:pPr>
        <w:pStyle w:val="Heading2"/>
        <w:spacing w:before="0" w:after="0" w:line="480" w:lineRule="auto"/>
        <w:rPr>
          <w:rFonts w:eastAsia="MS Gothic"/>
          <w:color w:val="000000" w:themeColor="text1"/>
        </w:rPr>
      </w:pPr>
      <w:bookmarkStart w:id="165" w:name="_Toc232351878"/>
      <w:r w:rsidRPr="00B95E28">
        <w:rPr>
          <w:rFonts w:eastAsia="MS Gothic"/>
          <w:color w:val="000000" w:themeColor="text1"/>
        </w:rPr>
        <w:lastRenderedPageBreak/>
        <w:t>5.8 Comparison with Existing Literature</w:t>
      </w:r>
      <w:bookmarkEnd w:id="165"/>
    </w:p>
    <w:p w14:paraId="62E9A056" w14:textId="77777777"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The existing literature on mergers and acquisitions provides substantial insight into the drivers of acquisition success and failure, yet remains fragmented across several domains, including deal performance, integration processes, and organizational capability.</w:t>
      </w:r>
    </w:p>
    <w:p w14:paraId="2CC7A31A" w14:textId="77777777" w:rsidR="009D07B6" w:rsidRPr="00B95E28" w:rsidRDefault="009D07B6" w:rsidP="00557AB7">
      <w:pPr>
        <w:spacing w:line="480" w:lineRule="auto"/>
        <w:ind w:right="-279"/>
        <w:rPr>
          <w:rFonts w:eastAsia="MS Mincho"/>
          <w:color w:val="000000" w:themeColor="text1"/>
        </w:rPr>
      </w:pPr>
    </w:p>
    <w:p w14:paraId="37B90146" w14:textId="16614603"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Foundational M&amp;A literature has primarily focused on the strategic and financial drivers of acquisitions. Gaughan (2007) emphasizes that mergers and acquisitions are motivated by factors such as growth, synergy realization, diversification, and financial opportunity, with value creation largely dependent on deal structure, valuation, and strategic fit. This perspective positions acquisition success as a function of sound financial and strategic decision-making at the transaction stage.</w:t>
      </w:r>
    </w:p>
    <w:p w14:paraId="15C27E83" w14:textId="77777777" w:rsidR="009D07B6" w:rsidRPr="00B95E28" w:rsidRDefault="009D07B6" w:rsidP="004606AA">
      <w:pPr>
        <w:rPr>
          <w:rFonts w:eastAsia="MS Mincho"/>
          <w:color w:val="000000" w:themeColor="text1"/>
        </w:rPr>
      </w:pPr>
    </w:p>
    <w:p w14:paraId="4F72A1D6" w14:textId="01C8F743"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Building on this foundation, subsequent research has examined the persistent gap between expected and actual acquisition outcomes. Cartwright and Schoenberg (2006) highlight the high failure rates associated with M&amp;A, while Christensen et al. (2011) argue that acquisitions often fail due to flawed strategic assumptions and misalignment with core business models. Sirower (1997) further reinforces this perspective by demonstrating that anticipated synergies are typically priced into the acquisition premium at the time of the deal, creating immediate pressure on organizations to deliver post-acquisition value. Failure to realize these synergies results in rapid value destruction.</w:t>
      </w:r>
    </w:p>
    <w:p w14:paraId="748E3CA9" w14:textId="77777777" w:rsidR="009D07B6" w:rsidRPr="00B95E28" w:rsidRDefault="009D07B6" w:rsidP="004606AA">
      <w:pPr>
        <w:rPr>
          <w:rFonts w:eastAsia="MS Mincho"/>
          <w:color w:val="000000" w:themeColor="text1"/>
        </w:rPr>
      </w:pPr>
    </w:p>
    <w:p w14:paraId="7BB76C8D" w14:textId="617C31C5"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While these perspectives emphasize the importance of deal quality and disciplined valuation, they place comparatively less emphasis on the organizational conditions required to execute integration successfully. The findings of this research suggest that even where strategic intent and valuation </w:t>
      </w:r>
      <w:r w:rsidRPr="00B95E28">
        <w:rPr>
          <w:rFonts w:eastAsia="MS Mincho"/>
          <w:color w:val="000000" w:themeColor="text1"/>
        </w:rPr>
        <w:lastRenderedPageBreak/>
        <w:t>assumptions are sound, organizations frequently fail to realize value due to weaknesses in integration execution.</w:t>
      </w:r>
    </w:p>
    <w:p w14:paraId="7385F4E0" w14:textId="77777777" w:rsidR="009D07B6" w:rsidRPr="00B95E28" w:rsidRDefault="009D07B6" w:rsidP="004606AA">
      <w:pPr>
        <w:rPr>
          <w:rFonts w:eastAsia="MS Mincho"/>
          <w:color w:val="000000" w:themeColor="text1"/>
        </w:rPr>
      </w:pPr>
    </w:p>
    <w:p w14:paraId="46CC46F2" w14:textId="0FBA2765"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This gap between deal logic and execution has led to increased attention on integration as a structured and manageable process. Sherman (2018) presents M&amp;A as a disciplined lifecycle, while Kim and Olsen (1999) emphasize the importance of aligning pre-acquisition management with post-acquisition integration. Haspeslagh and Jemison (1991) further argue that integration approaches should be adapted based on strategic intent. However, these perspectives implicitly assume that organizations possess the capability to execute integration once the appropriate approach has been defined. The findings of this study challenge this assumption, demonstrating that the primary constraint is not the absence of frameworks, but the inability to apply them consistently across transactions.</w:t>
      </w:r>
    </w:p>
    <w:p w14:paraId="09E160B8" w14:textId="77777777" w:rsidR="009D07B6" w:rsidRPr="00B95E28" w:rsidRDefault="009D07B6" w:rsidP="004606AA">
      <w:pPr>
        <w:rPr>
          <w:rFonts w:eastAsia="MS Mincho"/>
          <w:color w:val="000000" w:themeColor="text1"/>
        </w:rPr>
      </w:pPr>
    </w:p>
    <w:p w14:paraId="25CA9725" w14:textId="75103580"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Existing literature has increasingly moved toward viewing acquisitions as structured, end-to-end processes. Mroczyński (2022), for example, frames the acquisition lifecycle as a value-driving system, where value is created not only through deal selection and pricing, but through coordinated execution across all phases of the transaction. This perspective reinforces the idea that acquisitions should be managed holistically rather than as discrete steps.</w:t>
      </w:r>
    </w:p>
    <w:p w14:paraId="3B994AF1" w14:textId="77777777" w:rsidR="009D07B6" w:rsidRPr="00B95E28" w:rsidRDefault="009D07B6" w:rsidP="004606AA">
      <w:pPr>
        <w:rPr>
          <w:rFonts w:eastAsia="MS Mincho"/>
          <w:color w:val="000000" w:themeColor="text1"/>
        </w:rPr>
      </w:pPr>
    </w:p>
    <w:p w14:paraId="68152920" w14:textId="26483801"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However, the findings from this research suggest a critical limitation in this view. While process models assume that organizations can execute across the lifecycle with consistency, in practice, execution capability varies significantly. The issue is not the absence of a defined acquisition process, but the organization’s ability to repeatedly operationalize it, particularly post-close.</w:t>
      </w:r>
    </w:p>
    <w:p w14:paraId="0ED7A3CB" w14:textId="6DB7DD23" w:rsidR="001F089D" w:rsidRPr="00B95E28" w:rsidRDefault="001F089D" w:rsidP="00557AB7">
      <w:pPr>
        <w:spacing w:line="480" w:lineRule="auto"/>
        <w:ind w:right="-279"/>
        <w:rPr>
          <w:rFonts w:eastAsia="MS Mincho"/>
          <w:color w:val="000000" w:themeColor="text1"/>
        </w:rPr>
      </w:pPr>
      <w:r w:rsidRPr="00B95E28">
        <w:rPr>
          <w:rFonts w:eastAsia="MS Mincho"/>
          <w:color w:val="000000" w:themeColor="text1"/>
        </w:rPr>
        <w:t xml:space="preserve">Interview data consistently indicates that breakdowns occur not in the design of the acquisition process, but in the translation of that process into execution. Governance structures are </w:t>
      </w:r>
      <w:r w:rsidRPr="00B95E28">
        <w:rPr>
          <w:rFonts w:eastAsia="MS Mincho"/>
          <w:color w:val="000000" w:themeColor="text1"/>
        </w:rPr>
        <w:lastRenderedPageBreak/>
        <w:t>inconsistently applied, integration leadership lacks authority, and lessons learned are not systematically embedded into future transactions. As a result, the value-driving acquisition process described in the literature becomes fragmented in practice.</w:t>
      </w:r>
    </w:p>
    <w:p w14:paraId="01B35D32" w14:textId="53E0AF74" w:rsidR="001F089D" w:rsidRPr="00B95E28" w:rsidRDefault="001F089D" w:rsidP="00557AB7">
      <w:pPr>
        <w:pStyle w:val="Heading2"/>
        <w:spacing w:before="0" w:after="0" w:line="480" w:lineRule="auto"/>
        <w:rPr>
          <w:rFonts w:eastAsia="MS Mincho"/>
          <w:color w:val="000000" w:themeColor="text1"/>
        </w:rPr>
      </w:pPr>
      <w:bookmarkStart w:id="166" w:name="_Toc232351879"/>
      <w:r w:rsidRPr="00B95E28">
        <w:rPr>
          <w:rFonts w:eastAsia="MS Mincho"/>
          <w:color w:val="000000" w:themeColor="text1"/>
        </w:rPr>
        <w:t>5.9 Limitations of Existing Integration and Capability Perspectives</w:t>
      </w:r>
      <w:bookmarkEnd w:id="166"/>
    </w:p>
    <w:p w14:paraId="590AEE5A" w14:textId="77777777" w:rsidR="001F089D" w:rsidRPr="00B95E28" w:rsidRDefault="001F089D" w:rsidP="00557AB7">
      <w:pPr>
        <w:spacing w:line="480" w:lineRule="auto"/>
        <w:rPr>
          <w:color w:val="000000" w:themeColor="text1"/>
        </w:rPr>
      </w:pPr>
      <w:r w:rsidRPr="00B95E28">
        <w:rPr>
          <w:color w:val="000000" w:themeColor="text1"/>
        </w:rPr>
        <w:t>While existing literature provides substantial insight into mergers and acquisitions and integration practices, it does not fully explain the persistent variability in integration outcomes observed in practice.</w:t>
      </w:r>
    </w:p>
    <w:p w14:paraId="6B75FB0D" w14:textId="77777777" w:rsidR="009D07B6" w:rsidRPr="00B95E28" w:rsidRDefault="009D07B6" w:rsidP="004606AA">
      <w:pPr>
        <w:rPr>
          <w:color w:val="000000" w:themeColor="text1"/>
        </w:rPr>
      </w:pPr>
    </w:p>
    <w:p w14:paraId="1366CC77" w14:textId="02DCCB75" w:rsidR="001F089D" w:rsidRPr="00B95E28" w:rsidRDefault="001F089D" w:rsidP="00557AB7">
      <w:pPr>
        <w:spacing w:line="480" w:lineRule="auto"/>
        <w:rPr>
          <w:color w:val="000000" w:themeColor="text1"/>
        </w:rPr>
      </w:pPr>
      <w:r w:rsidRPr="00B95E28">
        <w:rPr>
          <w:color w:val="000000" w:themeColor="text1"/>
        </w:rPr>
        <w:t>Capability-based perspectives, particularly those grounded in dynamic capabilities theory, emphasize the role of experience accumulation, knowledge articulation, and knowledge codification in developing organizational capability. These perspectives assume that organizations can convert experience into improved future performance through structured learning mechanisms.</w:t>
      </w:r>
    </w:p>
    <w:p w14:paraId="664D6BD7" w14:textId="77777777" w:rsidR="009D07B6" w:rsidRPr="00B95E28" w:rsidRDefault="009D07B6" w:rsidP="004606AA">
      <w:pPr>
        <w:rPr>
          <w:color w:val="000000" w:themeColor="text1"/>
        </w:rPr>
      </w:pPr>
    </w:p>
    <w:p w14:paraId="69BEAC92" w14:textId="282D20BB" w:rsidR="001F089D" w:rsidRPr="00B95E28" w:rsidRDefault="001F089D" w:rsidP="00557AB7">
      <w:pPr>
        <w:spacing w:line="480" w:lineRule="auto"/>
        <w:rPr>
          <w:color w:val="000000" w:themeColor="text1"/>
        </w:rPr>
      </w:pPr>
      <w:r w:rsidRPr="00B95E28">
        <w:rPr>
          <w:color w:val="000000" w:themeColor="text1"/>
        </w:rPr>
        <w:t>However, the findings of this study suggest that this assumption does not consistently hold in acquisition contexts. Organizations frequently accumulate experience across multiple transactions, yet do not demonstrate corresponding improvements in integration outcomes. This indicates that the presence of learning mechanisms alone is insufficient to ensure capability development.</w:t>
      </w:r>
    </w:p>
    <w:p w14:paraId="7D93066A" w14:textId="77777777" w:rsidR="009D07B6" w:rsidRPr="00B95E28" w:rsidRDefault="009D07B6" w:rsidP="004606AA">
      <w:pPr>
        <w:rPr>
          <w:color w:val="000000" w:themeColor="text1"/>
        </w:rPr>
      </w:pPr>
    </w:p>
    <w:p w14:paraId="52EF57D8" w14:textId="432F0301" w:rsidR="001F089D" w:rsidRPr="00B95E28" w:rsidRDefault="001F089D" w:rsidP="00557AB7">
      <w:pPr>
        <w:spacing w:line="480" w:lineRule="auto"/>
        <w:rPr>
          <w:color w:val="000000" w:themeColor="text1"/>
        </w:rPr>
      </w:pPr>
      <w:r w:rsidRPr="00B95E28">
        <w:rPr>
          <w:color w:val="000000" w:themeColor="text1"/>
        </w:rPr>
        <w:t>Similarly, process-oriented integration frameworks assume that structured approaches to planning and execution can be applied consistently across transactions. While these frameworks provide valuable guidance, they implicitly assume that organizations possess the conditions necessary to execute them effectively. In practice, however, execution varies significantly across transactions, even within the same organization.</w:t>
      </w:r>
    </w:p>
    <w:p w14:paraId="5CA28158" w14:textId="77777777" w:rsidR="009D07B6" w:rsidRPr="00B95E28" w:rsidRDefault="009D07B6" w:rsidP="004606AA">
      <w:pPr>
        <w:rPr>
          <w:color w:val="000000" w:themeColor="text1"/>
        </w:rPr>
      </w:pPr>
    </w:p>
    <w:p w14:paraId="4309EE82" w14:textId="0C6A1489" w:rsidR="001F089D" w:rsidRPr="00B95E28" w:rsidRDefault="001F089D" w:rsidP="00557AB7">
      <w:pPr>
        <w:spacing w:line="480" w:lineRule="auto"/>
        <w:rPr>
          <w:color w:val="000000" w:themeColor="text1"/>
        </w:rPr>
      </w:pPr>
      <w:r w:rsidRPr="00B95E28">
        <w:rPr>
          <w:color w:val="000000" w:themeColor="text1"/>
        </w:rPr>
        <w:t>The findings of this research highlight that the primary limitation in both perspectives is the lack of attention to continuity across transactions. Existing literature tends to examine integration either within the boundaries of a single deal or as an abstract capability, without fully addressing how organizational conditions persist over time.</w:t>
      </w:r>
    </w:p>
    <w:p w14:paraId="44108D47" w14:textId="77777777" w:rsidR="009D07B6" w:rsidRPr="00B95E28" w:rsidRDefault="009D07B6" w:rsidP="004606AA">
      <w:pPr>
        <w:rPr>
          <w:color w:val="000000" w:themeColor="text1"/>
        </w:rPr>
      </w:pPr>
    </w:p>
    <w:p w14:paraId="6F0FC06C" w14:textId="6148E1F0" w:rsidR="001F089D" w:rsidRPr="00B95E28" w:rsidRDefault="001F089D" w:rsidP="00557AB7">
      <w:pPr>
        <w:spacing w:line="480" w:lineRule="auto"/>
        <w:rPr>
          <w:color w:val="000000" w:themeColor="text1"/>
        </w:rPr>
      </w:pPr>
      <w:r w:rsidRPr="00B95E28">
        <w:rPr>
          <w:color w:val="000000" w:themeColor="text1"/>
        </w:rPr>
        <w:t>As a result, a critical gap emerges: while the mechanisms of learning and execution are well understood, the conditions required for these mechanisms to operate consistently across transactions remain under-theorized.</w:t>
      </w:r>
    </w:p>
    <w:p w14:paraId="4B281877" w14:textId="77777777" w:rsidR="009D07B6" w:rsidRPr="00B95E28" w:rsidRDefault="009D07B6" w:rsidP="004606AA">
      <w:pPr>
        <w:rPr>
          <w:color w:val="000000" w:themeColor="text1"/>
        </w:rPr>
      </w:pPr>
    </w:p>
    <w:p w14:paraId="4A55EF36" w14:textId="4A08B582" w:rsidR="001F089D" w:rsidRPr="00B95E28" w:rsidRDefault="001F089D" w:rsidP="00557AB7">
      <w:pPr>
        <w:spacing w:line="480" w:lineRule="auto"/>
        <w:rPr>
          <w:color w:val="000000" w:themeColor="text1"/>
        </w:rPr>
      </w:pPr>
      <w:r w:rsidRPr="00B95E28">
        <w:rPr>
          <w:color w:val="000000" w:themeColor="text1"/>
        </w:rPr>
        <w:t>This study addresses this gap by identifying the role of governance continuity and lifecycle integration as mechanisms that enable capability to accumulate. Specifically, it demonstrates that without consistent governance structures, stable leadership authority, and sustained execution conditions, learning generated in one transaction cannot be effectively transferred to the next.</w:t>
      </w:r>
    </w:p>
    <w:p w14:paraId="5DC6CDBF" w14:textId="77777777" w:rsidR="001F089D" w:rsidRPr="00B95E28" w:rsidRDefault="001F089D" w:rsidP="00557AB7">
      <w:pPr>
        <w:spacing w:line="480" w:lineRule="auto"/>
        <w:rPr>
          <w:color w:val="000000" w:themeColor="text1"/>
        </w:rPr>
      </w:pPr>
      <w:r w:rsidRPr="00B95E28">
        <w:rPr>
          <w:color w:val="000000" w:themeColor="text1"/>
        </w:rPr>
        <w:t>This reframes the challenge of integration capability development from one of knowledge availability to one of organizational continuity. This indicates that the central limitation of existing perspectives is not the absence of learning mechanisms, but the absence of conditions that allow those mechanisms to operate consistently across transactions.</w:t>
      </w:r>
    </w:p>
    <w:p w14:paraId="21770C54" w14:textId="77777777" w:rsidR="004606AA" w:rsidRPr="00B95E28" w:rsidRDefault="004606AA" w:rsidP="004606AA">
      <w:pPr>
        <w:rPr>
          <w:rFonts w:eastAsia="MS Gothic"/>
          <w:color w:val="000000" w:themeColor="text1"/>
        </w:rPr>
      </w:pPr>
    </w:p>
    <w:p w14:paraId="2ECFFE24" w14:textId="014DD1D2" w:rsidR="001F089D" w:rsidRPr="00B95E28" w:rsidRDefault="001F089D" w:rsidP="00557AB7">
      <w:pPr>
        <w:pStyle w:val="Heading2"/>
        <w:spacing w:before="0" w:after="0" w:line="480" w:lineRule="auto"/>
        <w:rPr>
          <w:rFonts w:eastAsia="MS Gothic"/>
          <w:color w:val="000000" w:themeColor="text1"/>
        </w:rPr>
      </w:pPr>
      <w:bookmarkStart w:id="167" w:name="_Toc232351880"/>
      <w:r w:rsidRPr="00B95E28">
        <w:rPr>
          <w:rFonts w:eastAsia="MS Gothic"/>
          <w:color w:val="000000" w:themeColor="text1"/>
        </w:rPr>
        <w:t>5.10 Synthesis and Theoretical Contribution</w:t>
      </w:r>
      <w:bookmarkEnd w:id="167"/>
    </w:p>
    <w:p w14:paraId="7C55782D" w14:textId="0EAFC017"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This study makes four related contributions to existing M&amp;A integration research. First, it shifts the unit of analysis from the individual acquisition to the organization as a repeat acquirer. </w:t>
      </w:r>
    </w:p>
    <w:p w14:paraId="53AA1562" w14:textId="77777777" w:rsidR="009D07B6" w:rsidRPr="00B95E28" w:rsidRDefault="009D07B6" w:rsidP="004606AA">
      <w:pPr>
        <w:rPr>
          <w:rFonts w:eastAsia="MS Mincho"/>
          <w:color w:val="000000" w:themeColor="text1"/>
        </w:rPr>
      </w:pPr>
    </w:p>
    <w:p w14:paraId="75F05306" w14:textId="04BFF86D"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Second, the study explains why acquisition experience does not automatically become integration capability. The findings show that experience must be supported by governance continuity, leadership authority, resource capacity, and structured learning mechanisms. Without </w:t>
      </w:r>
      <w:r w:rsidRPr="00B95E28">
        <w:rPr>
          <w:rFonts w:eastAsia="MS Mincho"/>
          <w:color w:val="000000" w:themeColor="text1"/>
        </w:rPr>
        <w:lastRenderedPageBreak/>
        <w:t>these conditions, organizations may repeat acquisitions without improving their ability to integrate them.</w:t>
      </w:r>
    </w:p>
    <w:p w14:paraId="0514A9BA" w14:textId="77777777" w:rsidR="009D07B6" w:rsidRPr="00B95E28" w:rsidRDefault="009D07B6" w:rsidP="00557AB7">
      <w:pPr>
        <w:spacing w:line="480" w:lineRule="auto"/>
        <w:rPr>
          <w:rFonts w:eastAsia="MS Mincho"/>
          <w:color w:val="000000" w:themeColor="text1"/>
        </w:rPr>
      </w:pPr>
    </w:p>
    <w:p w14:paraId="1FAE16FA" w14:textId="5C3F57B5"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Third, the study introduces the Integration Capability Loop and Integration Capability Engine as complementary constructs. The Loop explains how capability develops across the integration lifecycle, while the Engine identifies the organizational enablers required for the Loop to function. Together, they provide a mechanism-level explanation of repeatable integration capability.</w:t>
      </w:r>
    </w:p>
    <w:p w14:paraId="665D28E8" w14:textId="77777777" w:rsidR="009D07B6" w:rsidRPr="00B95E28" w:rsidRDefault="009D07B6" w:rsidP="004606AA">
      <w:pPr>
        <w:rPr>
          <w:rFonts w:eastAsia="MS Mincho"/>
          <w:color w:val="000000" w:themeColor="text1"/>
        </w:rPr>
      </w:pPr>
    </w:p>
    <w:p w14:paraId="74B429CB" w14:textId="06402878" w:rsidR="001F089D" w:rsidRPr="00B95E28" w:rsidRDefault="001F089D" w:rsidP="00557AB7">
      <w:pPr>
        <w:spacing w:line="480" w:lineRule="auto"/>
        <w:rPr>
          <w:rFonts w:eastAsia="MS Mincho"/>
          <w:color w:val="000000" w:themeColor="text1"/>
        </w:rPr>
      </w:pPr>
      <w:r w:rsidRPr="00B95E28">
        <w:rPr>
          <w:rFonts w:eastAsia="MS Mincho"/>
          <w:color w:val="000000" w:themeColor="text1"/>
        </w:rPr>
        <w:t>Fourth, the study reframes integration capability as continuity under constraint. Integration occurs under conditions of uncertainty, time pressure, incomplete information, and competing operational priorities. The ability to sustain governance, decision-making, coordination, and learning under these conditions distinguishes organizations that build repeatable capability from those that rely on ad hoc execution.</w:t>
      </w:r>
    </w:p>
    <w:p w14:paraId="4155ABE1" w14:textId="77777777" w:rsidR="009D07B6" w:rsidRPr="00B95E28" w:rsidRDefault="009D07B6" w:rsidP="004606AA">
      <w:pPr>
        <w:rPr>
          <w:rFonts w:eastAsia="MS Mincho"/>
          <w:color w:val="000000" w:themeColor="text1"/>
        </w:rPr>
      </w:pPr>
    </w:p>
    <w:p w14:paraId="3EB43AB2" w14:textId="16471DFA" w:rsidR="001F089D" w:rsidRPr="00B95E28" w:rsidRDefault="001F089D" w:rsidP="00557AB7">
      <w:pPr>
        <w:spacing w:line="480" w:lineRule="auto"/>
        <w:rPr>
          <w:rFonts w:eastAsia="MS Mincho"/>
          <w:color w:val="000000" w:themeColor="text1"/>
        </w:rPr>
      </w:pPr>
      <w:r w:rsidRPr="00B95E28">
        <w:rPr>
          <w:rFonts w:eastAsia="MS Mincho"/>
          <w:color w:val="000000" w:themeColor="text1"/>
        </w:rPr>
        <w:t>Existing literature establishes several important foundations for this study. Sirower (1997) highlights the financial consequences of failing to deliver anticipated synergies, reinforcing that value is not created at signing but must be operationalized after close. Process-oriented literature, including Sherman (2018), Kim and Olsen (1999), and Haspeslagh and Jemison (1991), frames integration as a structured lifecycle requiring alignment between deal intent, planning, and execution. Capability-based perspectives, particularly Zollo and Winter (2002), Zollo and Singh (2004), and Teece (2007), further explain how organizations develop capability through experience, learning, and adaptation.</w:t>
      </w:r>
    </w:p>
    <w:p w14:paraId="0D1EE6AD" w14:textId="77777777" w:rsidR="009D07B6" w:rsidRPr="00B95E28" w:rsidRDefault="009D07B6" w:rsidP="004606AA">
      <w:pPr>
        <w:rPr>
          <w:rFonts w:eastAsia="MS Mincho"/>
          <w:color w:val="000000" w:themeColor="text1"/>
        </w:rPr>
      </w:pPr>
    </w:p>
    <w:p w14:paraId="233C9283" w14:textId="1EF737A8" w:rsidR="001F089D" w:rsidRPr="00B95E28" w:rsidRDefault="001F089D" w:rsidP="00557AB7">
      <w:pPr>
        <w:spacing w:line="480" w:lineRule="auto"/>
        <w:rPr>
          <w:rFonts w:eastAsia="MS Mincho"/>
          <w:color w:val="000000" w:themeColor="text1"/>
        </w:rPr>
      </w:pPr>
      <w:r w:rsidRPr="00B95E28">
        <w:rPr>
          <w:rFonts w:eastAsia="MS Mincho"/>
          <w:color w:val="000000" w:themeColor="text1"/>
        </w:rPr>
        <w:lastRenderedPageBreak/>
        <w:t>However, the findings of this study suggest that these perspectives do not fully explain why organizations with access to similar frameworks, advisors, and accumulated acquisition experience continue to produce inconsistent integration outcomes. The evidence indicates that the central issue is not the absence of integration knowledge, but the inability to operationalize that knowledge consistently across transactions. Integration planning often begins too late, decision rights remain unclear, functional teams lack capacity, and lessons learned are not systematically embedded into future deals. This creates a persistent gap between theoretical best practices and practical execution.</w:t>
      </w:r>
    </w:p>
    <w:p w14:paraId="6A1781A7" w14:textId="77777777" w:rsidR="009D07B6" w:rsidRPr="00B95E28" w:rsidRDefault="009D07B6" w:rsidP="004606AA">
      <w:pPr>
        <w:rPr>
          <w:rFonts w:eastAsia="MS Mincho"/>
          <w:color w:val="000000" w:themeColor="text1"/>
        </w:rPr>
      </w:pPr>
    </w:p>
    <w:p w14:paraId="65CD68E1" w14:textId="758428A0" w:rsidR="001F089D" w:rsidRPr="00B95E28" w:rsidRDefault="001F089D" w:rsidP="00557AB7">
      <w:pPr>
        <w:spacing w:line="480" w:lineRule="auto"/>
        <w:rPr>
          <w:rFonts w:eastAsia="MS Mincho"/>
          <w:color w:val="000000" w:themeColor="text1"/>
        </w:rPr>
      </w:pPr>
      <w:r w:rsidRPr="00B95E28">
        <w:rPr>
          <w:rFonts w:eastAsia="MS Mincho"/>
          <w:color w:val="000000" w:themeColor="text1"/>
        </w:rPr>
        <w:t>In summary, the originality of this study lies in its temporal model of capability development, its identification of governance continuity as a missing mechanism, and its explanation of why learning often fails to accumulate across serial acquisitions.</w:t>
      </w:r>
    </w:p>
    <w:p w14:paraId="7DB9EB8D" w14:textId="77777777" w:rsidR="009D07B6" w:rsidRPr="00B95E28" w:rsidRDefault="009D07B6" w:rsidP="004606AA">
      <w:pPr>
        <w:rPr>
          <w:rFonts w:eastAsia="MS Mincho"/>
          <w:color w:val="000000" w:themeColor="text1"/>
        </w:rPr>
      </w:pPr>
    </w:p>
    <w:p w14:paraId="143D6FE9" w14:textId="22D5C381" w:rsidR="001F089D" w:rsidRPr="00B95E28" w:rsidRDefault="001F089D" w:rsidP="00557AB7">
      <w:pPr>
        <w:spacing w:line="480" w:lineRule="auto"/>
        <w:rPr>
          <w:rFonts w:eastAsia="MS Mincho"/>
          <w:color w:val="000000" w:themeColor="text1"/>
        </w:rPr>
      </w:pPr>
      <w:r w:rsidRPr="00B95E28">
        <w:rPr>
          <w:rFonts w:eastAsia="MS Mincho"/>
          <w:color w:val="000000" w:themeColor="text1"/>
        </w:rPr>
        <w:t>Across cases, integration challenges were not driven by the absence of knowledge, but by the inability to operationalize that knowledge. Integration planning was often initiated too late, decision rights were unclear, and functional teams were required to manage integration alongside existing responsibilities without sufficient capacity. Furthermore, lessons learned from prior transactions were rarely codified or systematically applied, resulting in repeated inefficiencies. These findings highlight a persistent gap between theoretical best practices and practical execution.</w:t>
      </w:r>
    </w:p>
    <w:p w14:paraId="52668F6F" w14:textId="77777777" w:rsidR="009D07B6" w:rsidRPr="00B95E28" w:rsidRDefault="009D07B6" w:rsidP="004606AA">
      <w:pPr>
        <w:rPr>
          <w:rFonts w:eastAsia="MS Mincho"/>
          <w:color w:val="000000" w:themeColor="text1"/>
        </w:rPr>
      </w:pPr>
    </w:p>
    <w:p w14:paraId="13FAEDE7" w14:textId="608E6932"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gap can be understood through the concept of integration capability as an organizational system. Rather than viewing integration as a discrete process or a series of best practices, the findings suggest that integration success depends on the interaction of four interdependent dimensions.</w:t>
      </w:r>
    </w:p>
    <w:p w14:paraId="1C85697F" w14:textId="77777777" w:rsidR="001F089D" w:rsidRPr="00B95E28" w:rsidRDefault="001F089D" w:rsidP="00557AB7">
      <w:pPr>
        <w:numPr>
          <w:ilvl w:val="0"/>
          <w:numId w:val="3"/>
        </w:numPr>
        <w:spacing w:line="480" w:lineRule="auto"/>
        <w:rPr>
          <w:rFonts w:eastAsia="MS Mincho"/>
          <w:color w:val="000000" w:themeColor="text1"/>
        </w:rPr>
      </w:pPr>
      <w:r w:rsidRPr="00B95E28">
        <w:rPr>
          <w:rFonts w:eastAsia="MS Mincho"/>
          <w:b/>
          <w:bCs/>
          <w:color w:val="000000" w:themeColor="text1"/>
        </w:rPr>
        <w:lastRenderedPageBreak/>
        <w:t>Governance and Leadership Authority</w:t>
      </w:r>
      <w:r w:rsidRPr="00B95E28">
        <w:rPr>
          <w:rFonts w:eastAsia="MS Mincho"/>
          <w:color w:val="000000" w:themeColor="text1"/>
        </w:rPr>
        <w:t xml:space="preserve"> - Clear decision rights, executive alignment, and empowered integration leadership are required to coordinate across functions and drive execution. </w:t>
      </w:r>
    </w:p>
    <w:p w14:paraId="452CF7EA" w14:textId="77777777" w:rsidR="001F089D" w:rsidRPr="00B95E28" w:rsidRDefault="001F089D" w:rsidP="00557AB7">
      <w:pPr>
        <w:numPr>
          <w:ilvl w:val="0"/>
          <w:numId w:val="3"/>
        </w:numPr>
        <w:spacing w:line="480" w:lineRule="auto"/>
        <w:rPr>
          <w:rFonts w:eastAsia="MS Mincho"/>
          <w:color w:val="000000" w:themeColor="text1"/>
        </w:rPr>
      </w:pPr>
      <w:r w:rsidRPr="00B95E28">
        <w:rPr>
          <w:rFonts w:eastAsia="MS Mincho"/>
          <w:b/>
          <w:bCs/>
          <w:color w:val="000000" w:themeColor="text1"/>
        </w:rPr>
        <w:t>Pre-Close Planning and Deal Integration Alignment</w:t>
      </w:r>
      <w:r w:rsidRPr="00B95E28">
        <w:rPr>
          <w:rFonts w:eastAsia="MS Mincho"/>
          <w:color w:val="000000" w:themeColor="text1"/>
        </w:rPr>
        <w:t xml:space="preserve"> - Integration outcomes are largely determined before close, where early involvement of integration teams enables realistic planning and alignment with the deal thesis. </w:t>
      </w:r>
    </w:p>
    <w:p w14:paraId="692FB07C" w14:textId="77777777" w:rsidR="001F089D" w:rsidRPr="00B95E28" w:rsidRDefault="001F089D" w:rsidP="00557AB7">
      <w:pPr>
        <w:numPr>
          <w:ilvl w:val="0"/>
          <w:numId w:val="3"/>
        </w:numPr>
        <w:spacing w:line="480" w:lineRule="auto"/>
        <w:rPr>
          <w:rFonts w:eastAsia="MS Mincho"/>
          <w:color w:val="000000" w:themeColor="text1"/>
        </w:rPr>
      </w:pPr>
      <w:r w:rsidRPr="00B95E28">
        <w:rPr>
          <w:rFonts w:eastAsia="MS Mincho"/>
          <w:b/>
          <w:bCs/>
          <w:color w:val="000000" w:themeColor="text1"/>
        </w:rPr>
        <w:t>Operational and Resource Readiness</w:t>
      </w:r>
      <w:r w:rsidRPr="00B95E28">
        <w:rPr>
          <w:rFonts w:eastAsia="MS Mincho"/>
          <w:color w:val="000000" w:themeColor="text1"/>
        </w:rPr>
        <w:t xml:space="preserve"> - Organizations must allocate sufficient capacity and prioritize integration activities to avoid execution strain and delays. </w:t>
      </w:r>
    </w:p>
    <w:p w14:paraId="65927523" w14:textId="77777777" w:rsidR="001F089D" w:rsidRPr="00B95E28" w:rsidRDefault="001F089D" w:rsidP="00557AB7">
      <w:pPr>
        <w:numPr>
          <w:ilvl w:val="0"/>
          <w:numId w:val="3"/>
        </w:numPr>
        <w:spacing w:line="480" w:lineRule="auto"/>
        <w:rPr>
          <w:rFonts w:eastAsia="MS Mincho"/>
          <w:color w:val="000000" w:themeColor="text1"/>
        </w:rPr>
      </w:pPr>
      <w:r w:rsidRPr="00B95E28">
        <w:rPr>
          <w:rFonts w:eastAsia="MS Mincho"/>
          <w:b/>
          <w:bCs/>
          <w:color w:val="000000" w:themeColor="text1"/>
        </w:rPr>
        <w:t>Organizational Learning and Capability Development</w:t>
      </w:r>
      <w:r w:rsidRPr="00B95E28">
        <w:rPr>
          <w:rFonts w:eastAsia="MS Mincho"/>
          <w:color w:val="000000" w:themeColor="text1"/>
        </w:rPr>
        <w:t xml:space="preserve"> - Repeatable success depends on the ability to capture, codify, and reuse knowledge across transactions, rather than relying on individual experience. </w:t>
      </w:r>
    </w:p>
    <w:p w14:paraId="3A17AC45" w14:textId="77777777" w:rsidR="004606AA" w:rsidRPr="00B95E28" w:rsidRDefault="004606AA" w:rsidP="004606AA">
      <w:pPr>
        <w:rPr>
          <w:rFonts w:eastAsia="MS Mincho"/>
          <w:color w:val="000000" w:themeColor="text1"/>
        </w:rPr>
      </w:pPr>
    </w:p>
    <w:p w14:paraId="3EA4B5BA" w14:textId="0D66C170"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These dimensions operate as a reinforcing system. Weakness in any one dimension reduces the effectiveness of the others, resulting in variability in integration outcomes. This explains why organizations with access to similar frameworks, tools, and external advisors continue to experience inconsistent results.</w:t>
      </w:r>
    </w:p>
    <w:p w14:paraId="72FF30C2" w14:textId="77777777" w:rsidR="009D07B6" w:rsidRPr="00B95E28" w:rsidRDefault="009D07B6" w:rsidP="004606AA">
      <w:pPr>
        <w:rPr>
          <w:rFonts w:eastAsia="MS Mincho"/>
          <w:color w:val="000000" w:themeColor="text1"/>
        </w:rPr>
      </w:pPr>
    </w:p>
    <w:p w14:paraId="4FDC7DA1" w14:textId="43998139" w:rsidR="001F089D" w:rsidRPr="00B95E28" w:rsidRDefault="001F089D" w:rsidP="00557AB7">
      <w:pPr>
        <w:spacing w:line="480" w:lineRule="auto"/>
        <w:rPr>
          <w:rFonts w:eastAsia="MS Mincho"/>
          <w:color w:val="000000" w:themeColor="text1"/>
        </w:rPr>
      </w:pPr>
      <w:r w:rsidRPr="00B95E28">
        <w:rPr>
          <w:rFonts w:eastAsia="MS Mincho"/>
          <w:color w:val="000000" w:themeColor="text1"/>
        </w:rPr>
        <w:t>Taken together, this synthesis reframes integration from a process-driven activity to a capability-driven system. While Gaughan (2007) establishes the strategic and financial rationale for acquisitions, Sirower (1997) highlights the consequences of failing to deliver value, and Zollo and Winter (2002) and Teece (2007) provide a theoretical foundation for capability development, this study offers empirical insight into how integration capability manifests, and fails, in practice.</w:t>
      </w:r>
    </w:p>
    <w:p w14:paraId="58CC7A41" w14:textId="77777777" w:rsidR="001F089D" w:rsidRPr="00B95E28" w:rsidRDefault="001F089D" w:rsidP="00557AB7">
      <w:pPr>
        <w:spacing w:line="480" w:lineRule="auto"/>
        <w:rPr>
          <w:rFonts w:eastAsia="MS Mincho"/>
          <w:color w:val="000000" w:themeColor="text1"/>
        </w:rPr>
      </w:pPr>
      <w:r w:rsidRPr="00B95E28">
        <w:rPr>
          <w:rFonts w:eastAsia="MS Mincho"/>
          <w:color w:val="000000" w:themeColor="text1"/>
        </w:rPr>
        <w:t xml:space="preserve">This study extends existing capability-based and process-oriented perspectives by identifying the conditions under which integration capability can be consistently applied across successive </w:t>
      </w:r>
      <w:r w:rsidRPr="00B95E28">
        <w:rPr>
          <w:rFonts w:eastAsia="MS Mincho"/>
          <w:color w:val="000000" w:themeColor="text1"/>
        </w:rPr>
        <w:lastRenderedPageBreak/>
        <w:t>acquisitions. While dynamic capabilities theory explains how organizations learn and adapt, it does not fully account for why such learning fails to translate into repeatable performance in acquisition contexts.</w:t>
      </w:r>
    </w:p>
    <w:p w14:paraId="377AF79D" w14:textId="42FE8680"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The findings demonstrate that integration capability is not defined solely by the presence of learning mechanisms, experience accumulation, or structured processes. Instead, it is determined by the organization’s ability to maintain continuity in governance, leadership authority, and coordination across transactions, particularly under conditions of uncertainty, time pressure, and incomplete information.</w:t>
      </w:r>
    </w:p>
    <w:p w14:paraId="5D68871F" w14:textId="77777777" w:rsidR="009D07B6" w:rsidRPr="00B95E28" w:rsidRDefault="009D07B6" w:rsidP="004606AA">
      <w:pPr>
        <w:rPr>
          <w:rFonts w:eastAsia="MS Mincho"/>
          <w:color w:val="000000" w:themeColor="text1"/>
        </w:rPr>
      </w:pPr>
    </w:p>
    <w:p w14:paraId="037A2060" w14:textId="340275A8" w:rsidR="001F089D" w:rsidRPr="00B95E28" w:rsidRDefault="001F089D" w:rsidP="00557AB7">
      <w:pPr>
        <w:spacing w:line="480" w:lineRule="auto"/>
        <w:rPr>
          <w:rFonts w:eastAsia="MS Mincho"/>
          <w:color w:val="000000" w:themeColor="text1"/>
        </w:rPr>
      </w:pPr>
      <w:r w:rsidRPr="00B95E28">
        <w:rPr>
          <w:rFonts w:eastAsia="MS Mincho"/>
          <w:color w:val="000000" w:themeColor="text1"/>
        </w:rPr>
        <w:t>This research therefore reframes integration capability from a function of learning to a function of continuity under constraint. It identifies governance continuity, decision-making under uncertainty, and cross-phase coordination as the primary mechanisms through which integration capability is either reinforced or disrupted. In doing so, it provides a more precise explanation of why organizations with similar experience, frameworks, and access to best practices produce significantly different integration outcomes.</w:t>
      </w:r>
    </w:p>
    <w:p w14:paraId="44D7BB0F" w14:textId="77777777" w:rsidR="009D07B6" w:rsidRPr="00B95E28" w:rsidRDefault="009D07B6" w:rsidP="004606AA">
      <w:pPr>
        <w:rPr>
          <w:color w:val="000000" w:themeColor="text1"/>
        </w:rPr>
      </w:pPr>
    </w:p>
    <w:p w14:paraId="7F38AA49" w14:textId="0E1488FB" w:rsidR="001F089D" w:rsidRPr="00B95E28" w:rsidRDefault="001F089D" w:rsidP="00557AB7">
      <w:pPr>
        <w:spacing w:line="480" w:lineRule="auto"/>
        <w:rPr>
          <w:color w:val="000000" w:themeColor="text1"/>
        </w:rPr>
      </w:pPr>
      <w:r w:rsidRPr="00B95E28">
        <w:rPr>
          <w:color w:val="000000" w:themeColor="text1"/>
        </w:rPr>
        <w:t xml:space="preserve">Taken together, these findings demonstrate that integration capability is not simply a function of accumulated experience or the adoption of best practices, but an emergent property of organizational continuity across transactions. </w:t>
      </w:r>
    </w:p>
    <w:p w14:paraId="026D8B12" w14:textId="77777777" w:rsidR="009D07B6" w:rsidRPr="00B95E28" w:rsidRDefault="009D07B6" w:rsidP="004606AA">
      <w:pPr>
        <w:rPr>
          <w:color w:val="000000" w:themeColor="text1"/>
        </w:rPr>
      </w:pPr>
    </w:p>
    <w:p w14:paraId="3BE9A130" w14:textId="232FF8EE" w:rsidR="001F089D" w:rsidRPr="00B95E28" w:rsidRDefault="001F089D" w:rsidP="00557AB7">
      <w:pPr>
        <w:spacing w:line="480" w:lineRule="auto"/>
        <w:rPr>
          <w:color w:val="000000" w:themeColor="text1"/>
        </w:rPr>
      </w:pPr>
      <w:r w:rsidRPr="00B95E28">
        <w:rPr>
          <w:color w:val="000000" w:themeColor="text1"/>
        </w:rPr>
        <w:t xml:space="preserve">This study contributes to the literature by shifting the unit of analysis from the individual transaction to the continuity of organizational conditions across transactions. While prior research has examined integration processes and capability development independently, this study integrates these perspectives by demonstrating that repeatable integration performance depends on the persistence of governance, leadership, and coordination structures over time. In </w:t>
      </w:r>
      <w:r w:rsidRPr="00B95E28">
        <w:rPr>
          <w:color w:val="000000" w:themeColor="text1"/>
        </w:rPr>
        <w:lastRenderedPageBreak/>
        <w:t>doing so, it provides a mechanism-level explanation for why organizations with similar experience and access to best practices produce materially different outcomes. Specifically, this study explains not only how integration capability develops, but the conditions under which it fails to become repeatable, thereby addressing the gap between capability theory and observed inconsistency in acquisition outcomes.</w:t>
      </w:r>
    </w:p>
    <w:p w14:paraId="24EFF7B0" w14:textId="77777777" w:rsidR="004606AA" w:rsidRPr="00B95E28" w:rsidRDefault="004606AA" w:rsidP="004606AA">
      <w:pPr>
        <w:rPr>
          <w:color w:val="000000" w:themeColor="text1"/>
        </w:rPr>
      </w:pPr>
    </w:p>
    <w:p w14:paraId="0CD99338" w14:textId="5247BB79" w:rsidR="001F089D" w:rsidRPr="00B95E28" w:rsidRDefault="001F089D" w:rsidP="00557AB7">
      <w:pPr>
        <w:spacing w:line="480" w:lineRule="auto"/>
        <w:rPr>
          <w:color w:val="000000" w:themeColor="text1"/>
        </w:rPr>
      </w:pPr>
      <w:r w:rsidRPr="00B95E28">
        <w:rPr>
          <w:color w:val="000000" w:themeColor="text1"/>
        </w:rPr>
        <w:t>In doing so, this research moves beyond explaining integration success within transactions and instead explains the conditions under which integration capability becomes repeatable across transactions, addressing a central gap in both process-oriented and capability-based perspectives.</w:t>
      </w:r>
    </w:p>
    <w:p w14:paraId="11F18A96" w14:textId="77777777" w:rsidR="001F089D" w:rsidRPr="00B95E28" w:rsidRDefault="001F089D" w:rsidP="00557AB7">
      <w:pPr>
        <w:spacing w:line="480" w:lineRule="auto"/>
        <w:rPr>
          <w:color w:val="000000" w:themeColor="text1"/>
        </w:rPr>
      </w:pPr>
      <w:r w:rsidRPr="00B95E28">
        <w:rPr>
          <w:color w:val="000000" w:themeColor="text1"/>
        </w:rPr>
        <w:t>From a practical perspective, these findings suggest that organizations should not evaluate integration performance solely at the level of individual transactions. Instead, they should assess the extent to which integration capability is being strengthened over time. This requires a shift in focus from short-term execution outcomes to long-term capability development, including the establishment of stable governance structures, dedicated integration roles, and formalized learning mechanisms.</w:t>
      </w:r>
    </w:p>
    <w:p w14:paraId="3578FB7B" w14:textId="77777777" w:rsidR="009D07B6" w:rsidRPr="00B95E28" w:rsidRDefault="009D07B6" w:rsidP="004606AA">
      <w:pPr>
        <w:rPr>
          <w:color w:val="000000" w:themeColor="text1"/>
        </w:rPr>
      </w:pPr>
    </w:p>
    <w:p w14:paraId="7A5E5BA7" w14:textId="3F7CE564" w:rsidR="001F089D" w:rsidRPr="00B95E28" w:rsidRDefault="001F089D" w:rsidP="00557AB7">
      <w:pPr>
        <w:spacing w:line="480" w:lineRule="auto"/>
        <w:rPr>
          <w:color w:val="000000" w:themeColor="text1"/>
        </w:rPr>
      </w:pPr>
      <w:r w:rsidRPr="00B95E28">
        <w:rPr>
          <w:color w:val="000000" w:themeColor="text1"/>
        </w:rPr>
        <w:t>Without this shift, organizations risk achieving isolated integration successes without developing the underlying capability required for consistent performance across transactions.</w:t>
      </w:r>
    </w:p>
    <w:p w14:paraId="7C480C1D" w14:textId="77777777" w:rsidR="004606AA" w:rsidRPr="00B95E28" w:rsidRDefault="004606AA" w:rsidP="004606AA">
      <w:pPr>
        <w:rPr>
          <w:rFonts w:eastAsia="MS Gothic"/>
          <w:color w:val="000000" w:themeColor="text1"/>
        </w:rPr>
      </w:pPr>
    </w:p>
    <w:p w14:paraId="10EF1A98" w14:textId="38C1C24E" w:rsidR="001F089D" w:rsidRPr="00B95E28" w:rsidRDefault="001F089D" w:rsidP="00557AB7">
      <w:pPr>
        <w:pStyle w:val="Heading2"/>
        <w:spacing w:before="0" w:after="0" w:line="480" w:lineRule="auto"/>
        <w:rPr>
          <w:rFonts w:eastAsia="MS Gothic"/>
          <w:color w:val="000000" w:themeColor="text1"/>
        </w:rPr>
      </w:pPr>
      <w:bookmarkStart w:id="168" w:name="_Toc232351881"/>
      <w:r w:rsidRPr="00B95E28">
        <w:rPr>
          <w:rFonts w:eastAsia="MS Gothic"/>
          <w:color w:val="000000" w:themeColor="text1"/>
        </w:rPr>
        <w:t>5.11 Conclusion</w:t>
      </w:r>
      <w:bookmarkEnd w:id="168"/>
    </w:p>
    <w:p w14:paraId="3FDBF5B0" w14:textId="77777777" w:rsidR="001F089D" w:rsidRPr="00B95E28" w:rsidRDefault="001F089D" w:rsidP="00557AB7">
      <w:pPr>
        <w:spacing w:line="480" w:lineRule="auto"/>
        <w:rPr>
          <w:color w:val="000000" w:themeColor="text1"/>
        </w:rPr>
      </w:pPr>
      <w:r w:rsidRPr="00B95E28">
        <w:rPr>
          <w:color w:val="000000" w:themeColor="text1"/>
        </w:rPr>
        <w:t>This chapter examined the empirical findings in relation to existing literature on mergers and acquisitions, with a particular focus on the determinants of integration success. The analysis demonstrates that while the literature provides strong foundations across strategic intent, process design, and organizational learning, it does not fully explain the persistent variability in post-acquisition outcomes observed in practice.</w:t>
      </w:r>
    </w:p>
    <w:p w14:paraId="2CC4DDFE" w14:textId="77777777" w:rsidR="009D07B6" w:rsidRPr="00B95E28" w:rsidRDefault="009D07B6" w:rsidP="004606AA">
      <w:pPr>
        <w:rPr>
          <w:color w:val="000000" w:themeColor="text1"/>
        </w:rPr>
      </w:pPr>
    </w:p>
    <w:p w14:paraId="746D2AD0" w14:textId="7D547978" w:rsidR="001F089D" w:rsidRPr="00B95E28" w:rsidRDefault="001F089D" w:rsidP="00557AB7">
      <w:pPr>
        <w:spacing w:line="480" w:lineRule="auto"/>
        <w:rPr>
          <w:color w:val="000000" w:themeColor="text1"/>
        </w:rPr>
      </w:pPr>
      <w:r w:rsidRPr="00B95E28">
        <w:rPr>
          <w:color w:val="000000" w:themeColor="text1"/>
        </w:rPr>
        <w:t>Foundational perspectives emphasize the importance of deal quality, valuation discipline, and strategic alignment (Gaughan, 2007), while subsequent work highlights the financial consequences of failing to realize expected synergies (Sirower, 1997). Process-oriented frameworks further establish integration as a structured lifecycle requiring coordination across pre- and post-acquisition phases (Sherman, 2018; Kim &amp; Olsen, 1999). In parallel, capability-based research underscores the role of deliberate learning and dynamic capabilities in improving acquisition performance over time (Zollo &amp; Winter, 2002; Zollo &amp; Singh, 2004; Teece, 2007).</w:t>
      </w:r>
    </w:p>
    <w:p w14:paraId="1B891EBA" w14:textId="77777777" w:rsidR="00013707" w:rsidRPr="00B95E28" w:rsidRDefault="00013707" w:rsidP="004606AA">
      <w:pPr>
        <w:rPr>
          <w:color w:val="000000" w:themeColor="text1"/>
        </w:rPr>
      </w:pPr>
    </w:p>
    <w:p w14:paraId="1B107184" w14:textId="2DC28C32" w:rsidR="001F089D" w:rsidRPr="00B95E28" w:rsidRDefault="001F089D" w:rsidP="00557AB7">
      <w:pPr>
        <w:spacing w:line="480" w:lineRule="auto"/>
        <w:rPr>
          <w:color w:val="000000" w:themeColor="text1"/>
        </w:rPr>
      </w:pPr>
      <w:r w:rsidRPr="00B95E28">
        <w:rPr>
          <w:color w:val="000000" w:themeColor="text1"/>
        </w:rPr>
        <w:t>However, the findings of this study reveal a consistent gap between these theoretical perspectives and organizational practice. Across interviews, integration challenges were not driven by a lack of frameworks, strategies, or awareness of best practices. Instead, they emerged from limitations in governance, leadership authority, resource capacity, and the absence of structured learning mechanisms. Organizations frequently approach integration as a project rather than as a capability, resulting in inconsistent execution and repeated inefficiencies across transactions.</w:t>
      </w:r>
    </w:p>
    <w:p w14:paraId="7C2B8CB9" w14:textId="77777777" w:rsidR="00013707" w:rsidRPr="00B95E28" w:rsidRDefault="00013707" w:rsidP="004606AA">
      <w:pPr>
        <w:rPr>
          <w:color w:val="000000" w:themeColor="text1"/>
        </w:rPr>
      </w:pPr>
    </w:p>
    <w:p w14:paraId="60DF837B" w14:textId="5906FD2D" w:rsidR="001F089D" w:rsidRPr="00B95E28" w:rsidRDefault="001F089D" w:rsidP="00557AB7">
      <w:pPr>
        <w:spacing w:line="480" w:lineRule="auto"/>
        <w:rPr>
          <w:color w:val="000000" w:themeColor="text1"/>
        </w:rPr>
      </w:pPr>
      <w:r w:rsidRPr="00B95E28">
        <w:rPr>
          <w:color w:val="000000" w:themeColor="text1"/>
        </w:rPr>
        <w:t>This indicates that the central challenge in acquisition integration is not the identification of best practices, but the organizational ability to execute them consistently. Integration success, therefore, cannot be understood solely as a function of deal logic or process design. Rather, it is dependent on the presence of a repeatable integration capability embedded within the organization.</w:t>
      </w:r>
    </w:p>
    <w:p w14:paraId="6766667D" w14:textId="77777777" w:rsidR="009D07B6" w:rsidRPr="00B95E28" w:rsidRDefault="009D07B6" w:rsidP="004606AA">
      <w:pPr>
        <w:rPr>
          <w:color w:val="000000" w:themeColor="text1"/>
        </w:rPr>
      </w:pPr>
    </w:p>
    <w:p w14:paraId="79C3FE2A" w14:textId="1785143F" w:rsidR="001F089D" w:rsidRPr="00B95E28" w:rsidRDefault="001F089D" w:rsidP="00557AB7">
      <w:pPr>
        <w:spacing w:line="480" w:lineRule="auto"/>
        <w:rPr>
          <w:color w:val="000000" w:themeColor="text1"/>
        </w:rPr>
      </w:pPr>
      <w:r w:rsidRPr="00B95E28">
        <w:rPr>
          <w:color w:val="000000" w:themeColor="text1"/>
        </w:rPr>
        <w:t xml:space="preserve">Building on this insight, the chapter reframes integration as a capability-driven system, shaped by the interaction of governance structures, pre-close planning, operational readiness, and organizational learning. These dimensions collectively determine the organization’s ability to </w:t>
      </w:r>
      <w:r w:rsidRPr="00B95E28">
        <w:rPr>
          <w:color w:val="000000" w:themeColor="text1"/>
        </w:rPr>
        <w:lastRenderedPageBreak/>
        <w:t>translate strategic intent into operational outcomes and to sustain performance across multiple acquisitions.</w:t>
      </w:r>
    </w:p>
    <w:p w14:paraId="6EFA9474" w14:textId="77777777" w:rsidR="001F089D" w:rsidRPr="00B95E28" w:rsidRDefault="001F089D" w:rsidP="00557AB7">
      <w:pPr>
        <w:spacing w:line="480" w:lineRule="auto"/>
        <w:rPr>
          <w:color w:val="000000" w:themeColor="text1"/>
        </w:rPr>
      </w:pPr>
      <w:r w:rsidRPr="00B95E28">
        <w:rPr>
          <w:color w:val="000000" w:themeColor="text1"/>
        </w:rPr>
        <w:t>The following chapter develops this argument further by translating the Integration Capability Model into an operational framework. It provides a practical and conceptual tool for understanding how organizations can move from ad hoc integration efforts to a repeatable, scalable capability that supports acquisition-driven growth.</w:t>
      </w:r>
    </w:p>
    <w:p w14:paraId="1E1E2871" w14:textId="77777777" w:rsidR="001F089D" w:rsidRPr="00B95E28" w:rsidRDefault="001F089D" w:rsidP="00557AB7">
      <w:pPr>
        <w:spacing w:line="480" w:lineRule="auto"/>
        <w:rPr>
          <w:color w:val="000000" w:themeColor="text1"/>
        </w:rPr>
      </w:pPr>
      <w:r w:rsidRPr="00B95E28">
        <w:rPr>
          <w:color w:val="000000" w:themeColor="text1"/>
        </w:rPr>
        <w:t>This represents a shift from process-based explanations of integration toward a capability-based perspective, offering both theoretical and practical contributions to the understanding of post-merger integration in serial acquirers.</w:t>
      </w:r>
    </w:p>
    <w:p w14:paraId="3B94A5B6" w14:textId="77777777" w:rsidR="00013707" w:rsidRPr="00B95E28" w:rsidRDefault="00013707" w:rsidP="004606AA">
      <w:pPr>
        <w:rPr>
          <w:color w:val="000000" w:themeColor="text1"/>
        </w:rPr>
      </w:pPr>
    </w:p>
    <w:p w14:paraId="06024C19" w14:textId="766C80C3" w:rsidR="001F089D" w:rsidRPr="00B95E28" w:rsidRDefault="001F089D" w:rsidP="00557AB7">
      <w:pPr>
        <w:spacing w:line="480" w:lineRule="auto"/>
        <w:rPr>
          <w:color w:val="000000" w:themeColor="text1"/>
        </w:rPr>
      </w:pPr>
      <w:r w:rsidRPr="00B95E28">
        <w:rPr>
          <w:color w:val="000000" w:themeColor="text1"/>
        </w:rPr>
        <w:t>Overall, these findings position integration capability as a dynamic and evolving organizational construct, shaped by the interaction of governance, planning, execution, and learning across transactions.</w:t>
      </w:r>
    </w:p>
    <w:p w14:paraId="7084DBBD" w14:textId="77777777" w:rsidR="001F089D" w:rsidRPr="00B95E28" w:rsidRDefault="001F089D" w:rsidP="00557AB7">
      <w:pPr>
        <w:spacing w:line="480" w:lineRule="auto"/>
        <w:rPr>
          <w:color w:val="000000" w:themeColor="text1"/>
        </w:rPr>
      </w:pPr>
    </w:p>
    <w:p w14:paraId="46A8237D" w14:textId="77777777" w:rsidR="004604AB" w:rsidRPr="00B95E28" w:rsidRDefault="004604AB" w:rsidP="00557AB7">
      <w:pPr>
        <w:spacing w:line="480" w:lineRule="auto"/>
        <w:jc w:val="center"/>
        <w:rPr>
          <w:b/>
          <w:color w:val="000000" w:themeColor="text1"/>
        </w:rPr>
      </w:pPr>
    </w:p>
    <w:p w14:paraId="5C15611D" w14:textId="77777777" w:rsidR="004604AB" w:rsidRPr="00B95E28" w:rsidRDefault="004604AB" w:rsidP="00557AB7">
      <w:pPr>
        <w:spacing w:line="480" w:lineRule="auto"/>
        <w:jc w:val="center"/>
        <w:rPr>
          <w:b/>
          <w:color w:val="000000" w:themeColor="text1"/>
        </w:rPr>
      </w:pPr>
    </w:p>
    <w:p w14:paraId="74826CA5" w14:textId="77777777" w:rsidR="004604AB" w:rsidRPr="00B95E28" w:rsidRDefault="004604AB" w:rsidP="00557AB7">
      <w:pPr>
        <w:spacing w:line="480" w:lineRule="auto"/>
        <w:jc w:val="center"/>
        <w:rPr>
          <w:b/>
          <w:color w:val="000000" w:themeColor="text1"/>
        </w:rPr>
      </w:pPr>
    </w:p>
    <w:p w14:paraId="677A92B9" w14:textId="77777777" w:rsidR="004604AB" w:rsidRPr="00B95E28" w:rsidRDefault="004604AB" w:rsidP="00557AB7">
      <w:pPr>
        <w:spacing w:line="480" w:lineRule="auto"/>
        <w:jc w:val="center"/>
        <w:rPr>
          <w:b/>
          <w:color w:val="000000" w:themeColor="text1"/>
        </w:rPr>
      </w:pPr>
    </w:p>
    <w:p w14:paraId="2DC95750" w14:textId="77777777" w:rsidR="004604AB" w:rsidRPr="00B95E28" w:rsidRDefault="004604AB" w:rsidP="00557AB7">
      <w:pPr>
        <w:spacing w:line="480" w:lineRule="auto"/>
        <w:jc w:val="center"/>
        <w:rPr>
          <w:b/>
          <w:color w:val="000000" w:themeColor="text1"/>
        </w:rPr>
      </w:pPr>
    </w:p>
    <w:p w14:paraId="208C47A8" w14:textId="77777777" w:rsidR="004604AB" w:rsidRPr="00B95E28" w:rsidRDefault="004604AB" w:rsidP="00557AB7">
      <w:pPr>
        <w:spacing w:line="480" w:lineRule="auto"/>
        <w:jc w:val="center"/>
        <w:rPr>
          <w:b/>
          <w:color w:val="000000" w:themeColor="text1"/>
        </w:rPr>
      </w:pPr>
    </w:p>
    <w:p w14:paraId="330F9997" w14:textId="77777777" w:rsidR="004604AB" w:rsidRPr="00B95E28" w:rsidRDefault="004604AB" w:rsidP="00557AB7">
      <w:pPr>
        <w:spacing w:line="480" w:lineRule="auto"/>
        <w:jc w:val="center"/>
        <w:rPr>
          <w:b/>
          <w:color w:val="000000" w:themeColor="text1"/>
        </w:rPr>
      </w:pPr>
    </w:p>
    <w:p w14:paraId="7E830403" w14:textId="77777777" w:rsidR="004604AB" w:rsidRPr="00B95E28" w:rsidRDefault="004604AB" w:rsidP="00557AB7">
      <w:pPr>
        <w:spacing w:line="480" w:lineRule="auto"/>
        <w:jc w:val="center"/>
        <w:rPr>
          <w:b/>
          <w:color w:val="000000" w:themeColor="text1"/>
        </w:rPr>
      </w:pPr>
    </w:p>
    <w:p w14:paraId="7871BEE7" w14:textId="77777777" w:rsidR="004604AB" w:rsidRPr="00B95E28" w:rsidRDefault="004604AB" w:rsidP="00557AB7">
      <w:pPr>
        <w:spacing w:line="480" w:lineRule="auto"/>
        <w:jc w:val="center"/>
        <w:rPr>
          <w:b/>
          <w:color w:val="000000" w:themeColor="text1"/>
        </w:rPr>
      </w:pPr>
    </w:p>
    <w:p w14:paraId="5AD8F154" w14:textId="77777777" w:rsidR="004604AB" w:rsidRPr="00B95E28" w:rsidRDefault="004604AB" w:rsidP="00557AB7">
      <w:pPr>
        <w:spacing w:line="480" w:lineRule="auto"/>
        <w:jc w:val="center"/>
        <w:rPr>
          <w:b/>
          <w:color w:val="000000" w:themeColor="text1"/>
        </w:rPr>
      </w:pPr>
    </w:p>
    <w:p w14:paraId="07AA78B1" w14:textId="77777777" w:rsidR="004604AB" w:rsidRPr="00B95E28" w:rsidRDefault="004604AB" w:rsidP="00557AB7">
      <w:pPr>
        <w:spacing w:line="480" w:lineRule="auto"/>
        <w:jc w:val="center"/>
        <w:rPr>
          <w:b/>
          <w:color w:val="000000" w:themeColor="text1"/>
        </w:rPr>
      </w:pPr>
    </w:p>
    <w:p w14:paraId="7C38D6E8" w14:textId="77777777" w:rsidR="004606AA" w:rsidRPr="00B95E28" w:rsidRDefault="004606AA" w:rsidP="00557AB7">
      <w:pPr>
        <w:spacing w:line="480" w:lineRule="auto"/>
        <w:jc w:val="center"/>
        <w:rPr>
          <w:b/>
          <w:bCs/>
          <w:color w:val="000000" w:themeColor="text1"/>
        </w:rPr>
      </w:pPr>
    </w:p>
    <w:p w14:paraId="3FC56B13" w14:textId="3867ABDC" w:rsidR="00013707" w:rsidRPr="00B95E28" w:rsidRDefault="00013707" w:rsidP="00557AB7">
      <w:pPr>
        <w:spacing w:line="480" w:lineRule="auto"/>
        <w:jc w:val="center"/>
        <w:rPr>
          <w:b/>
          <w:bCs/>
          <w:color w:val="000000" w:themeColor="text1"/>
        </w:rPr>
      </w:pPr>
      <w:r w:rsidRPr="00B95E28">
        <w:rPr>
          <w:b/>
          <w:bCs/>
          <w:color w:val="000000" w:themeColor="text1"/>
        </w:rPr>
        <w:t>CHAPTER 6</w:t>
      </w:r>
    </w:p>
    <w:p w14:paraId="13A98C0D" w14:textId="62CA1E45" w:rsidR="00013707" w:rsidRPr="00B95E28" w:rsidRDefault="00013707" w:rsidP="00557AB7">
      <w:pPr>
        <w:pStyle w:val="Heading1"/>
        <w:rPr>
          <w:color w:val="000000" w:themeColor="text1"/>
        </w:rPr>
      </w:pPr>
      <w:bookmarkStart w:id="169" w:name="_Toc232351882"/>
      <w:r w:rsidRPr="00B95E28">
        <w:rPr>
          <w:color w:val="000000" w:themeColor="text1"/>
        </w:rPr>
        <w:t>OPERATIONALIZING THE INTEGRATION CAPABILITY LOOP</w:t>
      </w:r>
      <w:bookmarkEnd w:id="169"/>
    </w:p>
    <w:p w14:paraId="7D3ED53D" w14:textId="5CE97230" w:rsidR="00013707" w:rsidRPr="00B95E28" w:rsidRDefault="00013707" w:rsidP="00557AB7">
      <w:pPr>
        <w:pStyle w:val="Heading2"/>
        <w:spacing w:before="0" w:after="0" w:line="480" w:lineRule="auto"/>
        <w:rPr>
          <w:rFonts w:eastAsia="MS Gothic"/>
          <w:color w:val="000000" w:themeColor="text1"/>
        </w:rPr>
      </w:pPr>
      <w:bookmarkStart w:id="170" w:name="_Toc232351883"/>
      <w:r w:rsidRPr="00B95E28">
        <w:rPr>
          <w:rFonts w:eastAsia="MS Gothic"/>
          <w:color w:val="000000" w:themeColor="text1"/>
        </w:rPr>
        <w:t>Chapter 6: Overview of the Integration Capability Loop in Practice</w:t>
      </w:r>
      <w:bookmarkEnd w:id="170"/>
    </w:p>
    <w:p w14:paraId="6E877B52" w14:textId="77777777" w:rsidR="00013707" w:rsidRPr="00B95E28" w:rsidRDefault="00013707" w:rsidP="00557AB7">
      <w:pPr>
        <w:spacing w:line="480" w:lineRule="auto"/>
        <w:rPr>
          <w:color w:val="000000" w:themeColor="text1"/>
        </w:rPr>
      </w:pPr>
      <w:r w:rsidRPr="00B95E28">
        <w:rPr>
          <w:color w:val="000000" w:themeColor="text1"/>
        </w:rPr>
        <w:t>This chapter translates the empirical findings of this research into an operational model for practice. While Chapter 5 identified consistent patterns across governance, planning, execution, and learning, these elements do not operate effectively as isolated components. Instead, they function as part of an integrated system that shapes how organizations execute and sustain integration across successive acquisitions.</w:t>
      </w:r>
    </w:p>
    <w:p w14:paraId="62E3EC34" w14:textId="77777777" w:rsidR="00013707" w:rsidRPr="00B95E28" w:rsidRDefault="00013707" w:rsidP="004606AA">
      <w:pPr>
        <w:rPr>
          <w:color w:val="000000" w:themeColor="text1"/>
        </w:rPr>
      </w:pPr>
    </w:p>
    <w:p w14:paraId="5E92E3DC" w14:textId="3073BB44" w:rsidR="00013707" w:rsidRPr="00B95E28" w:rsidRDefault="00013707" w:rsidP="00557AB7">
      <w:pPr>
        <w:spacing w:line="480" w:lineRule="auto"/>
        <w:rPr>
          <w:color w:val="000000" w:themeColor="text1"/>
        </w:rPr>
      </w:pPr>
      <w:r w:rsidRPr="00B95E28">
        <w:rPr>
          <w:color w:val="000000" w:themeColor="text1"/>
        </w:rPr>
        <w:t>In practice, this chapter operationalizes the central finding of this research: that integration capability is not defined solely by structured processes or accumulated experience, but by the organization’s ability to maintain continuity in governance, coordination, and decision-making under conditions of uncertainty and pressure across successive transactions. The model presented here therefore represents the practical expression of this capability-based perspective.</w:t>
      </w:r>
    </w:p>
    <w:p w14:paraId="78E4367F" w14:textId="77777777" w:rsidR="00013707" w:rsidRPr="00B95E28" w:rsidRDefault="00013707" w:rsidP="004606AA">
      <w:pPr>
        <w:rPr>
          <w:color w:val="000000" w:themeColor="text1"/>
        </w:rPr>
      </w:pPr>
    </w:p>
    <w:p w14:paraId="443C5E7D" w14:textId="4616EF39" w:rsidR="00013707" w:rsidRPr="00B95E28" w:rsidRDefault="00013707" w:rsidP="00557AB7">
      <w:pPr>
        <w:spacing w:line="480" w:lineRule="auto"/>
        <w:rPr>
          <w:color w:val="000000" w:themeColor="text1"/>
        </w:rPr>
      </w:pPr>
      <w:r w:rsidRPr="00B95E28">
        <w:rPr>
          <w:color w:val="000000" w:themeColor="text1"/>
        </w:rPr>
        <w:t>The findings of this study demonstrate that integration challenges are rarely driven by the absence of frameworks or tools. Rather, they stem from organizational conditions such as delayed planning, unclear governance, insufficient leadership authority, and the failure to capture and apply lessons learned. These challenges persist across industries and acquisition types, indicating that integration failure is not methodological, but structural in nature.</w:t>
      </w:r>
    </w:p>
    <w:p w14:paraId="671333B2" w14:textId="77777777" w:rsidR="00013707" w:rsidRPr="00B95E28" w:rsidRDefault="00013707" w:rsidP="004606AA">
      <w:pPr>
        <w:rPr>
          <w:color w:val="000000" w:themeColor="text1"/>
        </w:rPr>
      </w:pPr>
    </w:p>
    <w:p w14:paraId="5B01CD01" w14:textId="660BA058" w:rsidR="00013707" w:rsidRPr="00B95E28" w:rsidRDefault="00013707" w:rsidP="00557AB7">
      <w:pPr>
        <w:spacing w:line="480" w:lineRule="auto"/>
        <w:rPr>
          <w:color w:val="000000" w:themeColor="text1"/>
        </w:rPr>
      </w:pPr>
      <w:r w:rsidRPr="00B95E28">
        <w:rPr>
          <w:color w:val="000000" w:themeColor="text1"/>
        </w:rPr>
        <w:t xml:space="preserve">Practitioners consistently emphasized that integration planning often begins too late in the deal lifecycle, limiting the ability to influence outcomes and increasing execution risk. Similarly, </w:t>
      </w:r>
      <w:r w:rsidRPr="00B95E28">
        <w:rPr>
          <w:color w:val="000000" w:themeColor="text1"/>
        </w:rPr>
        <w:lastRenderedPageBreak/>
        <w:t>governance structures are frequently fragmented, with unclear decision rights and limited coordination between deal and integration teams. Resource constraints further compound these issues, as functional leaders are expected to manage both ongoing operations and integration responsibilities simultaneously.</w:t>
      </w:r>
    </w:p>
    <w:p w14:paraId="027DCCF9" w14:textId="77777777" w:rsidR="00013707" w:rsidRPr="00B95E28" w:rsidRDefault="00013707" w:rsidP="004606AA">
      <w:pPr>
        <w:rPr>
          <w:color w:val="000000" w:themeColor="text1"/>
        </w:rPr>
      </w:pPr>
    </w:p>
    <w:p w14:paraId="6F229945" w14:textId="66B32ACC" w:rsidR="00013707" w:rsidRPr="00B95E28" w:rsidRDefault="00013707" w:rsidP="00557AB7">
      <w:pPr>
        <w:spacing w:line="480" w:lineRule="auto"/>
        <w:rPr>
          <w:color w:val="000000" w:themeColor="text1"/>
        </w:rPr>
      </w:pPr>
      <w:r w:rsidRPr="00B95E28">
        <w:rPr>
          <w:color w:val="000000" w:themeColor="text1"/>
        </w:rPr>
        <w:t>At the same time, the research shows that organizations improve integration performance through repetition, structured learning, and the gradual development of internal capability. Serial acquirers distinguish themselves not by eliminating complexity, but by building governance models, leadership structures, and learning mechanisms that enable them to manage it more effectively over time.</w:t>
      </w:r>
    </w:p>
    <w:p w14:paraId="711AC667" w14:textId="77777777" w:rsidR="00013707" w:rsidRPr="00B95E28" w:rsidRDefault="00013707" w:rsidP="004606AA">
      <w:pPr>
        <w:rPr>
          <w:color w:val="000000" w:themeColor="text1"/>
        </w:rPr>
      </w:pPr>
    </w:p>
    <w:p w14:paraId="1D5EDA37" w14:textId="2F2D1F69" w:rsidR="00013707" w:rsidRPr="00B95E28" w:rsidRDefault="00013707" w:rsidP="00557AB7">
      <w:pPr>
        <w:spacing w:line="480" w:lineRule="auto"/>
        <w:rPr>
          <w:color w:val="000000" w:themeColor="text1"/>
        </w:rPr>
      </w:pPr>
      <w:r w:rsidRPr="00B95E28">
        <w:rPr>
          <w:color w:val="000000" w:themeColor="text1"/>
        </w:rPr>
        <w:t>Based on these findings, the Integration Capability Loop is proposed as a structured, closed-loop system that connects acquisition readiness, planning, execution, and learning across successive transactions. Within this model, the Integration Capability Loop represents the temporal structure of integration, outlining how capability develops across phases and transactions. Complementing this, the Integration Capability Engine, introduced in Chapter 5, represents the underlying organizational enablers that support execution across each phase. Together, these elements form a unified system, where the Loop defines how integration unfolds, and the Engine defines what enables it to function consistently.</w:t>
      </w:r>
    </w:p>
    <w:p w14:paraId="755ADA38" w14:textId="77777777" w:rsidR="00013707" w:rsidRPr="00B95E28" w:rsidRDefault="00013707" w:rsidP="004606AA">
      <w:pPr>
        <w:rPr>
          <w:color w:val="000000" w:themeColor="text1"/>
        </w:rPr>
      </w:pPr>
    </w:p>
    <w:p w14:paraId="5AE6240E" w14:textId="2B3A444C" w:rsidR="00013707" w:rsidRPr="00B95E28" w:rsidRDefault="00013707" w:rsidP="00557AB7">
      <w:pPr>
        <w:spacing w:line="480" w:lineRule="auto"/>
        <w:rPr>
          <w:color w:val="000000" w:themeColor="text1"/>
        </w:rPr>
      </w:pPr>
      <w:r w:rsidRPr="00B95E28">
        <w:rPr>
          <w:color w:val="000000" w:themeColor="text1"/>
        </w:rPr>
        <w:t xml:space="preserve">The model reflects recurring patterns observed across interviews, particularly the importance of early integration involvement, governance clarity, execution discipline, and the systematic capture of lessons learned. Rather than treating integration as a linear sequence of activities, the model conceptualizes integration as an organizational capability that evolves through repeated application and refinement. </w:t>
      </w:r>
    </w:p>
    <w:p w14:paraId="7906CD0F" w14:textId="77777777" w:rsidR="00013707" w:rsidRPr="00B95E28" w:rsidRDefault="00013707" w:rsidP="00557AB7">
      <w:pPr>
        <w:spacing w:line="480" w:lineRule="auto"/>
        <w:rPr>
          <w:color w:val="000000" w:themeColor="text1"/>
        </w:rPr>
      </w:pPr>
    </w:p>
    <w:p w14:paraId="4A021024" w14:textId="3972828A" w:rsidR="00013707" w:rsidRPr="00B95E28" w:rsidRDefault="00013707" w:rsidP="00557AB7">
      <w:pPr>
        <w:spacing w:line="480" w:lineRule="auto"/>
        <w:rPr>
          <w:color w:val="000000" w:themeColor="text1"/>
        </w:rPr>
      </w:pPr>
      <w:r w:rsidRPr="00B95E28">
        <w:rPr>
          <w:color w:val="000000" w:themeColor="text1"/>
        </w:rPr>
        <w:t>The proposed framework builds on existing acquisition lifecycle models, particularly those that conceptualize acquisitions as value-driven processes spanning pre-deal, transaction, and post-close phases (Mroczyński, 2022). These models provide a necessary structural foundation by outlining the sequence of activities required to realize value from acquisitions.</w:t>
      </w:r>
    </w:p>
    <w:p w14:paraId="2FD3E659" w14:textId="77777777" w:rsidR="00013707" w:rsidRPr="00B95E28" w:rsidRDefault="00013707" w:rsidP="004606AA">
      <w:pPr>
        <w:rPr>
          <w:color w:val="000000" w:themeColor="text1"/>
        </w:rPr>
      </w:pPr>
    </w:p>
    <w:p w14:paraId="4C3213DD" w14:textId="14F5ABFE" w:rsidR="00013707" w:rsidRPr="00B95E28" w:rsidRDefault="00013707" w:rsidP="00557AB7">
      <w:pPr>
        <w:spacing w:line="480" w:lineRule="auto"/>
        <w:rPr>
          <w:color w:val="000000" w:themeColor="text1"/>
        </w:rPr>
      </w:pPr>
      <w:r w:rsidRPr="00B95E28">
        <w:rPr>
          <w:color w:val="000000" w:themeColor="text1"/>
        </w:rPr>
        <w:t>However, this research identifies that structure alone is insufficient. The findings indicate that the effectiveness of integration is not determined by the presence of defined phases, but by the organizational ability to execute and coordinate activities within and across those phases. This distinction is critical. Building on the distinction established in Chapter 5 between structured integration process and integration capability, this chapter operationalizes how capability is enacted through phases, decision gates, governance continuity, and learning mechanisms.</w:t>
      </w:r>
    </w:p>
    <w:p w14:paraId="3830D682" w14:textId="77777777" w:rsidR="00013707" w:rsidRPr="00B95E28" w:rsidRDefault="00013707" w:rsidP="00557AB7">
      <w:pPr>
        <w:spacing w:line="480" w:lineRule="auto"/>
        <w:rPr>
          <w:color w:val="000000" w:themeColor="text1"/>
        </w:rPr>
      </w:pPr>
      <w:r w:rsidRPr="00B95E28">
        <w:rPr>
          <w:color w:val="000000" w:themeColor="text1"/>
        </w:rPr>
        <w:t>While process models provide a sequence of activities, they do not explain why similar processes produce different outcomes across organizations.</w:t>
      </w:r>
    </w:p>
    <w:p w14:paraId="6C0D3060" w14:textId="77777777" w:rsidR="00013707" w:rsidRPr="00B95E28" w:rsidRDefault="00013707" w:rsidP="004606AA">
      <w:pPr>
        <w:rPr>
          <w:color w:val="000000" w:themeColor="text1"/>
        </w:rPr>
      </w:pPr>
    </w:p>
    <w:p w14:paraId="44A20F2B" w14:textId="6F38AB36" w:rsidR="00013707" w:rsidRPr="00B95E28" w:rsidRDefault="00013707" w:rsidP="00557AB7">
      <w:pPr>
        <w:spacing w:line="480" w:lineRule="auto"/>
        <w:rPr>
          <w:color w:val="000000" w:themeColor="text1"/>
        </w:rPr>
      </w:pPr>
      <w:r w:rsidRPr="00B95E28">
        <w:rPr>
          <w:color w:val="000000" w:themeColor="text1"/>
        </w:rPr>
        <w:t>The Integration Capability Loop addresses this gap by embedding control, feedback, and learning mechanisms within the integration lifecycle. These mechanisms reduce variability in execution by enforcing alignment between strategic intent, operational activity, and organizational capability. As a result, integration performance becomes less dependent on individual transactions and more reflective of the organization’s underlying capability.</w:t>
      </w:r>
    </w:p>
    <w:p w14:paraId="182CCB93" w14:textId="77777777" w:rsidR="00013707" w:rsidRPr="00B95E28" w:rsidRDefault="00013707" w:rsidP="00557AB7">
      <w:pPr>
        <w:spacing w:line="480" w:lineRule="auto"/>
        <w:rPr>
          <w:color w:val="000000" w:themeColor="text1"/>
        </w:rPr>
      </w:pPr>
      <w:r w:rsidRPr="00B95E28">
        <w:rPr>
          <w:color w:val="000000" w:themeColor="text1"/>
        </w:rPr>
        <w:t xml:space="preserve">The framework presented in this chapter therefore extends beyond process definition. It introduces integration capability as the underlying system that enables consistent execution across acquisitions. This includes governance structures, leadership authority, resource </w:t>
      </w:r>
      <w:r w:rsidRPr="00B95E28">
        <w:rPr>
          <w:color w:val="000000" w:themeColor="text1"/>
        </w:rPr>
        <w:lastRenderedPageBreak/>
        <w:t>allocation, and institutional learning mechanisms that operate across all phases of the acquisition lifecycle.</w:t>
      </w:r>
    </w:p>
    <w:p w14:paraId="098A8FE9" w14:textId="5105B328" w:rsidR="00013707" w:rsidRPr="00B95E28" w:rsidRDefault="00013707" w:rsidP="00557AB7">
      <w:pPr>
        <w:spacing w:line="480" w:lineRule="auto"/>
        <w:rPr>
          <w:color w:val="000000" w:themeColor="text1"/>
        </w:rPr>
      </w:pPr>
      <w:r w:rsidRPr="00B95E28">
        <w:rPr>
          <w:color w:val="000000" w:themeColor="text1"/>
        </w:rPr>
        <w:t>In this context, the acquisition process can be understood as the architecture, while integration capability represents the operating system that determines whether that architecture functions as intended. Without this capability, even well-defined acquisition processes fail to translate into consistent outcomes. With it, organizations are able to execute integrations more predictably, reduce variability across transactions, and systematically improve performance over time.</w:t>
      </w:r>
    </w:p>
    <w:p w14:paraId="23BF9864" w14:textId="77777777" w:rsidR="00013707" w:rsidRPr="00B95E28" w:rsidRDefault="00013707" w:rsidP="00557AB7">
      <w:pPr>
        <w:spacing w:line="480" w:lineRule="auto"/>
        <w:rPr>
          <w:color w:val="000000" w:themeColor="text1"/>
        </w:rPr>
      </w:pPr>
      <w:r w:rsidRPr="00B95E28">
        <w:rPr>
          <w:color w:val="000000" w:themeColor="text1"/>
        </w:rPr>
        <w:t>As illustrated in Figure 6.1, the model emphasizes both sequence and control. The phases define the progression of integration activities, while the decision gates enforce discipline by requiring defined readiness criteria before progression. This structure reduces variability in execution and ensures alignment between strategic intent and operational delivery.</w:t>
      </w:r>
    </w:p>
    <w:p w14:paraId="52F6EE81" w14:textId="77777777" w:rsidR="00013707" w:rsidRPr="00B95E28" w:rsidRDefault="00013707" w:rsidP="004606AA">
      <w:pPr>
        <w:rPr>
          <w:rFonts w:eastAsia="MS Mincho"/>
          <w:color w:val="000000" w:themeColor="text1"/>
        </w:rPr>
      </w:pPr>
    </w:p>
    <w:p w14:paraId="0845F765" w14:textId="1EFFB607" w:rsidR="00013707" w:rsidRPr="00B95E28" w:rsidRDefault="00013707" w:rsidP="00557AB7">
      <w:pPr>
        <w:spacing w:line="480" w:lineRule="auto"/>
        <w:rPr>
          <w:rFonts w:eastAsia="MS Mincho"/>
          <w:color w:val="000000" w:themeColor="text1"/>
        </w:rPr>
      </w:pPr>
      <w:r w:rsidRPr="00B95E28">
        <w:rPr>
          <w:rFonts w:eastAsia="MS Mincho"/>
          <w:color w:val="000000" w:themeColor="text1"/>
        </w:rPr>
        <w:t>However, practitioner insights indicate that decision gates are frequently contested in practice. Under deal pressure, progression is often driven by timelines, financial expectations, or executive momentum rather than strict adherence to readiness criteria. In such cases, gates are softened, bypassed, or reinterpreted, reducing their effectiveness as control mechanisms.</w:t>
      </w:r>
    </w:p>
    <w:p w14:paraId="7F30809B"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highlights that the effectiveness of decision gates is not determined solely by their design, but by the strength of governance and leadership alignment required to enforce them. Where governance authority is clear and supported at the executive level, gates function as intended. Where it is not, they become symbolic checkpoints rather than effective mechanisms of control.</w:t>
      </w:r>
    </w:p>
    <w:p w14:paraId="0569FDF4" w14:textId="6F3CA7EB" w:rsidR="00013707" w:rsidRPr="00B95E28" w:rsidRDefault="00013707" w:rsidP="00557AB7">
      <w:pPr>
        <w:pStyle w:val="Caption"/>
        <w:keepNext/>
        <w:spacing w:after="0" w:line="480" w:lineRule="auto"/>
        <w:jc w:val="center"/>
        <w:rPr>
          <w:color w:val="000000" w:themeColor="text1"/>
        </w:rPr>
      </w:pPr>
      <w:r w:rsidRPr="00B95E28">
        <w:rPr>
          <w:color w:val="000000" w:themeColor="text1"/>
        </w:rPr>
        <w:lastRenderedPageBreak/>
        <w:fldChar w:fldCharType="begin"/>
      </w:r>
      <w:r w:rsidRPr="00B95E28">
        <w:rPr>
          <w:color w:val="000000" w:themeColor="text1"/>
        </w:rPr>
        <w:instrText xml:space="preserve"> SEQ Figure \* ARABIC </w:instrText>
      </w:r>
      <w:r w:rsidRPr="00B95E28">
        <w:rPr>
          <w:color w:val="000000" w:themeColor="text1"/>
        </w:rPr>
        <w:fldChar w:fldCharType="separate"/>
      </w:r>
      <w:bookmarkStart w:id="171" w:name="_Toc230886213"/>
      <w:r w:rsidR="0033207C" w:rsidRPr="00B95E28">
        <w:rPr>
          <w:noProof/>
          <w:color w:val="000000" w:themeColor="text1"/>
        </w:rPr>
        <w:t>5</w:t>
      </w:r>
      <w:r w:rsidRPr="00B95E28">
        <w:rPr>
          <w:color w:val="000000" w:themeColor="text1"/>
        </w:rPr>
        <w:fldChar w:fldCharType="end"/>
      </w:r>
      <w:r w:rsidRPr="00B95E28">
        <w:rPr>
          <w:color w:val="000000" w:themeColor="text1"/>
        </w:rPr>
        <w:t>: Figure 6.1: Integration Capability Loop for Repeatable Integration Execution</w:t>
      </w:r>
      <w:bookmarkEnd w:id="171"/>
    </w:p>
    <w:p w14:paraId="016EDCE1" w14:textId="77777777" w:rsidR="00013707" w:rsidRPr="00B95E28" w:rsidRDefault="00013707" w:rsidP="00557AB7">
      <w:pPr>
        <w:spacing w:line="480" w:lineRule="auto"/>
        <w:jc w:val="center"/>
        <w:rPr>
          <w:rFonts w:eastAsia="MS Mincho"/>
          <w:b/>
          <w:bCs/>
          <w:color w:val="000000" w:themeColor="text1"/>
        </w:rPr>
      </w:pPr>
      <w:r w:rsidRPr="00B95E28">
        <w:rPr>
          <w:rFonts w:eastAsia="MS Mincho"/>
          <w:b/>
          <w:bCs/>
          <w:noProof/>
          <w:color w:val="000000" w:themeColor="text1"/>
        </w:rPr>
        <w:drawing>
          <wp:inline distT="0" distB="0" distL="0" distR="0" wp14:anchorId="39BE666F" wp14:editId="6D2C749C">
            <wp:extent cx="5713175" cy="2274890"/>
            <wp:effectExtent l="0" t="0" r="1905" b="0"/>
            <wp:docPr id="2132832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7582" cy="2284608"/>
                    </a:xfrm>
                    <a:prstGeom prst="rect">
                      <a:avLst/>
                    </a:prstGeom>
                    <a:noFill/>
                  </pic:spPr>
                </pic:pic>
              </a:graphicData>
            </a:graphic>
          </wp:inline>
        </w:drawing>
      </w:r>
    </w:p>
    <w:p w14:paraId="151C4C81" w14:textId="77777777" w:rsidR="00013707" w:rsidRPr="00B95E28" w:rsidRDefault="00013707" w:rsidP="00557AB7">
      <w:pPr>
        <w:spacing w:line="480" w:lineRule="auto"/>
        <w:rPr>
          <w:color w:val="000000" w:themeColor="text1"/>
        </w:rPr>
      </w:pPr>
      <w:r w:rsidRPr="00B95E28">
        <w:rPr>
          <w:color w:val="000000" w:themeColor="text1"/>
        </w:rPr>
        <w:t>This model represents the operationalization of the central mechanism identified in this research, translating the concept of integration capability as continuity under constraint into a structured system that can be applied in practice.</w:t>
      </w:r>
    </w:p>
    <w:p w14:paraId="200DAD93" w14:textId="77777777" w:rsidR="00013707" w:rsidRPr="00B95E28" w:rsidRDefault="00013707" w:rsidP="004606AA">
      <w:pPr>
        <w:rPr>
          <w:color w:val="000000" w:themeColor="text1"/>
        </w:rPr>
      </w:pPr>
    </w:p>
    <w:p w14:paraId="79AFB424" w14:textId="1F587859" w:rsidR="00013707" w:rsidRPr="00B95E28" w:rsidRDefault="00013707" w:rsidP="00557AB7">
      <w:pPr>
        <w:spacing w:line="480" w:lineRule="auto"/>
        <w:rPr>
          <w:color w:val="000000" w:themeColor="text1"/>
        </w:rPr>
      </w:pPr>
      <w:r w:rsidRPr="00B95E28">
        <w:rPr>
          <w:color w:val="000000" w:themeColor="text1"/>
        </w:rPr>
        <w:t>Figure 6.1 highlights three central features of the Integration Capability Loop: its closed-loop structure, the role of decision gates as formal control points, and the feedback mechanism linking organizational learning back to acquisition readiness. The figure shows that integration capability is not built within a single transaction, but through repeated cycles of readiness, planning, stabilization, execution, and learning. This reinforces the central argument of this research: repeatable integration performance depends on the organization’s ability to carry governance discipline and learning across transactions rather than restarting integration logic with each new deal.</w:t>
      </w:r>
    </w:p>
    <w:p w14:paraId="769E5C3B" w14:textId="77777777" w:rsidR="00013707" w:rsidRPr="00B95E28" w:rsidRDefault="00013707" w:rsidP="004606AA">
      <w:pPr>
        <w:rPr>
          <w:color w:val="000000" w:themeColor="text1"/>
        </w:rPr>
      </w:pPr>
    </w:p>
    <w:p w14:paraId="649EBA80" w14:textId="47C89F91" w:rsidR="00013707" w:rsidRPr="00B95E28" w:rsidRDefault="00013707" w:rsidP="00557AB7">
      <w:pPr>
        <w:spacing w:line="480" w:lineRule="auto"/>
        <w:rPr>
          <w:color w:val="000000" w:themeColor="text1"/>
        </w:rPr>
      </w:pPr>
      <w:r w:rsidRPr="00B95E28">
        <w:rPr>
          <w:color w:val="000000" w:themeColor="text1"/>
        </w:rPr>
        <w:t xml:space="preserve">The Integration Capability Loop consists of five interconnected phases: Acquisition Readiness, Pre-Close Integration Planning, Day 1 Stabilization, Integration Execution, and Organizational Learning. Each phase is separated by defined decision gates that enforce progression based on readiness, performance, and alignment criteria. These gates function as formal control </w:t>
      </w:r>
      <w:r w:rsidRPr="00B95E28">
        <w:rPr>
          <w:color w:val="000000" w:themeColor="text1"/>
        </w:rPr>
        <w:lastRenderedPageBreak/>
        <w:t>mechanisms, ensuring that movement between phases is contingent on defined conditions rather than assumed continuity.</w:t>
      </w:r>
    </w:p>
    <w:p w14:paraId="6193C6B3" w14:textId="77777777" w:rsidR="00013707" w:rsidRPr="00B95E28" w:rsidRDefault="00013707" w:rsidP="004606AA">
      <w:pPr>
        <w:rPr>
          <w:color w:val="000000" w:themeColor="text1"/>
        </w:rPr>
      </w:pPr>
    </w:p>
    <w:p w14:paraId="3865A26F" w14:textId="34454C7A" w:rsidR="00013707" w:rsidRPr="00B95E28" w:rsidRDefault="00013707" w:rsidP="00557AB7">
      <w:pPr>
        <w:spacing w:line="480" w:lineRule="auto"/>
        <w:rPr>
          <w:color w:val="000000" w:themeColor="text1"/>
        </w:rPr>
      </w:pPr>
      <w:r w:rsidRPr="00B95E28">
        <w:rPr>
          <w:color w:val="000000" w:themeColor="text1"/>
        </w:rPr>
        <w:t>The model also incorporates a feedback loop from organizational learning back to acquisition readiness, reinforcing the development of integration capability over time. Together, these elements form a governed system that aligns strategic intent with execution discipline and reinforces capability development over time.</w:t>
      </w:r>
    </w:p>
    <w:p w14:paraId="60B7D51B" w14:textId="77777777" w:rsidR="00013707" w:rsidRPr="00B95E28" w:rsidRDefault="00013707" w:rsidP="004606AA">
      <w:pPr>
        <w:rPr>
          <w:color w:val="000000" w:themeColor="text1"/>
        </w:rPr>
      </w:pPr>
    </w:p>
    <w:p w14:paraId="2E153F50" w14:textId="4A66B197" w:rsidR="00013707" w:rsidRPr="00B95E28" w:rsidRDefault="00013707" w:rsidP="00557AB7">
      <w:pPr>
        <w:spacing w:line="480" w:lineRule="auto"/>
        <w:rPr>
          <w:b/>
          <w:bCs/>
          <w:color w:val="000000" w:themeColor="text1"/>
        </w:rPr>
      </w:pPr>
      <w:r w:rsidRPr="00B95E28">
        <w:rPr>
          <w:color w:val="000000" w:themeColor="text1"/>
        </w:rPr>
        <w:t>Each of the following sections operationalizes one phase of the Integration Capability Loop, translating the model into specific objectives, activities, governance structures, and risk considerations.</w:t>
      </w:r>
      <w:r w:rsidRPr="00B95E28">
        <w:rPr>
          <w:b/>
          <w:bCs/>
          <w:color w:val="000000" w:themeColor="text1"/>
        </w:rPr>
        <w:t xml:space="preserve"> </w:t>
      </w:r>
    </w:p>
    <w:p w14:paraId="4F2B479A" w14:textId="77777777" w:rsidR="00013707" w:rsidRPr="00B95E28" w:rsidRDefault="00013707" w:rsidP="004606AA">
      <w:pPr>
        <w:rPr>
          <w:color w:val="000000" w:themeColor="text1"/>
        </w:rPr>
      </w:pPr>
    </w:p>
    <w:p w14:paraId="002AA261" w14:textId="7D3AADD2" w:rsidR="00013707" w:rsidRPr="00B95E28" w:rsidRDefault="00013707" w:rsidP="00557AB7">
      <w:pPr>
        <w:spacing w:line="480" w:lineRule="auto"/>
        <w:rPr>
          <w:color w:val="000000" w:themeColor="text1"/>
        </w:rPr>
      </w:pPr>
      <w:r w:rsidRPr="00B95E28">
        <w:rPr>
          <w:color w:val="000000" w:themeColor="text1"/>
        </w:rPr>
        <w:t>In doing so, the model directly addresses the structural gaps identified in Chapter 5, particularly late integration planning, weak governance, and the absence of formal learning mechanisms.</w:t>
      </w:r>
    </w:p>
    <w:p w14:paraId="7EA40D32" w14:textId="77777777" w:rsidR="00013707" w:rsidRPr="00B95E28" w:rsidRDefault="00013707" w:rsidP="00557AB7">
      <w:pPr>
        <w:spacing w:line="480" w:lineRule="auto"/>
        <w:rPr>
          <w:b/>
          <w:bCs/>
          <w:color w:val="000000" w:themeColor="text1"/>
        </w:rPr>
      </w:pPr>
      <w:r w:rsidRPr="00B95E28">
        <w:rPr>
          <w:color w:val="000000" w:themeColor="text1"/>
        </w:rPr>
        <w:t>To further clarify the structure of the Integration Capability Loop, Table 6.1 provides a consolidated view of the five phases, their primary objectives, key outputs, and associated decision gates. This summary illustrates how integration progresses from capability readiness through execution to organizational learning, while emphasizing the role of decision gates as formal control mechanisms within the model.</w:t>
      </w:r>
    </w:p>
    <w:p w14:paraId="41D267FF" w14:textId="54A236E0" w:rsidR="00013707" w:rsidRPr="00B95E28" w:rsidRDefault="00013707"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72" w:name="_Toc232351980"/>
      <w:r w:rsidR="00B91B93">
        <w:rPr>
          <w:noProof/>
          <w:color w:val="000000" w:themeColor="text1"/>
        </w:rPr>
        <w:t>12</w:t>
      </w:r>
      <w:r w:rsidRPr="00B95E28">
        <w:rPr>
          <w:color w:val="000000" w:themeColor="text1"/>
        </w:rPr>
        <w:fldChar w:fldCharType="end"/>
      </w:r>
      <w:r w:rsidRPr="00B95E28">
        <w:rPr>
          <w:color w:val="000000" w:themeColor="text1"/>
        </w:rPr>
        <w:t>: Table 6.1: Operational Summary of the Integration Capability Loop (Source: Author)</w:t>
      </w:r>
      <w:bookmarkEnd w:id="172"/>
    </w:p>
    <w:p w14:paraId="3A0A03E8" w14:textId="77777777" w:rsidR="00013707" w:rsidRPr="00B95E28" w:rsidRDefault="00013707" w:rsidP="00557AB7">
      <w:pPr>
        <w:spacing w:line="480" w:lineRule="auto"/>
        <w:rPr>
          <w:rFonts w:eastAsia="MS Mincho"/>
          <w:b/>
          <w:bCs/>
          <w:color w:val="000000" w:themeColor="text1"/>
        </w:rPr>
      </w:pPr>
      <w:r w:rsidRPr="00B95E28">
        <w:rPr>
          <w:noProof/>
          <w:color w:val="000000" w:themeColor="text1"/>
        </w:rPr>
        <w:drawing>
          <wp:inline distT="0" distB="0" distL="0" distR="0" wp14:anchorId="55E0ABBB" wp14:editId="272916AD">
            <wp:extent cx="5486400" cy="881380"/>
            <wp:effectExtent l="0" t="0" r="0" b="0"/>
            <wp:docPr id="1026025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6400" cy="881380"/>
                    </a:xfrm>
                    <a:prstGeom prst="rect">
                      <a:avLst/>
                    </a:prstGeom>
                    <a:noFill/>
                    <a:ln>
                      <a:noFill/>
                    </a:ln>
                  </pic:spPr>
                </pic:pic>
              </a:graphicData>
            </a:graphic>
          </wp:inline>
        </w:drawing>
      </w:r>
    </w:p>
    <w:p w14:paraId="2D44A28A" w14:textId="77777777" w:rsidR="00013707" w:rsidRPr="00B95E28" w:rsidRDefault="00013707" w:rsidP="004606AA">
      <w:pPr>
        <w:spacing w:line="480" w:lineRule="auto"/>
        <w:rPr>
          <w:color w:val="000000" w:themeColor="text1"/>
        </w:rPr>
      </w:pPr>
      <w:r w:rsidRPr="00B95E28">
        <w:rPr>
          <w:color w:val="000000" w:themeColor="text1"/>
        </w:rPr>
        <w:lastRenderedPageBreak/>
        <w:t>Unlike traditional lifecycle representations, this model reflects the Integration Capability Loop, incorporating decision gates, capability development, and learning mechanisms across transactions.</w:t>
      </w:r>
    </w:p>
    <w:p w14:paraId="0E5DC984" w14:textId="77777777" w:rsidR="00013707" w:rsidRPr="00B95E28" w:rsidRDefault="00013707" w:rsidP="004606AA">
      <w:pPr>
        <w:rPr>
          <w:color w:val="000000" w:themeColor="text1"/>
        </w:rPr>
      </w:pPr>
    </w:p>
    <w:p w14:paraId="3D1C5802" w14:textId="2588DB9C" w:rsidR="00013707" w:rsidRPr="00B95E28" w:rsidRDefault="00013707" w:rsidP="00557AB7">
      <w:pPr>
        <w:spacing w:line="480" w:lineRule="auto"/>
        <w:rPr>
          <w:color w:val="000000" w:themeColor="text1"/>
        </w:rPr>
      </w:pPr>
      <w:r w:rsidRPr="00B95E28">
        <w:rPr>
          <w:color w:val="000000" w:themeColor="text1"/>
        </w:rPr>
        <w:t>Table 6.1 demonstrates that each phase produces outputs that become inputs for the next phase. This is important because integration performance is shaped by continuity between phases, not simply by the completion of activities within each phase. The table therefore reinforces the logic of the Integration Capability Loop as a governed system, where readiness, planning, stabilization, execution, and learning are connected through formal decision gates.</w:t>
      </w:r>
    </w:p>
    <w:p w14:paraId="42FA7BBB" w14:textId="77777777" w:rsidR="00013707" w:rsidRPr="00B95E28" w:rsidRDefault="00013707" w:rsidP="004606AA">
      <w:pPr>
        <w:rPr>
          <w:color w:val="000000" w:themeColor="text1"/>
        </w:rPr>
      </w:pPr>
    </w:p>
    <w:p w14:paraId="03691055" w14:textId="3F087843" w:rsidR="00013707" w:rsidRPr="00B95E28" w:rsidRDefault="00013707" w:rsidP="00557AB7">
      <w:pPr>
        <w:spacing w:line="480" w:lineRule="auto"/>
        <w:rPr>
          <w:color w:val="000000" w:themeColor="text1"/>
        </w:rPr>
      </w:pPr>
      <w:r w:rsidRPr="00B95E28">
        <w:rPr>
          <w:color w:val="000000" w:themeColor="text1"/>
        </w:rPr>
        <w:t>This summary highlights that integration effectiveness is not determined solely by the completion of phase-specific activities, but by the organization’s ability to maintain alignment between phases through governance continuity and decision-making discipline. The decision gates embedded within the model therefore function not only as checkpoints, but as mechanisms for reinforcing coordination and reducing variability across the integration lifecycle.</w:t>
      </w:r>
    </w:p>
    <w:p w14:paraId="50D987A5" w14:textId="77777777" w:rsidR="00013707" w:rsidRPr="00B95E28" w:rsidRDefault="00013707" w:rsidP="004606AA">
      <w:pPr>
        <w:rPr>
          <w:color w:val="000000" w:themeColor="text1"/>
        </w:rPr>
      </w:pPr>
    </w:p>
    <w:p w14:paraId="70A44AEB" w14:textId="1E698329" w:rsidR="00013707" w:rsidRPr="00B95E28" w:rsidRDefault="00013707" w:rsidP="00557AB7">
      <w:pPr>
        <w:spacing w:line="480" w:lineRule="auto"/>
        <w:rPr>
          <w:color w:val="000000" w:themeColor="text1"/>
        </w:rPr>
      </w:pPr>
      <w:r w:rsidRPr="00B95E28">
        <w:rPr>
          <w:color w:val="000000" w:themeColor="text1"/>
        </w:rPr>
        <w:t>This operational model directly addresses the research questions outlined in Chapter 1 by translating the identified dimensions of governance, leadership, planning, execution, technology, and organizational learning into a structured and repeatable framework. It provides a practical representation of how integration capability is developed, applied, and refined across successive acquisitions, linking empirical findings to actionable organizational design.</w:t>
      </w:r>
    </w:p>
    <w:p w14:paraId="5BC5260A" w14:textId="77777777" w:rsidR="00013707" w:rsidRPr="00B95E28" w:rsidRDefault="00013707" w:rsidP="004606AA">
      <w:pPr>
        <w:rPr>
          <w:color w:val="000000" w:themeColor="text1"/>
        </w:rPr>
      </w:pPr>
    </w:p>
    <w:p w14:paraId="69DB027E" w14:textId="4435B748" w:rsidR="00013707" w:rsidRPr="00B95E28" w:rsidRDefault="00013707" w:rsidP="004606AA">
      <w:pPr>
        <w:spacing w:line="480" w:lineRule="auto"/>
        <w:rPr>
          <w:color w:val="000000" w:themeColor="text1"/>
        </w:rPr>
      </w:pPr>
      <w:r w:rsidRPr="00B95E28">
        <w:rPr>
          <w:color w:val="000000" w:themeColor="text1"/>
        </w:rPr>
        <w:t xml:space="preserve">Crucially, this operational model should not be interpreted as a prescriptive sequence of activities, but as a representation of how integration capability is enacted under real-world constraints. The effectiveness of the model is therefore contingent not only on its design, but on </w:t>
      </w:r>
      <w:r w:rsidRPr="00B95E28">
        <w:rPr>
          <w:color w:val="000000" w:themeColor="text1"/>
        </w:rPr>
        <w:lastRenderedPageBreak/>
        <w:t>the organization’s ability to maintain governance continuity, coordinate across phases, and make effective decisions under conditions of uncertainty and pressure. This shows the central theoretical contribution of this research, that integration capability is shaped by the stability of organizational conditions across transactions rather than by process design alone.</w:t>
      </w:r>
    </w:p>
    <w:p w14:paraId="049807D1" w14:textId="77777777" w:rsidR="00013707" w:rsidRPr="00B95E28" w:rsidRDefault="00013707" w:rsidP="004606AA">
      <w:pPr>
        <w:rPr>
          <w:color w:val="000000" w:themeColor="text1"/>
        </w:rPr>
      </w:pPr>
    </w:p>
    <w:p w14:paraId="11FB95FC" w14:textId="35512227" w:rsidR="00013707" w:rsidRPr="00B95E28" w:rsidRDefault="00013707" w:rsidP="00557AB7">
      <w:pPr>
        <w:spacing w:line="480" w:lineRule="auto"/>
        <w:rPr>
          <w:color w:val="000000" w:themeColor="text1"/>
        </w:rPr>
      </w:pPr>
      <w:r w:rsidRPr="00B95E28">
        <w:rPr>
          <w:color w:val="000000" w:themeColor="text1"/>
        </w:rPr>
        <w:t>While the Integration Capability Loop describes the flow of integration activities, the development of integration capability is equally dependent on the accumulation and refinement of knowledge stocks, including causal understandings, decision heuristics, and contextual insights derived from prior transactions.</w:t>
      </w:r>
    </w:p>
    <w:p w14:paraId="122A4A92" w14:textId="77777777" w:rsidR="00013707" w:rsidRPr="00B95E28" w:rsidRDefault="00013707" w:rsidP="004606AA">
      <w:pPr>
        <w:rPr>
          <w:color w:val="000000" w:themeColor="text1"/>
        </w:rPr>
      </w:pPr>
    </w:p>
    <w:p w14:paraId="7BB5A1D6" w14:textId="577081A4" w:rsidR="00013707" w:rsidRPr="00B95E28" w:rsidRDefault="00013707" w:rsidP="00557AB7">
      <w:pPr>
        <w:spacing w:line="480" w:lineRule="auto"/>
        <w:rPr>
          <w:color w:val="000000" w:themeColor="text1"/>
        </w:rPr>
      </w:pPr>
      <w:r w:rsidRPr="00B95E28">
        <w:rPr>
          <w:color w:val="000000" w:themeColor="text1"/>
        </w:rPr>
        <w:t>However, the effectiveness of integration playbooks and structured processes is contingent on the extent to which they incorporate not only procedural guidance, but also an understanding of the conditions under which those procedures are effective. Where organizations rely solely on codified “know-how,” without articulating the underlying “know-why,” integration approaches risk becoming rigid and misapplied in contexts that differ from prior transactions. As such, the development of integration capability requires the continuous refinement of both process and underlying causal logic.</w:t>
      </w:r>
    </w:p>
    <w:p w14:paraId="602B279A" w14:textId="77777777" w:rsidR="004606AA" w:rsidRPr="00B95E28" w:rsidRDefault="004606AA" w:rsidP="004606AA">
      <w:pPr>
        <w:rPr>
          <w:color w:val="000000" w:themeColor="text1"/>
        </w:rPr>
      </w:pPr>
    </w:p>
    <w:p w14:paraId="020E7EEA" w14:textId="57D6A2AA" w:rsidR="00013707" w:rsidRPr="00B95E28" w:rsidRDefault="00013707" w:rsidP="00557AB7">
      <w:pPr>
        <w:spacing w:line="480" w:lineRule="auto"/>
        <w:rPr>
          <w:color w:val="000000" w:themeColor="text1"/>
        </w:rPr>
      </w:pPr>
      <w:r w:rsidRPr="00B95E28">
        <w:rPr>
          <w:color w:val="000000" w:themeColor="text1"/>
        </w:rPr>
        <w:t>The implication is that integration capability is not a function of procedural compliance, but of organizational resilience. The ability to sustain alignment and coordination under constraint is therefore a defining characteristic of organizations that achieve repeatable integration outcomes.</w:t>
      </w:r>
    </w:p>
    <w:p w14:paraId="62BD1DE5" w14:textId="77777777" w:rsidR="004606AA" w:rsidRPr="00B95E28" w:rsidRDefault="004606AA" w:rsidP="004606AA">
      <w:pPr>
        <w:rPr>
          <w:color w:val="000000" w:themeColor="text1"/>
        </w:rPr>
      </w:pPr>
    </w:p>
    <w:p w14:paraId="01278757" w14:textId="2E648E8A" w:rsidR="00013707" w:rsidRPr="00B95E28" w:rsidRDefault="00013707" w:rsidP="00557AB7">
      <w:pPr>
        <w:pStyle w:val="Heading3"/>
        <w:spacing w:before="0" w:after="0" w:line="480" w:lineRule="auto"/>
        <w:rPr>
          <w:color w:val="000000" w:themeColor="text1"/>
        </w:rPr>
      </w:pPr>
      <w:bookmarkStart w:id="173" w:name="_Toc232351884"/>
      <w:r w:rsidRPr="00B95E28">
        <w:rPr>
          <w:color w:val="000000" w:themeColor="text1"/>
        </w:rPr>
        <w:t>6.0.1 Theoretical Contribution of the Operational Model</w:t>
      </w:r>
      <w:bookmarkEnd w:id="173"/>
    </w:p>
    <w:p w14:paraId="647FCE27" w14:textId="77777777" w:rsidR="00013707" w:rsidRPr="00B95E28" w:rsidRDefault="00013707" w:rsidP="00557AB7">
      <w:pPr>
        <w:spacing w:line="480" w:lineRule="auto"/>
        <w:rPr>
          <w:color w:val="000000" w:themeColor="text1"/>
        </w:rPr>
      </w:pPr>
      <w:r w:rsidRPr="00B95E28">
        <w:rPr>
          <w:color w:val="000000" w:themeColor="text1"/>
        </w:rPr>
        <w:t xml:space="preserve">The theoretical contribution of the Integration Capability Loop lies in its shift from integration as a lifecycle process to integration as a governed capability system. Existing lifecycle models </w:t>
      </w:r>
      <w:r w:rsidRPr="00B95E28">
        <w:rPr>
          <w:color w:val="000000" w:themeColor="text1"/>
        </w:rPr>
        <w:lastRenderedPageBreak/>
        <w:t>explain the sequence of acquisition and integration activity, but they provide less explanation for why similar processes produce different outcomes across serial acquirers. This model addresses that gap by identifying the organizational mechanisms that enable integration practices to become repeatable over time.</w:t>
      </w:r>
    </w:p>
    <w:p w14:paraId="79DB53E0" w14:textId="77777777" w:rsidR="004606AA" w:rsidRPr="00B95E28" w:rsidRDefault="004606AA" w:rsidP="004606AA">
      <w:pPr>
        <w:rPr>
          <w:color w:val="000000" w:themeColor="text1"/>
        </w:rPr>
      </w:pPr>
    </w:p>
    <w:p w14:paraId="16148BD3" w14:textId="09C230EB" w:rsidR="00013707" w:rsidRPr="00B95E28" w:rsidRDefault="00013707" w:rsidP="00557AB7">
      <w:pPr>
        <w:spacing w:line="480" w:lineRule="auto"/>
        <w:rPr>
          <w:color w:val="000000" w:themeColor="text1"/>
        </w:rPr>
      </w:pPr>
      <w:r w:rsidRPr="00B95E28">
        <w:rPr>
          <w:color w:val="000000" w:themeColor="text1"/>
        </w:rPr>
        <w:t>This model extends acquisition lifecycle theory by demonstrating that integration effectiveness is not produced by phase structure alone, but by the governance, decision-control, and learning mechanisms that connect those phases over time. It also contributes to capability theory by showing how integration capability becomes operationalized through repeated use, structured decision gates, governance continuity, and institutionalized learning across successive acquisitions. In doing so, the model explains why organizations with similar integration processes may achieve different outcomes: performance depends not only on what activities are completed, but on whether the organization has the authority, continuity, and learning mechanisms required to sustain integration discipline under pressure.</w:t>
      </w:r>
    </w:p>
    <w:p w14:paraId="424BDD80" w14:textId="77777777" w:rsidR="004606AA" w:rsidRPr="00B95E28" w:rsidRDefault="004606AA" w:rsidP="004606AA">
      <w:pPr>
        <w:rPr>
          <w:color w:val="000000" w:themeColor="text1"/>
        </w:rPr>
      </w:pPr>
    </w:p>
    <w:p w14:paraId="2D44E656" w14:textId="75330B77" w:rsidR="00013707" w:rsidRPr="00B95E28" w:rsidRDefault="00013707" w:rsidP="00557AB7">
      <w:pPr>
        <w:spacing w:line="480" w:lineRule="auto"/>
        <w:rPr>
          <w:color w:val="000000" w:themeColor="text1"/>
        </w:rPr>
      </w:pPr>
      <w:r w:rsidRPr="00B95E28">
        <w:rPr>
          <w:color w:val="000000" w:themeColor="text1"/>
        </w:rPr>
        <w:t>The model is therefore not only a practitioner framework, but a theoretical extension of acquisition lifecycle and capability-based perspectives. It explains how integration capability becomes operationalized through repeated use, structured control, and organizational learning under real-world constraints.</w:t>
      </w:r>
    </w:p>
    <w:p w14:paraId="08E02A2B" w14:textId="77777777" w:rsidR="004606AA" w:rsidRPr="00B95E28" w:rsidRDefault="004606AA" w:rsidP="004606AA">
      <w:pPr>
        <w:rPr>
          <w:color w:val="000000" w:themeColor="text1"/>
        </w:rPr>
      </w:pPr>
    </w:p>
    <w:p w14:paraId="47452C10" w14:textId="11D73A31" w:rsidR="00013707" w:rsidRPr="00B95E28" w:rsidRDefault="00013707" w:rsidP="00557AB7">
      <w:pPr>
        <w:pStyle w:val="Heading3"/>
        <w:spacing w:before="0" w:after="0" w:line="480" w:lineRule="auto"/>
        <w:rPr>
          <w:color w:val="000000" w:themeColor="text1"/>
        </w:rPr>
      </w:pPr>
      <w:bookmarkStart w:id="174" w:name="_Toc232351885"/>
      <w:r w:rsidRPr="00B95E28">
        <w:rPr>
          <w:color w:val="000000" w:themeColor="text1"/>
        </w:rPr>
        <w:t>6.0.2 Role of Decision Gates in Enforcing Integration Discipline</w:t>
      </w:r>
      <w:bookmarkEnd w:id="174"/>
    </w:p>
    <w:p w14:paraId="43B82BD7" w14:textId="77777777" w:rsidR="00013707" w:rsidRPr="00B95E28" w:rsidRDefault="00013707" w:rsidP="00557AB7">
      <w:pPr>
        <w:spacing w:line="480" w:lineRule="auto"/>
        <w:rPr>
          <w:color w:val="000000" w:themeColor="text1"/>
        </w:rPr>
      </w:pPr>
      <w:r w:rsidRPr="00B95E28">
        <w:rPr>
          <w:color w:val="000000" w:themeColor="text1"/>
        </w:rPr>
        <w:t>A defining feature of the Integration Capability Loop is the introduction of decision gates between phases. These gates function as formal control mechanisms that enforce progression based on defined readiness and performance criteria rather than assumed continuity.</w:t>
      </w:r>
    </w:p>
    <w:p w14:paraId="0B76C2A2" w14:textId="77777777" w:rsidR="00013707" w:rsidRPr="00B95E28" w:rsidRDefault="00013707" w:rsidP="00557AB7">
      <w:pPr>
        <w:spacing w:line="480" w:lineRule="auto"/>
        <w:rPr>
          <w:color w:val="000000" w:themeColor="text1"/>
        </w:rPr>
      </w:pPr>
      <w:r w:rsidRPr="00B95E28">
        <w:rPr>
          <w:color w:val="000000" w:themeColor="text1"/>
        </w:rPr>
        <w:lastRenderedPageBreak/>
        <w:t>In practice, integration often progresses linearly without formal validation of readiness between stages. This results in unresolved issues being carried forward, increasing complexity and execution risk. The decision gates in the Integration Capability Loop interrupt this pattern by requiring explicit validation before progression.</w:t>
      </w:r>
    </w:p>
    <w:p w14:paraId="272246FD" w14:textId="77777777" w:rsidR="00013707" w:rsidRPr="00B95E28" w:rsidRDefault="00013707" w:rsidP="004606AA">
      <w:pPr>
        <w:rPr>
          <w:color w:val="000000" w:themeColor="text1"/>
        </w:rPr>
      </w:pPr>
    </w:p>
    <w:p w14:paraId="66156710" w14:textId="5BB418A5" w:rsidR="00013707" w:rsidRPr="00B95E28" w:rsidRDefault="00013707" w:rsidP="00557AB7">
      <w:pPr>
        <w:spacing w:line="480" w:lineRule="auto"/>
        <w:rPr>
          <w:color w:val="000000" w:themeColor="text1"/>
        </w:rPr>
      </w:pPr>
      <w:r w:rsidRPr="00B95E28">
        <w:rPr>
          <w:color w:val="000000" w:themeColor="text1"/>
        </w:rPr>
        <w:t>Each gate serves a distinct control function within the integration lifecycle. Early-stage gates ensure that governance structures, leadership ownership, and planning foundations are in place before execution begins. Mid-stage gates validate operational stability and alignment, ensuring that execution activities do not outpace organizational readiness. Final-stage gates enforce reflection and learning, preventing organizations from moving to subsequent transactions without capturing and applying insights.</w:t>
      </w:r>
    </w:p>
    <w:p w14:paraId="42523BE7" w14:textId="77777777" w:rsidR="00013707" w:rsidRPr="00B95E28" w:rsidRDefault="00013707" w:rsidP="004606AA">
      <w:pPr>
        <w:rPr>
          <w:color w:val="000000" w:themeColor="text1"/>
        </w:rPr>
      </w:pPr>
    </w:p>
    <w:p w14:paraId="5E1FC314" w14:textId="690A119A" w:rsidR="00013707" w:rsidRPr="00B95E28" w:rsidRDefault="00013707" w:rsidP="00557AB7">
      <w:pPr>
        <w:spacing w:line="480" w:lineRule="auto"/>
        <w:rPr>
          <w:color w:val="000000" w:themeColor="text1"/>
        </w:rPr>
      </w:pPr>
      <w:r w:rsidRPr="00B95E28">
        <w:rPr>
          <w:color w:val="000000" w:themeColor="text1"/>
        </w:rPr>
        <w:t>The introduction of decision gates therefore transforms integration from a continuous process into a controlled system. By enforcing discipline at transition points, the model reduces variability, improves coordination, and strengthens the linkage between phases. This mechanism directly addresses the recurring challenges identified in this research, particularly delayed planning, fragmented governance, and the absence of structured learning.</w:t>
      </w:r>
    </w:p>
    <w:p w14:paraId="549BCD5D" w14:textId="77777777" w:rsidR="00013707" w:rsidRPr="00B95E28" w:rsidRDefault="00013707" w:rsidP="004606AA">
      <w:pPr>
        <w:rPr>
          <w:color w:val="000000" w:themeColor="text1"/>
        </w:rPr>
      </w:pPr>
    </w:p>
    <w:p w14:paraId="038BB02F" w14:textId="67D0E987" w:rsidR="00013707" w:rsidRPr="00B95E28" w:rsidRDefault="00013707" w:rsidP="00557AB7">
      <w:pPr>
        <w:spacing w:line="480" w:lineRule="auto"/>
        <w:rPr>
          <w:color w:val="000000" w:themeColor="text1"/>
        </w:rPr>
      </w:pPr>
      <w:r w:rsidRPr="00B95E28">
        <w:rPr>
          <w:color w:val="000000" w:themeColor="text1"/>
        </w:rPr>
        <w:t>In addition to enforcing progression discipline, decision gates serve as points of organizational alignment and recalibration. At each gate, assumptions made in earlier phases are tested against current conditions, allowing organizations to validate or adjust integration plans before committing further resources.</w:t>
      </w:r>
    </w:p>
    <w:p w14:paraId="5576E4E4" w14:textId="77777777" w:rsidR="00013707" w:rsidRPr="00B95E28" w:rsidRDefault="00013707" w:rsidP="004606AA">
      <w:pPr>
        <w:rPr>
          <w:color w:val="000000" w:themeColor="text1"/>
        </w:rPr>
      </w:pPr>
    </w:p>
    <w:p w14:paraId="20F2AD5A" w14:textId="78224325" w:rsidR="00013707" w:rsidRPr="00B95E28" w:rsidRDefault="00013707" w:rsidP="00557AB7">
      <w:pPr>
        <w:spacing w:line="480" w:lineRule="auto"/>
        <w:rPr>
          <w:color w:val="000000" w:themeColor="text1"/>
        </w:rPr>
      </w:pPr>
      <w:r w:rsidRPr="00B95E28">
        <w:rPr>
          <w:color w:val="000000" w:themeColor="text1"/>
        </w:rPr>
        <w:t xml:space="preserve">This mechanism is particularly important in environments characterized by uncertainty and interdependence, where early-stage assumptions may not fully reflect operational realities. By </w:t>
      </w:r>
      <w:r w:rsidRPr="00B95E28">
        <w:rPr>
          <w:color w:val="000000" w:themeColor="text1"/>
        </w:rPr>
        <w:lastRenderedPageBreak/>
        <w:t>introducing structured validation points, the model reduces the likelihood that misaligned strategies or incomplete plans are carried forward into execution.</w:t>
      </w:r>
    </w:p>
    <w:p w14:paraId="73DE9A03" w14:textId="77777777" w:rsidR="00013707" w:rsidRPr="00B95E28" w:rsidRDefault="00013707" w:rsidP="004606AA">
      <w:pPr>
        <w:rPr>
          <w:color w:val="000000" w:themeColor="text1"/>
        </w:rPr>
      </w:pPr>
    </w:p>
    <w:p w14:paraId="18F12AF7" w14:textId="4D37E1CF" w:rsidR="00013707" w:rsidRPr="00B95E28" w:rsidRDefault="00013707" w:rsidP="00557AB7">
      <w:pPr>
        <w:spacing w:line="480" w:lineRule="auto"/>
        <w:rPr>
          <w:color w:val="000000" w:themeColor="text1"/>
        </w:rPr>
      </w:pPr>
      <w:r w:rsidRPr="00B95E28">
        <w:rPr>
          <w:color w:val="000000" w:themeColor="text1"/>
        </w:rPr>
        <w:t>Decision gates also function as accountability checkpoints. By requiring defined outputs and readiness criteria, they create transparency around ownership and progress. This reduces ambiguity in decision-making and ensures that integration leaders and functional stakeholders remain aligned on priorities and expectations.</w:t>
      </w:r>
    </w:p>
    <w:p w14:paraId="24D947C1" w14:textId="77777777" w:rsidR="00013707" w:rsidRPr="00B95E28" w:rsidRDefault="00013707" w:rsidP="004606AA">
      <w:pPr>
        <w:rPr>
          <w:color w:val="000000" w:themeColor="text1"/>
        </w:rPr>
      </w:pPr>
    </w:p>
    <w:p w14:paraId="770A1454" w14:textId="3DC760CC" w:rsidR="00013707" w:rsidRPr="00B95E28" w:rsidRDefault="00013707" w:rsidP="00557AB7">
      <w:pPr>
        <w:spacing w:line="480" w:lineRule="auto"/>
        <w:rPr>
          <w:color w:val="000000" w:themeColor="text1"/>
        </w:rPr>
      </w:pPr>
      <w:r w:rsidRPr="00B95E28">
        <w:rPr>
          <w:color w:val="000000" w:themeColor="text1"/>
        </w:rPr>
        <w:t>The effectiveness of decision gates is contingent on governance maturity. Where governance structures are weak or decision rights are unclear, gates risk becoming symbolic rather than functional. In contrast, organizations with strong governance frameworks are able to use decision gates as effective control mechanisms that improve coordination and execution discipline across the integration lifecycle.</w:t>
      </w:r>
    </w:p>
    <w:p w14:paraId="7B696BC9" w14:textId="77777777" w:rsidR="00013707" w:rsidRPr="00B95E28" w:rsidRDefault="00013707" w:rsidP="004606AA">
      <w:pPr>
        <w:rPr>
          <w:color w:val="000000" w:themeColor="text1"/>
        </w:rPr>
      </w:pPr>
    </w:p>
    <w:p w14:paraId="58BAC91C" w14:textId="3EA28231" w:rsidR="00013707" w:rsidRPr="00B95E28" w:rsidRDefault="00013707" w:rsidP="00557AB7">
      <w:pPr>
        <w:spacing w:line="480" w:lineRule="auto"/>
        <w:rPr>
          <w:b/>
          <w:bCs/>
          <w:color w:val="000000" w:themeColor="text1"/>
        </w:rPr>
      </w:pPr>
      <w:r w:rsidRPr="00B95E28">
        <w:rPr>
          <w:color w:val="000000" w:themeColor="text1"/>
        </w:rPr>
        <w:t>This means that decision gates are not purely structural controls, but governance mechanisms whose effectiveness depends on the organization’s ability to maintain authority and alignment under pressure.</w:t>
      </w:r>
    </w:p>
    <w:p w14:paraId="2867860B" w14:textId="3BA8DAA2" w:rsidR="00013707" w:rsidRPr="00B95E28" w:rsidRDefault="00013707" w:rsidP="00557AB7">
      <w:pPr>
        <w:pStyle w:val="Caption"/>
        <w:keepNext/>
        <w:spacing w:after="0" w:line="480" w:lineRule="auto"/>
        <w:rPr>
          <w:color w:val="000000" w:themeColor="text1"/>
        </w:rPr>
      </w:pPr>
      <w:r w:rsidRPr="00B95E28">
        <w:rPr>
          <w:color w:val="000000" w:themeColor="text1"/>
        </w:rPr>
        <w:lastRenderedPageBreak/>
        <w:fldChar w:fldCharType="begin"/>
      </w:r>
      <w:r w:rsidRPr="00B95E28">
        <w:rPr>
          <w:color w:val="000000" w:themeColor="text1"/>
        </w:rPr>
        <w:instrText xml:space="preserve"> SEQ Table \* ARABIC </w:instrText>
      </w:r>
      <w:r w:rsidRPr="00B95E28">
        <w:rPr>
          <w:color w:val="000000" w:themeColor="text1"/>
        </w:rPr>
        <w:fldChar w:fldCharType="separate"/>
      </w:r>
      <w:bookmarkStart w:id="175" w:name="_Toc232351981"/>
      <w:r w:rsidR="00B91B93">
        <w:rPr>
          <w:noProof/>
          <w:color w:val="000000" w:themeColor="text1"/>
        </w:rPr>
        <w:t>13</w:t>
      </w:r>
      <w:r w:rsidRPr="00B95E28">
        <w:rPr>
          <w:color w:val="000000" w:themeColor="text1"/>
        </w:rPr>
        <w:fldChar w:fldCharType="end"/>
      </w:r>
      <w:r w:rsidRPr="00B95E28">
        <w:rPr>
          <w:color w:val="000000" w:themeColor="text1"/>
        </w:rPr>
        <w:t>: Table 6.2: Decision Gate Criteria Within the Integration Capability Loop (Source: Author)</w:t>
      </w:r>
      <w:bookmarkEnd w:id="175"/>
    </w:p>
    <w:p w14:paraId="00A8EB0A" w14:textId="77777777" w:rsidR="00013707" w:rsidRPr="00B95E28" w:rsidRDefault="00013707" w:rsidP="00557AB7">
      <w:pPr>
        <w:spacing w:line="480" w:lineRule="auto"/>
        <w:rPr>
          <w:color w:val="000000" w:themeColor="text1"/>
        </w:rPr>
      </w:pPr>
      <w:r w:rsidRPr="00B95E28">
        <w:rPr>
          <w:noProof/>
          <w:color w:val="000000" w:themeColor="text1"/>
        </w:rPr>
        <w:drawing>
          <wp:inline distT="0" distB="0" distL="0" distR="0" wp14:anchorId="6E57BA58" wp14:editId="34E7675A">
            <wp:extent cx="5486400" cy="3466465"/>
            <wp:effectExtent l="0" t="0" r="0" b="635"/>
            <wp:docPr id="1280394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86400" cy="3466465"/>
                    </a:xfrm>
                    <a:prstGeom prst="rect">
                      <a:avLst/>
                    </a:prstGeom>
                    <a:noFill/>
                    <a:ln>
                      <a:noFill/>
                    </a:ln>
                  </pic:spPr>
                </pic:pic>
              </a:graphicData>
            </a:graphic>
          </wp:inline>
        </w:drawing>
      </w:r>
    </w:p>
    <w:p w14:paraId="6B4DA18B" w14:textId="77777777" w:rsidR="00013707" w:rsidRPr="00B95E28" w:rsidRDefault="00013707" w:rsidP="00557AB7">
      <w:pPr>
        <w:spacing w:line="480" w:lineRule="auto"/>
        <w:rPr>
          <w:color w:val="000000" w:themeColor="text1"/>
        </w:rPr>
      </w:pPr>
      <w:r w:rsidRPr="00B95E28">
        <w:rPr>
          <w:color w:val="000000" w:themeColor="text1"/>
        </w:rPr>
        <w:t>These gate criteria make the model operational by defining what must be true before the organization progresses to the next phase. Their purpose is not to delay integration unnecessarily, but to prevent unresolved risks from being carried forward without visibility or ownership. In practice, gates may still be accelerated under transaction pressure; however, acceleration should be an explicit governance decision rather than an unexamined drift into the next phase.</w:t>
      </w:r>
    </w:p>
    <w:p w14:paraId="7EFD88A1" w14:textId="77777777" w:rsidR="00013707" w:rsidRPr="00B95E28" w:rsidRDefault="00013707" w:rsidP="004606AA">
      <w:pPr>
        <w:rPr>
          <w:color w:val="000000" w:themeColor="text1"/>
        </w:rPr>
      </w:pPr>
    </w:p>
    <w:p w14:paraId="1C3B3335" w14:textId="7E041DF0" w:rsidR="00013707" w:rsidRPr="00B95E28" w:rsidRDefault="00013707" w:rsidP="00557AB7">
      <w:pPr>
        <w:spacing w:line="480" w:lineRule="auto"/>
        <w:rPr>
          <w:color w:val="000000" w:themeColor="text1"/>
        </w:rPr>
      </w:pPr>
      <w:r w:rsidRPr="00B95E28">
        <w:rPr>
          <w:color w:val="000000" w:themeColor="text1"/>
        </w:rPr>
        <w:t xml:space="preserve">For example, an organization may determine that it is not fully ready to progress to Day 1 because system integration, data migration, operating model decisions, or employee access requirements remain incomplete. In practice, commercial, legal, or market timing may still require the transaction to proceed. In this case, the gate is not removed; rather, it is formally overridden. The unresolved risks should be documented, assigned to accountable owners, and actively managed through mitigation plans. This distinction is important because the purpose of </w:t>
      </w:r>
      <w:r w:rsidRPr="00B95E28">
        <w:rPr>
          <w:color w:val="000000" w:themeColor="text1"/>
        </w:rPr>
        <w:lastRenderedPageBreak/>
        <w:t>the gate is not to prevent all progression under uncertainty, but to make risk visible, deliberate, and governable.</w:t>
      </w:r>
    </w:p>
    <w:p w14:paraId="3BA65DCB" w14:textId="77777777" w:rsidR="004606AA" w:rsidRPr="00B95E28" w:rsidRDefault="004606AA" w:rsidP="004606AA">
      <w:pPr>
        <w:rPr>
          <w:color w:val="000000" w:themeColor="text1"/>
        </w:rPr>
      </w:pPr>
    </w:p>
    <w:p w14:paraId="262831E0" w14:textId="11747482" w:rsidR="00013707" w:rsidRPr="00B95E28" w:rsidRDefault="00013707" w:rsidP="00557AB7">
      <w:pPr>
        <w:pStyle w:val="Heading3"/>
        <w:spacing w:before="0" w:after="0" w:line="480" w:lineRule="auto"/>
        <w:rPr>
          <w:color w:val="000000" w:themeColor="text1"/>
        </w:rPr>
      </w:pPr>
      <w:bookmarkStart w:id="176" w:name="_Toc232351886"/>
      <w:r w:rsidRPr="00B95E28">
        <w:rPr>
          <w:color w:val="000000" w:themeColor="text1"/>
        </w:rPr>
        <w:t>6.0.3 Interdependencies Across Integration Phases</w:t>
      </w:r>
      <w:bookmarkEnd w:id="176"/>
    </w:p>
    <w:p w14:paraId="6F0E2C00" w14:textId="77777777" w:rsidR="00013707" w:rsidRPr="00B95E28" w:rsidRDefault="00013707" w:rsidP="00557AB7">
      <w:pPr>
        <w:spacing w:line="480" w:lineRule="auto"/>
        <w:rPr>
          <w:color w:val="000000" w:themeColor="text1"/>
        </w:rPr>
      </w:pPr>
      <w:r w:rsidRPr="00B95E28">
        <w:rPr>
          <w:color w:val="000000" w:themeColor="text1"/>
        </w:rPr>
        <w:t>While the Integration Capability Loop is presented as a sequence of phases, the findings from this research indicate that these phases are highly interdependent rather than strictly linear. Activities and decisions in earlier phases directly influence the complexity, coordination, and outcomes of later stages.</w:t>
      </w:r>
    </w:p>
    <w:p w14:paraId="53888F4F" w14:textId="77777777" w:rsidR="00013707" w:rsidRPr="00B95E28" w:rsidRDefault="00013707" w:rsidP="004606AA">
      <w:pPr>
        <w:rPr>
          <w:color w:val="000000" w:themeColor="text1"/>
        </w:rPr>
      </w:pPr>
    </w:p>
    <w:p w14:paraId="0DBADCBC" w14:textId="5F6F7FD9" w:rsidR="00013707" w:rsidRPr="00B95E28" w:rsidRDefault="00013707" w:rsidP="00557AB7">
      <w:pPr>
        <w:spacing w:line="480" w:lineRule="auto"/>
        <w:rPr>
          <w:color w:val="000000" w:themeColor="text1"/>
        </w:rPr>
      </w:pPr>
      <w:r w:rsidRPr="00B95E28">
        <w:rPr>
          <w:color w:val="000000" w:themeColor="text1"/>
        </w:rPr>
        <w:t>Acquisition readiness shapes the quality and timing of pre-close planning by determining whether integration considerations are embedded early in the deal lifecycle. In turn, the effectiveness of pre-close planning directly impacts Day 1 stabilization, as well-defined plans reduce uncertainty and enable smoother operational transitions.</w:t>
      </w:r>
    </w:p>
    <w:p w14:paraId="3521A106" w14:textId="77777777" w:rsidR="00013707" w:rsidRPr="00B95E28" w:rsidRDefault="00013707" w:rsidP="004606AA">
      <w:pPr>
        <w:rPr>
          <w:color w:val="000000" w:themeColor="text1"/>
        </w:rPr>
      </w:pPr>
    </w:p>
    <w:p w14:paraId="54B2DEF4" w14:textId="38EE9D9F" w:rsidR="00013707" w:rsidRPr="00B95E28" w:rsidRDefault="00013707" w:rsidP="00557AB7">
      <w:pPr>
        <w:spacing w:line="480" w:lineRule="auto"/>
        <w:rPr>
          <w:color w:val="000000" w:themeColor="text1"/>
        </w:rPr>
      </w:pPr>
      <w:r w:rsidRPr="00B95E28">
        <w:rPr>
          <w:color w:val="000000" w:themeColor="text1"/>
        </w:rPr>
        <w:t>Similarly, Day 1 stabilization acts as a validation point for planning assumptions, where gaps in planning become visible through operational challenges. These challenges then influence the execution phase, where organizations must either compensate for earlier deficiencies or benefit from well-aligned upstream activities.</w:t>
      </w:r>
    </w:p>
    <w:p w14:paraId="20CB7D47" w14:textId="77777777" w:rsidR="00013707" w:rsidRPr="00B95E28" w:rsidRDefault="00013707" w:rsidP="004606AA">
      <w:pPr>
        <w:rPr>
          <w:color w:val="000000" w:themeColor="text1"/>
        </w:rPr>
      </w:pPr>
    </w:p>
    <w:p w14:paraId="6D201B7E" w14:textId="662B28DC" w:rsidR="00013707" w:rsidRPr="00B95E28" w:rsidRDefault="00013707" w:rsidP="00557AB7">
      <w:pPr>
        <w:spacing w:line="480" w:lineRule="auto"/>
        <w:rPr>
          <w:color w:val="000000" w:themeColor="text1"/>
        </w:rPr>
      </w:pPr>
      <w:r w:rsidRPr="00B95E28">
        <w:rPr>
          <w:color w:val="000000" w:themeColor="text1"/>
        </w:rPr>
        <w:t>Execution outcomes further shape the effectiveness of organizational learning. Where execution is structured and monitored, organizations are better positioned to capture meaningful insights. Conversely, fragmented execution limits the ability to identify patterns and derive actionable lessons.</w:t>
      </w:r>
    </w:p>
    <w:p w14:paraId="2CA00E28" w14:textId="77777777" w:rsidR="00013707" w:rsidRPr="00B95E28" w:rsidRDefault="00013707" w:rsidP="00557AB7">
      <w:pPr>
        <w:spacing w:line="480" w:lineRule="auto"/>
        <w:rPr>
          <w:color w:val="000000" w:themeColor="text1"/>
        </w:rPr>
      </w:pPr>
    </w:p>
    <w:p w14:paraId="03CB9D59" w14:textId="3991E236" w:rsidR="00013707" w:rsidRPr="00B95E28" w:rsidRDefault="00013707" w:rsidP="00557AB7">
      <w:pPr>
        <w:spacing w:line="480" w:lineRule="auto"/>
        <w:rPr>
          <w:color w:val="000000" w:themeColor="text1"/>
        </w:rPr>
      </w:pPr>
      <w:r w:rsidRPr="00B95E28">
        <w:rPr>
          <w:color w:val="000000" w:themeColor="text1"/>
        </w:rPr>
        <w:lastRenderedPageBreak/>
        <w:t>These interdependencies reinforce the central premise of the Integration Capability Loop: that integration outcomes are not determined within isolated phases, but through the interaction of phases as a coordinated system. This systemic perspective differentiates the model from traditional lifecycle frameworks and highlights the importance of alignment across all stages of integration.</w:t>
      </w:r>
    </w:p>
    <w:p w14:paraId="5F24D0CD" w14:textId="77777777" w:rsidR="00013707" w:rsidRPr="00B95E28" w:rsidRDefault="00013707" w:rsidP="004606AA">
      <w:pPr>
        <w:rPr>
          <w:color w:val="000000" w:themeColor="text1"/>
        </w:rPr>
      </w:pPr>
    </w:p>
    <w:p w14:paraId="35601A74" w14:textId="134BD486" w:rsidR="00013707" w:rsidRPr="00B95E28" w:rsidRDefault="00013707" w:rsidP="00557AB7">
      <w:pPr>
        <w:spacing w:line="480" w:lineRule="auto"/>
        <w:rPr>
          <w:color w:val="000000" w:themeColor="text1"/>
        </w:rPr>
      </w:pPr>
      <w:r w:rsidRPr="00B95E28">
        <w:rPr>
          <w:color w:val="000000" w:themeColor="text1"/>
        </w:rPr>
        <w:t>While the phases are presented sequentially for clarity, integration in practice is highly non-linear. Planning and execution frequently occur in parallel, particularly in early stages where diligence insights continue to evolve. Similarly, execution often requires ongoing re-planning as new information becomes available. This non-linearity reinforces that integration capability is not a function of sequence adherence, but of the organization’s ability to coordinate and adapt activities across phases in real time.</w:t>
      </w:r>
    </w:p>
    <w:p w14:paraId="03580581" w14:textId="77777777" w:rsidR="00013707" w:rsidRPr="00B95E28" w:rsidRDefault="00013707" w:rsidP="004606AA">
      <w:pPr>
        <w:rPr>
          <w:color w:val="000000" w:themeColor="text1"/>
        </w:rPr>
      </w:pPr>
    </w:p>
    <w:p w14:paraId="42E393AE" w14:textId="226B2430" w:rsidR="00013707" w:rsidRPr="00B95E28" w:rsidRDefault="00013707" w:rsidP="00557AB7">
      <w:pPr>
        <w:spacing w:line="480" w:lineRule="auto"/>
        <w:rPr>
          <w:color w:val="000000" w:themeColor="text1"/>
        </w:rPr>
      </w:pPr>
      <w:r w:rsidRPr="00B95E28">
        <w:rPr>
          <w:color w:val="000000" w:themeColor="text1"/>
        </w:rPr>
        <w:t>This overlap introduces additional complexity, as decisions must be made without complete information and plans must be continuously adjusted. The Integration Capability Loop should therefore be understood not as a rigid sequence, but as a governing structure within which organizations operate under conditions of uncertainty and time pressure.</w:t>
      </w:r>
    </w:p>
    <w:p w14:paraId="1FACA3CB" w14:textId="77777777" w:rsidR="004606AA" w:rsidRPr="00B95E28" w:rsidRDefault="004606AA" w:rsidP="004606AA">
      <w:pPr>
        <w:rPr>
          <w:color w:val="000000" w:themeColor="text1"/>
        </w:rPr>
      </w:pPr>
    </w:p>
    <w:p w14:paraId="2FA55540" w14:textId="1EB1A250" w:rsidR="00013707" w:rsidRPr="00B95E28" w:rsidRDefault="00013707" w:rsidP="00557AB7">
      <w:pPr>
        <w:pStyle w:val="Heading3"/>
        <w:spacing w:before="0" w:after="0" w:line="480" w:lineRule="auto"/>
        <w:rPr>
          <w:color w:val="000000" w:themeColor="text1"/>
        </w:rPr>
      </w:pPr>
      <w:bookmarkStart w:id="177" w:name="_Toc232351887"/>
      <w:r w:rsidRPr="00B95E28">
        <w:rPr>
          <w:color w:val="000000" w:themeColor="text1"/>
        </w:rPr>
        <w:t>6.0.4 Applying the Integration Capability Loop by Acquisition Maturity Level</w:t>
      </w:r>
      <w:bookmarkEnd w:id="177"/>
    </w:p>
    <w:p w14:paraId="74C44653" w14:textId="77777777" w:rsidR="00013707" w:rsidRPr="00B95E28" w:rsidRDefault="00013707" w:rsidP="00557AB7">
      <w:pPr>
        <w:spacing w:line="480" w:lineRule="auto"/>
        <w:rPr>
          <w:color w:val="000000" w:themeColor="text1"/>
        </w:rPr>
      </w:pPr>
      <w:r w:rsidRPr="00B95E28">
        <w:rPr>
          <w:color w:val="000000" w:themeColor="text1"/>
        </w:rPr>
        <w:t>The Integration Capability Loop can be applied by organizations at different levels of acquisition maturity. While the model is designed for serial acquirers, not all serial acquirers possess the same level of integration maturity. Some organizations are early in their acquisition journey and rely on informal coordination. Others have developed playbooks and governance structures but apply them inconsistently. More mature acquirers may have dedicated integration teams, established decision gates, and formal learning mechanisms.</w:t>
      </w:r>
    </w:p>
    <w:p w14:paraId="28CAC255" w14:textId="62D7E4F3" w:rsidR="00013707" w:rsidRPr="00B95E28" w:rsidRDefault="00013707" w:rsidP="00557AB7">
      <w:pPr>
        <w:spacing w:line="480" w:lineRule="auto"/>
        <w:rPr>
          <w:color w:val="000000" w:themeColor="text1"/>
        </w:rPr>
      </w:pPr>
      <w:r w:rsidRPr="00B95E28">
        <w:rPr>
          <w:color w:val="000000" w:themeColor="text1"/>
        </w:rPr>
        <w:lastRenderedPageBreak/>
        <w:t>This distinction is important because the model should not be applied as a one-size-fits-all structure. The practical priority for an early-stage acquirer is not to build a sophisticated integration office immediately, but to establish basic governance, clarify ownership, and introduce structured planning before close. For a developing acquirer, the priority is to move from ad hoc learning to repeatable routines, including standard workstream structures, decision gates, and lessons learned mechanisms. For a mature serial acquirer, the priority shifts toward refinement, scalability, and avoiding rigidity.</w:t>
      </w:r>
    </w:p>
    <w:p w14:paraId="1C1A01BB" w14:textId="77777777" w:rsidR="00013707" w:rsidRPr="00B95E28" w:rsidRDefault="00013707" w:rsidP="004606AA">
      <w:pPr>
        <w:rPr>
          <w:color w:val="000000" w:themeColor="text1"/>
        </w:rPr>
      </w:pPr>
    </w:p>
    <w:p w14:paraId="058E0B2D" w14:textId="6C4E8A3C" w:rsidR="00013707" w:rsidRPr="00B95E28" w:rsidRDefault="00013707" w:rsidP="00557AB7">
      <w:pPr>
        <w:spacing w:line="480" w:lineRule="auto"/>
        <w:rPr>
          <w:color w:val="000000" w:themeColor="text1"/>
        </w:rPr>
      </w:pPr>
      <w:r w:rsidRPr="00B95E28">
        <w:rPr>
          <w:color w:val="000000" w:themeColor="text1"/>
        </w:rPr>
        <w:t>The model therefore functions as a maturity pathway as well as an integration framework. It allows organizations to assess where their current integration practices are weakest and identify the next practical level of capability development. This is particularly important because attempting to implement advanced governance structures without sufficient leadership commitment or resourcing may create the appearance of maturity without changing integration outcomes.</w:t>
      </w:r>
    </w:p>
    <w:p w14:paraId="54843223" w14:textId="5663D683" w:rsidR="00013707" w:rsidRPr="00B95E28" w:rsidRDefault="00013707"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78" w:name="_Toc232351982"/>
      <w:r w:rsidR="00B91B93">
        <w:rPr>
          <w:noProof/>
          <w:color w:val="000000" w:themeColor="text1"/>
        </w:rPr>
        <w:t>14</w:t>
      </w:r>
      <w:r w:rsidRPr="00B95E28">
        <w:rPr>
          <w:color w:val="000000" w:themeColor="text1"/>
        </w:rPr>
        <w:fldChar w:fldCharType="end"/>
      </w:r>
      <w:r w:rsidRPr="00B95E28">
        <w:rPr>
          <w:color w:val="000000" w:themeColor="text1"/>
        </w:rPr>
        <w:t>: Table 6.3: Applying the Integration Capability Loop by Acquisition Maturity Level (Source: Author)</w:t>
      </w:r>
      <w:bookmarkEnd w:id="178"/>
    </w:p>
    <w:p w14:paraId="45A4E96F" w14:textId="77777777" w:rsidR="00013707" w:rsidRPr="00B95E28" w:rsidRDefault="00013707" w:rsidP="00557AB7">
      <w:pPr>
        <w:spacing w:line="480" w:lineRule="auto"/>
        <w:rPr>
          <w:b/>
          <w:bCs/>
          <w:color w:val="000000" w:themeColor="text1"/>
        </w:rPr>
      </w:pPr>
      <w:r w:rsidRPr="00B95E28">
        <w:rPr>
          <w:noProof/>
          <w:color w:val="000000" w:themeColor="text1"/>
        </w:rPr>
        <w:drawing>
          <wp:inline distT="0" distB="0" distL="0" distR="0" wp14:anchorId="024ED627" wp14:editId="257A570F">
            <wp:extent cx="5486400" cy="1902460"/>
            <wp:effectExtent l="0" t="0" r="0" b="2540"/>
            <wp:docPr id="544080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86400" cy="1902460"/>
                    </a:xfrm>
                    <a:prstGeom prst="rect">
                      <a:avLst/>
                    </a:prstGeom>
                    <a:noFill/>
                    <a:ln>
                      <a:noFill/>
                    </a:ln>
                  </pic:spPr>
                </pic:pic>
              </a:graphicData>
            </a:graphic>
          </wp:inline>
        </w:drawing>
      </w:r>
    </w:p>
    <w:p w14:paraId="629C2030" w14:textId="77777777" w:rsidR="00013707" w:rsidRDefault="00013707" w:rsidP="00557AB7">
      <w:pPr>
        <w:spacing w:line="480" w:lineRule="auto"/>
        <w:rPr>
          <w:color w:val="000000" w:themeColor="text1"/>
        </w:rPr>
      </w:pPr>
      <w:r w:rsidRPr="00B95E28">
        <w:rPr>
          <w:color w:val="000000" w:themeColor="text1"/>
        </w:rPr>
        <w:t xml:space="preserve">Table 6.3 reinforces that integration capability develops progressively rather than appearing fully formed. The maturity stages show how organizations can move from informal, transaction-specific integration practices toward a more governed, repeatable, and learning-oriented </w:t>
      </w:r>
      <w:r w:rsidRPr="00B95E28">
        <w:rPr>
          <w:color w:val="000000" w:themeColor="text1"/>
        </w:rPr>
        <w:lastRenderedPageBreak/>
        <w:t>integration system. This supports the practical relevance of the model because it allows organizations at different levels of maturity to identify their current state and the next capability-building steps required.</w:t>
      </w:r>
    </w:p>
    <w:p w14:paraId="2FC7F32A" w14:textId="77777777" w:rsidR="004C3257" w:rsidRDefault="004C3257" w:rsidP="004C3257"/>
    <w:p w14:paraId="1A8BBB9D" w14:textId="33E66E6A" w:rsidR="00013707" w:rsidRDefault="00013707" w:rsidP="00557AB7">
      <w:pPr>
        <w:spacing w:line="480" w:lineRule="auto"/>
        <w:rPr>
          <w:color w:val="000000" w:themeColor="text1"/>
        </w:rPr>
      </w:pPr>
      <w:r w:rsidRPr="00B95E28">
        <w:rPr>
          <w:color w:val="000000" w:themeColor="text1"/>
        </w:rPr>
        <w:t>This maturity perspective reinforces that repeatable integration capability develops incrementally. Organizations do not move directly from ad hoc integration to fully institutionalized capability. Instead, capability develops through repeated application, reflection, and refinement. The Integration Capability Loop provides the structure for this progression by helping organizations identify not only what should occur during integration, but what must be strengthened over time to improve consistency across transactions.</w:t>
      </w:r>
    </w:p>
    <w:p w14:paraId="36DBEBBA" w14:textId="77777777" w:rsidR="00711D6A" w:rsidRDefault="00711D6A" w:rsidP="00711D6A"/>
    <w:p w14:paraId="78A470B4" w14:textId="66A3D980" w:rsidR="00711D6A" w:rsidRPr="00711D6A" w:rsidRDefault="00711D6A" w:rsidP="00557AB7">
      <w:pPr>
        <w:spacing w:line="480" w:lineRule="auto"/>
        <w:rPr>
          <w:color w:val="4F81BD" w:themeColor="accent1"/>
        </w:rPr>
      </w:pPr>
      <w:r w:rsidRPr="00711D6A">
        <w:rPr>
          <w:color w:val="4F81BD" w:themeColor="accent1"/>
        </w:rPr>
        <w:t>Capability development can also be understood across successive acquisitions. In Deal 1, integration may be largely ad hoc, dependent on individual effort, informal escalation, and external support. By Deal 3, patterns begin to emerge; the organization may identify recurring risks, reuse templates, and establish more consistent governance routines. By Deal 5, a more mature serial acquirer should demonstrate formal decision rights, dedicated integration ownership, a refined playbook, technology readiness standards, and a structured lessons learned process. This progression illustrates the path-dependent nature of integration capability: each acquisition either strengthens the organization’s integration system or reinforces existing weaknesses.</w:t>
      </w:r>
    </w:p>
    <w:p w14:paraId="0D139726" w14:textId="1709DFDE" w:rsidR="008B56E5" w:rsidRPr="00B95E28" w:rsidRDefault="008B56E5" w:rsidP="008B56E5">
      <w:pPr>
        <w:pStyle w:val="Heading3"/>
        <w:rPr>
          <w:color w:val="000000" w:themeColor="text1"/>
        </w:rPr>
      </w:pPr>
      <w:bookmarkStart w:id="179" w:name="_Toc232351888"/>
      <w:r w:rsidRPr="00B95E28">
        <w:rPr>
          <w:color w:val="000000" w:themeColor="text1"/>
        </w:rPr>
        <w:t>6.0.5 Integration Capability Maturity Diagnostic</w:t>
      </w:r>
      <w:bookmarkEnd w:id="179"/>
    </w:p>
    <w:p w14:paraId="61C1A7D5" w14:textId="15E1435C" w:rsidR="008B56E5" w:rsidRPr="00B95E28" w:rsidRDefault="008B56E5" w:rsidP="00557AB7">
      <w:pPr>
        <w:spacing w:line="480" w:lineRule="auto"/>
        <w:rPr>
          <w:color w:val="000000" w:themeColor="text1"/>
        </w:rPr>
      </w:pPr>
      <w:r w:rsidRPr="00B95E28">
        <w:rPr>
          <w:color w:val="000000" w:themeColor="text1"/>
        </w:rPr>
        <w:t xml:space="preserve">To strengthen the practical application of the Integration Capability Loop and Integration Capability Engine, integration capability can be assessed through a qualitative maturity diagnostic. The purpose of this diagnostic is not to create a rigid scoring model, but to help </w:t>
      </w:r>
      <w:r w:rsidRPr="00B95E28">
        <w:rPr>
          <w:color w:val="000000" w:themeColor="text1"/>
        </w:rPr>
        <w:lastRenderedPageBreak/>
        <w:t>organizations determine whether integration capability is embedded, repeatable, and transferable across transactions. The diagnostic evaluates whether the organization has moved beyond ad hoc integration execution toward a disciplined capability system supported by governance, leadership authority, resourcing, technology readiness, and institutional learning.</w:t>
      </w:r>
    </w:p>
    <w:p w14:paraId="6C79C646" w14:textId="77777777" w:rsidR="00B95E28" w:rsidRPr="00B95E28" w:rsidRDefault="00B95E28" w:rsidP="00B95E28"/>
    <w:p w14:paraId="41915354" w14:textId="77777777" w:rsidR="00B91B93" w:rsidRDefault="00B95E28" w:rsidP="00B91B93">
      <w:pPr>
        <w:spacing w:line="480" w:lineRule="auto"/>
        <w:rPr>
          <w:color w:val="4F81BD" w:themeColor="accent1"/>
        </w:rPr>
      </w:pPr>
      <w:r w:rsidRPr="00B95E28">
        <w:rPr>
          <w:color w:val="4F81BD" w:themeColor="accent1"/>
        </w:rPr>
        <w:t>To make the diagnostic more operational, each capability dimension can be assessed through observable indicators. These indicators do not function as a rigid scoring tool, but as practical evidence that integration capability is becoming embedded in the organization. For example, governance maturity can be assessed by examining whether integration ownership is defined, whether the integration leader has decision authority, whether escalation routes are clear, and whether decisions are recorded and reused across transactions. This allows the model to move beyond describing capability conceptually and toward helping organizations determine whether the capability is actually present in practice.</w:t>
      </w:r>
      <w:r w:rsidR="00B91B93">
        <w:rPr>
          <w:color w:val="4F81BD" w:themeColor="accent1"/>
        </w:rPr>
        <w:t xml:space="preserve"> </w:t>
      </w:r>
    </w:p>
    <w:p w14:paraId="25604B97" w14:textId="42847500" w:rsidR="008B56E5" w:rsidRDefault="008B56E5" w:rsidP="00B91B93">
      <w:pPr>
        <w:spacing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180" w:name="_Toc232351983"/>
      <w:r w:rsidR="00B91B93">
        <w:rPr>
          <w:noProof/>
          <w:color w:val="000000" w:themeColor="text1"/>
        </w:rPr>
        <w:t>15</w:t>
      </w:r>
      <w:r w:rsidRPr="00B95E28">
        <w:rPr>
          <w:color w:val="000000" w:themeColor="text1"/>
        </w:rPr>
        <w:fldChar w:fldCharType="end"/>
      </w:r>
      <w:r w:rsidRPr="00B95E28">
        <w:rPr>
          <w:color w:val="000000" w:themeColor="text1"/>
        </w:rPr>
        <w:t>: Table 6.4: Integration Capability Maturity Diagnostic</w:t>
      </w:r>
      <w:bookmarkEnd w:id="180"/>
      <w:r w:rsidR="00B91B93">
        <w:rPr>
          <w:color w:val="000000" w:themeColor="text1"/>
        </w:rPr>
        <w:t xml:space="preserve"> </w:t>
      </w:r>
    </w:p>
    <w:p w14:paraId="0B0F2C4B" w14:textId="2704A12F" w:rsidR="008B56E5" w:rsidRPr="00B95E28" w:rsidRDefault="00B95E28" w:rsidP="00B91B93">
      <w:pPr>
        <w:spacing w:line="480" w:lineRule="auto"/>
        <w:jc w:val="center"/>
        <w:rPr>
          <w:color w:val="000000" w:themeColor="text1"/>
        </w:rPr>
      </w:pPr>
      <w:r w:rsidRPr="00B95E28">
        <w:rPr>
          <w:noProof/>
        </w:rPr>
        <w:drawing>
          <wp:inline distT="0" distB="0" distL="0" distR="0" wp14:anchorId="6F1B9F7D" wp14:editId="28869ED3">
            <wp:extent cx="4946650" cy="3029823"/>
            <wp:effectExtent l="0" t="0" r="6350" b="0"/>
            <wp:docPr id="1313406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57224" cy="3036300"/>
                    </a:xfrm>
                    <a:prstGeom prst="rect">
                      <a:avLst/>
                    </a:prstGeom>
                    <a:noFill/>
                    <a:ln>
                      <a:noFill/>
                    </a:ln>
                  </pic:spPr>
                </pic:pic>
              </a:graphicData>
            </a:graphic>
          </wp:inline>
        </w:drawing>
      </w:r>
    </w:p>
    <w:p w14:paraId="124DDC53" w14:textId="77777777" w:rsidR="00B91B93" w:rsidRDefault="00C300D1" w:rsidP="00C300D1">
      <w:pPr>
        <w:spacing w:line="480" w:lineRule="auto"/>
        <w:rPr>
          <w:color w:val="000000" w:themeColor="text1"/>
        </w:rPr>
      </w:pPr>
      <w:r w:rsidRPr="00B95E28">
        <w:rPr>
          <w:color w:val="000000" w:themeColor="text1"/>
        </w:rPr>
        <w:lastRenderedPageBreak/>
        <w:t>This diagnostic provides a practical method for assessing whether integration capability exists as an organizational system rather than as isolated project activity. A firm with low maturity may still complete individual integrations successfully, but success remains dependent on specific people, favourable deal conditions, or external support. By contrast, a firm with institutionalized maturity demonstrates the ability to transfer integration knowledge, governance routines,</w:t>
      </w:r>
      <w:r w:rsidR="005946D4">
        <w:rPr>
          <w:color w:val="000000" w:themeColor="text1"/>
        </w:rPr>
        <w:t xml:space="preserve"> d</w:t>
      </w:r>
      <w:r w:rsidRPr="00B95E28">
        <w:rPr>
          <w:color w:val="000000" w:themeColor="text1"/>
        </w:rPr>
        <w:t>ecision discipline, and execution practices across successive acquisitions.</w:t>
      </w:r>
    </w:p>
    <w:p w14:paraId="585912F1" w14:textId="77777777" w:rsidR="00CB5964" w:rsidRDefault="00B91B93" w:rsidP="00CB5964">
      <w:pPr>
        <w:spacing w:line="480" w:lineRule="auto"/>
        <w:rPr>
          <w:noProof/>
          <w:color w:val="000000" w:themeColor="text1"/>
        </w:rPr>
      </w:pPr>
      <w:r>
        <w:rPr>
          <w:noProof/>
          <w:color w:val="000000" w:themeColor="text1"/>
        </w:rPr>
        <w:fldChar w:fldCharType="begin"/>
      </w:r>
      <w:r>
        <w:rPr>
          <w:noProof/>
          <w:color w:val="000000" w:themeColor="text1"/>
        </w:rPr>
        <w:instrText xml:space="preserve"> SEQ Table \* ARABIC </w:instrText>
      </w:r>
      <w:r>
        <w:rPr>
          <w:noProof/>
          <w:color w:val="000000" w:themeColor="text1"/>
        </w:rPr>
        <w:fldChar w:fldCharType="separate"/>
      </w:r>
      <w:bookmarkStart w:id="181" w:name="_Toc232351984"/>
      <w:r>
        <w:rPr>
          <w:noProof/>
          <w:color w:val="000000" w:themeColor="text1"/>
        </w:rPr>
        <w:t>16</w:t>
      </w:r>
      <w:r>
        <w:rPr>
          <w:noProof/>
          <w:color w:val="000000" w:themeColor="text1"/>
        </w:rPr>
        <w:fldChar w:fldCharType="end"/>
      </w:r>
      <w:r w:rsidRPr="00B91B93">
        <w:rPr>
          <w:noProof/>
          <w:color w:val="000000" w:themeColor="text1"/>
        </w:rPr>
        <w:t>: Table 6.5 - Capability-to-Outcome</w:t>
      </w:r>
      <w:bookmarkEnd w:id="181"/>
    </w:p>
    <w:p w14:paraId="1532078D" w14:textId="2FC29EF6" w:rsidR="004606AA" w:rsidRPr="00B91B93" w:rsidRDefault="00CB5964" w:rsidP="00CB5964">
      <w:pPr>
        <w:jc w:val="center"/>
        <w:rPr>
          <w:noProof/>
        </w:rPr>
      </w:pPr>
      <w:r>
        <w:rPr>
          <w:noProof/>
        </w:rPr>
        <w:br/>
      </w:r>
      <w:r w:rsidRPr="00CB5964">
        <w:rPr>
          <w:noProof/>
        </w:rPr>
        <w:drawing>
          <wp:inline distT="0" distB="0" distL="0" distR="0" wp14:anchorId="44C72865" wp14:editId="31CA0F88">
            <wp:extent cx="3003550" cy="2277933"/>
            <wp:effectExtent l="0" t="0" r="6350" b="8255"/>
            <wp:docPr id="1001097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07874" cy="2281212"/>
                    </a:xfrm>
                    <a:prstGeom prst="rect">
                      <a:avLst/>
                    </a:prstGeom>
                    <a:noFill/>
                    <a:ln>
                      <a:noFill/>
                    </a:ln>
                  </pic:spPr>
                </pic:pic>
              </a:graphicData>
            </a:graphic>
          </wp:inline>
        </w:drawing>
      </w:r>
      <w:r w:rsidR="005946D4">
        <w:br/>
      </w:r>
    </w:p>
    <w:p w14:paraId="29219968" w14:textId="4629BE28" w:rsidR="00B91B93" w:rsidRPr="00B91B93" w:rsidRDefault="00B91B93" w:rsidP="00B91B93">
      <w:pPr>
        <w:spacing w:line="480" w:lineRule="auto"/>
        <w:rPr>
          <w:color w:val="548DD4" w:themeColor="text2" w:themeTint="99"/>
          <w:lang w:val="en-CA" w:eastAsia="en-US"/>
        </w:rPr>
      </w:pPr>
      <w:r w:rsidRPr="00B91B93">
        <w:rPr>
          <w:color w:val="548DD4" w:themeColor="text2" w:themeTint="99"/>
          <w:lang w:eastAsia="en-US"/>
        </w:rPr>
        <w:t>These relationships illustrate how integration capability extends beyond process execution and contributes directly to measurable organizational outcomes. The stronger the underlying capability, the greater the organization’s ability to consistently realize acquisition value across multiple transactions.</w:t>
      </w:r>
    </w:p>
    <w:p w14:paraId="7A41B9E4" w14:textId="77777777" w:rsidR="00C300D1" w:rsidRPr="00B95E28" w:rsidRDefault="00C300D1" w:rsidP="004606AA">
      <w:pPr>
        <w:rPr>
          <w:color w:val="000000" w:themeColor="text1"/>
        </w:rPr>
      </w:pPr>
    </w:p>
    <w:p w14:paraId="7DA93845" w14:textId="6D956ED1" w:rsidR="00013707" w:rsidRPr="00B95E28" w:rsidRDefault="00013707" w:rsidP="00557AB7">
      <w:pPr>
        <w:pStyle w:val="Heading3"/>
        <w:spacing w:before="0" w:after="0" w:line="480" w:lineRule="auto"/>
        <w:rPr>
          <w:color w:val="000000" w:themeColor="text1"/>
        </w:rPr>
      </w:pPr>
      <w:bookmarkStart w:id="182" w:name="_Toc232351889"/>
      <w:r w:rsidRPr="00B95E28">
        <w:rPr>
          <w:color w:val="000000" w:themeColor="text1"/>
        </w:rPr>
        <w:t>6.0.</w:t>
      </w:r>
      <w:r w:rsidR="00C300D1" w:rsidRPr="00B95E28">
        <w:rPr>
          <w:color w:val="000000" w:themeColor="text1"/>
        </w:rPr>
        <w:t>6</w:t>
      </w:r>
      <w:r w:rsidRPr="00B95E28">
        <w:rPr>
          <w:color w:val="000000" w:themeColor="text1"/>
        </w:rPr>
        <w:t xml:space="preserve"> Practical Adoption Considerations</w:t>
      </w:r>
      <w:bookmarkEnd w:id="182"/>
    </w:p>
    <w:p w14:paraId="5FE09EC8" w14:textId="77777777" w:rsidR="00013707" w:rsidRPr="00B95E28" w:rsidRDefault="00013707" w:rsidP="00557AB7">
      <w:pPr>
        <w:spacing w:line="480" w:lineRule="auto"/>
        <w:rPr>
          <w:color w:val="000000" w:themeColor="text1"/>
        </w:rPr>
      </w:pPr>
      <w:r w:rsidRPr="00B95E28">
        <w:rPr>
          <w:color w:val="000000" w:themeColor="text1"/>
        </w:rPr>
        <w:t xml:space="preserve">The Integration Capability Loop is designed to be applied incrementally rather than adopted as a fully mature model at once. For many organizations, the first step is not to introduce a comprehensive integration methodology, but to identify the weakest point in the current </w:t>
      </w:r>
      <w:r w:rsidRPr="00B95E28">
        <w:rPr>
          <w:color w:val="000000" w:themeColor="text1"/>
        </w:rPr>
        <w:lastRenderedPageBreak/>
        <w:t>integration lifecycle. In some organizations, the primary gap may be late integration planning. In others, it may be unclear decision rights, insufficient resource capacity, fragmented technology ownership, or the absence of structured lessons learned.</w:t>
      </w:r>
    </w:p>
    <w:p w14:paraId="6ED591E8" w14:textId="77777777" w:rsidR="00013707" w:rsidRPr="00B95E28" w:rsidRDefault="00013707" w:rsidP="004606AA">
      <w:pPr>
        <w:rPr>
          <w:color w:val="000000" w:themeColor="text1"/>
        </w:rPr>
      </w:pPr>
    </w:p>
    <w:p w14:paraId="47385844" w14:textId="292796EC" w:rsidR="00013707" w:rsidRPr="00B95E28" w:rsidRDefault="00013707" w:rsidP="00557AB7">
      <w:pPr>
        <w:spacing w:line="480" w:lineRule="auto"/>
        <w:rPr>
          <w:color w:val="000000" w:themeColor="text1"/>
        </w:rPr>
      </w:pPr>
      <w:r w:rsidRPr="00B95E28">
        <w:rPr>
          <w:color w:val="000000" w:themeColor="text1"/>
        </w:rPr>
        <w:t>A practical adoption approach should therefore begin with a capability assessment across the five phases of the loop. This assessment should ask whether integration considerations are incorporated before close, whether decision rights are clear, whether Day 1 readiness is validated, whether execution workstreams are adequately resourced, and whether learning is captured and applied before the next transaction. The purpose is not to score integration maturity for its own sake, but to identify where the organization is most likely to lose continuity between phases.</w:t>
      </w:r>
    </w:p>
    <w:p w14:paraId="6F6DC07C" w14:textId="77777777" w:rsidR="00013707" w:rsidRPr="00B95E28" w:rsidRDefault="00013707" w:rsidP="004606AA">
      <w:pPr>
        <w:rPr>
          <w:color w:val="000000" w:themeColor="text1"/>
        </w:rPr>
      </w:pPr>
    </w:p>
    <w:p w14:paraId="579EFAF9" w14:textId="124B57A3" w:rsidR="00013707" w:rsidRPr="00B95E28" w:rsidRDefault="00013707" w:rsidP="00557AB7">
      <w:pPr>
        <w:spacing w:line="480" w:lineRule="auto"/>
        <w:rPr>
          <w:color w:val="000000" w:themeColor="text1"/>
        </w:rPr>
      </w:pPr>
      <w:r w:rsidRPr="00B95E28">
        <w:rPr>
          <w:color w:val="000000" w:themeColor="text1"/>
        </w:rPr>
        <w:t>This adoption approach also reduces the risk of over-engineering the model. Smaller or less mature acquirers may not require a formal Integration Management Office, but they still require named ownership, decision authority, planning discipline, and learning capture. Similarly, mature acquirers may already have playbooks and governance structures, but may need to focus on whether those tools remain flexible enough to reflect deal-specific conditions. In both cases, the model should be used to strengthen integration capability, not to impose unnecessary bureaucracy.</w:t>
      </w:r>
    </w:p>
    <w:p w14:paraId="663810FF" w14:textId="77777777" w:rsidR="00013707" w:rsidRPr="00B95E28" w:rsidRDefault="00013707" w:rsidP="004606AA">
      <w:pPr>
        <w:rPr>
          <w:color w:val="000000" w:themeColor="text1"/>
        </w:rPr>
      </w:pPr>
    </w:p>
    <w:p w14:paraId="090F0D3C" w14:textId="607E3EB2" w:rsidR="00013707" w:rsidRPr="00B95E28" w:rsidRDefault="00013707" w:rsidP="00557AB7">
      <w:pPr>
        <w:spacing w:line="480" w:lineRule="auto"/>
        <w:rPr>
          <w:color w:val="000000" w:themeColor="text1"/>
        </w:rPr>
      </w:pPr>
      <w:r w:rsidRPr="00B95E28">
        <w:rPr>
          <w:color w:val="000000" w:themeColor="text1"/>
        </w:rPr>
        <w:t xml:space="preserve">The practical value of the Integration Capability Loop lies in its ability to help organizations identify where capability breaks down. If planning is strong but execution is weak, attention should shift to resource capacity and cross-functional coordination. If execution is effective but learning is not retained, attention should shift to post-integration review and knowledge codification. If decision gates exist but are routinely bypassed, attention should shift to executive </w:t>
      </w:r>
      <w:r w:rsidRPr="00B95E28">
        <w:rPr>
          <w:color w:val="000000" w:themeColor="text1"/>
        </w:rPr>
        <w:lastRenderedPageBreak/>
        <w:t>sponsorship and governance authority. This targeted use of the model supports practical improvement while maintaining alignment with the central finding of this study: repeatable integration capability depends on continuity across phases, not merely the presence of process.</w:t>
      </w:r>
    </w:p>
    <w:p w14:paraId="2AD16C9A" w14:textId="77777777" w:rsidR="00013707" w:rsidRPr="00B95E28" w:rsidRDefault="00013707" w:rsidP="004606AA">
      <w:pPr>
        <w:rPr>
          <w:color w:val="000000" w:themeColor="text1"/>
        </w:rPr>
      </w:pPr>
    </w:p>
    <w:p w14:paraId="217B640E" w14:textId="0FF0FAC7" w:rsidR="00013707" w:rsidRPr="00B95E28" w:rsidRDefault="00013707" w:rsidP="00557AB7">
      <w:pPr>
        <w:spacing w:line="480" w:lineRule="auto"/>
        <w:rPr>
          <w:color w:val="000000" w:themeColor="text1"/>
        </w:rPr>
      </w:pPr>
      <w:r w:rsidRPr="00B95E28">
        <w:rPr>
          <w:color w:val="000000" w:themeColor="text1"/>
        </w:rPr>
        <w:t>Adoption should also be treated as a change-management exercise. Implementing the Integration Capability Loop requires leaders and functional teams to change how they think about integration ownership, timing, and accountability. If the model is introduced as another project management layer, it may be resisted or ignored. However, if it is positioned as a mechanism for reducing ambiguity, improving decision speed, and preventing repeated integration problems, it is more likely to be adopted by the organization. The model therefore needs executive sponsorship, visible use in live transactions, and reinforcement through post-integration review.</w:t>
      </w:r>
    </w:p>
    <w:p w14:paraId="1770E528" w14:textId="77777777" w:rsidR="00013707" w:rsidRPr="00B95E28" w:rsidRDefault="00013707" w:rsidP="004606AA">
      <w:pPr>
        <w:rPr>
          <w:color w:val="000000" w:themeColor="text1"/>
        </w:rPr>
      </w:pPr>
    </w:p>
    <w:p w14:paraId="15BA3BD7" w14:textId="3F400E49" w:rsidR="00013707" w:rsidRPr="00B95E28" w:rsidRDefault="00013707" w:rsidP="00557AB7">
      <w:pPr>
        <w:spacing w:line="480" w:lineRule="auto"/>
        <w:rPr>
          <w:color w:val="000000" w:themeColor="text1"/>
        </w:rPr>
      </w:pPr>
      <w:r w:rsidRPr="00B95E28">
        <w:rPr>
          <w:color w:val="000000" w:themeColor="text1"/>
        </w:rPr>
        <w:t>This is particularly important because integration practices often fail not because they are conceptually weak, but because they are not embedded into the way the organization works. A model that exists only as a document, template, or presentation does not create capability. Capability develops when the model is used to shape decisions, allocate resources, escalate risks, and improve future transactions. For this reason, adoption of the Integration Capability Loop should be measured not by whether the model has been formally approved, but by whether it changes integration behaviour across successive acquisitions.</w:t>
      </w:r>
    </w:p>
    <w:p w14:paraId="70B35161" w14:textId="77777777" w:rsidR="004606AA" w:rsidRPr="00B95E28" w:rsidRDefault="004606AA" w:rsidP="004606AA">
      <w:pPr>
        <w:rPr>
          <w:rFonts w:eastAsia="MS Gothic"/>
          <w:color w:val="000000" w:themeColor="text1"/>
        </w:rPr>
      </w:pPr>
    </w:p>
    <w:p w14:paraId="249656E9" w14:textId="68FDEE7E" w:rsidR="00013707" w:rsidRPr="00B95E28" w:rsidRDefault="00013707" w:rsidP="00557AB7">
      <w:pPr>
        <w:pStyle w:val="Heading2"/>
        <w:spacing w:before="0" w:after="0" w:line="480" w:lineRule="auto"/>
        <w:rPr>
          <w:rFonts w:eastAsia="MS Gothic"/>
          <w:color w:val="000000" w:themeColor="text1"/>
        </w:rPr>
      </w:pPr>
      <w:bookmarkStart w:id="183" w:name="_Toc232351890"/>
      <w:r w:rsidRPr="00B95E28">
        <w:rPr>
          <w:rFonts w:eastAsia="MS Gothic"/>
          <w:color w:val="000000" w:themeColor="text1"/>
        </w:rPr>
        <w:t>6.1 Phase 1: Acquisition Readiness</w:t>
      </w:r>
      <w:bookmarkEnd w:id="183"/>
    </w:p>
    <w:p w14:paraId="3690FE23" w14:textId="77777777" w:rsidR="00013707" w:rsidRPr="00B95E28" w:rsidRDefault="00013707" w:rsidP="00557AB7">
      <w:pPr>
        <w:spacing w:line="480" w:lineRule="auto"/>
        <w:rPr>
          <w:color w:val="000000" w:themeColor="text1"/>
        </w:rPr>
      </w:pPr>
      <w:r w:rsidRPr="00B95E28">
        <w:rPr>
          <w:color w:val="000000" w:themeColor="text1"/>
        </w:rPr>
        <w:t>This phase establishes the foundational conditions required to support effective integration execution. Earlier analysis shows that acquisition readiness acts as a primary causal driver of subsequent planning effectiveness and overall integration outcomes.</w:t>
      </w:r>
    </w:p>
    <w:p w14:paraId="7089172A" w14:textId="77777777" w:rsidR="004606AA" w:rsidRPr="00B95E28" w:rsidRDefault="004606AA" w:rsidP="004606AA">
      <w:pPr>
        <w:rPr>
          <w:rFonts w:eastAsia="MS Gothic"/>
          <w:color w:val="000000" w:themeColor="text1"/>
        </w:rPr>
      </w:pPr>
    </w:p>
    <w:p w14:paraId="73726838" w14:textId="4A45BDA4" w:rsidR="00013707" w:rsidRPr="00B95E28" w:rsidRDefault="00013707" w:rsidP="00557AB7">
      <w:pPr>
        <w:pStyle w:val="Heading3"/>
        <w:spacing w:before="0" w:after="0" w:line="480" w:lineRule="auto"/>
        <w:rPr>
          <w:rFonts w:eastAsia="MS Gothic"/>
          <w:color w:val="000000" w:themeColor="text1"/>
        </w:rPr>
      </w:pPr>
      <w:bookmarkStart w:id="184" w:name="_Toc232351891"/>
      <w:r w:rsidRPr="00B95E28">
        <w:rPr>
          <w:rFonts w:eastAsia="MS Gothic"/>
          <w:color w:val="000000" w:themeColor="text1"/>
        </w:rPr>
        <w:lastRenderedPageBreak/>
        <w:t>6.1.1 Objectives of the Phase</w:t>
      </w:r>
      <w:bookmarkEnd w:id="184"/>
    </w:p>
    <w:p w14:paraId="75C945E6" w14:textId="77777777" w:rsidR="004606AA" w:rsidRPr="00B95E28" w:rsidRDefault="00013707" w:rsidP="00557AB7">
      <w:pPr>
        <w:spacing w:line="480" w:lineRule="auto"/>
        <w:rPr>
          <w:rFonts w:eastAsia="MS Mincho"/>
          <w:color w:val="000000" w:themeColor="text1"/>
        </w:rPr>
      </w:pPr>
      <w:r w:rsidRPr="00B95E28">
        <w:rPr>
          <w:rFonts w:eastAsia="MS Mincho"/>
          <w:color w:val="000000" w:themeColor="text1"/>
        </w:rPr>
        <w:t>The objective of the Acquisition Readiness phase is to establish the organizational conditions required to support effective integration execution prior to entering a transaction. This phase ensures that integration is not treated as a reactive activity initiated after deal confirmation, but as a proactive capability embedded within the acquisition process.</w:t>
      </w:r>
    </w:p>
    <w:p w14:paraId="15F041E1" w14:textId="77777777" w:rsidR="004606AA" w:rsidRPr="00B95E28" w:rsidRDefault="004606AA" w:rsidP="004606AA">
      <w:pPr>
        <w:rPr>
          <w:rFonts w:eastAsia="MS Mincho"/>
          <w:color w:val="000000" w:themeColor="text1"/>
        </w:rPr>
      </w:pPr>
    </w:p>
    <w:p w14:paraId="7D4529DA" w14:textId="77777777" w:rsidR="004606AA" w:rsidRPr="00B95E28" w:rsidRDefault="00013707" w:rsidP="00557AB7">
      <w:pPr>
        <w:spacing w:line="480" w:lineRule="auto"/>
        <w:rPr>
          <w:rFonts w:eastAsia="MS Mincho"/>
          <w:color w:val="000000" w:themeColor="text1"/>
        </w:rPr>
      </w:pPr>
      <w:r w:rsidRPr="00B95E28">
        <w:rPr>
          <w:rFonts w:eastAsia="MS Mincho"/>
          <w:color w:val="000000" w:themeColor="text1"/>
        </w:rPr>
        <w:t>At this stage, organizations define how integration will support the value thesis of the transaction, identify the leadership structure required to execute integration, and assess whether sufficient capacity exists to support both ongoing operations and integration activities. The goal is to reduce execution risk by aligning strategy, governance, and resources before the deal progresses.</w:t>
      </w:r>
    </w:p>
    <w:p w14:paraId="44E39C93" w14:textId="77777777" w:rsidR="004606AA" w:rsidRPr="00B95E28" w:rsidRDefault="004606AA" w:rsidP="004606AA">
      <w:pPr>
        <w:rPr>
          <w:rFonts w:eastAsia="MS Mincho"/>
          <w:color w:val="000000" w:themeColor="text1"/>
        </w:rPr>
      </w:pPr>
    </w:p>
    <w:p w14:paraId="07150E94" w14:textId="616398A3" w:rsidR="00013707" w:rsidRPr="00B95E28" w:rsidRDefault="00013707" w:rsidP="00557AB7">
      <w:pPr>
        <w:spacing w:line="480" w:lineRule="auto"/>
        <w:rPr>
          <w:rFonts w:eastAsia="MS Mincho"/>
          <w:color w:val="000000" w:themeColor="text1"/>
        </w:rPr>
      </w:pPr>
      <w:r w:rsidRPr="00B95E28">
        <w:rPr>
          <w:rFonts w:eastAsia="MS Mincho"/>
          <w:color w:val="000000" w:themeColor="text1"/>
        </w:rPr>
        <w:t>Empirical findings from this study indicate that organizations which invest in acquisition readiness are better positioned to initiate integration planning early, align stakeholders, and execute integration more effectively across subsequent phases.</w:t>
      </w:r>
    </w:p>
    <w:p w14:paraId="06B341F9" w14:textId="77777777" w:rsidR="004606AA" w:rsidRPr="00B95E28" w:rsidRDefault="004606AA" w:rsidP="004606AA">
      <w:pPr>
        <w:rPr>
          <w:rFonts w:eastAsia="MS Gothic"/>
          <w:color w:val="000000" w:themeColor="text1"/>
        </w:rPr>
      </w:pPr>
    </w:p>
    <w:p w14:paraId="4DDCFC56" w14:textId="38C55DFB" w:rsidR="00013707" w:rsidRPr="00B95E28" w:rsidRDefault="00013707" w:rsidP="00557AB7">
      <w:pPr>
        <w:pStyle w:val="Heading3"/>
        <w:spacing w:before="0" w:after="0" w:line="480" w:lineRule="auto"/>
        <w:rPr>
          <w:rFonts w:eastAsia="MS Gothic"/>
          <w:color w:val="000000" w:themeColor="text1"/>
        </w:rPr>
      </w:pPr>
      <w:bookmarkStart w:id="185" w:name="_Toc232351892"/>
      <w:r w:rsidRPr="00B95E28">
        <w:rPr>
          <w:rFonts w:eastAsia="MS Gothic"/>
          <w:color w:val="000000" w:themeColor="text1"/>
        </w:rPr>
        <w:t>6.1.2 Key Activities</w:t>
      </w:r>
      <w:bookmarkEnd w:id="185"/>
      <w:r w:rsidRPr="00B95E28">
        <w:rPr>
          <w:rFonts w:eastAsia="MS Gothic"/>
          <w:color w:val="000000" w:themeColor="text1"/>
        </w:rPr>
        <w:t xml:space="preserve"> </w:t>
      </w:r>
    </w:p>
    <w:p w14:paraId="31C94E67"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As identified in Chapter 5, acquisition readiness is a primary causal driver of pre-close integration planning effectiveness.</w:t>
      </w:r>
    </w:p>
    <w:p w14:paraId="0642394B" w14:textId="77777777" w:rsidR="004606AA" w:rsidRPr="00B95E28" w:rsidRDefault="004606AA" w:rsidP="004606AA">
      <w:pPr>
        <w:rPr>
          <w:rFonts w:eastAsia="MS Mincho"/>
          <w:color w:val="000000" w:themeColor="text1"/>
        </w:rPr>
      </w:pPr>
    </w:p>
    <w:p w14:paraId="12D1931F" w14:textId="04C4A031" w:rsidR="00013707" w:rsidRPr="00B95E28" w:rsidRDefault="00013707" w:rsidP="00557AB7">
      <w:pPr>
        <w:spacing w:line="480" w:lineRule="auto"/>
        <w:rPr>
          <w:rFonts w:eastAsia="MS Mincho"/>
          <w:color w:val="000000" w:themeColor="text1"/>
        </w:rPr>
      </w:pPr>
      <w:r w:rsidRPr="00B95E28">
        <w:rPr>
          <w:rFonts w:eastAsia="MS Mincho"/>
          <w:color w:val="000000" w:themeColor="text1"/>
        </w:rPr>
        <w:t>Key activities within the Acquisition Readiness phase focus on aligning the organization to support integration execution.</w:t>
      </w:r>
    </w:p>
    <w:p w14:paraId="0D05CD9A"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 xml:space="preserve">The findings indicate that these activities consistently include: </w:t>
      </w:r>
    </w:p>
    <w:p w14:paraId="32AD4F68" w14:textId="77777777" w:rsidR="00013707" w:rsidRPr="00B95E28" w:rsidRDefault="00013707" w:rsidP="00557AB7">
      <w:pPr>
        <w:pStyle w:val="ListParagraph"/>
        <w:numPr>
          <w:ilvl w:val="0"/>
          <w:numId w:val="20"/>
        </w:numPr>
        <w:spacing w:line="480" w:lineRule="auto"/>
        <w:rPr>
          <w:rFonts w:eastAsia="MS Mincho"/>
          <w:color w:val="000000" w:themeColor="text1"/>
        </w:rPr>
      </w:pPr>
      <w:r w:rsidRPr="00B95E28">
        <w:rPr>
          <w:rFonts w:eastAsia="MS Mincho"/>
          <w:b/>
          <w:bCs/>
          <w:color w:val="000000" w:themeColor="text1"/>
        </w:rPr>
        <w:lastRenderedPageBreak/>
        <w:t>Defining Integration Strategy:</w:t>
      </w:r>
      <w:r w:rsidRPr="00B95E28">
        <w:rPr>
          <w:rFonts w:eastAsia="MS Mincho"/>
          <w:color w:val="000000" w:themeColor="text1"/>
        </w:rPr>
        <w:t xml:space="preserve"> Establishing whether the acquisition will follow a full integration, partial integration, or standalone model based on the strategic intent of the deal.</w:t>
      </w:r>
    </w:p>
    <w:p w14:paraId="3DCC270B" w14:textId="77777777" w:rsidR="00013707" w:rsidRPr="00B95E28" w:rsidRDefault="00013707" w:rsidP="00557AB7">
      <w:pPr>
        <w:pStyle w:val="ListParagraph"/>
        <w:numPr>
          <w:ilvl w:val="0"/>
          <w:numId w:val="20"/>
        </w:numPr>
        <w:spacing w:line="480" w:lineRule="auto"/>
        <w:rPr>
          <w:rFonts w:eastAsia="MS Mincho"/>
          <w:color w:val="000000" w:themeColor="text1"/>
        </w:rPr>
      </w:pPr>
      <w:r w:rsidRPr="00B95E28">
        <w:rPr>
          <w:rFonts w:eastAsia="MS Mincho"/>
          <w:b/>
          <w:bCs/>
          <w:color w:val="000000" w:themeColor="text1"/>
        </w:rPr>
        <w:t xml:space="preserve">Linking Integration to the Value Thesis: </w:t>
      </w:r>
      <w:r w:rsidRPr="00B95E28">
        <w:rPr>
          <w:rFonts w:eastAsia="MS Mincho"/>
          <w:color w:val="000000" w:themeColor="text1"/>
        </w:rPr>
        <w:t>Translating the deal rationale into an initial integration hypothesis that identifies how value will be realized post-close.</w:t>
      </w:r>
    </w:p>
    <w:p w14:paraId="5C0297CD" w14:textId="77777777" w:rsidR="00013707" w:rsidRPr="00B95E28" w:rsidRDefault="00013707" w:rsidP="00557AB7">
      <w:pPr>
        <w:pStyle w:val="ListParagraph"/>
        <w:numPr>
          <w:ilvl w:val="0"/>
          <w:numId w:val="20"/>
        </w:numPr>
        <w:spacing w:line="480" w:lineRule="auto"/>
        <w:rPr>
          <w:rFonts w:eastAsia="MS Mincho"/>
          <w:color w:val="000000" w:themeColor="text1"/>
        </w:rPr>
      </w:pPr>
      <w:r w:rsidRPr="00B95E28">
        <w:rPr>
          <w:rFonts w:eastAsia="MS Mincho"/>
          <w:b/>
          <w:bCs/>
          <w:color w:val="000000" w:themeColor="text1"/>
        </w:rPr>
        <w:t>Appointing an Integration Leader:</w:t>
      </w:r>
      <w:r w:rsidRPr="00B95E28">
        <w:rPr>
          <w:rFonts w:eastAsia="MS Mincho"/>
          <w:color w:val="000000" w:themeColor="text1"/>
        </w:rPr>
        <w:t xml:space="preserve"> Selecting a dedicated integration leader with the authority and credibility to coordinate across functions and influence executive decision-making.</w:t>
      </w:r>
    </w:p>
    <w:p w14:paraId="6A868643" w14:textId="77777777" w:rsidR="00013707" w:rsidRPr="00B95E28" w:rsidRDefault="00013707" w:rsidP="00557AB7">
      <w:pPr>
        <w:pStyle w:val="ListParagraph"/>
        <w:numPr>
          <w:ilvl w:val="0"/>
          <w:numId w:val="20"/>
        </w:numPr>
        <w:spacing w:line="480" w:lineRule="auto"/>
        <w:rPr>
          <w:rFonts w:eastAsia="MS Mincho"/>
          <w:color w:val="000000" w:themeColor="text1"/>
        </w:rPr>
      </w:pPr>
      <w:r w:rsidRPr="00B95E28">
        <w:rPr>
          <w:rFonts w:eastAsia="MS Mincho"/>
          <w:b/>
          <w:bCs/>
          <w:color w:val="000000" w:themeColor="text1"/>
        </w:rPr>
        <w:t>Assessing Organizational Capacity:</w:t>
      </w:r>
      <w:r w:rsidRPr="00B95E28">
        <w:rPr>
          <w:rFonts w:eastAsia="MS Mincho"/>
          <w:color w:val="000000" w:themeColor="text1"/>
        </w:rPr>
        <w:t xml:space="preserve"> Evaluating resource availability across functions and identifying where backfill or additional support is required.</w:t>
      </w:r>
    </w:p>
    <w:p w14:paraId="45D99CAB" w14:textId="77777777" w:rsidR="00013707" w:rsidRPr="00B95E28" w:rsidRDefault="00013707" w:rsidP="00557AB7">
      <w:pPr>
        <w:pStyle w:val="ListParagraph"/>
        <w:numPr>
          <w:ilvl w:val="0"/>
          <w:numId w:val="20"/>
        </w:numPr>
        <w:spacing w:line="480" w:lineRule="auto"/>
        <w:rPr>
          <w:rFonts w:eastAsia="MS Mincho"/>
          <w:color w:val="000000" w:themeColor="text1"/>
        </w:rPr>
      </w:pPr>
      <w:r w:rsidRPr="00B95E28">
        <w:rPr>
          <w:rFonts w:eastAsia="MS Mincho"/>
          <w:b/>
          <w:bCs/>
          <w:color w:val="000000" w:themeColor="text1"/>
        </w:rPr>
        <w:t>Identifying Key Risks and Dependencies:</w:t>
      </w:r>
      <w:r w:rsidRPr="00B95E28">
        <w:rPr>
          <w:rFonts w:eastAsia="MS Mincho"/>
          <w:color w:val="000000" w:themeColor="text1"/>
        </w:rPr>
        <w:t xml:space="preserve"> Highlighting early risks related to systems, people, operations, and governance that may impact integration execution.</w:t>
      </w:r>
    </w:p>
    <w:p w14:paraId="2820BD89" w14:textId="77777777" w:rsidR="00013707" w:rsidRPr="00B95E28" w:rsidRDefault="00013707" w:rsidP="004606AA">
      <w:pPr>
        <w:rPr>
          <w:rFonts w:eastAsia="MS Mincho"/>
          <w:color w:val="000000" w:themeColor="text1"/>
        </w:rPr>
      </w:pPr>
    </w:p>
    <w:p w14:paraId="485C2E47" w14:textId="7452D0CA"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These activities matter because misalignment at this stage often becomes embedded in the transaction logic and is difficult to correct once execution pressure increases. Readiness therefore influences not only whether an organization can integrate a specific acquisition, but whether it has the leadership capacity, governance structure, and operational discipline to pursue acquisitions repeatedly without recreating the same risks.</w:t>
      </w:r>
    </w:p>
    <w:p w14:paraId="7CDF7800" w14:textId="77777777" w:rsidR="004606AA" w:rsidRPr="00B95E28" w:rsidRDefault="004606AA" w:rsidP="004606AA">
      <w:pPr>
        <w:rPr>
          <w:rFonts w:eastAsia="MS Gothic"/>
          <w:color w:val="000000" w:themeColor="text1"/>
        </w:rPr>
      </w:pPr>
    </w:p>
    <w:p w14:paraId="136831B0" w14:textId="36B946D7" w:rsidR="00013707" w:rsidRPr="00B95E28" w:rsidRDefault="00013707" w:rsidP="00557AB7">
      <w:pPr>
        <w:pStyle w:val="Heading3"/>
        <w:spacing w:before="0" w:after="0" w:line="480" w:lineRule="auto"/>
        <w:rPr>
          <w:rFonts w:eastAsia="MS Gothic"/>
          <w:color w:val="000000" w:themeColor="text1"/>
        </w:rPr>
      </w:pPr>
      <w:bookmarkStart w:id="186" w:name="_Toc232351893"/>
      <w:r w:rsidRPr="00B95E28">
        <w:rPr>
          <w:rFonts w:eastAsia="MS Gothic"/>
          <w:color w:val="000000" w:themeColor="text1"/>
        </w:rPr>
        <w:t>6.1.3 Governance and Leadership Requirements</w:t>
      </w:r>
      <w:bookmarkEnd w:id="186"/>
    </w:p>
    <w:p w14:paraId="1F46E2E3"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Effective governance during the Acquisition Readiness phase is defined by clarity in decision-making authority and alignment between deal and integration stakeholders.</w:t>
      </w:r>
    </w:p>
    <w:p w14:paraId="7D7AEFE9" w14:textId="77777777" w:rsidR="00013707" w:rsidRPr="00B95E28" w:rsidRDefault="00013707" w:rsidP="00557AB7">
      <w:pPr>
        <w:spacing w:line="480" w:lineRule="auto"/>
        <w:rPr>
          <w:color w:val="000000" w:themeColor="text1"/>
        </w:rPr>
      </w:pPr>
      <w:r w:rsidRPr="00B95E28">
        <w:rPr>
          <w:color w:val="000000" w:themeColor="text1"/>
        </w:rPr>
        <w:t xml:space="preserve">This study finds that integration outcomes are significantly influenced by the presence of an empowered integration leader. The role requires more than coordination; it demands the ability </w:t>
      </w:r>
      <w:r w:rsidRPr="00B95E28">
        <w:rPr>
          <w:color w:val="000000" w:themeColor="text1"/>
        </w:rPr>
        <w:lastRenderedPageBreak/>
        <w:t>to influence executive stakeholders, resolve cross-functional conflicts, and maintain alignment between strategic intent and operational execution.</w:t>
      </w:r>
    </w:p>
    <w:p w14:paraId="5FDE759C" w14:textId="77777777" w:rsidR="00013707" w:rsidRPr="00B95E28" w:rsidRDefault="00013707" w:rsidP="004606AA">
      <w:pPr>
        <w:rPr>
          <w:color w:val="000000" w:themeColor="text1"/>
        </w:rPr>
      </w:pPr>
    </w:p>
    <w:p w14:paraId="7052A87D" w14:textId="6F711278" w:rsidR="00013707" w:rsidRPr="00B95E28" w:rsidRDefault="00013707" w:rsidP="00557AB7">
      <w:pPr>
        <w:spacing w:line="480" w:lineRule="auto"/>
        <w:rPr>
          <w:color w:val="000000" w:themeColor="text1"/>
        </w:rPr>
      </w:pPr>
      <w:r w:rsidRPr="00B95E28">
        <w:rPr>
          <w:color w:val="000000" w:themeColor="text1"/>
        </w:rPr>
        <w:t>Governance at this stage should include:</w:t>
      </w:r>
    </w:p>
    <w:p w14:paraId="2E16C483" w14:textId="77777777" w:rsidR="00013707" w:rsidRPr="00B95E28" w:rsidRDefault="00013707" w:rsidP="00557AB7">
      <w:pPr>
        <w:pStyle w:val="ListParagraph"/>
        <w:numPr>
          <w:ilvl w:val="0"/>
          <w:numId w:val="19"/>
        </w:numPr>
        <w:spacing w:line="480" w:lineRule="auto"/>
        <w:rPr>
          <w:rFonts w:eastAsia="MS Mincho"/>
          <w:color w:val="000000" w:themeColor="text1"/>
        </w:rPr>
      </w:pPr>
      <w:r w:rsidRPr="00B95E28">
        <w:rPr>
          <w:color w:val="000000" w:themeColor="text1"/>
        </w:rPr>
        <w:t xml:space="preserve">Clear definition of decision rights between the deal team and integration leadership  </w:t>
      </w:r>
    </w:p>
    <w:p w14:paraId="3A7DAE3B" w14:textId="77777777" w:rsidR="00013707" w:rsidRPr="00B95E28" w:rsidRDefault="00013707" w:rsidP="00557AB7">
      <w:pPr>
        <w:pStyle w:val="ListParagraph"/>
        <w:numPr>
          <w:ilvl w:val="0"/>
          <w:numId w:val="19"/>
        </w:numPr>
        <w:spacing w:line="480" w:lineRule="auto"/>
        <w:rPr>
          <w:rFonts w:eastAsia="MS Mincho"/>
          <w:color w:val="000000" w:themeColor="text1"/>
        </w:rPr>
      </w:pPr>
      <w:r w:rsidRPr="00B95E28">
        <w:rPr>
          <w:rFonts w:eastAsia="MS Mincho"/>
          <w:color w:val="000000" w:themeColor="text1"/>
        </w:rPr>
        <w:t xml:space="preserve">Early involvement of integration leadership in diligence discussions  </w:t>
      </w:r>
    </w:p>
    <w:p w14:paraId="0291E2B5" w14:textId="77777777" w:rsidR="00013707" w:rsidRPr="00B95E28" w:rsidRDefault="00013707" w:rsidP="00557AB7">
      <w:pPr>
        <w:pStyle w:val="ListParagraph"/>
        <w:numPr>
          <w:ilvl w:val="0"/>
          <w:numId w:val="19"/>
        </w:numPr>
        <w:spacing w:line="480" w:lineRule="auto"/>
        <w:rPr>
          <w:rFonts w:eastAsia="MS Mincho"/>
          <w:color w:val="000000" w:themeColor="text1"/>
        </w:rPr>
      </w:pPr>
      <w:r w:rsidRPr="00B95E28">
        <w:rPr>
          <w:rFonts w:eastAsia="MS Mincho"/>
          <w:color w:val="000000" w:themeColor="text1"/>
        </w:rPr>
        <w:t xml:space="preserve">Executive sponsorship to support integration priorities and resource allocation  </w:t>
      </w:r>
    </w:p>
    <w:p w14:paraId="62A85927" w14:textId="77777777" w:rsidR="00013707" w:rsidRPr="00B95E28" w:rsidRDefault="00013707" w:rsidP="004606AA">
      <w:pPr>
        <w:rPr>
          <w:rFonts w:eastAsia="MS Mincho"/>
          <w:color w:val="000000" w:themeColor="text1"/>
        </w:rPr>
      </w:pPr>
    </w:p>
    <w:p w14:paraId="31B2E1FE" w14:textId="16F57C25" w:rsidR="00013707" w:rsidRPr="00B95E28" w:rsidRDefault="00013707" w:rsidP="00557AB7">
      <w:pPr>
        <w:spacing w:line="480" w:lineRule="auto"/>
        <w:rPr>
          <w:rFonts w:eastAsia="MS Mincho"/>
          <w:color w:val="000000" w:themeColor="text1"/>
        </w:rPr>
      </w:pPr>
      <w:r w:rsidRPr="00B95E28">
        <w:rPr>
          <w:rFonts w:eastAsia="MS Mincho"/>
          <w:color w:val="000000" w:themeColor="text1"/>
        </w:rPr>
        <w:t>A lack of governance clarity at this stage often results in misalignment that persists throughout the integration lifecycle.</w:t>
      </w:r>
    </w:p>
    <w:p w14:paraId="36949582" w14:textId="77777777" w:rsidR="00013707" w:rsidRPr="00B95E28" w:rsidRDefault="00013707" w:rsidP="00557AB7">
      <w:pPr>
        <w:pStyle w:val="Heading3"/>
        <w:spacing w:before="0" w:after="0" w:line="480" w:lineRule="auto"/>
        <w:rPr>
          <w:rFonts w:eastAsia="MS Gothic"/>
          <w:color w:val="000000" w:themeColor="text1"/>
        </w:rPr>
      </w:pPr>
      <w:bookmarkStart w:id="187" w:name="_Toc232351894"/>
      <w:r w:rsidRPr="00B95E28">
        <w:rPr>
          <w:rFonts w:eastAsia="MS Gothic"/>
          <w:color w:val="000000" w:themeColor="text1"/>
        </w:rPr>
        <w:t>6.1.4 Key Outputs / Deliverables</w:t>
      </w:r>
      <w:bookmarkEnd w:id="187"/>
    </w:p>
    <w:p w14:paraId="388D2BFC" w14:textId="77777777" w:rsidR="004606AA" w:rsidRPr="00B95E28" w:rsidRDefault="00013707" w:rsidP="004606AA">
      <w:pPr>
        <w:spacing w:line="480" w:lineRule="auto"/>
        <w:rPr>
          <w:rFonts w:eastAsia="MS Mincho"/>
          <w:color w:val="000000" w:themeColor="text1"/>
        </w:rPr>
      </w:pPr>
      <w:r w:rsidRPr="00B95E28">
        <w:rPr>
          <w:rFonts w:eastAsia="MS Mincho"/>
          <w:color w:val="000000" w:themeColor="text1"/>
        </w:rPr>
        <w:t>The Acquisition Readiness phase produces a defined set of outputs that enable progression into pre-close integration planning.</w:t>
      </w:r>
    </w:p>
    <w:p w14:paraId="31715585" w14:textId="77777777" w:rsidR="004606AA" w:rsidRPr="00B95E28" w:rsidRDefault="004606AA" w:rsidP="004606AA">
      <w:pPr>
        <w:rPr>
          <w:rFonts w:eastAsia="MS Mincho"/>
          <w:color w:val="000000" w:themeColor="text1"/>
        </w:rPr>
      </w:pPr>
    </w:p>
    <w:p w14:paraId="7D386A99" w14:textId="1ADD28C2" w:rsidR="00013707" w:rsidRPr="00B95E28" w:rsidRDefault="00013707" w:rsidP="004606AA">
      <w:pPr>
        <w:spacing w:line="480" w:lineRule="auto"/>
        <w:rPr>
          <w:rFonts w:eastAsia="MS Mincho"/>
          <w:color w:val="000000" w:themeColor="text1"/>
        </w:rPr>
      </w:pPr>
      <w:r w:rsidRPr="00B95E28">
        <w:rPr>
          <w:rFonts w:eastAsia="MS Mincho"/>
          <w:color w:val="000000" w:themeColor="text1"/>
        </w:rPr>
        <w:t>These include:</w:t>
      </w:r>
    </w:p>
    <w:p w14:paraId="785E6FA2" w14:textId="77777777" w:rsidR="00013707" w:rsidRPr="00B95E28" w:rsidRDefault="00013707" w:rsidP="00557AB7">
      <w:pPr>
        <w:pStyle w:val="ListParagraph"/>
        <w:numPr>
          <w:ilvl w:val="0"/>
          <w:numId w:val="18"/>
        </w:numPr>
        <w:spacing w:line="480" w:lineRule="auto"/>
        <w:rPr>
          <w:rFonts w:eastAsia="MS Mincho"/>
          <w:color w:val="000000" w:themeColor="text1"/>
        </w:rPr>
      </w:pPr>
      <w:r w:rsidRPr="00B95E28">
        <w:rPr>
          <w:rFonts w:eastAsia="MS Mincho"/>
          <w:color w:val="000000" w:themeColor="text1"/>
        </w:rPr>
        <w:t xml:space="preserve">Defined integration strategy aligned to deal objectives </w:t>
      </w:r>
    </w:p>
    <w:p w14:paraId="59ED8406" w14:textId="77777777" w:rsidR="00013707" w:rsidRPr="00B95E28" w:rsidRDefault="00013707" w:rsidP="00557AB7">
      <w:pPr>
        <w:pStyle w:val="ListParagraph"/>
        <w:numPr>
          <w:ilvl w:val="0"/>
          <w:numId w:val="18"/>
        </w:numPr>
        <w:spacing w:line="480" w:lineRule="auto"/>
        <w:rPr>
          <w:rFonts w:eastAsia="MS Mincho"/>
          <w:color w:val="000000" w:themeColor="text1"/>
        </w:rPr>
      </w:pPr>
      <w:r w:rsidRPr="00B95E28">
        <w:rPr>
          <w:rFonts w:eastAsia="MS Mincho"/>
          <w:color w:val="000000" w:themeColor="text1"/>
        </w:rPr>
        <w:t xml:space="preserve">Named integration leader with assigned authority  </w:t>
      </w:r>
    </w:p>
    <w:p w14:paraId="07EEC2DC" w14:textId="77777777" w:rsidR="00013707" w:rsidRPr="00B95E28" w:rsidRDefault="00013707" w:rsidP="00557AB7">
      <w:pPr>
        <w:pStyle w:val="ListParagraph"/>
        <w:numPr>
          <w:ilvl w:val="0"/>
          <w:numId w:val="18"/>
        </w:numPr>
        <w:spacing w:line="480" w:lineRule="auto"/>
        <w:rPr>
          <w:rFonts w:eastAsia="MS Mincho"/>
          <w:color w:val="000000" w:themeColor="text1"/>
        </w:rPr>
      </w:pPr>
      <w:r w:rsidRPr="00B95E28">
        <w:rPr>
          <w:rFonts w:eastAsia="MS Mincho"/>
          <w:color w:val="000000" w:themeColor="text1"/>
        </w:rPr>
        <w:t xml:space="preserve">Initial integration hypothesis linked to value creation  </w:t>
      </w:r>
    </w:p>
    <w:p w14:paraId="6DB61BE1" w14:textId="77777777" w:rsidR="00013707" w:rsidRPr="00B95E28" w:rsidRDefault="00013707" w:rsidP="00557AB7">
      <w:pPr>
        <w:pStyle w:val="ListParagraph"/>
        <w:numPr>
          <w:ilvl w:val="0"/>
          <w:numId w:val="18"/>
        </w:numPr>
        <w:spacing w:line="480" w:lineRule="auto"/>
        <w:rPr>
          <w:rFonts w:eastAsia="MS Mincho"/>
          <w:color w:val="000000" w:themeColor="text1"/>
        </w:rPr>
      </w:pPr>
      <w:r w:rsidRPr="00B95E28">
        <w:rPr>
          <w:rFonts w:eastAsia="MS Mincho"/>
          <w:color w:val="000000" w:themeColor="text1"/>
        </w:rPr>
        <w:t xml:space="preserve">Preliminary resource and capacity plan  </w:t>
      </w:r>
    </w:p>
    <w:p w14:paraId="7E587C26" w14:textId="77777777" w:rsidR="00013707" w:rsidRPr="00B95E28" w:rsidRDefault="00013707" w:rsidP="00557AB7">
      <w:pPr>
        <w:pStyle w:val="ListParagraph"/>
        <w:numPr>
          <w:ilvl w:val="0"/>
          <w:numId w:val="18"/>
        </w:numPr>
        <w:spacing w:line="480" w:lineRule="auto"/>
        <w:rPr>
          <w:rFonts w:eastAsia="MS Mincho"/>
          <w:color w:val="000000" w:themeColor="text1"/>
        </w:rPr>
      </w:pPr>
      <w:r w:rsidRPr="00B95E28">
        <w:rPr>
          <w:rFonts w:eastAsia="MS Mincho"/>
          <w:color w:val="000000" w:themeColor="text1"/>
        </w:rPr>
        <w:t>High-level risk and dependency assessment</w:t>
      </w:r>
    </w:p>
    <w:p w14:paraId="17F0F67D" w14:textId="77777777" w:rsidR="00013707" w:rsidRPr="00B95E28" w:rsidRDefault="00013707" w:rsidP="004606AA">
      <w:pPr>
        <w:rPr>
          <w:rFonts w:eastAsia="MS Mincho"/>
          <w:color w:val="000000" w:themeColor="text1"/>
        </w:rPr>
      </w:pPr>
    </w:p>
    <w:p w14:paraId="239FAFEC" w14:textId="0B13F6D5"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These outputs serve as inputs into the pre-close planning phase and establish a baseline for integration execution.</w:t>
      </w:r>
    </w:p>
    <w:p w14:paraId="36FF230E" w14:textId="77777777" w:rsidR="004606AA" w:rsidRPr="00B95E28" w:rsidRDefault="004606AA" w:rsidP="004606AA">
      <w:pPr>
        <w:rPr>
          <w:rFonts w:eastAsia="MS Mincho"/>
          <w:color w:val="000000" w:themeColor="text1"/>
        </w:rPr>
      </w:pPr>
    </w:p>
    <w:p w14:paraId="402CBCC9" w14:textId="77777777" w:rsidR="00013707" w:rsidRPr="00B95E28" w:rsidRDefault="00013707" w:rsidP="00557AB7">
      <w:pPr>
        <w:pStyle w:val="Heading3"/>
        <w:spacing w:before="0" w:after="0" w:line="480" w:lineRule="auto"/>
        <w:rPr>
          <w:rFonts w:eastAsia="MS Gothic"/>
          <w:color w:val="000000" w:themeColor="text1"/>
        </w:rPr>
      </w:pPr>
      <w:bookmarkStart w:id="188" w:name="_Toc232351895"/>
      <w:r w:rsidRPr="00B95E28">
        <w:rPr>
          <w:rFonts w:eastAsia="MS Gothic"/>
          <w:color w:val="000000" w:themeColor="text1"/>
        </w:rPr>
        <w:lastRenderedPageBreak/>
        <w:t>6.1.5 Risks and Failure Points</w:t>
      </w:r>
      <w:bookmarkEnd w:id="188"/>
    </w:p>
    <w:p w14:paraId="0F5352E0"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Failure to adequately establish acquisition readiness introduces structural risks that impact all subsequent phases of integration.</w:t>
      </w:r>
    </w:p>
    <w:p w14:paraId="5DBC9B1D" w14:textId="77777777" w:rsidR="00013707" w:rsidRPr="00B95E28" w:rsidRDefault="00013707" w:rsidP="004606AA">
      <w:pPr>
        <w:rPr>
          <w:rFonts w:eastAsia="MS Mincho"/>
          <w:color w:val="000000" w:themeColor="text1"/>
        </w:rPr>
      </w:pPr>
    </w:p>
    <w:p w14:paraId="0A9F056A" w14:textId="122CDA3A"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 most significant risks identified in this research include:</w:t>
      </w:r>
    </w:p>
    <w:p w14:paraId="119F632A" w14:textId="77777777" w:rsidR="00013707" w:rsidRPr="00B95E28" w:rsidRDefault="00013707" w:rsidP="00557AB7">
      <w:pPr>
        <w:pStyle w:val="ListParagraph"/>
        <w:numPr>
          <w:ilvl w:val="0"/>
          <w:numId w:val="17"/>
        </w:numPr>
        <w:spacing w:line="480" w:lineRule="auto"/>
        <w:rPr>
          <w:rFonts w:eastAsia="MS Mincho"/>
          <w:color w:val="000000" w:themeColor="text1"/>
        </w:rPr>
      </w:pPr>
      <w:r w:rsidRPr="00B95E28">
        <w:rPr>
          <w:rFonts w:eastAsia="MS Mincho"/>
          <w:b/>
          <w:bCs/>
          <w:color w:val="000000" w:themeColor="text1"/>
        </w:rPr>
        <w:t>Delayed Integration Involvement</w:t>
      </w:r>
      <w:r w:rsidRPr="00B95E28">
        <w:rPr>
          <w:rFonts w:eastAsia="MS Mincho"/>
          <w:color w:val="000000" w:themeColor="text1"/>
        </w:rPr>
        <w:t>: Integration considerations are introduced too late in the deal lifecycle, limiting the ability to influence planning and execution decisions.</w:t>
      </w:r>
    </w:p>
    <w:p w14:paraId="2AAC09D1" w14:textId="77777777" w:rsidR="00013707" w:rsidRPr="00B95E28" w:rsidRDefault="00013707" w:rsidP="00557AB7">
      <w:pPr>
        <w:pStyle w:val="ListParagraph"/>
        <w:numPr>
          <w:ilvl w:val="0"/>
          <w:numId w:val="17"/>
        </w:numPr>
        <w:spacing w:line="480" w:lineRule="auto"/>
        <w:rPr>
          <w:rFonts w:eastAsia="MS Mincho"/>
          <w:color w:val="000000" w:themeColor="text1"/>
        </w:rPr>
      </w:pPr>
      <w:r w:rsidRPr="00B95E28">
        <w:rPr>
          <w:rFonts w:eastAsia="MS Mincho"/>
          <w:b/>
          <w:bCs/>
          <w:color w:val="000000" w:themeColor="text1"/>
        </w:rPr>
        <w:t>Lack of Leadership Authority</w:t>
      </w:r>
      <w:r w:rsidRPr="00B95E28">
        <w:rPr>
          <w:rFonts w:eastAsia="MS Mincho"/>
          <w:color w:val="000000" w:themeColor="text1"/>
        </w:rPr>
        <w:t>: Integration leaders are assigned responsibility without corresponding decision-making power, reducing their effectiveness.</w:t>
      </w:r>
    </w:p>
    <w:p w14:paraId="25015C50" w14:textId="77777777" w:rsidR="00013707" w:rsidRPr="00B95E28" w:rsidRDefault="00013707" w:rsidP="00557AB7">
      <w:pPr>
        <w:pStyle w:val="ListParagraph"/>
        <w:numPr>
          <w:ilvl w:val="0"/>
          <w:numId w:val="17"/>
        </w:numPr>
        <w:spacing w:line="480" w:lineRule="auto"/>
        <w:rPr>
          <w:rFonts w:eastAsia="MS Mincho"/>
          <w:color w:val="000000" w:themeColor="text1"/>
        </w:rPr>
      </w:pPr>
      <w:r w:rsidRPr="00B95E28">
        <w:rPr>
          <w:rFonts w:eastAsia="MS Mincho"/>
          <w:b/>
          <w:bCs/>
          <w:color w:val="000000" w:themeColor="text1"/>
        </w:rPr>
        <w:t>Deal and Integration Misalignment</w:t>
      </w:r>
      <w:r w:rsidRPr="00B95E28">
        <w:rPr>
          <w:rFonts w:eastAsia="MS Mincho"/>
          <w:color w:val="000000" w:themeColor="text1"/>
        </w:rPr>
        <w:t>: Disconnects between deal assumptions and operational realities create challenges in translating strategy into execution.</w:t>
      </w:r>
    </w:p>
    <w:p w14:paraId="403F242E" w14:textId="77777777" w:rsidR="00013707" w:rsidRPr="00B95E28" w:rsidRDefault="00013707" w:rsidP="00557AB7">
      <w:pPr>
        <w:pStyle w:val="ListParagraph"/>
        <w:numPr>
          <w:ilvl w:val="0"/>
          <w:numId w:val="17"/>
        </w:numPr>
        <w:spacing w:line="480" w:lineRule="auto"/>
        <w:rPr>
          <w:rFonts w:eastAsia="MS Mincho"/>
          <w:color w:val="000000" w:themeColor="text1"/>
        </w:rPr>
      </w:pPr>
      <w:r w:rsidRPr="00B95E28">
        <w:rPr>
          <w:rFonts w:eastAsia="MS Mincho"/>
          <w:b/>
          <w:bCs/>
          <w:color w:val="000000" w:themeColor="text1"/>
        </w:rPr>
        <w:t>Insufficient Resource Capacity</w:t>
      </w:r>
      <w:r w:rsidRPr="00B95E28">
        <w:rPr>
          <w:rFonts w:eastAsia="MS Mincho"/>
          <w:color w:val="000000" w:themeColor="text1"/>
        </w:rPr>
        <w:t>: Integration responsibilities are assigned to individuals with existing operational roles, leading to delays and reduced execution quality.</w:t>
      </w:r>
    </w:p>
    <w:p w14:paraId="515BDE9D" w14:textId="77777777" w:rsidR="00013707" w:rsidRPr="00B95E28" w:rsidRDefault="00013707" w:rsidP="00557AB7">
      <w:pPr>
        <w:pStyle w:val="ListParagraph"/>
        <w:numPr>
          <w:ilvl w:val="0"/>
          <w:numId w:val="17"/>
        </w:numPr>
        <w:spacing w:line="480" w:lineRule="auto"/>
        <w:rPr>
          <w:rFonts w:eastAsia="MS Mincho"/>
          <w:color w:val="000000" w:themeColor="text1"/>
        </w:rPr>
      </w:pPr>
      <w:r w:rsidRPr="00B95E28">
        <w:rPr>
          <w:rFonts w:eastAsia="MS Mincho"/>
          <w:b/>
          <w:bCs/>
          <w:color w:val="000000" w:themeColor="text1"/>
        </w:rPr>
        <w:t>Undefined Integration Strategy</w:t>
      </w:r>
      <w:r w:rsidRPr="00B95E28">
        <w:rPr>
          <w:rFonts w:eastAsia="MS Mincho"/>
          <w:color w:val="000000" w:themeColor="text1"/>
        </w:rPr>
        <w:t>: Lack of clarity regarding the intended integration model leads to inconsistent decision-making and execution.</w:t>
      </w:r>
    </w:p>
    <w:p w14:paraId="7F47581F" w14:textId="77777777" w:rsidR="00013707" w:rsidRPr="00B95E28" w:rsidRDefault="00013707" w:rsidP="004606AA">
      <w:pPr>
        <w:rPr>
          <w:color w:val="000000" w:themeColor="text1"/>
        </w:rPr>
      </w:pPr>
    </w:p>
    <w:p w14:paraId="4C780813" w14:textId="2797A2A5" w:rsidR="00013707" w:rsidRPr="00B95E28" w:rsidRDefault="00013707" w:rsidP="00557AB7">
      <w:pPr>
        <w:spacing w:line="480" w:lineRule="auto"/>
        <w:rPr>
          <w:color w:val="000000" w:themeColor="text1"/>
        </w:rPr>
      </w:pPr>
      <w:r w:rsidRPr="00B95E28">
        <w:rPr>
          <w:color w:val="000000" w:themeColor="text1"/>
        </w:rPr>
        <w:t xml:space="preserve">These risks reinforce the importance of treating acquisition readiness as a formal and necessary phase within the integration lifecycle rather than an implicit or optional step. </w:t>
      </w:r>
    </w:p>
    <w:p w14:paraId="33DA8EFB" w14:textId="77777777" w:rsidR="00013707" w:rsidRPr="00B95E28" w:rsidRDefault="00013707" w:rsidP="00557AB7">
      <w:pPr>
        <w:spacing w:line="480" w:lineRule="auto"/>
        <w:rPr>
          <w:color w:val="000000" w:themeColor="text1"/>
        </w:rPr>
      </w:pPr>
      <w:r w:rsidRPr="00B95E28">
        <w:rPr>
          <w:color w:val="000000" w:themeColor="text1"/>
        </w:rPr>
        <w:t>These readiness failures influence outcomes because they shape the assumptions carried into planning. When leadership authority, resource capacity, and integration strategy are unclear at the outset, later phases inherit ambiguity that must be resolved under greater time pressure. This increases coordination costs and reduces the organization’s ability to make disciplined integration decisions.</w:t>
      </w:r>
    </w:p>
    <w:p w14:paraId="53B0DC94" w14:textId="77777777" w:rsidR="00013707" w:rsidRPr="00B95E28" w:rsidRDefault="00013707" w:rsidP="004606AA">
      <w:pPr>
        <w:rPr>
          <w:color w:val="000000" w:themeColor="text1"/>
        </w:rPr>
      </w:pPr>
    </w:p>
    <w:p w14:paraId="62ABF0FF" w14:textId="6F0CA8B3" w:rsidR="00013707" w:rsidRPr="00B95E28" w:rsidRDefault="00013707" w:rsidP="00557AB7">
      <w:pPr>
        <w:spacing w:line="480" w:lineRule="auto"/>
        <w:rPr>
          <w:color w:val="000000" w:themeColor="text1"/>
        </w:rPr>
      </w:pPr>
      <w:r w:rsidRPr="00B95E28">
        <w:rPr>
          <w:color w:val="000000" w:themeColor="text1"/>
        </w:rPr>
        <w:lastRenderedPageBreak/>
        <w:t>This phase is primarily enabled by governance and leadership elements of the Integration Capability Engine identified in Chapter 5.</w:t>
      </w:r>
    </w:p>
    <w:p w14:paraId="16868F1A" w14:textId="77777777" w:rsidR="00013707" w:rsidRPr="00B95E28" w:rsidRDefault="00013707" w:rsidP="004606AA">
      <w:pPr>
        <w:rPr>
          <w:color w:val="000000" w:themeColor="text1"/>
        </w:rPr>
      </w:pPr>
    </w:p>
    <w:p w14:paraId="79496137" w14:textId="430AF5DA" w:rsidR="00013707" w:rsidRPr="00B95E28" w:rsidRDefault="00013707" w:rsidP="00557AB7">
      <w:pPr>
        <w:spacing w:line="480" w:lineRule="auto"/>
        <w:rPr>
          <w:color w:val="000000" w:themeColor="text1"/>
        </w:rPr>
      </w:pPr>
      <w:r w:rsidRPr="00B95E28">
        <w:rPr>
          <w:color w:val="000000" w:themeColor="text1"/>
        </w:rPr>
        <w:t>This phase is critical because it determines whether integration is approached as a structured capability or a reactive process. Organizations that invest in acquisition readiness reduce variability in planning and execution, enabling more consistent outcomes across transactions. In contrast, insufficient readiness introduces structural weaknesses that persist throughout the integration lifecycle and are difficult to correct in later phases.</w:t>
      </w:r>
    </w:p>
    <w:p w14:paraId="23677BB6" w14:textId="77777777" w:rsidR="00013707" w:rsidRPr="00B95E28" w:rsidRDefault="00013707" w:rsidP="004606AA">
      <w:pPr>
        <w:rPr>
          <w:color w:val="000000" w:themeColor="text1"/>
        </w:rPr>
      </w:pPr>
    </w:p>
    <w:p w14:paraId="0F23817B" w14:textId="432CA94B" w:rsidR="00013707" w:rsidRPr="00B95E28" w:rsidRDefault="00013707" w:rsidP="00557AB7">
      <w:pPr>
        <w:spacing w:line="480" w:lineRule="auto"/>
        <w:rPr>
          <w:color w:val="000000" w:themeColor="text1"/>
        </w:rPr>
      </w:pPr>
      <w:r w:rsidRPr="00B95E28">
        <w:rPr>
          <w:color w:val="000000" w:themeColor="text1"/>
        </w:rPr>
        <w:t>Importantly, these risks are not always visible at the point of transaction initiation. In many cases, gaps in readiness only become apparent during planning or early execution. This supports the finding from Chapter 5 that readiness is not a fixed precondition, but an evolving state that must be actively managed throughout the integration lifecycle.</w:t>
      </w:r>
    </w:p>
    <w:p w14:paraId="0AD990E6" w14:textId="77777777" w:rsidR="004606AA" w:rsidRPr="00B95E28" w:rsidRDefault="004606AA" w:rsidP="004606AA">
      <w:pPr>
        <w:rPr>
          <w:rFonts w:eastAsia="MS Gothic"/>
          <w:color w:val="000000" w:themeColor="text1"/>
        </w:rPr>
      </w:pPr>
    </w:p>
    <w:p w14:paraId="602B00F5" w14:textId="6F4A277B" w:rsidR="00013707" w:rsidRPr="00B95E28" w:rsidRDefault="00013707" w:rsidP="00557AB7">
      <w:pPr>
        <w:pStyle w:val="Heading3"/>
        <w:spacing w:before="0" w:after="0" w:line="480" w:lineRule="auto"/>
        <w:rPr>
          <w:rFonts w:eastAsia="MS Gothic"/>
          <w:color w:val="000000" w:themeColor="text1"/>
        </w:rPr>
      </w:pPr>
      <w:bookmarkStart w:id="189" w:name="_Toc232351896"/>
      <w:r w:rsidRPr="00B95E28">
        <w:rPr>
          <w:rFonts w:eastAsia="MS Gothic"/>
          <w:color w:val="000000" w:themeColor="text1"/>
        </w:rPr>
        <w:t>6.2 Phase 2: Pre-Close Integration Planning</w:t>
      </w:r>
      <w:bookmarkEnd w:id="189"/>
    </w:p>
    <w:p w14:paraId="6CD09676" w14:textId="77777777" w:rsidR="00013707" w:rsidRPr="00B95E28" w:rsidRDefault="00013707" w:rsidP="00557AB7">
      <w:pPr>
        <w:spacing w:line="480" w:lineRule="auto"/>
        <w:rPr>
          <w:color w:val="000000" w:themeColor="text1"/>
        </w:rPr>
      </w:pPr>
      <w:r w:rsidRPr="00B95E28">
        <w:rPr>
          <w:color w:val="000000" w:themeColor="text1"/>
        </w:rPr>
        <w:t>Pre-close integration planning represents the strongest causal linkage in the lifecycle, directly shaping Day 1 outcomes and execution performance.</w:t>
      </w:r>
    </w:p>
    <w:p w14:paraId="6F0FB683" w14:textId="77777777" w:rsidR="004606AA" w:rsidRPr="00B95E28" w:rsidRDefault="004606AA" w:rsidP="004606AA">
      <w:pPr>
        <w:rPr>
          <w:rFonts w:eastAsia="MS Gothic"/>
          <w:color w:val="000000" w:themeColor="text1"/>
        </w:rPr>
      </w:pPr>
    </w:p>
    <w:p w14:paraId="19291672" w14:textId="5B1C7DB7" w:rsidR="00013707" w:rsidRPr="00B95E28" w:rsidRDefault="00013707" w:rsidP="00557AB7">
      <w:pPr>
        <w:pStyle w:val="Heading3"/>
        <w:spacing w:before="0" w:after="0" w:line="480" w:lineRule="auto"/>
        <w:rPr>
          <w:rFonts w:eastAsia="MS Gothic"/>
          <w:color w:val="000000" w:themeColor="text1"/>
        </w:rPr>
      </w:pPr>
      <w:bookmarkStart w:id="190" w:name="_Toc232351897"/>
      <w:r w:rsidRPr="00B95E28">
        <w:rPr>
          <w:rFonts w:eastAsia="MS Gothic"/>
          <w:color w:val="000000" w:themeColor="text1"/>
        </w:rPr>
        <w:t>6.2.1 Objectives of the Phase</w:t>
      </w:r>
      <w:bookmarkEnd w:id="190"/>
    </w:p>
    <w:p w14:paraId="09797AB4" w14:textId="77777777" w:rsidR="004606AA" w:rsidRPr="00B95E28" w:rsidRDefault="00013707" w:rsidP="004606AA">
      <w:pPr>
        <w:spacing w:line="480" w:lineRule="auto"/>
        <w:rPr>
          <w:rFonts w:eastAsia="MS Mincho"/>
          <w:color w:val="000000" w:themeColor="text1"/>
        </w:rPr>
      </w:pPr>
      <w:r w:rsidRPr="00B95E28">
        <w:rPr>
          <w:rFonts w:eastAsia="MS Mincho"/>
          <w:color w:val="000000" w:themeColor="text1"/>
        </w:rPr>
        <w:t>The objective of the Pre-Close Integration Planning phase is to translate the strategic intent of the acquisition into a structured, executable integration plan prior to transaction close. This phase ensures that integration is not treated as a post-close activity, but as a core component of the deal process.</w:t>
      </w:r>
    </w:p>
    <w:p w14:paraId="04301E31" w14:textId="77777777" w:rsidR="004606AA" w:rsidRPr="00B95E28" w:rsidRDefault="004606AA" w:rsidP="004606AA">
      <w:pPr>
        <w:rPr>
          <w:rFonts w:eastAsia="MS Mincho"/>
          <w:color w:val="000000" w:themeColor="text1"/>
        </w:rPr>
      </w:pPr>
    </w:p>
    <w:p w14:paraId="487CB2D1" w14:textId="77777777" w:rsidR="004606AA" w:rsidRPr="00B95E28" w:rsidRDefault="00013707" w:rsidP="004606AA">
      <w:pPr>
        <w:spacing w:line="480" w:lineRule="auto"/>
        <w:rPr>
          <w:rFonts w:eastAsia="MS Mincho"/>
          <w:color w:val="000000" w:themeColor="text1"/>
        </w:rPr>
      </w:pPr>
      <w:r w:rsidRPr="00B95E28">
        <w:rPr>
          <w:rFonts w:eastAsia="MS Mincho"/>
          <w:color w:val="000000" w:themeColor="text1"/>
        </w:rPr>
        <w:t xml:space="preserve">At this stage, organizations define how value will be realized, align stakeholders around execution priorities, and establish the operational, technological, and organizational structures </w:t>
      </w:r>
      <w:r w:rsidRPr="00B95E28">
        <w:rPr>
          <w:rFonts w:eastAsia="MS Mincho"/>
          <w:color w:val="000000" w:themeColor="text1"/>
        </w:rPr>
        <w:lastRenderedPageBreak/>
        <w:t>required to support integration. The focus is on reducing uncertainty, identifying risks early, and ensuring that Day 1 and post-close activities are coordinated and achievable.</w:t>
      </w:r>
    </w:p>
    <w:p w14:paraId="5250B633" w14:textId="77777777" w:rsidR="004606AA" w:rsidRPr="00B95E28" w:rsidRDefault="004606AA" w:rsidP="004606AA">
      <w:pPr>
        <w:rPr>
          <w:rFonts w:eastAsia="MS Mincho"/>
          <w:color w:val="000000" w:themeColor="text1"/>
        </w:rPr>
      </w:pPr>
    </w:p>
    <w:p w14:paraId="584EC457" w14:textId="72E4E5CC" w:rsidR="00013707" w:rsidRPr="00B95E28" w:rsidRDefault="00013707" w:rsidP="004606AA">
      <w:pPr>
        <w:spacing w:line="480" w:lineRule="auto"/>
        <w:rPr>
          <w:rFonts w:eastAsia="MS Mincho"/>
          <w:color w:val="000000" w:themeColor="text1"/>
        </w:rPr>
      </w:pPr>
      <w:r w:rsidRPr="00B95E28">
        <w:rPr>
          <w:rFonts w:eastAsia="MS Mincho"/>
          <w:color w:val="000000" w:themeColor="text1"/>
        </w:rPr>
        <w:t>Findings from this research indicate that the majority of integration outcomes are determined during this phase. Organizations that engage in structured pre-close planning are better positioned to execute efficiently, manage risk, and realize synergies within expected timelines.</w:t>
      </w:r>
    </w:p>
    <w:p w14:paraId="60CF2EE5" w14:textId="77777777" w:rsidR="00013707" w:rsidRPr="00B95E28" w:rsidRDefault="00013707" w:rsidP="004606AA">
      <w:pPr>
        <w:spacing w:line="480" w:lineRule="auto"/>
        <w:rPr>
          <w:rFonts w:eastAsia="MS Mincho"/>
          <w:color w:val="000000" w:themeColor="text1"/>
        </w:rPr>
      </w:pPr>
      <w:r w:rsidRPr="00B95E28">
        <w:rPr>
          <w:rFonts w:eastAsia="MS Mincho"/>
          <w:color w:val="000000" w:themeColor="text1"/>
        </w:rPr>
        <w:t>This phase represents the primary point at which integration capability directly influences deal outcomes.</w:t>
      </w:r>
    </w:p>
    <w:p w14:paraId="0746F99C" w14:textId="77777777" w:rsidR="00013707" w:rsidRPr="00B95E28" w:rsidRDefault="00013707" w:rsidP="00557AB7">
      <w:pPr>
        <w:pStyle w:val="Heading3"/>
        <w:spacing w:before="0" w:after="0" w:line="480" w:lineRule="auto"/>
        <w:rPr>
          <w:rFonts w:eastAsia="MS Gothic"/>
          <w:color w:val="000000" w:themeColor="text1"/>
        </w:rPr>
      </w:pPr>
      <w:bookmarkStart w:id="191" w:name="_Toc232351898"/>
      <w:r w:rsidRPr="00B95E28">
        <w:rPr>
          <w:rFonts w:eastAsia="MS Gothic"/>
          <w:color w:val="000000" w:themeColor="text1"/>
        </w:rPr>
        <w:t>6.2.2 Key Activities</w:t>
      </w:r>
      <w:bookmarkEnd w:id="191"/>
    </w:p>
    <w:p w14:paraId="48E29729"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Key activities in the Pre-Close Integration Planning phase focus on converting strategy into execution readiness.</w:t>
      </w:r>
    </w:p>
    <w:p w14:paraId="37CDD04B"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These include:</w:t>
      </w:r>
    </w:p>
    <w:p w14:paraId="6DBCA343" w14:textId="77777777" w:rsidR="00013707" w:rsidRPr="00B95E28" w:rsidRDefault="00013707" w:rsidP="00557AB7">
      <w:pPr>
        <w:pStyle w:val="ListParagraph"/>
        <w:numPr>
          <w:ilvl w:val="0"/>
          <w:numId w:val="16"/>
        </w:numPr>
        <w:spacing w:line="480" w:lineRule="auto"/>
        <w:rPr>
          <w:rFonts w:eastAsia="MS Mincho"/>
          <w:color w:val="000000" w:themeColor="text1"/>
        </w:rPr>
      </w:pPr>
      <w:r w:rsidRPr="00B95E28">
        <w:rPr>
          <w:rFonts w:eastAsia="MS Mincho"/>
          <w:b/>
          <w:bCs/>
          <w:color w:val="000000" w:themeColor="text1"/>
        </w:rPr>
        <w:t>Development of the Day 1 Plan</w:t>
      </w:r>
      <w:r w:rsidRPr="00B95E28">
        <w:rPr>
          <w:rFonts w:eastAsia="MS Mincho"/>
          <w:color w:val="000000" w:themeColor="text1"/>
        </w:rPr>
        <w:t>: Defining the critical activities required to ensure business continuity immediately following transaction close, including operational readiness, communication, and system access.</w:t>
      </w:r>
    </w:p>
    <w:p w14:paraId="78D02F42" w14:textId="77777777" w:rsidR="00013707" w:rsidRPr="00B95E28" w:rsidRDefault="00013707" w:rsidP="00557AB7">
      <w:pPr>
        <w:pStyle w:val="ListParagraph"/>
        <w:numPr>
          <w:ilvl w:val="0"/>
          <w:numId w:val="16"/>
        </w:numPr>
        <w:spacing w:line="480" w:lineRule="auto"/>
        <w:rPr>
          <w:rFonts w:eastAsia="MS Mincho"/>
          <w:b/>
          <w:bCs/>
          <w:color w:val="000000" w:themeColor="text1"/>
        </w:rPr>
      </w:pPr>
      <w:r w:rsidRPr="00B95E28">
        <w:rPr>
          <w:rFonts w:eastAsia="MS Mincho"/>
          <w:b/>
          <w:bCs/>
          <w:color w:val="000000" w:themeColor="text1"/>
        </w:rPr>
        <w:t xml:space="preserve">Synergy Identification and Mapping: </w:t>
      </w:r>
      <w:r w:rsidRPr="00B95E28">
        <w:rPr>
          <w:rFonts w:eastAsia="MS Mincho"/>
          <w:color w:val="000000" w:themeColor="text1"/>
        </w:rPr>
        <w:t>Translating the value thesis into specific synergy initiatives, with defined timelines, ownership, and measurable outcomes.</w:t>
      </w:r>
    </w:p>
    <w:p w14:paraId="65B1E2CC" w14:textId="77777777" w:rsidR="00013707" w:rsidRPr="00B95E28" w:rsidRDefault="00013707" w:rsidP="00557AB7">
      <w:pPr>
        <w:pStyle w:val="ListParagraph"/>
        <w:numPr>
          <w:ilvl w:val="0"/>
          <w:numId w:val="16"/>
        </w:numPr>
        <w:spacing w:line="480" w:lineRule="auto"/>
        <w:rPr>
          <w:rFonts w:eastAsia="MS Mincho"/>
          <w:b/>
          <w:bCs/>
          <w:color w:val="000000" w:themeColor="text1"/>
        </w:rPr>
      </w:pPr>
      <w:r w:rsidRPr="00B95E28">
        <w:rPr>
          <w:rFonts w:eastAsia="MS Mincho"/>
          <w:b/>
          <w:bCs/>
          <w:color w:val="000000" w:themeColor="text1"/>
        </w:rPr>
        <w:t xml:space="preserve">Technology Integration Planning: </w:t>
      </w:r>
      <w:r w:rsidRPr="00B95E28">
        <w:rPr>
          <w:rFonts w:eastAsia="MS Mincho"/>
          <w:color w:val="000000" w:themeColor="text1"/>
        </w:rPr>
        <w:t>Determining the approach to systems integration, including decisions related to ERP, CRM, data structures, and reporting environments. This includes assessing whether systems will be integrated, replaced, or maintained in parallel.</w:t>
      </w:r>
    </w:p>
    <w:p w14:paraId="745694A2" w14:textId="77777777" w:rsidR="00013707" w:rsidRPr="00B95E28" w:rsidRDefault="00013707" w:rsidP="00557AB7">
      <w:pPr>
        <w:pStyle w:val="ListParagraph"/>
        <w:numPr>
          <w:ilvl w:val="0"/>
          <w:numId w:val="16"/>
        </w:numPr>
        <w:spacing w:line="480" w:lineRule="auto"/>
        <w:rPr>
          <w:rFonts w:eastAsia="MS Mincho"/>
          <w:b/>
          <w:bCs/>
          <w:color w:val="000000" w:themeColor="text1"/>
        </w:rPr>
      </w:pPr>
      <w:r w:rsidRPr="00B95E28">
        <w:rPr>
          <w:rFonts w:eastAsia="MS Mincho"/>
          <w:b/>
          <w:bCs/>
          <w:color w:val="000000" w:themeColor="text1"/>
        </w:rPr>
        <w:t xml:space="preserve">Organizational Design and Role Alignment: </w:t>
      </w:r>
      <w:r w:rsidRPr="00B95E28">
        <w:rPr>
          <w:rFonts w:eastAsia="MS Mincho"/>
          <w:color w:val="000000" w:themeColor="text1"/>
        </w:rPr>
        <w:t>Defining reporting structures, leadership roles, and decision-making authority post-close to support integration execution.</w:t>
      </w:r>
    </w:p>
    <w:p w14:paraId="3890F39A" w14:textId="77777777" w:rsidR="00013707" w:rsidRPr="00B95E28" w:rsidRDefault="00013707" w:rsidP="00557AB7">
      <w:pPr>
        <w:pStyle w:val="ListParagraph"/>
        <w:numPr>
          <w:ilvl w:val="0"/>
          <w:numId w:val="16"/>
        </w:numPr>
        <w:spacing w:line="480" w:lineRule="auto"/>
        <w:rPr>
          <w:rFonts w:eastAsia="MS Mincho"/>
          <w:b/>
          <w:bCs/>
          <w:color w:val="000000" w:themeColor="text1"/>
        </w:rPr>
      </w:pPr>
      <w:r w:rsidRPr="00B95E28">
        <w:rPr>
          <w:rFonts w:eastAsia="MS Mincho"/>
          <w:b/>
          <w:bCs/>
          <w:color w:val="000000" w:themeColor="text1"/>
        </w:rPr>
        <w:lastRenderedPageBreak/>
        <w:t xml:space="preserve">Risk Identification and Mitigation Planning: </w:t>
      </w:r>
      <w:r w:rsidRPr="00B95E28">
        <w:rPr>
          <w:rFonts w:eastAsia="MS Mincho"/>
          <w:color w:val="000000" w:themeColor="text1"/>
        </w:rPr>
        <w:t>Identifying key risks related to people, operations, systems, and governance, and developing mitigation strategies.</w:t>
      </w:r>
    </w:p>
    <w:p w14:paraId="2BDE3263" w14:textId="77777777" w:rsidR="00013707" w:rsidRPr="005946D4" w:rsidRDefault="00013707" w:rsidP="00557AB7">
      <w:pPr>
        <w:pStyle w:val="ListParagraph"/>
        <w:numPr>
          <w:ilvl w:val="0"/>
          <w:numId w:val="16"/>
        </w:numPr>
        <w:spacing w:line="480" w:lineRule="auto"/>
        <w:rPr>
          <w:rFonts w:eastAsia="MS Mincho"/>
          <w:b/>
          <w:bCs/>
          <w:color w:val="000000" w:themeColor="text1"/>
        </w:rPr>
      </w:pPr>
      <w:r w:rsidRPr="00B95E28">
        <w:rPr>
          <w:rFonts w:eastAsia="MS Mincho"/>
          <w:b/>
          <w:bCs/>
          <w:color w:val="000000" w:themeColor="text1"/>
        </w:rPr>
        <w:t xml:space="preserve">Stakeholder Alignment and Communication Planning: </w:t>
      </w:r>
      <w:r w:rsidRPr="00B95E28">
        <w:rPr>
          <w:rFonts w:eastAsia="MS Mincho"/>
          <w:color w:val="000000" w:themeColor="text1"/>
        </w:rPr>
        <w:t>Establishing a communication strategy to manage expectations across employees, customers, and leadership.</w:t>
      </w:r>
    </w:p>
    <w:p w14:paraId="0AC85074" w14:textId="77777777" w:rsidR="005946D4" w:rsidRDefault="005946D4" w:rsidP="005946D4">
      <w:pPr>
        <w:rPr>
          <w:rFonts w:eastAsia="MS Mincho"/>
        </w:rPr>
      </w:pPr>
    </w:p>
    <w:p w14:paraId="5BC4FB6B" w14:textId="33A042EB" w:rsidR="005946D4" w:rsidRPr="005946D4" w:rsidRDefault="005946D4" w:rsidP="005946D4">
      <w:pPr>
        <w:spacing w:line="480" w:lineRule="auto"/>
        <w:rPr>
          <w:rFonts w:eastAsia="MS Mincho"/>
          <w:color w:val="000000" w:themeColor="text1"/>
        </w:rPr>
      </w:pPr>
      <w:r w:rsidRPr="005946D4">
        <w:rPr>
          <w:rFonts w:eastAsia="MS Mincho"/>
          <w:color w:val="000000" w:themeColor="text1"/>
        </w:rPr>
        <w:t>Technology should also be viewed as a strategic capability enabler, not only as a source of integration risk. Standardized systems, integrated data structures, and scalable technology platforms can improve organizational visibility, accelerate decision-making, reduce duplication, and make future acquisitions easier to absorb. In this sense, technology integration supports not only the current transaction but also the organization’s longer-term ability to integrate repeatedly and at scale.</w:t>
      </w:r>
    </w:p>
    <w:p w14:paraId="63BB26B1" w14:textId="77777777" w:rsidR="00013707" w:rsidRPr="00B95E28" w:rsidRDefault="00013707" w:rsidP="004606AA">
      <w:pPr>
        <w:rPr>
          <w:rFonts w:eastAsia="MS Mincho"/>
          <w:color w:val="000000" w:themeColor="text1"/>
        </w:rPr>
      </w:pPr>
    </w:p>
    <w:p w14:paraId="063FD8D5" w14:textId="5401CA4F"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 performance significance of this phase lies in its ability to convert deal assumptions into executable plans before organizational momentum narrows the range of available options. Organizations that plan integration before close are better positioned to identify dependencies, assign ownership, and manage risks before they become post-close execution problems.</w:t>
      </w:r>
    </w:p>
    <w:p w14:paraId="275941D1" w14:textId="77777777" w:rsidR="00013707" w:rsidRPr="00B95E28" w:rsidRDefault="00013707" w:rsidP="005946D4">
      <w:pPr>
        <w:rPr>
          <w:rFonts w:eastAsia="MS Mincho"/>
        </w:rPr>
      </w:pPr>
    </w:p>
    <w:p w14:paraId="5A6E2730" w14:textId="1DC84705" w:rsidR="00013707" w:rsidRPr="00B95E28" w:rsidRDefault="00013707" w:rsidP="00557AB7">
      <w:pPr>
        <w:spacing w:line="480" w:lineRule="auto"/>
        <w:rPr>
          <w:rFonts w:eastAsia="MS Mincho"/>
          <w:color w:val="000000" w:themeColor="text1"/>
        </w:rPr>
      </w:pPr>
      <w:r w:rsidRPr="00B95E28">
        <w:rPr>
          <w:rFonts w:eastAsia="MS Mincho"/>
          <w:color w:val="000000" w:themeColor="text1"/>
        </w:rPr>
        <w:t>While these activities are often presented as discrete planning tasks, the findings of this research indicate that their effectiveness is determined by the degree to which they are coordinated and aligned. For example, synergy identification must be directly linked to organizational design decisions to ensure accountability for delivery. Similarly, technology integration planning must align with both operational requirements and reporting structures to avoid fragmentation during execution.</w:t>
      </w:r>
    </w:p>
    <w:p w14:paraId="4DC6459F" w14:textId="77777777" w:rsidR="00013707" w:rsidRPr="00B95E28" w:rsidRDefault="00013707" w:rsidP="004606AA">
      <w:pPr>
        <w:rPr>
          <w:rFonts w:eastAsia="MS Mincho"/>
          <w:color w:val="000000" w:themeColor="text1"/>
        </w:rPr>
      </w:pPr>
    </w:p>
    <w:p w14:paraId="4EE24509" w14:textId="263EAED7" w:rsidR="00013707" w:rsidRPr="00B95E28" w:rsidRDefault="00013707" w:rsidP="00557AB7">
      <w:pPr>
        <w:spacing w:line="480" w:lineRule="auto"/>
        <w:rPr>
          <w:rFonts w:eastAsia="MS Mincho"/>
          <w:color w:val="000000" w:themeColor="text1"/>
        </w:rPr>
      </w:pPr>
      <w:r w:rsidRPr="00B95E28">
        <w:rPr>
          <w:rFonts w:eastAsia="MS Mincho"/>
          <w:color w:val="000000" w:themeColor="text1"/>
        </w:rPr>
        <w:lastRenderedPageBreak/>
        <w:t>Where these activities are performed independently, integration plans frequently lack coherence, resulting in conflicting priorities and increased coordination challenges during execution. In contrast, organizations that treat these activities as an integrated system are better able to manage dependencies, align stakeholders, and translate strategic intent into executable plans.</w:t>
      </w:r>
    </w:p>
    <w:p w14:paraId="56A7E145" w14:textId="77777777" w:rsidR="00013707" w:rsidRPr="00B95E28" w:rsidRDefault="00013707" w:rsidP="004606AA">
      <w:pPr>
        <w:rPr>
          <w:rFonts w:eastAsia="MS Mincho"/>
          <w:color w:val="000000" w:themeColor="text1"/>
        </w:rPr>
      </w:pPr>
    </w:p>
    <w:p w14:paraId="597F59FD" w14:textId="4A69C498"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supports the broader argument that integration effectiveness is not driven by the completion of individual planning activities, but by the alignment between them. Importantly, the application of integration practices must be adapted to the specific context of each acquisition. Factors such as the underlying value creation logic, the degree of relatedness between organizations, and the strategic intent of the transaction influence which integration approaches are appropriate. As such, integration capability is not expressed through uniform execution, but through the ability to select and adapt practices based on the conditions of each transaction. Pre-close planning therefore represents not only a preparatory phase, but a critical mechanism for shaping execution outcomes.</w:t>
      </w:r>
    </w:p>
    <w:p w14:paraId="05AC1216" w14:textId="77777777" w:rsidR="00013707" w:rsidRPr="00B95E28" w:rsidRDefault="00013707" w:rsidP="00557AB7">
      <w:pPr>
        <w:pStyle w:val="Heading3"/>
        <w:spacing w:before="0" w:after="0" w:line="480" w:lineRule="auto"/>
        <w:rPr>
          <w:rFonts w:eastAsia="MS Gothic"/>
          <w:color w:val="000000" w:themeColor="text1"/>
        </w:rPr>
      </w:pPr>
      <w:bookmarkStart w:id="192" w:name="_Toc232351899"/>
      <w:r w:rsidRPr="00B95E28">
        <w:rPr>
          <w:rFonts w:eastAsia="MS Gothic"/>
          <w:color w:val="000000" w:themeColor="text1"/>
        </w:rPr>
        <w:t>6.2.3 Governance and Leadership Requirements</w:t>
      </w:r>
      <w:bookmarkEnd w:id="192"/>
    </w:p>
    <w:p w14:paraId="353E7AEF"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Governance during the Pre-Close Integration Planning phase requires structured coordination between the deal team, integration leadership, and functional stakeholders.</w:t>
      </w:r>
    </w:p>
    <w:p w14:paraId="3FED54D4" w14:textId="77777777" w:rsidR="00013707" w:rsidRPr="00B95E28" w:rsidRDefault="00013707" w:rsidP="004606AA">
      <w:pPr>
        <w:rPr>
          <w:rFonts w:eastAsia="MS Mincho"/>
          <w:color w:val="000000" w:themeColor="text1"/>
        </w:rPr>
      </w:pPr>
    </w:p>
    <w:p w14:paraId="38FEEB5B" w14:textId="0179FD0C"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research highlights that integration planning is most effective when integration leadership is involved early in the deal lifecycle and operates with clearly defined authority. Delayed involvement limits the ability to influence key decisions and increases the risk of misalignment between deal assumptions and operational realities.</w:t>
      </w:r>
    </w:p>
    <w:p w14:paraId="2FDB758E" w14:textId="77777777" w:rsidR="00013707" w:rsidRPr="00B95E28" w:rsidRDefault="00013707" w:rsidP="004606AA">
      <w:pPr>
        <w:rPr>
          <w:rFonts w:eastAsia="MS Mincho"/>
          <w:color w:val="000000" w:themeColor="text1"/>
        </w:rPr>
      </w:pPr>
    </w:p>
    <w:p w14:paraId="2697D54E" w14:textId="0EDC2DF3" w:rsidR="00013707" w:rsidRPr="00B95E28" w:rsidRDefault="00013707" w:rsidP="00557AB7">
      <w:pPr>
        <w:spacing w:line="480" w:lineRule="auto"/>
        <w:rPr>
          <w:rFonts w:eastAsia="MS Mincho"/>
          <w:color w:val="000000" w:themeColor="text1"/>
        </w:rPr>
      </w:pPr>
      <w:r w:rsidRPr="00B95E28">
        <w:rPr>
          <w:rFonts w:eastAsia="MS Mincho"/>
          <w:color w:val="000000" w:themeColor="text1"/>
        </w:rPr>
        <w:t>Governance at this stage should include:</w:t>
      </w:r>
    </w:p>
    <w:p w14:paraId="29DEE39C" w14:textId="77777777" w:rsidR="00013707" w:rsidRPr="00B95E28" w:rsidRDefault="00013707" w:rsidP="00557AB7">
      <w:pPr>
        <w:pStyle w:val="ListParagraph"/>
        <w:numPr>
          <w:ilvl w:val="0"/>
          <w:numId w:val="15"/>
        </w:numPr>
        <w:spacing w:line="480" w:lineRule="auto"/>
        <w:rPr>
          <w:rFonts w:eastAsia="MS Mincho"/>
          <w:color w:val="000000" w:themeColor="text1"/>
        </w:rPr>
      </w:pPr>
      <w:r w:rsidRPr="00B95E28">
        <w:rPr>
          <w:rFonts w:eastAsia="MS Mincho"/>
          <w:color w:val="000000" w:themeColor="text1"/>
        </w:rPr>
        <w:t xml:space="preserve">Early inclusion of the Integration Management Office (IMO) in diligence activities </w:t>
      </w:r>
    </w:p>
    <w:p w14:paraId="66CE9C14" w14:textId="77777777" w:rsidR="00013707" w:rsidRPr="00B95E28" w:rsidRDefault="00013707" w:rsidP="00557AB7">
      <w:pPr>
        <w:pStyle w:val="ListParagraph"/>
        <w:numPr>
          <w:ilvl w:val="0"/>
          <w:numId w:val="15"/>
        </w:numPr>
        <w:spacing w:line="480" w:lineRule="auto"/>
        <w:rPr>
          <w:rFonts w:eastAsia="MS Mincho"/>
          <w:color w:val="000000" w:themeColor="text1"/>
        </w:rPr>
      </w:pPr>
      <w:r w:rsidRPr="00B95E28">
        <w:rPr>
          <w:rFonts w:eastAsia="MS Mincho"/>
          <w:color w:val="000000" w:themeColor="text1"/>
        </w:rPr>
        <w:lastRenderedPageBreak/>
        <w:t xml:space="preserve">Alignment between deal assumptions and integration execution plans  </w:t>
      </w:r>
    </w:p>
    <w:p w14:paraId="1F46A540" w14:textId="77777777" w:rsidR="00013707" w:rsidRPr="00B95E28" w:rsidRDefault="00013707" w:rsidP="00557AB7">
      <w:pPr>
        <w:pStyle w:val="ListParagraph"/>
        <w:numPr>
          <w:ilvl w:val="0"/>
          <w:numId w:val="15"/>
        </w:numPr>
        <w:spacing w:line="480" w:lineRule="auto"/>
        <w:rPr>
          <w:rFonts w:eastAsia="MS Mincho"/>
          <w:color w:val="000000" w:themeColor="text1"/>
        </w:rPr>
      </w:pPr>
      <w:r w:rsidRPr="00B95E28">
        <w:rPr>
          <w:rFonts w:eastAsia="MS Mincho"/>
          <w:color w:val="000000" w:themeColor="text1"/>
        </w:rPr>
        <w:t xml:space="preserve">Clear definition of decision-making authority and escalation paths </w:t>
      </w:r>
    </w:p>
    <w:p w14:paraId="743E56FF" w14:textId="77777777" w:rsidR="00013707" w:rsidRPr="00B95E28" w:rsidRDefault="00013707" w:rsidP="00557AB7">
      <w:pPr>
        <w:pStyle w:val="ListParagraph"/>
        <w:numPr>
          <w:ilvl w:val="0"/>
          <w:numId w:val="15"/>
        </w:numPr>
        <w:spacing w:line="480" w:lineRule="auto"/>
        <w:rPr>
          <w:rFonts w:eastAsia="MS Mincho"/>
          <w:color w:val="000000" w:themeColor="text1"/>
        </w:rPr>
      </w:pPr>
      <w:r w:rsidRPr="00B95E28">
        <w:rPr>
          <w:rFonts w:eastAsia="MS Mincho"/>
          <w:color w:val="000000" w:themeColor="text1"/>
        </w:rPr>
        <w:t>Executive sponsorship to support prioritization and resource allocation</w:t>
      </w:r>
    </w:p>
    <w:p w14:paraId="6A69A928" w14:textId="77777777" w:rsidR="00013707" w:rsidRPr="00B95E28" w:rsidRDefault="00013707" w:rsidP="004606AA">
      <w:pPr>
        <w:rPr>
          <w:rFonts w:eastAsia="MS Mincho"/>
          <w:color w:val="000000" w:themeColor="text1"/>
        </w:rPr>
      </w:pPr>
    </w:p>
    <w:p w14:paraId="169C712C" w14:textId="11399DDC" w:rsidR="00013707" w:rsidRPr="00B95E28" w:rsidRDefault="00013707" w:rsidP="00557AB7">
      <w:pPr>
        <w:spacing w:line="480" w:lineRule="auto"/>
        <w:rPr>
          <w:rFonts w:eastAsia="MS Mincho"/>
          <w:color w:val="000000" w:themeColor="text1"/>
        </w:rPr>
      </w:pPr>
      <w:r w:rsidRPr="00B95E28">
        <w:rPr>
          <w:rFonts w:eastAsia="MS Mincho"/>
          <w:color w:val="000000" w:themeColor="text1"/>
        </w:rPr>
        <w:t>In practice, the effectiveness of the Integration Management Office is constrained where functional leaders retain greater positional authority. In such cases, coordination depends on influence rather than formal authority, increasing the risk of misalignment and delayed decision-making. The implication is the need for clearly conferred executive authority to enable effective cross-functional integration.</w:t>
      </w:r>
    </w:p>
    <w:p w14:paraId="65DA735C" w14:textId="77777777" w:rsidR="00013707" w:rsidRPr="00B95E28" w:rsidRDefault="00013707" w:rsidP="004606AA">
      <w:pPr>
        <w:rPr>
          <w:rFonts w:eastAsia="MS Mincho"/>
          <w:color w:val="000000" w:themeColor="text1"/>
        </w:rPr>
      </w:pPr>
    </w:p>
    <w:p w14:paraId="0AAE5445" w14:textId="728B521F" w:rsidR="00013707" w:rsidRPr="00B95E28" w:rsidRDefault="00013707" w:rsidP="00557AB7">
      <w:pPr>
        <w:spacing w:line="480" w:lineRule="auto"/>
        <w:rPr>
          <w:rFonts w:eastAsia="MS Mincho"/>
          <w:color w:val="000000" w:themeColor="text1"/>
        </w:rPr>
      </w:pPr>
      <w:r w:rsidRPr="00B95E28">
        <w:rPr>
          <w:rFonts w:eastAsia="MS Mincho"/>
          <w:color w:val="000000" w:themeColor="text1"/>
        </w:rPr>
        <w:t>Effective governance ensures that integration planning is integrated into the deal process rather than treated as a parallel or secondary activity.</w:t>
      </w:r>
    </w:p>
    <w:p w14:paraId="5CE37FC8" w14:textId="77777777" w:rsidR="00013707" w:rsidRPr="00B95E28" w:rsidRDefault="00013707" w:rsidP="00557AB7">
      <w:pPr>
        <w:pStyle w:val="Heading3"/>
        <w:spacing w:before="0" w:after="0" w:line="480" w:lineRule="auto"/>
        <w:rPr>
          <w:rFonts w:eastAsia="MS Gothic"/>
          <w:color w:val="000000" w:themeColor="text1"/>
        </w:rPr>
      </w:pPr>
      <w:bookmarkStart w:id="193" w:name="_Toc232351900"/>
      <w:r w:rsidRPr="00B95E28">
        <w:rPr>
          <w:rFonts w:eastAsia="MS Gothic"/>
          <w:color w:val="000000" w:themeColor="text1"/>
        </w:rPr>
        <w:t>6.2.4 Key Outputs / Deliverables</w:t>
      </w:r>
      <w:bookmarkEnd w:id="193"/>
    </w:p>
    <w:p w14:paraId="1EA9F5A6"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 Pre-Close Integration Planning phase produces detailed outputs that guide Day 1 and post-close execution.</w:t>
      </w:r>
    </w:p>
    <w:p w14:paraId="75BA4E7D" w14:textId="77777777" w:rsidR="00013707" w:rsidRPr="00B95E28" w:rsidRDefault="00013707" w:rsidP="004606AA">
      <w:pPr>
        <w:rPr>
          <w:rFonts w:eastAsia="MS Mincho"/>
          <w:color w:val="000000" w:themeColor="text1"/>
        </w:rPr>
      </w:pPr>
    </w:p>
    <w:p w14:paraId="79419A8C" w14:textId="08887342"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These include:</w:t>
      </w:r>
    </w:p>
    <w:p w14:paraId="64D2E45E" w14:textId="77777777" w:rsidR="00013707" w:rsidRPr="00B95E28" w:rsidRDefault="00013707" w:rsidP="00557AB7">
      <w:pPr>
        <w:pStyle w:val="ListParagraph"/>
        <w:numPr>
          <w:ilvl w:val="0"/>
          <w:numId w:val="14"/>
        </w:numPr>
        <w:spacing w:line="480" w:lineRule="auto"/>
        <w:rPr>
          <w:rFonts w:eastAsia="MS Mincho"/>
          <w:color w:val="000000" w:themeColor="text1"/>
        </w:rPr>
      </w:pPr>
      <w:r w:rsidRPr="00B95E28">
        <w:rPr>
          <w:rFonts w:eastAsia="MS Mincho"/>
          <w:color w:val="000000" w:themeColor="text1"/>
        </w:rPr>
        <w:t xml:space="preserve">Comprehensive Day 1 readiness plan  </w:t>
      </w:r>
    </w:p>
    <w:p w14:paraId="098FDF91" w14:textId="77777777" w:rsidR="00013707" w:rsidRPr="00B95E28" w:rsidRDefault="00013707" w:rsidP="00557AB7">
      <w:pPr>
        <w:pStyle w:val="ListParagraph"/>
        <w:numPr>
          <w:ilvl w:val="0"/>
          <w:numId w:val="14"/>
        </w:numPr>
        <w:spacing w:line="480" w:lineRule="auto"/>
        <w:rPr>
          <w:rFonts w:eastAsia="MS Mincho"/>
          <w:color w:val="000000" w:themeColor="text1"/>
        </w:rPr>
      </w:pPr>
      <w:r w:rsidRPr="00B95E28">
        <w:rPr>
          <w:rFonts w:eastAsia="MS Mincho"/>
          <w:color w:val="000000" w:themeColor="text1"/>
        </w:rPr>
        <w:t xml:space="preserve">Defined synergy initiatives with assigned ownership and timelines </w:t>
      </w:r>
    </w:p>
    <w:p w14:paraId="6F8062FD" w14:textId="77777777" w:rsidR="00013707" w:rsidRPr="00B95E28" w:rsidRDefault="00013707" w:rsidP="00557AB7">
      <w:pPr>
        <w:pStyle w:val="ListParagraph"/>
        <w:numPr>
          <w:ilvl w:val="0"/>
          <w:numId w:val="14"/>
        </w:numPr>
        <w:spacing w:line="480" w:lineRule="auto"/>
        <w:rPr>
          <w:rFonts w:eastAsia="MS Mincho"/>
          <w:color w:val="000000" w:themeColor="text1"/>
        </w:rPr>
      </w:pPr>
      <w:r w:rsidRPr="00B95E28">
        <w:rPr>
          <w:rFonts w:eastAsia="MS Mincho"/>
          <w:color w:val="000000" w:themeColor="text1"/>
        </w:rPr>
        <w:t xml:space="preserve">Documented technology integration approach  </w:t>
      </w:r>
    </w:p>
    <w:p w14:paraId="2B626F49" w14:textId="77777777" w:rsidR="00013707" w:rsidRPr="00B95E28" w:rsidRDefault="00013707" w:rsidP="00557AB7">
      <w:pPr>
        <w:pStyle w:val="ListParagraph"/>
        <w:numPr>
          <w:ilvl w:val="0"/>
          <w:numId w:val="14"/>
        </w:numPr>
        <w:spacing w:line="480" w:lineRule="auto"/>
        <w:rPr>
          <w:rFonts w:eastAsia="MS Mincho"/>
          <w:color w:val="000000" w:themeColor="text1"/>
        </w:rPr>
      </w:pPr>
      <w:r w:rsidRPr="00B95E28">
        <w:rPr>
          <w:rFonts w:eastAsia="MS Mincho"/>
          <w:color w:val="000000" w:themeColor="text1"/>
        </w:rPr>
        <w:t xml:space="preserve">Defined organizational structure and leadership alignment  </w:t>
      </w:r>
    </w:p>
    <w:p w14:paraId="7A54023B" w14:textId="77777777" w:rsidR="00013707" w:rsidRPr="00B95E28" w:rsidRDefault="00013707" w:rsidP="00557AB7">
      <w:pPr>
        <w:pStyle w:val="ListParagraph"/>
        <w:numPr>
          <w:ilvl w:val="0"/>
          <w:numId w:val="14"/>
        </w:numPr>
        <w:spacing w:line="480" w:lineRule="auto"/>
        <w:rPr>
          <w:rFonts w:eastAsia="MS Mincho"/>
          <w:color w:val="000000" w:themeColor="text1"/>
        </w:rPr>
      </w:pPr>
      <w:r w:rsidRPr="00B95E28">
        <w:rPr>
          <w:rFonts w:eastAsia="MS Mincho"/>
          <w:color w:val="000000" w:themeColor="text1"/>
        </w:rPr>
        <w:t xml:space="preserve">Formalized risk register and mitigation plans </w:t>
      </w:r>
    </w:p>
    <w:p w14:paraId="03E692EA" w14:textId="77777777" w:rsidR="00013707" w:rsidRPr="00B95E28" w:rsidRDefault="00013707" w:rsidP="00557AB7">
      <w:pPr>
        <w:pStyle w:val="ListParagraph"/>
        <w:numPr>
          <w:ilvl w:val="0"/>
          <w:numId w:val="14"/>
        </w:numPr>
        <w:spacing w:line="480" w:lineRule="auto"/>
        <w:rPr>
          <w:rFonts w:eastAsia="MS Mincho"/>
          <w:color w:val="000000" w:themeColor="text1"/>
        </w:rPr>
      </w:pPr>
      <w:r w:rsidRPr="00B95E28">
        <w:rPr>
          <w:rFonts w:eastAsia="MS Mincho"/>
          <w:color w:val="000000" w:themeColor="text1"/>
        </w:rPr>
        <w:t xml:space="preserve">Stakeholder communication plan  </w:t>
      </w:r>
    </w:p>
    <w:p w14:paraId="3F9EC9B0"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 xml:space="preserve">These deliverables provide the foundation for coordinated execution and enable organizations to transition into Day 1 with clarity and control. </w:t>
      </w:r>
    </w:p>
    <w:p w14:paraId="58DA3F50" w14:textId="77777777" w:rsidR="00013707" w:rsidRPr="00B95E28" w:rsidRDefault="00013707" w:rsidP="004606AA">
      <w:pPr>
        <w:rPr>
          <w:rFonts w:eastAsia="MS Mincho"/>
          <w:color w:val="000000" w:themeColor="text1"/>
        </w:rPr>
      </w:pPr>
    </w:p>
    <w:p w14:paraId="49AC44FF" w14:textId="0762155D"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These outputs matter because they convert strategic intent into executable commitments. Without clear ownership, timelines, and risk visibility, integration teams are left to interpret deal assumptions after close, when uncertainty is higher and the ability to change direction is lower.</w:t>
      </w:r>
    </w:p>
    <w:p w14:paraId="0BC846F7" w14:textId="77777777" w:rsidR="004606AA" w:rsidRPr="00B95E28" w:rsidRDefault="004606AA" w:rsidP="004606AA">
      <w:pPr>
        <w:rPr>
          <w:rFonts w:eastAsia="MS Gothic"/>
          <w:color w:val="000000" w:themeColor="text1"/>
        </w:rPr>
      </w:pPr>
    </w:p>
    <w:p w14:paraId="70DFBF3A" w14:textId="445F0179" w:rsidR="00013707" w:rsidRPr="00B95E28" w:rsidRDefault="00013707" w:rsidP="00557AB7">
      <w:pPr>
        <w:pStyle w:val="Heading3"/>
        <w:spacing w:before="0" w:after="0" w:line="480" w:lineRule="auto"/>
        <w:rPr>
          <w:rFonts w:eastAsia="MS Gothic"/>
          <w:color w:val="000000" w:themeColor="text1"/>
        </w:rPr>
      </w:pPr>
      <w:bookmarkStart w:id="194" w:name="_Toc232351901"/>
      <w:r w:rsidRPr="00B95E28">
        <w:rPr>
          <w:rFonts w:eastAsia="MS Gothic"/>
          <w:color w:val="000000" w:themeColor="text1"/>
        </w:rPr>
        <w:t>6.2.5 Risks and Failure Points</w:t>
      </w:r>
      <w:bookmarkEnd w:id="194"/>
    </w:p>
    <w:p w14:paraId="52B8170B"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 xml:space="preserve">Failure to effectively execute pre-close integration planning introduces significant risks that impact integration outcomes. </w:t>
      </w:r>
    </w:p>
    <w:p w14:paraId="11ED3A24" w14:textId="77777777" w:rsidR="008108A2" w:rsidRPr="00B95E28" w:rsidRDefault="008108A2" w:rsidP="004606AA">
      <w:pPr>
        <w:rPr>
          <w:rFonts w:eastAsia="MS Mincho"/>
          <w:color w:val="000000" w:themeColor="text1"/>
        </w:rPr>
      </w:pPr>
    </w:p>
    <w:p w14:paraId="7B58EE50" w14:textId="5A809551"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 most critical risks identified in this research include:</w:t>
      </w:r>
    </w:p>
    <w:p w14:paraId="1DBB73CB" w14:textId="77777777" w:rsidR="00013707" w:rsidRPr="00B95E28" w:rsidRDefault="00013707" w:rsidP="00557AB7">
      <w:pPr>
        <w:pStyle w:val="ListParagraph"/>
        <w:numPr>
          <w:ilvl w:val="0"/>
          <w:numId w:val="13"/>
        </w:numPr>
        <w:spacing w:line="480" w:lineRule="auto"/>
        <w:rPr>
          <w:rFonts w:eastAsia="MS Mincho"/>
          <w:color w:val="000000" w:themeColor="text1"/>
        </w:rPr>
      </w:pPr>
      <w:r w:rsidRPr="00B95E28">
        <w:rPr>
          <w:rFonts w:eastAsia="MS Mincho"/>
          <w:b/>
          <w:bCs/>
          <w:color w:val="000000" w:themeColor="text1"/>
        </w:rPr>
        <w:t xml:space="preserve">Late Integration Planning: </w:t>
      </w:r>
      <w:r w:rsidRPr="00B95E28">
        <w:rPr>
          <w:rFonts w:eastAsia="MS Mincho"/>
          <w:color w:val="000000" w:themeColor="text1"/>
        </w:rPr>
        <w:t>Integration planning begins too close to the transaction close date, limiting the ability to influence execution and increasing operational risk.</w:t>
      </w:r>
    </w:p>
    <w:p w14:paraId="3B55E89F" w14:textId="77777777" w:rsidR="00013707" w:rsidRPr="00B95E28" w:rsidRDefault="00013707" w:rsidP="00557AB7">
      <w:pPr>
        <w:pStyle w:val="ListParagraph"/>
        <w:numPr>
          <w:ilvl w:val="0"/>
          <w:numId w:val="13"/>
        </w:numPr>
        <w:spacing w:line="480" w:lineRule="auto"/>
        <w:rPr>
          <w:rFonts w:eastAsia="MS Mincho"/>
          <w:color w:val="000000" w:themeColor="text1"/>
        </w:rPr>
      </w:pPr>
      <w:r w:rsidRPr="00B95E28">
        <w:rPr>
          <w:rFonts w:eastAsia="MS Mincho"/>
          <w:b/>
          <w:bCs/>
          <w:color w:val="000000" w:themeColor="text1"/>
        </w:rPr>
        <w:t xml:space="preserve">Disconnect Between Deal and Integration Teams: </w:t>
      </w:r>
      <w:r w:rsidRPr="00B95E28">
        <w:rPr>
          <w:rFonts w:eastAsia="MS Mincho"/>
          <w:color w:val="000000" w:themeColor="text1"/>
        </w:rPr>
        <w:t>Lack of coordination between deal teams and integration teams results in misalignment between value assumptions and execution plans.</w:t>
      </w:r>
    </w:p>
    <w:p w14:paraId="69C9E63D" w14:textId="77777777" w:rsidR="00013707" w:rsidRPr="00B95E28" w:rsidRDefault="00013707" w:rsidP="00557AB7">
      <w:pPr>
        <w:pStyle w:val="ListParagraph"/>
        <w:numPr>
          <w:ilvl w:val="0"/>
          <w:numId w:val="13"/>
        </w:numPr>
        <w:spacing w:line="480" w:lineRule="auto"/>
        <w:rPr>
          <w:rFonts w:eastAsia="MS Mincho"/>
          <w:color w:val="000000" w:themeColor="text1"/>
        </w:rPr>
      </w:pPr>
      <w:r w:rsidRPr="00B95E28">
        <w:rPr>
          <w:rFonts w:eastAsia="MS Mincho"/>
          <w:b/>
          <w:bCs/>
          <w:color w:val="000000" w:themeColor="text1"/>
        </w:rPr>
        <w:t xml:space="preserve">Undefined or Unrealistic Synergies: </w:t>
      </w:r>
      <w:r w:rsidRPr="00B95E28">
        <w:rPr>
          <w:rFonts w:eastAsia="MS Mincho"/>
          <w:color w:val="000000" w:themeColor="text1"/>
        </w:rPr>
        <w:t>Synergies are identified without clear ownership, timelines, or operational feasibility.</w:t>
      </w:r>
    </w:p>
    <w:p w14:paraId="0192A122" w14:textId="77777777" w:rsidR="00013707" w:rsidRPr="00B95E28" w:rsidRDefault="00013707" w:rsidP="00557AB7">
      <w:pPr>
        <w:pStyle w:val="ListParagraph"/>
        <w:numPr>
          <w:ilvl w:val="0"/>
          <w:numId w:val="13"/>
        </w:numPr>
        <w:spacing w:line="480" w:lineRule="auto"/>
        <w:rPr>
          <w:rFonts w:eastAsia="MS Mincho"/>
          <w:color w:val="000000" w:themeColor="text1"/>
        </w:rPr>
      </w:pPr>
      <w:r w:rsidRPr="00B95E28">
        <w:rPr>
          <w:rFonts w:eastAsia="MS Mincho"/>
          <w:b/>
          <w:bCs/>
          <w:color w:val="000000" w:themeColor="text1"/>
        </w:rPr>
        <w:t xml:space="preserve">Underestimation of Technology Complexity: </w:t>
      </w:r>
      <w:r w:rsidRPr="00B95E28">
        <w:rPr>
          <w:rFonts w:eastAsia="MS Mincho"/>
          <w:color w:val="000000" w:themeColor="text1"/>
        </w:rPr>
        <w:t>Technology integration is treated as a technical task rather than a business transformation, leading to delays and operational fragmentation.</w:t>
      </w:r>
    </w:p>
    <w:p w14:paraId="713C4933" w14:textId="77777777" w:rsidR="00013707" w:rsidRPr="00B95E28" w:rsidRDefault="00013707" w:rsidP="00557AB7">
      <w:pPr>
        <w:pStyle w:val="ListParagraph"/>
        <w:numPr>
          <w:ilvl w:val="0"/>
          <w:numId w:val="13"/>
        </w:numPr>
        <w:spacing w:line="480" w:lineRule="auto"/>
        <w:rPr>
          <w:rFonts w:eastAsia="MS Mincho"/>
          <w:color w:val="000000" w:themeColor="text1"/>
        </w:rPr>
      </w:pPr>
      <w:r w:rsidRPr="00B95E28">
        <w:rPr>
          <w:rFonts w:eastAsia="MS Mincho"/>
          <w:b/>
          <w:bCs/>
          <w:color w:val="000000" w:themeColor="text1"/>
        </w:rPr>
        <w:t xml:space="preserve">Insufficient Organizational Alignment: </w:t>
      </w:r>
      <w:r w:rsidRPr="00B95E28">
        <w:rPr>
          <w:rFonts w:eastAsia="MS Mincho"/>
          <w:color w:val="000000" w:themeColor="text1"/>
        </w:rPr>
        <w:t>Lack of clarity in roles, responsibilities, and decision-making structures creates confusion during execution.</w:t>
      </w:r>
    </w:p>
    <w:p w14:paraId="30D11E0B" w14:textId="77777777" w:rsidR="00013707" w:rsidRPr="00B95E28" w:rsidRDefault="00013707" w:rsidP="00557AB7">
      <w:pPr>
        <w:pStyle w:val="ListParagraph"/>
        <w:numPr>
          <w:ilvl w:val="0"/>
          <w:numId w:val="13"/>
        </w:numPr>
        <w:spacing w:line="480" w:lineRule="auto"/>
        <w:rPr>
          <w:rFonts w:eastAsia="MS Mincho"/>
          <w:color w:val="000000" w:themeColor="text1"/>
        </w:rPr>
      </w:pPr>
      <w:r w:rsidRPr="00B95E28">
        <w:rPr>
          <w:rFonts w:eastAsia="MS Mincho"/>
          <w:b/>
          <w:bCs/>
          <w:color w:val="000000" w:themeColor="text1"/>
        </w:rPr>
        <w:t xml:space="preserve">Inadequate Communication Planning: </w:t>
      </w:r>
      <w:r w:rsidRPr="00B95E28">
        <w:rPr>
          <w:rFonts w:eastAsia="MS Mincho"/>
          <w:color w:val="000000" w:themeColor="text1"/>
        </w:rPr>
        <w:t>Failure to proactively manage stakeholder expectations increases uncertainty and resistance during integration.</w:t>
      </w:r>
    </w:p>
    <w:p w14:paraId="1F676398" w14:textId="77777777" w:rsidR="008108A2" w:rsidRPr="00B95E28" w:rsidRDefault="008108A2" w:rsidP="004606AA">
      <w:pPr>
        <w:rPr>
          <w:rFonts w:eastAsia="MS Mincho"/>
          <w:color w:val="000000" w:themeColor="text1"/>
        </w:rPr>
      </w:pPr>
    </w:p>
    <w:p w14:paraId="617A5C64" w14:textId="54DC3844" w:rsidR="00013707" w:rsidRPr="00B95E28" w:rsidRDefault="00013707" w:rsidP="00557AB7">
      <w:pPr>
        <w:spacing w:line="480" w:lineRule="auto"/>
        <w:rPr>
          <w:rFonts w:eastAsia="MS Mincho"/>
          <w:color w:val="000000" w:themeColor="text1"/>
        </w:rPr>
      </w:pPr>
      <w:r w:rsidRPr="00B95E28">
        <w:rPr>
          <w:rFonts w:eastAsia="MS Mincho"/>
          <w:color w:val="000000" w:themeColor="text1"/>
        </w:rPr>
        <w:lastRenderedPageBreak/>
        <w:t>These risks reinforce the central finding of this research: integration success is largely determined before the transaction closes, and deficiencies in this phase are difficult to recover from in later stages.</w:t>
      </w:r>
    </w:p>
    <w:p w14:paraId="1650557C" w14:textId="77777777" w:rsidR="008108A2" w:rsidRPr="00B95E28" w:rsidRDefault="008108A2" w:rsidP="004606AA">
      <w:pPr>
        <w:rPr>
          <w:rFonts w:eastAsia="MS Mincho"/>
          <w:color w:val="000000" w:themeColor="text1"/>
        </w:rPr>
      </w:pPr>
    </w:p>
    <w:p w14:paraId="2E3764B6" w14:textId="5C647E5B"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phase is supported by governance structures, resource alignment, and technology planning elements of the Integration Capability Engine.</w:t>
      </w:r>
    </w:p>
    <w:p w14:paraId="580D7658" w14:textId="77777777" w:rsidR="008108A2" w:rsidRPr="00B95E28" w:rsidRDefault="008108A2" w:rsidP="004606AA">
      <w:pPr>
        <w:rPr>
          <w:rFonts w:eastAsia="MS Mincho"/>
          <w:color w:val="000000" w:themeColor="text1"/>
        </w:rPr>
      </w:pPr>
    </w:p>
    <w:p w14:paraId="1E1F61AD" w14:textId="22EC2328"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phase determines the level of complexity carried into execution. Well-structured planning reduces uncertainty, clarifies dependencies, and enables coordinated action across functions. Where planning is incomplete or delayed, execution becomes reactive, requiring continuous adjustment and increasing the risk of inefficiencies and missed value realization.</w:t>
      </w:r>
    </w:p>
    <w:p w14:paraId="6E5619FB" w14:textId="77777777" w:rsidR="008108A2" w:rsidRPr="00B95E28" w:rsidRDefault="008108A2" w:rsidP="00557AB7">
      <w:pPr>
        <w:spacing w:line="480" w:lineRule="auto"/>
        <w:rPr>
          <w:rFonts w:eastAsia="MS Mincho"/>
          <w:color w:val="000000" w:themeColor="text1"/>
        </w:rPr>
      </w:pPr>
    </w:p>
    <w:p w14:paraId="34F2EF3B" w14:textId="1781EC62" w:rsidR="00013707" w:rsidRPr="00B95E28" w:rsidRDefault="00013707" w:rsidP="00557AB7">
      <w:pPr>
        <w:spacing w:line="480" w:lineRule="auto"/>
        <w:rPr>
          <w:rFonts w:eastAsia="MS Mincho"/>
          <w:color w:val="000000" w:themeColor="text1"/>
        </w:rPr>
      </w:pPr>
      <w:r w:rsidRPr="00B95E28">
        <w:rPr>
          <w:rFonts w:eastAsia="MS Mincho"/>
          <w:color w:val="000000" w:themeColor="text1"/>
        </w:rPr>
        <w:t>In practice, these risks are often reinforced by organizational dynamics rather than technical limitations. Planning decisions are frequently influenced by deal timelines, financial expectations, and executive pressure, leading to trade-offs between thorough planning and transaction speed. This highlights that planning effectiveness is not solely a function of process design, but of the organization’s willingness to prioritize integration readiness over deal momentum.</w:t>
      </w:r>
    </w:p>
    <w:p w14:paraId="24412440" w14:textId="77777777" w:rsidR="004606AA" w:rsidRPr="00B95E28" w:rsidRDefault="004606AA" w:rsidP="004606AA">
      <w:pPr>
        <w:rPr>
          <w:rFonts w:eastAsia="MS Gothic"/>
          <w:color w:val="000000" w:themeColor="text1"/>
        </w:rPr>
      </w:pPr>
    </w:p>
    <w:p w14:paraId="66D08BEA" w14:textId="7B5919D6" w:rsidR="00013707" w:rsidRPr="00B95E28" w:rsidRDefault="00013707" w:rsidP="00557AB7">
      <w:pPr>
        <w:pStyle w:val="Heading2"/>
        <w:spacing w:before="0" w:after="0" w:line="480" w:lineRule="auto"/>
        <w:rPr>
          <w:rFonts w:eastAsia="MS Gothic"/>
          <w:color w:val="000000" w:themeColor="text1"/>
        </w:rPr>
      </w:pPr>
      <w:bookmarkStart w:id="195" w:name="_Toc232351902"/>
      <w:r w:rsidRPr="00B95E28">
        <w:rPr>
          <w:rFonts w:eastAsia="MS Gothic"/>
          <w:color w:val="000000" w:themeColor="text1"/>
        </w:rPr>
        <w:t>6.3 Phase 3: Day 1 Stabilization</w:t>
      </w:r>
      <w:bookmarkEnd w:id="195"/>
    </w:p>
    <w:p w14:paraId="699475E8" w14:textId="77777777" w:rsidR="00013707" w:rsidRPr="00B95E28" w:rsidRDefault="00013707" w:rsidP="00557AB7">
      <w:pPr>
        <w:spacing w:line="480" w:lineRule="auto"/>
        <w:rPr>
          <w:color w:val="000000" w:themeColor="text1"/>
        </w:rPr>
      </w:pPr>
      <w:r w:rsidRPr="00B95E28">
        <w:rPr>
          <w:color w:val="000000" w:themeColor="text1"/>
        </w:rPr>
        <w:t>Day 1 stabilization acts as the bridge between planning and execution, with its effectiveness determined by the strength of upstream planning.</w:t>
      </w:r>
    </w:p>
    <w:p w14:paraId="6DE4D574" w14:textId="77777777" w:rsidR="004606AA" w:rsidRPr="00B95E28" w:rsidRDefault="004606AA" w:rsidP="004606AA">
      <w:pPr>
        <w:rPr>
          <w:rFonts w:eastAsia="MS Gothic"/>
          <w:color w:val="000000" w:themeColor="text1"/>
        </w:rPr>
      </w:pPr>
    </w:p>
    <w:p w14:paraId="7F7C46AE" w14:textId="5D6B067D" w:rsidR="00013707" w:rsidRPr="00B95E28" w:rsidRDefault="00013707" w:rsidP="00557AB7">
      <w:pPr>
        <w:pStyle w:val="Heading3"/>
        <w:spacing w:before="0" w:after="0" w:line="480" w:lineRule="auto"/>
        <w:rPr>
          <w:rFonts w:eastAsia="MS Gothic"/>
          <w:color w:val="000000" w:themeColor="text1"/>
        </w:rPr>
      </w:pPr>
      <w:bookmarkStart w:id="196" w:name="_Toc232351903"/>
      <w:r w:rsidRPr="00B95E28">
        <w:rPr>
          <w:rFonts w:eastAsia="MS Gothic"/>
          <w:color w:val="000000" w:themeColor="text1"/>
        </w:rPr>
        <w:lastRenderedPageBreak/>
        <w:t>6.3.1 Objectives</w:t>
      </w:r>
      <w:bookmarkEnd w:id="196"/>
    </w:p>
    <w:p w14:paraId="5DB075A6"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 xml:space="preserve">The objective of the Day 1 Stabilization phase is to ensure business continuity immediately following transaction close while establishing control over integration execution. This phase represents the transition from planning to live operations, where the effectiveness of pre-close integration planning is validated in practice. </w:t>
      </w:r>
    </w:p>
    <w:p w14:paraId="559C9729" w14:textId="77777777" w:rsidR="008108A2" w:rsidRPr="00B95E28" w:rsidRDefault="008108A2" w:rsidP="004606AA">
      <w:pPr>
        <w:rPr>
          <w:rFonts w:eastAsia="MS Mincho"/>
          <w:color w:val="000000" w:themeColor="text1"/>
        </w:rPr>
      </w:pPr>
    </w:p>
    <w:p w14:paraId="559E45A2" w14:textId="782F9CBB" w:rsidR="00013707" w:rsidRPr="00B95E28" w:rsidRDefault="00013707" w:rsidP="00557AB7">
      <w:pPr>
        <w:spacing w:line="480" w:lineRule="auto"/>
        <w:rPr>
          <w:rFonts w:eastAsia="MS Mincho"/>
          <w:color w:val="000000" w:themeColor="text1"/>
        </w:rPr>
      </w:pPr>
      <w:r w:rsidRPr="00B95E28">
        <w:rPr>
          <w:rFonts w:eastAsia="MS Mincho"/>
          <w:color w:val="000000" w:themeColor="text1"/>
        </w:rPr>
        <w:t>At this stage, the priority is not full integration, but operational stability. Organizations must ensure that critical business functions continue without disruption, that employees understand their roles and reporting structures, and that customers and stakeholders experience minimal impact from the transaction.</w:t>
      </w:r>
    </w:p>
    <w:p w14:paraId="417B3896" w14:textId="77777777" w:rsidR="008108A2" w:rsidRPr="00B95E28" w:rsidRDefault="008108A2" w:rsidP="004606AA">
      <w:pPr>
        <w:rPr>
          <w:rFonts w:eastAsia="MS Mincho"/>
          <w:color w:val="000000" w:themeColor="text1"/>
        </w:rPr>
      </w:pPr>
    </w:p>
    <w:p w14:paraId="33E23A02" w14:textId="735FE904" w:rsidR="00013707" w:rsidRPr="00B95E28" w:rsidRDefault="00013707" w:rsidP="00557AB7">
      <w:pPr>
        <w:spacing w:line="480" w:lineRule="auto"/>
        <w:rPr>
          <w:rFonts w:eastAsia="MS Mincho"/>
          <w:color w:val="000000" w:themeColor="text1"/>
        </w:rPr>
      </w:pPr>
      <w:r w:rsidRPr="00B95E28">
        <w:rPr>
          <w:rFonts w:eastAsia="MS Mincho"/>
          <w:color w:val="000000" w:themeColor="text1"/>
        </w:rPr>
        <w:t>As illustrated in Figure 6.1, Day 1 Stabilization represents the transition point between planning and execution within the Integration Capability Loop.</w:t>
      </w:r>
    </w:p>
    <w:p w14:paraId="08D8369F" w14:textId="77777777" w:rsidR="00013707" w:rsidRPr="00B95E28" w:rsidRDefault="00013707" w:rsidP="00557AB7">
      <w:pPr>
        <w:pStyle w:val="Heading3"/>
        <w:spacing w:before="0" w:after="0" w:line="480" w:lineRule="auto"/>
        <w:rPr>
          <w:rFonts w:eastAsia="MS Gothic"/>
          <w:color w:val="000000" w:themeColor="text1"/>
        </w:rPr>
      </w:pPr>
      <w:bookmarkStart w:id="197" w:name="_Toc232351904"/>
      <w:r w:rsidRPr="00B95E28">
        <w:rPr>
          <w:rFonts w:eastAsia="MS Gothic"/>
          <w:color w:val="000000" w:themeColor="text1"/>
        </w:rPr>
        <w:t>6.3.2 Key Activities</w:t>
      </w:r>
      <w:bookmarkEnd w:id="197"/>
    </w:p>
    <w:p w14:paraId="69B427B5" w14:textId="77777777" w:rsidR="00013707" w:rsidRPr="00B95E28" w:rsidRDefault="00013707" w:rsidP="00557AB7">
      <w:pPr>
        <w:pStyle w:val="ListParagraph"/>
        <w:numPr>
          <w:ilvl w:val="0"/>
          <w:numId w:val="12"/>
        </w:numPr>
        <w:spacing w:line="480" w:lineRule="auto"/>
        <w:rPr>
          <w:rFonts w:eastAsia="MS Mincho"/>
          <w:color w:val="000000" w:themeColor="text1"/>
        </w:rPr>
      </w:pPr>
      <w:r w:rsidRPr="00B95E28">
        <w:rPr>
          <w:rFonts w:eastAsia="MS Mincho"/>
          <w:b/>
          <w:bCs/>
          <w:color w:val="000000" w:themeColor="text1"/>
        </w:rPr>
        <w:t xml:space="preserve">Execution of the Day 1 Plan: </w:t>
      </w:r>
      <w:r w:rsidRPr="00B95E28">
        <w:rPr>
          <w:rFonts w:eastAsia="MS Mincho"/>
          <w:color w:val="000000" w:themeColor="text1"/>
        </w:rPr>
        <w:t>Implementing pre-defined activities including system access, communication rollout, and operational readiness tasks.</w:t>
      </w:r>
    </w:p>
    <w:p w14:paraId="3F644291" w14:textId="77777777" w:rsidR="00013707" w:rsidRPr="00B95E28" w:rsidRDefault="00013707" w:rsidP="00557AB7">
      <w:pPr>
        <w:pStyle w:val="ListParagraph"/>
        <w:numPr>
          <w:ilvl w:val="0"/>
          <w:numId w:val="12"/>
        </w:numPr>
        <w:spacing w:line="480" w:lineRule="auto"/>
        <w:rPr>
          <w:rFonts w:eastAsia="MS Mincho"/>
          <w:color w:val="000000" w:themeColor="text1"/>
        </w:rPr>
      </w:pPr>
      <w:r w:rsidRPr="00B95E28">
        <w:rPr>
          <w:rFonts w:eastAsia="MS Mincho"/>
          <w:b/>
          <w:bCs/>
          <w:color w:val="000000" w:themeColor="text1"/>
        </w:rPr>
        <w:t xml:space="preserve">Business Continuity Management: </w:t>
      </w:r>
      <w:r w:rsidRPr="00B95E28">
        <w:rPr>
          <w:rFonts w:eastAsia="MS Mincho"/>
          <w:color w:val="000000" w:themeColor="text1"/>
        </w:rPr>
        <w:t>Ensuring that core business processes continue without disruption.</w:t>
      </w:r>
    </w:p>
    <w:p w14:paraId="045A792A" w14:textId="77777777" w:rsidR="00013707" w:rsidRPr="00B95E28" w:rsidRDefault="00013707" w:rsidP="00557AB7">
      <w:pPr>
        <w:pStyle w:val="ListParagraph"/>
        <w:numPr>
          <w:ilvl w:val="0"/>
          <w:numId w:val="12"/>
        </w:numPr>
        <w:spacing w:line="480" w:lineRule="auto"/>
        <w:rPr>
          <w:rFonts w:eastAsia="MS Mincho"/>
          <w:color w:val="000000" w:themeColor="text1"/>
        </w:rPr>
      </w:pPr>
      <w:r w:rsidRPr="00B95E28">
        <w:rPr>
          <w:rFonts w:eastAsia="MS Mincho"/>
          <w:b/>
          <w:bCs/>
          <w:color w:val="000000" w:themeColor="text1"/>
        </w:rPr>
        <w:t>Communication Execution</w:t>
      </w:r>
      <w:r w:rsidRPr="00B95E28">
        <w:rPr>
          <w:rFonts w:eastAsia="MS Mincho"/>
          <w:color w:val="000000" w:themeColor="text1"/>
        </w:rPr>
        <w:t>: Delivering structured communications to employees, customers, and stakeholders.</w:t>
      </w:r>
    </w:p>
    <w:p w14:paraId="1DE6F47C" w14:textId="77777777" w:rsidR="00013707" w:rsidRPr="00B95E28" w:rsidRDefault="00013707" w:rsidP="00557AB7">
      <w:pPr>
        <w:pStyle w:val="ListParagraph"/>
        <w:numPr>
          <w:ilvl w:val="0"/>
          <w:numId w:val="12"/>
        </w:numPr>
        <w:spacing w:line="480" w:lineRule="auto"/>
        <w:rPr>
          <w:rFonts w:eastAsia="MS Mincho"/>
          <w:color w:val="000000" w:themeColor="text1"/>
        </w:rPr>
      </w:pPr>
      <w:r w:rsidRPr="00B95E28">
        <w:rPr>
          <w:rFonts w:eastAsia="MS Mincho"/>
          <w:b/>
          <w:bCs/>
          <w:color w:val="000000" w:themeColor="text1"/>
        </w:rPr>
        <w:t>System and Access Enablement</w:t>
      </w:r>
      <w:r w:rsidRPr="00B95E28">
        <w:rPr>
          <w:rFonts w:eastAsia="MS Mincho"/>
          <w:color w:val="000000" w:themeColor="text1"/>
        </w:rPr>
        <w:t>: Confirming employees have access to required systems, tools, and data.</w:t>
      </w:r>
    </w:p>
    <w:p w14:paraId="403E03AD" w14:textId="77777777" w:rsidR="00013707" w:rsidRPr="00B95E28" w:rsidRDefault="00013707" w:rsidP="00557AB7">
      <w:pPr>
        <w:pStyle w:val="ListParagraph"/>
        <w:numPr>
          <w:ilvl w:val="0"/>
          <w:numId w:val="12"/>
        </w:numPr>
        <w:spacing w:line="480" w:lineRule="auto"/>
        <w:rPr>
          <w:rFonts w:eastAsia="MS Mincho"/>
          <w:color w:val="000000" w:themeColor="text1"/>
        </w:rPr>
      </w:pPr>
      <w:r w:rsidRPr="00B95E28">
        <w:rPr>
          <w:rFonts w:eastAsia="MS Mincho"/>
          <w:b/>
          <w:bCs/>
          <w:color w:val="000000" w:themeColor="text1"/>
        </w:rPr>
        <w:t xml:space="preserve">Issue Identification and Rapid Response: </w:t>
      </w:r>
      <w:r w:rsidRPr="00B95E28">
        <w:rPr>
          <w:rFonts w:eastAsia="MS Mincho"/>
          <w:color w:val="000000" w:themeColor="text1"/>
        </w:rPr>
        <w:t>Establishing mechanisms to identify, escalate, and resolve issues quickly.</w:t>
      </w:r>
    </w:p>
    <w:p w14:paraId="5FF10560" w14:textId="77777777" w:rsidR="008108A2" w:rsidRPr="00B95E28" w:rsidRDefault="008108A2" w:rsidP="004606AA">
      <w:pPr>
        <w:rPr>
          <w:rFonts w:eastAsia="MS Mincho"/>
          <w:color w:val="000000" w:themeColor="text1"/>
        </w:rPr>
      </w:pPr>
    </w:p>
    <w:p w14:paraId="261FDA64" w14:textId="2F36AF54"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These activities are highly interdependent and must be executed in a coordinated manner to ensure stability. For example, communication effectiveness is directly linked to system access and operational readiness, as employees cannot act on information without the tools and clarity required to perform their roles.</w:t>
      </w:r>
    </w:p>
    <w:p w14:paraId="02DC8960" w14:textId="77777777" w:rsidR="008108A2" w:rsidRPr="00B95E28" w:rsidRDefault="008108A2" w:rsidP="004606AA">
      <w:pPr>
        <w:rPr>
          <w:rFonts w:eastAsia="MS Mincho"/>
          <w:color w:val="000000" w:themeColor="text1"/>
        </w:rPr>
      </w:pPr>
    </w:p>
    <w:p w14:paraId="2F0A004D" w14:textId="3C68283D" w:rsidR="00013707" w:rsidRPr="00B95E28" w:rsidRDefault="00013707" w:rsidP="00557AB7">
      <w:pPr>
        <w:spacing w:line="480" w:lineRule="auto"/>
        <w:rPr>
          <w:rFonts w:eastAsia="MS Mincho"/>
          <w:color w:val="000000" w:themeColor="text1"/>
        </w:rPr>
      </w:pPr>
      <w:r w:rsidRPr="00B95E28">
        <w:rPr>
          <w:rFonts w:eastAsia="MS Mincho"/>
          <w:color w:val="000000" w:themeColor="text1"/>
        </w:rPr>
        <w:t>Where these activities are executed in isolation, organizations often experience confusion, delays, and reduced confidence among employees and stakeholders. In contrast, coordinated execution enables organizations to maintain control during a period of uncertainty, reinforcing alignment and supporting a smoother transition into full integration execution.</w:t>
      </w:r>
    </w:p>
    <w:p w14:paraId="40485FF5" w14:textId="77777777" w:rsidR="008108A2" w:rsidRPr="00B95E28" w:rsidRDefault="008108A2" w:rsidP="004606AA">
      <w:pPr>
        <w:rPr>
          <w:rFonts w:eastAsia="MS Mincho"/>
          <w:color w:val="000000" w:themeColor="text1"/>
        </w:rPr>
      </w:pPr>
    </w:p>
    <w:p w14:paraId="2DBA58E0" w14:textId="618ED9DA"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highlights that Day 1 stabilization is not merely an operational milestone, but a critical control point that validates planning effectiveness and sets the tone for execution.</w:t>
      </w:r>
    </w:p>
    <w:p w14:paraId="60F0471D" w14:textId="77777777" w:rsidR="00013707" w:rsidRPr="00B95E28" w:rsidRDefault="00013707" w:rsidP="00557AB7">
      <w:pPr>
        <w:pStyle w:val="Heading3"/>
        <w:spacing w:before="0" w:after="0" w:line="480" w:lineRule="auto"/>
        <w:rPr>
          <w:rFonts w:eastAsia="MS Gothic"/>
          <w:color w:val="000000" w:themeColor="text1"/>
        </w:rPr>
      </w:pPr>
      <w:bookmarkStart w:id="198" w:name="_Toc232351905"/>
      <w:r w:rsidRPr="00B95E28">
        <w:rPr>
          <w:rFonts w:eastAsia="MS Gothic"/>
          <w:color w:val="000000" w:themeColor="text1"/>
        </w:rPr>
        <w:t>6.3.3 Governance and Leadership</w:t>
      </w:r>
      <w:bookmarkEnd w:id="198"/>
    </w:p>
    <w:p w14:paraId="6D523D2B" w14:textId="77777777" w:rsidR="00D15BAF" w:rsidRPr="00B95E28" w:rsidRDefault="00013707" w:rsidP="00D15BAF">
      <w:pPr>
        <w:spacing w:line="480" w:lineRule="auto"/>
        <w:rPr>
          <w:rFonts w:eastAsia="MS Mincho"/>
          <w:color w:val="000000" w:themeColor="text1"/>
        </w:rPr>
      </w:pPr>
      <w:r w:rsidRPr="00B95E28">
        <w:rPr>
          <w:rFonts w:eastAsia="MS Mincho"/>
          <w:color w:val="000000" w:themeColor="text1"/>
        </w:rPr>
        <w:t>Governance during the Day 1 Stabilization phase is focused on control, visibility, and rapid decision-making.</w:t>
      </w:r>
      <w:r w:rsidR="00D15BAF" w:rsidRPr="00B95E28">
        <w:rPr>
          <w:rFonts w:eastAsia="MS Mincho"/>
          <w:color w:val="000000" w:themeColor="text1"/>
        </w:rPr>
        <w:t xml:space="preserve"> </w:t>
      </w:r>
      <w:r w:rsidRPr="00B95E28">
        <w:rPr>
          <w:rFonts w:eastAsia="MS Mincho"/>
          <w:color w:val="000000" w:themeColor="text1"/>
        </w:rPr>
        <w:t>Organizations that successfully navigate Day 1 operate with clearly defined governance structures and centralized coordination, often through an Integration Management Office (IMO). The IMO plays a critical role in monitoring execution, coordinating across functions, and ensuring alignment with the integration plan.</w:t>
      </w:r>
    </w:p>
    <w:p w14:paraId="5EF757F0" w14:textId="77777777" w:rsidR="00D15BAF" w:rsidRPr="00B95E28" w:rsidRDefault="00D15BAF" w:rsidP="00D15BAF">
      <w:pPr>
        <w:rPr>
          <w:rFonts w:eastAsia="MS Mincho"/>
          <w:color w:val="000000" w:themeColor="text1"/>
        </w:rPr>
      </w:pPr>
    </w:p>
    <w:p w14:paraId="7CE51725" w14:textId="07017BCF" w:rsidR="00013707" w:rsidRPr="00B95E28" w:rsidRDefault="00013707" w:rsidP="00D15BAF">
      <w:pPr>
        <w:spacing w:line="480" w:lineRule="auto"/>
        <w:rPr>
          <w:rFonts w:eastAsia="MS Mincho"/>
          <w:color w:val="000000" w:themeColor="text1"/>
        </w:rPr>
      </w:pPr>
      <w:r w:rsidRPr="00B95E28">
        <w:rPr>
          <w:rFonts w:eastAsia="MS Mincho"/>
          <w:color w:val="000000" w:themeColor="text1"/>
        </w:rPr>
        <w:t>Governance at this stage should include:</w:t>
      </w:r>
    </w:p>
    <w:p w14:paraId="7BB5F10E" w14:textId="77777777" w:rsidR="00013707" w:rsidRPr="00B95E28" w:rsidRDefault="00013707" w:rsidP="00D15BAF">
      <w:pPr>
        <w:pStyle w:val="ListParagraph"/>
        <w:numPr>
          <w:ilvl w:val="0"/>
          <w:numId w:val="11"/>
        </w:numPr>
        <w:spacing w:line="480" w:lineRule="auto"/>
        <w:rPr>
          <w:rFonts w:eastAsia="MS Mincho"/>
          <w:color w:val="000000" w:themeColor="text1"/>
        </w:rPr>
      </w:pPr>
      <w:r w:rsidRPr="00B95E28">
        <w:rPr>
          <w:rFonts w:eastAsia="MS Mincho"/>
          <w:color w:val="000000" w:themeColor="text1"/>
        </w:rPr>
        <w:t xml:space="preserve">Centralized oversight through an Integration Management Office (IMO) </w:t>
      </w:r>
    </w:p>
    <w:p w14:paraId="0DEDA7CA" w14:textId="77777777" w:rsidR="00013707" w:rsidRPr="00B95E28" w:rsidRDefault="00013707" w:rsidP="00557AB7">
      <w:pPr>
        <w:pStyle w:val="ListParagraph"/>
        <w:numPr>
          <w:ilvl w:val="0"/>
          <w:numId w:val="11"/>
        </w:numPr>
        <w:spacing w:line="480" w:lineRule="auto"/>
        <w:rPr>
          <w:rFonts w:eastAsia="MS Mincho"/>
          <w:color w:val="000000" w:themeColor="text1"/>
        </w:rPr>
      </w:pPr>
      <w:r w:rsidRPr="00B95E28">
        <w:rPr>
          <w:rFonts w:eastAsia="MS Mincho"/>
          <w:color w:val="000000" w:themeColor="text1"/>
        </w:rPr>
        <w:t xml:space="preserve">Clear escalation paths for resolving operational issues </w:t>
      </w:r>
    </w:p>
    <w:p w14:paraId="714AB40A" w14:textId="77777777" w:rsidR="00013707" w:rsidRPr="00B95E28" w:rsidRDefault="00013707" w:rsidP="00557AB7">
      <w:pPr>
        <w:pStyle w:val="ListParagraph"/>
        <w:numPr>
          <w:ilvl w:val="0"/>
          <w:numId w:val="11"/>
        </w:numPr>
        <w:spacing w:line="480" w:lineRule="auto"/>
        <w:rPr>
          <w:rFonts w:eastAsia="MS Mincho"/>
          <w:color w:val="000000" w:themeColor="text1"/>
        </w:rPr>
      </w:pPr>
      <w:r w:rsidRPr="00B95E28">
        <w:rPr>
          <w:rFonts w:eastAsia="MS Mincho"/>
          <w:color w:val="000000" w:themeColor="text1"/>
        </w:rPr>
        <w:t xml:space="preserve">Defined decision-making authority  </w:t>
      </w:r>
    </w:p>
    <w:p w14:paraId="59E9E4A8" w14:textId="77777777" w:rsidR="00013707" w:rsidRPr="00B95E28" w:rsidRDefault="00013707" w:rsidP="00557AB7">
      <w:pPr>
        <w:pStyle w:val="ListParagraph"/>
        <w:numPr>
          <w:ilvl w:val="0"/>
          <w:numId w:val="11"/>
        </w:numPr>
        <w:spacing w:line="480" w:lineRule="auto"/>
        <w:rPr>
          <w:rFonts w:eastAsia="MS Mincho"/>
          <w:color w:val="000000" w:themeColor="text1"/>
        </w:rPr>
      </w:pPr>
      <w:r w:rsidRPr="00B95E28">
        <w:rPr>
          <w:rFonts w:eastAsia="MS Mincho"/>
          <w:color w:val="000000" w:themeColor="text1"/>
        </w:rPr>
        <w:t xml:space="preserve">Frequent status reporting to executive leadership  </w:t>
      </w:r>
    </w:p>
    <w:p w14:paraId="1E00089A" w14:textId="77777777" w:rsidR="008108A2" w:rsidRPr="00B95E28" w:rsidRDefault="008108A2" w:rsidP="00D15BAF">
      <w:pPr>
        <w:rPr>
          <w:rFonts w:eastAsia="MS Mincho"/>
          <w:color w:val="000000" w:themeColor="text1"/>
        </w:rPr>
      </w:pPr>
    </w:p>
    <w:p w14:paraId="7CF5F923" w14:textId="339609BB" w:rsidR="00013707" w:rsidRPr="00B95E28" w:rsidRDefault="00013707" w:rsidP="00557AB7">
      <w:pPr>
        <w:spacing w:line="480" w:lineRule="auto"/>
        <w:rPr>
          <w:rFonts w:eastAsia="MS Mincho"/>
          <w:color w:val="000000" w:themeColor="text1"/>
        </w:rPr>
      </w:pPr>
      <w:r w:rsidRPr="00B95E28">
        <w:rPr>
          <w:rFonts w:eastAsia="MS Mincho"/>
          <w:color w:val="000000" w:themeColor="text1"/>
        </w:rPr>
        <w:t>Leadership must be visible and decisive to maintain alignment and control. This visibility matters because Day 1 uncertainty can quickly expose gaps in decision rights, communication ownership, and operational readiness. Where leadership is absent or fragmented, stabilization becomes reactive rather than governed.</w:t>
      </w:r>
    </w:p>
    <w:p w14:paraId="4538BF47" w14:textId="77777777" w:rsidR="00D15BAF" w:rsidRPr="00B95E28" w:rsidRDefault="00D15BAF" w:rsidP="00D15BAF">
      <w:pPr>
        <w:rPr>
          <w:rFonts w:eastAsia="MS Gothic"/>
          <w:color w:val="000000" w:themeColor="text1"/>
        </w:rPr>
      </w:pPr>
    </w:p>
    <w:p w14:paraId="0363BA71" w14:textId="669D8D0B" w:rsidR="00013707" w:rsidRPr="00B95E28" w:rsidRDefault="00013707" w:rsidP="00557AB7">
      <w:pPr>
        <w:pStyle w:val="Heading3"/>
        <w:spacing w:before="0" w:after="0" w:line="480" w:lineRule="auto"/>
        <w:rPr>
          <w:rFonts w:eastAsia="MS Gothic"/>
          <w:color w:val="000000" w:themeColor="text1"/>
        </w:rPr>
      </w:pPr>
      <w:bookmarkStart w:id="199" w:name="_Toc232351906"/>
      <w:r w:rsidRPr="00B95E28">
        <w:rPr>
          <w:rFonts w:eastAsia="MS Gothic"/>
          <w:color w:val="000000" w:themeColor="text1"/>
        </w:rPr>
        <w:t>6.3.4 Outputs / Deliverables</w:t>
      </w:r>
      <w:bookmarkEnd w:id="199"/>
    </w:p>
    <w:p w14:paraId="23F424F2" w14:textId="77777777" w:rsidR="00013707" w:rsidRPr="00B95E28" w:rsidRDefault="00013707" w:rsidP="00557AB7">
      <w:pPr>
        <w:pStyle w:val="ListParagraph"/>
        <w:numPr>
          <w:ilvl w:val="0"/>
          <w:numId w:val="10"/>
        </w:numPr>
        <w:spacing w:line="480" w:lineRule="auto"/>
        <w:rPr>
          <w:rFonts w:eastAsia="MS Mincho"/>
          <w:color w:val="000000" w:themeColor="text1"/>
        </w:rPr>
      </w:pPr>
      <w:r w:rsidRPr="00B95E28">
        <w:rPr>
          <w:rFonts w:eastAsia="MS Mincho"/>
          <w:color w:val="000000" w:themeColor="text1"/>
        </w:rPr>
        <w:t xml:space="preserve">Confirmation of business continuity across core functions  </w:t>
      </w:r>
    </w:p>
    <w:p w14:paraId="683A0B9D" w14:textId="77777777" w:rsidR="00013707" w:rsidRPr="00B95E28" w:rsidRDefault="00013707" w:rsidP="00557AB7">
      <w:pPr>
        <w:pStyle w:val="ListParagraph"/>
        <w:numPr>
          <w:ilvl w:val="0"/>
          <w:numId w:val="10"/>
        </w:numPr>
        <w:spacing w:line="480" w:lineRule="auto"/>
        <w:rPr>
          <w:rFonts w:eastAsia="MS Mincho"/>
          <w:color w:val="000000" w:themeColor="text1"/>
        </w:rPr>
      </w:pPr>
      <w:r w:rsidRPr="00B95E28">
        <w:rPr>
          <w:rFonts w:eastAsia="MS Mincho"/>
          <w:color w:val="000000" w:themeColor="text1"/>
        </w:rPr>
        <w:t xml:space="preserve">Completion of Day 1 communication activities  </w:t>
      </w:r>
    </w:p>
    <w:p w14:paraId="15DC6C9D" w14:textId="77777777" w:rsidR="00013707" w:rsidRPr="00B95E28" w:rsidRDefault="00013707" w:rsidP="00557AB7">
      <w:pPr>
        <w:pStyle w:val="ListParagraph"/>
        <w:numPr>
          <w:ilvl w:val="0"/>
          <w:numId w:val="10"/>
        </w:numPr>
        <w:spacing w:line="480" w:lineRule="auto"/>
        <w:rPr>
          <w:rFonts w:eastAsia="MS Mincho"/>
          <w:color w:val="000000" w:themeColor="text1"/>
        </w:rPr>
      </w:pPr>
      <w:r w:rsidRPr="00B95E28">
        <w:rPr>
          <w:rFonts w:eastAsia="MS Mincho"/>
          <w:color w:val="000000" w:themeColor="text1"/>
        </w:rPr>
        <w:t xml:space="preserve">Verified system access and operational readiness  </w:t>
      </w:r>
    </w:p>
    <w:p w14:paraId="443F9010" w14:textId="77777777" w:rsidR="00013707" w:rsidRPr="00B95E28" w:rsidRDefault="00013707" w:rsidP="00557AB7">
      <w:pPr>
        <w:pStyle w:val="ListParagraph"/>
        <w:numPr>
          <w:ilvl w:val="0"/>
          <w:numId w:val="10"/>
        </w:numPr>
        <w:spacing w:line="480" w:lineRule="auto"/>
        <w:rPr>
          <w:rFonts w:eastAsia="MS Mincho"/>
          <w:color w:val="000000" w:themeColor="text1"/>
        </w:rPr>
      </w:pPr>
      <w:r w:rsidRPr="00B95E28">
        <w:rPr>
          <w:rFonts w:eastAsia="MS Mincho"/>
          <w:color w:val="000000" w:themeColor="text1"/>
        </w:rPr>
        <w:t xml:space="preserve">Initial issue log and resolution tracking  </w:t>
      </w:r>
    </w:p>
    <w:p w14:paraId="55868529" w14:textId="77777777" w:rsidR="00013707" w:rsidRPr="00B95E28" w:rsidRDefault="00013707" w:rsidP="00557AB7">
      <w:pPr>
        <w:pStyle w:val="ListParagraph"/>
        <w:numPr>
          <w:ilvl w:val="0"/>
          <w:numId w:val="10"/>
        </w:numPr>
        <w:spacing w:line="480" w:lineRule="auto"/>
        <w:rPr>
          <w:rFonts w:eastAsia="MS Mincho"/>
          <w:color w:val="000000" w:themeColor="text1"/>
        </w:rPr>
      </w:pPr>
      <w:r w:rsidRPr="00B95E28">
        <w:rPr>
          <w:rFonts w:eastAsia="MS Mincho"/>
          <w:color w:val="000000" w:themeColor="text1"/>
        </w:rPr>
        <w:t>Status reports confirming stabilization of operations</w:t>
      </w:r>
    </w:p>
    <w:p w14:paraId="24AF5D73" w14:textId="77777777" w:rsidR="00013707" w:rsidRPr="00B95E28" w:rsidRDefault="00013707" w:rsidP="00557AB7">
      <w:pPr>
        <w:pStyle w:val="Heading3"/>
        <w:spacing w:before="0" w:after="0" w:line="480" w:lineRule="auto"/>
        <w:rPr>
          <w:rFonts w:eastAsia="MS Gothic"/>
          <w:color w:val="000000" w:themeColor="text1"/>
        </w:rPr>
      </w:pPr>
      <w:bookmarkStart w:id="200" w:name="_Toc232351907"/>
      <w:r w:rsidRPr="00B95E28">
        <w:rPr>
          <w:rFonts w:eastAsia="MS Gothic"/>
          <w:color w:val="000000" w:themeColor="text1"/>
        </w:rPr>
        <w:t>6.3.5 Risks and Failure Points</w:t>
      </w:r>
      <w:bookmarkEnd w:id="200"/>
    </w:p>
    <w:p w14:paraId="76A0B94D" w14:textId="77777777" w:rsidR="00013707" w:rsidRPr="00B95E28" w:rsidRDefault="00013707" w:rsidP="00557AB7">
      <w:pPr>
        <w:pStyle w:val="ListParagraph"/>
        <w:numPr>
          <w:ilvl w:val="0"/>
          <w:numId w:val="9"/>
        </w:numPr>
        <w:spacing w:line="480" w:lineRule="auto"/>
        <w:rPr>
          <w:rFonts w:eastAsia="MS Mincho"/>
          <w:color w:val="000000" w:themeColor="text1"/>
        </w:rPr>
      </w:pPr>
      <w:r w:rsidRPr="00B95E28">
        <w:rPr>
          <w:rFonts w:eastAsia="MS Mincho"/>
          <w:b/>
          <w:bCs/>
          <w:color w:val="000000" w:themeColor="text1"/>
        </w:rPr>
        <w:t xml:space="preserve">Inadequate Day 1 Execution: </w:t>
      </w:r>
      <w:r w:rsidRPr="00B95E28">
        <w:rPr>
          <w:rFonts w:eastAsia="MS Mincho"/>
          <w:color w:val="000000" w:themeColor="text1"/>
        </w:rPr>
        <w:t>Failure to execute planned activities leads to confusion and disruption.</w:t>
      </w:r>
    </w:p>
    <w:p w14:paraId="0EF1A57A" w14:textId="77777777" w:rsidR="00013707" w:rsidRPr="00B95E28" w:rsidRDefault="00013707" w:rsidP="00557AB7">
      <w:pPr>
        <w:pStyle w:val="ListParagraph"/>
        <w:numPr>
          <w:ilvl w:val="0"/>
          <w:numId w:val="9"/>
        </w:numPr>
        <w:spacing w:line="480" w:lineRule="auto"/>
        <w:rPr>
          <w:rFonts w:eastAsia="MS Mincho"/>
          <w:color w:val="000000" w:themeColor="text1"/>
        </w:rPr>
      </w:pPr>
      <w:r w:rsidRPr="00B95E28">
        <w:rPr>
          <w:rFonts w:eastAsia="MS Mincho"/>
          <w:b/>
          <w:bCs/>
          <w:color w:val="000000" w:themeColor="text1"/>
        </w:rPr>
        <w:t>Breakdown in Business Continuity</w:t>
      </w:r>
      <w:r w:rsidRPr="00B95E28">
        <w:rPr>
          <w:rFonts w:eastAsia="MS Mincho"/>
          <w:color w:val="000000" w:themeColor="text1"/>
        </w:rPr>
        <w:t>: Interruptions to core processes impact operations and stakeholders.</w:t>
      </w:r>
    </w:p>
    <w:p w14:paraId="6765FF60" w14:textId="77777777" w:rsidR="00013707" w:rsidRPr="00B95E28" w:rsidRDefault="00013707" w:rsidP="00557AB7">
      <w:pPr>
        <w:pStyle w:val="ListParagraph"/>
        <w:numPr>
          <w:ilvl w:val="0"/>
          <w:numId w:val="9"/>
        </w:numPr>
        <w:spacing w:line="480" w:lineRule="auto"/>
        <w:rPr>
          <w:rFonts w:eastAsia="MS Mincho"/>
          <w:color w:val="000000" w:themeColor="text1"/>
        </w:rPr>
      </w:pPr>
      <w:r w:rsidRPr="00B95E28">
        <w:rPr>
          <w:rFonts w:eastAsia="MS Mincho"/>
          <w:b/>
          <w:bCs/>
          <w:color w:val="000000" w:themeColor="text1"/>
        </w:rPr>
        <w:t>Poor Communication</w:t>
      </w:r>
      <w:r w:rsidRPr="00B95E28">
        <w:rPr>
          <w:rFonts w:eastAsia="MS Mincho"/>
          <w:color w:val="000000" w:themeColor="text1"/>
        </w:rPr>
        <w:t>: Lack of clarity increases uncertainty and resistance.</w:t>
      </w:r>
    </w:p>
    <w:p w14:paraId="4F02FFB5" w14:textId="77777777" w:rsidR="00013707" w:rsidRPr="00B95E28" w:rsidRDefault="00013707" w:rsidP="00557AB7">
      <w:pPr>
        <w:pStyle w:val="ListParagraph"/>
        <w:numPr>
          <w:ilvl w:val="0"/>
          <w:numId w:val="9"/>
        </w:numPr>
        <w:spacing w:line="480" w:lineRule="auto"/>
        <w:rPr>
          <w:rFonts w:eastAsia="MS Mincho"/>
          <w:color w:val="000000" w:themeColor="text1"/>
        </w:rPr>
      </w:pPr>
      <w:r w:rsidRPr="00B95E28">
        <w:rPr>
          <w:rFonts w:eastAsia="MS Mincho"/>
          <w:b/>
          <w:bCs/>
          <w:color w:val="000000" w:themeColor="text1"/>
        </w:rPr>
        <w:t>System Access Failures</w:t>
      </w:r>
      <w:r w:rsidRPr="00B95E28">
        <w:rPr>
          <w:rFonts w:eastAsia="MS Mincho"/>
          <w:color w:val="000000" w:themeColor="text1"/>
        </w:rPr>
        <w:t>: Delays prevent employees from performing effectively.</w:t>
      </w:r>
    </w:p>
    <w:p w14:paraId="4118A9EE" w14:textId="77777777" w:rsidR="00013707" w:rsidRPr="00B95E28" w:rsidRDefault="00013707" w:rsidP="00557AB7">
      <w:pPr>
        <w:pStyle w:val="ListParagraph"/>
        <w:numPr>
          <w:ilvl w:val="0"/>
          <w:numId w:val="9"/>
        </w:numPr>
        <w:spacing w:line="480" w:lineRule="auto"/>
        <w:rPr>
          <w:rFonts w:eastAsia="MS Mincho"/>
          <w:color w:val="000000" w:themeColor="text1"/>
        </w:rPr>
      </w:pPr>
      <w:r w:rsidRPr="00B95E28">
        <w:rPr>
          <w:rFonts w:eastAsia="MS Mincho"/>
          <w:b/>
          <w:bCs/>
          <w:color w:val="000000" w:themeColor="text1"/>
        </w:rPr>
        <w:t xml:space="preserve">Delayed Issue Resolution: </w:t>
      </w:r>
      <w:r w:rsidRPr="00B95E28">
        <w:rPr>
          <w:rFonts w:eastAsia="MS Mincho"/>
          <w:color w:val="000000" w:themeColor="text1"/>
        </w:rPr>
        <w:t>Slow response leads to compounding operational challenges.</w:t>
      </w:r>
    </w:p>
    <w:p w14:paraId="55661372" w14:textId="77777777" w:rsidR="008108A2" w:rsidRPr="00B95E28" w:rsidRDefault="008108A2" w:rsidP="00D15BAF">
      <w:pPr>
        <w:rPr>
          <w:rFonts w:eastAsia="MS Mincho"/>
          <w:color w:val="000000" w:themeColor="text1"/>
        </w:rPr>
      </w:pPr>
    </w:p>
    <w:p w14:paraId="6A3BEDDE" w14:textId="0256C23B"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phase serves as the first real test of planning assumptions under live operating conditions. Successful stabilization indicates alignment between planning and operational reality, while disruptions reveal gaps that must be addressed during execution. As such, this phase provides critical feedback on the effectiveness of upstream planning.</w:t>
      </w:r>
    </w:p>
    <w:p w14:paraId="7CC1C29A" w14:textId="77777777" w:rsidR="008108A2" w:rsidRPr="00B95E28" w:rsidRDefault="008108A2" w:rsidP="00D15BAF">
      <w:pPr>
        <w:rPr>
          <w:rFonts w:eastAsia="MS Mincho"/>
          <w:color w:val="000000" w:themeColor="text1"/>
        </w:rPr>
      </w:pPr>
    </w:p>
    <w:p w14:paraId="182158C2" w14:textId="4804D73B"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 mechanism is exposure. Day 1 reveals whether the assumptions made during planning are operationally valid. When access, communication, reporting, or ownership gaps appear immediately after close, the organization is forced into reactive control rather than disciplined execution.</w:t>
      </w:r>
    </w:p>
    <w:p w14:paraId="128C4204" w14:textId="77777777" w:rsidR="008108A2" w:rsidRPr="00B95E28" w:rsidRDefault="008108A2" w:rsidP="00D15BAF">
      <w:pPr>
        <w:rPr>
          <w:rFonts w:eastAsia="MS Mincho"/>
          <w:color w:val="000000" w:themeColor="text1"/>
        </w:rPr>
      </w:pPr>
    </w:p>
    <w:p w14:paraId="5256CEA9" w14:textId="30539BC9"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These risks reinforce the importance of Day 1 as a stabilization phase focused on control rather than full execution.</w:t>
      </w:r>
    </w:p>
    <w:p w14:paraId="6E909D5E" w14:textId="77777777" w:rsidR="00D15BAF" w:rsidRPr="00B95E28" w:rsidRDefault="00D15BAF" w:rsidP="00D15BAF">
      <w:pPr>
        <w:rPr>
          <w:rFonts w:eastAsia="MS Mincho"/>
          <w:color w:val="000000" w:themeColor="text1"/>
        </w:rPr>
      </w:pPr>
    </w:p>
    <w:p w14:paraId="67430E79" w14:textId="5083E262" w:rsidR="00013707" w:rsidRPr="00B95E28" w:rsidRDefault="00013707" w:rsidP="00557AB7">
      <w:pPr>
        <w:spacing w:line="480" w:lineRule="auto"/>
        <w:rPr>
          <w:rFonts w:eastAsia="MS Mincho"/>
          <w:color w:val="000000" w:themeColor="text1"/>
        </w:rPr>
      </w:pPr>
      <w:r w:rsidRPr="00B95E28">
        <w:rPr>
          <w:rFonts w:eastAsia="MS Mincho"/>
          <w:color w:val="000000" w:themeColor="text1"/>
        </w:rPr>
        <w:t>Effective stabilization is enabled by governance clarity, communication structures, and operational readiness supported by the Integration Capability Engine.</w:t>
      </w:r>
    </w:p>
    <w:p w14:paraId="128F1313" w14:textId="77777777" w:rsidR="00013707" w:rsidRPr="00B95E28" w:rsidRDefault="00013707" w:rsidP="00557AB7">
      <w:pPr>
        <w:pStyle w:val="Heading2"/>
        <w:spacing w:before="0" w:after="0" w:line="480" w:lineRule="auto"/>
        <w:rPr>
          <w:rFonts w:eastAsia="MS Gothic"/>
          <w:color w:val="000000" w:themeColor="text1"/>
        </w:rPr>
      </w:pPr>
      <w:bookmarkStart w:id="201" w:name="_Toc232351908"/>
      <w:r w:rsidRPr="00B95E28">
        <w:rPr>
          <w:rFonts w:eastAsia="MS Gothic"/>
          <w:color w:val="000000" w:themeColor="text1"/>
        </w:rPr>
        <w:t>6.4 Phase 4: Integration Execution</w:t>
      </w:r>
      <w:bookmarkEnd w:id="201"/>
    </w:p>
    <w:p w14:paraId="15DB6E96"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phase represents the point at which integration plans are translated into measurable outcomes. As established in Chapter 5, execution is the primary mechanism through which value is realized, while also directly influencing the quality of organizational learning.</w:t>
      </w:r>
    </w:p>
    <w:p w14:paraId="46B62123" w14:textId="77777777" w:rsidR="008108A2" w:rsidRPr="00B95E28" w:rsidRDefault="008108A2" w:rsidP="00D15BAF">
      <w:pPr>
        <w:rPr>
          <w:color w:val="000000" w:themeColor="text1"/>
        </w:rPr>
      </w:pPr>
    </w:p>
    <w:p w14:paraId="1E2E2A30" w14:textId="29CD5EAF" w:rsidR="00013707" w:rsidRPr="00B95E28" w:rsidRDefault="00013707" w:rsidP="00557AB7">
      <w:pPr>
        <w:spacing w:line="480" w:lineRule="auto"/>
        <w:rPr>
          <w:color w:val="000000" w:themeColor="text1"/>
        </w:rPr>
      </w:pPr>
      <w:r w:rsidRPr="00B95E28">
        <w:rPr>
          <w:color w:val="000000" w:themeColor="text1"/>
        </w:rPr>
        <w:t>This phase directly addresses the execution challenges identified in Chapter 5, particularly those related to governance, coordination, and value realization.</w:t>
      </w:r>
    </w:p>
    <w:p w14:paraId="3A42DE87" w14:textId="77777777" w:rsidR="008108A2" w:rsidRPr="00B95E28" w:rsidRDefault="008108A2" w:rsidP="00D15BAF">
      <w:pPr>
        <w:rPr>
          <w:color w:val="000000" w:themeColor="text1"/>
        </w:rPr>
      </w:pPr>
    </w:p>
    <w:p w14:paraId="6C154807" w14:textId="54221315" w:rsidR="00013707" w:rsidRPr="00B95E28" w:rsidRDefault="00013707" w:rsidP="00557AB7">
      <w:pPr>
        <w:spacing w:line="480" w:lineRule="auto"/>
        <w:rPr>
          <w:color w:val="000000" w:themeColor="text1"/>
        </w:rPr>
      </w:pPr>
      <w:r w:rsidRPr="00B95E28">
        <w:rPr>
          <w:color w:val="000000" w:themeColor="text1"/>
        </w:rPr>
        <w:t>The effectiveness of execution is not determined solely by the efficiency of integration activities, but by the extent to which those activities are aligned with the underlying value drivers of the acquisition. Where execution efforts are not directly linked to how value is expected to be created, organizations may achieve operational alignment without realizing intended outcomes.</w:t>
      </w:r>
    </w:p>
    <w:p w14:paraId="1AE240AF" w14:textId="77777777" w:rsidR="008108A2" w:rsidRPr="00B95E28" w:rsidRDefault="008108A2" w:rsidP="00D15BAF">
      <w:pPr>
        <w:rPr>
          <w:color w:val="000000" w:themeColor="text1"/>
        </w:rPr>
      </w:pPr>
    </w:p>
    <w:p w14:paraId="07793785" w14:textId="325FA8FA" w:rsidR="00013707" w:rsidRPr="00B95E28" w:rsidRDefault="00013707" w:rsidP="00557AB7">
      <w:pPr>
        <w:spacing w:line="480" w:lineRule="auto"/>
        <w:rPr>
          <w:rFonts w:eastAsia="MS Gothic"/>
          <w:b/>
          <w:bCs/>
          <w:color w:val="000000" w:themeColor="text1"/>
        </w:rPr>
      </w:pPr>
      <w:r w:rsidRPr="00B95E28">
        <w:rPr>
          <w:color w:val="000000" w:themeColor="text1"/>
        </w:rPr>
        <w:t xml:space="preserve">This highlights that integration capability must extend beyond coordination and control to include alignment with value creation logic. The ability to translate strategic intent into </w:t>
      </w:r>
      <w:r w:rsidRPr="00B95E28">
        <w:rPr>
          <w:color w:val="000000" w:themeColor="text1"/>
        </w:rPr>
        <w:lastRenderedPageBreak/>
        <w:t>operational outcomes therefore represents a critical dimension of execution effectiveness within the Integration Capability Loop.</w:t>
      </w:r>
    </w:p>
    <w:p w14:paraId="4E8CC3E8" w14:textId="77777777" w:rsidR="00D15BAF" w:rsidRPr="00B95E28" w:rsidRDefault="00D15BAF" w:rsidP="00D15BAF">
      <w:pPr>
        <w:rPr>
          <w:rFonts w:eastAsia="MS Gothic"/>
          <w:color w:val="000000" w:themeColor="text1"/>
        </w:rPr>
      </w:pPr>
    </w:p>
    <w:p w14:paraId="5053B046" w14:textId="030E16C9" w:rsidR="00013707" w:rsidRPr="00B95E28" w:rsidRDefault="00013707" w:rsidP="00557AB7">
      <w:pPr>
        <w:pStyle w:val="Heading3"/>
        <w:spacing w:before="0" w:after="0" w:line="480" w:lineRule="auto"/>
        <w:rPr>
          <w:rFonts w:eastAsia="MS Gothic"/>
          <w:color w:val="000000" w:themeColor="text1"/>
        </w:rPr>
      </w:pPr>
      <w:bookmarkStart w:id="202" w:name="_Toc232351909"/>
      <w:r w:rsidRPr="00B95E28">
        <w:rPr>
          <w:rFonts w:eastAsia="MS Gothic"/>
          <w:color w:val="000000" w:themeColor="text1"/>
        </w:rPr>
        <w:t>6.4.1 Objectives</w:t>
      </w:r>
      <w:bookmarkEnd w:id="202"/>
    </w:p>
    <w:p w14:paraId="359E47CB"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 objective of the Integration Execution phase is to deliver the value identified during the acquisition by implementing integration initiatives in a controlled and coordinated manner. This phase focuses on translating plans into measurable outcomes, including synergy realization, operational alignment, and performance improvement.</w:t>
      </w:r>
    </w:p>
    <w:p w14:paraId="2813918E" w14:textId="77777777" w:rsidR="008108A2" w:rsidRPr="00B95E28" w:rsidRDefault="008108A2" w:rsidP="00557AB7">
      <w:pPr>
        <w:spacing w:line="480" w:lineRule="auto"/>
        <w:rPr>
          <w:rFonts w:eastAsia="MS Mincho"/>
          <w:color w:val="000000" w:themeColor="text1"/>
        </w:rPr>
      </w:pPr>
    </w:p>
    <w:p w14:paraId="143512D6" w14:textId="74D84673" w:rsidR="00013707" w:rsidRPr="00B95E28" w:rsidRDefault="00013707" w:rsidP="00557AB7">
      <w:pPr>
        <w:spacing w:line="480" w:lineRule="auto"/>
        <w:rPr>
          <w:rFonts w:eastAsia="MS Mincho"/>
          <w:color w:val="000000" w:themeColor="text1"/>
        </w:rPr>
      </w:pPr>
      <w:r w:rsidRPr="00B95E28">
        <w:rPr>
          <w:rFonts w:eastAsia="MS Mincho"/>
          <w:color w:val="000000" w:themeColor="text1"/>
        </w:rPr>
        <w:t>At this stage, the organization moves beyond stabilization and begins executing integration activities across functions. The emphasis is on maintaining execution discipline, managing interdependencies, and ensuring that integration efforts remain aligned with the strategic intent of the transaction.</w:t>
      </w:r>
    </w:p>
    <w:p w14:paraId="1D605977" w14:textId="77777777" w:rsidR="008108A2" w:rsidRPr="00B95E28" w:rsidRDefault="008108A2" w:rsidP="00D15BAF">
      <w:pPr>
        <w:rPr>
          <w:rFonts w:eastAsia="MS Mincho"/>
          <w:color w:val="000000" w:themeColor="text1"/>
        </w:rPr>
      </w:pPr>
    </w:p>
    <w:p w14:paraId="53205849" w14:textId="11C3BE18" w:rsidR="00013707" w:rsidRPr="00B95E28" w:rsidRDefault="00013707" w:rsidP="00557AB7">
      <w:pPr>
        <w:spacing w:line="480" w:lineRule="auto"/>
        <w:rPr>
          <w:rFonts w:eastAsia="MS Mincho"/>
          <w:color w:val="000000" w:themeColor="text1"/>
        </w:rPr>
      </w:pPr>
      <w:r w:rsidRPr="00B95E28">
        <w:rPr>
          <w:rFonts w:eastAsia="MS Mincho"/>
          <w:color w:val="000000" w:themeColor="text1"/>
        </w:rPr>
        <w:t>As illustrated in Figure 6.1, this phase represents the primary point at which value is captured through integration execution within the Integration Capability Loop.</w:t>
      </w:r>
    </w:p>
    <w:p w14:paraId="1AE7B95F"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phase therefore represents the point at which integration capability is most visibly tested, as execution outcomes reflect the effectiveness of upstream governance and planning decisions.</w:t>
      </w:r>
    </w:p>
    <w:p w14:paraId="0854D125" w14:textId="77777777" w:rsidR="00D15BAF" w:rsidRPr="00B95E28" w:rsidRDefault="00D15BAF" w:rsidP="00D15BAF">
      <w:pPr>
        <w:rPr>
          <w:rFonts w:eastAsia="MS Gothic"/>
          <w:color w:val="000000" w:themeColor="text1"/>
        </w:rPr>
      </w:pPr>
    </w:p>
    <w:p w14:paraId="46BF249D" w14:textId="34DFC9FD" w:rsidR="00013707" w:rsidRPr="00B95E28" w:rsidRDefault="00013707" w:rsidP="00557AB7">
      <w:pPr>
        <w:pStyle w:val="Heading3"/>
        <w:spacing w:before="0" w:after="0" w:line="480" w:lineRule="auto"/>
        <w:rPr>
          <w:rFonts w:eastAsia="MS Gothic"/>
          <w:color w:val="000000" w:themeColor="text1"/>
        </w:rPr>
      </w:pPr>
      <w:bookmarkStart w:id="203" w:name="_Toc232351910"/>
      <w:r w:rsidRPr="00B95E28">
        <w:rPr>
          <w:rFonts w:eastAsia="MS Gothic"/>
          <w:color w:val="000000" w:themeColor="text1"/>
        </w:rPr>
        <w:t>6.4.2 Key Activities</w:t>
      </w:r>
      <w:bookmarkEnd w:id="203"/>
    </w:p>
    <w:p w14:paraId="2DEC703B" w14:textId="77777777" w:rsidR="00013707" w:rsidRPr="00B95E28" w:rsidRDefault="00013707" w:rsidP="00557AB7">
      <w:pPr>
        <w:pStyle w:val="ListParagraph"/>
        <w:numPr>
          <w:ilvl w:val="0"/>
          <w:numId w:val="4"/>
        </w:numPr>
        <w:spacing w:line="480" w:lineRule="auto"/>
        <w:rPr>
          <w:rFonts w:eastAsia="MS Mincho"/>
          <w:color w:val="000000" w:themeColor="text1"/>
        </w:rPr>
      </w:pPr>
      <w:r w:rsidRPr="00B95E28">
        <w:rPr>
          <w:rFonts w:eastAsia="MS Mincho"/>
          <w:b/>
          <w:bCs/>
          <w:color w:val="000000" w:themeColor="text1"/>
        </w:rPr>
        <w:t>Execution of Integration Workstreams:</w:t>
      </w:r>
      <w:r w:rsidRPr="00B95E28">
        <w:rPr>
          <w:rFonts w:eastAsia="MS Mincho"/>
          <w:color w:val="000000" w:themeColor="text1"/>
        </w:rPr>
        <w:t xml:space="preserve"> Implementing functional and cross-functional integration initiatives aligned to defined priorities.</w:t>
      </w:r>
    </w:p>
    <w:p w14:paraId="629A4F10" w14:textId="77777777" w:rsidR="00013707" w:rsidRPr="00B95E28" w:rsidRDefault="00013707" w:rsidP="00557AB7">
      <w:pPr>
        <w:pStyle w:val="ListParagraph"/>
        <w:numPr>
          <w:ilvl w:val="0"/>
          <w:numId w:val="4"/>
        </w:numPr>
        <w:spacing w:line="480" w:lineRule="auto"/>
        <w:rPr>
          <w:rFonts w:eastAsia="MS Mincho"/>
          <w:color w:val="000000" w:themeColor="text1"/>
        </w:rPr>
      </w:pPr>
      <w:r w:rsidRPr="00B95E28">
        <w:rPr>
          <w:rFonts w:eastAsia="MS Mincho"/>
          <w:b/>
          <w:bCs/>
          <w:color w:val="000000" w:themeColor="text1"/>
        </w:rPr>
        <w:t>Synergy Realization Tracking:</w:t>
      </w:r>
      <w:r w:rsidRPr="00B95E28">
        <w:rPr>
          <w:rFonts w:eastAsia="MS Mincho"/>
          <w:color w:val="000000" w:themeColor="text1"/>
        </w:rPr>
        <w:t xml:space="preserve"> Monitoring progress against identified synergies, including cost savings and revenue enhancements.</w:t>
      </w:r>
    </w:p>
    <w:p w14:paraId="54D80B87" w14:textId="77777777" w:rsidR="00013707" w:rsidRPr="00B95E28" w:rsidRDefault="00013707" w:rsidP="00557AB7">
      <w:pPr>
        <w:pStyle w:val="ListParagraph"/>
        <w:numPr>
          <w:ilvl w:val="0"/>
          <w:numId w:val="4"/>
        </w:numPr>
        <w:spacing w:line="480" w:lineRule="auto"/>
        <w:rPr>
          <w:rFonts w:eastAsia="MS Mincho"/>
          <w:color w:val="000000" w:themeColor="text1"/>
        </w:rPr>
      </w:pPr>
      <w:r w:rsidRPr="00B95E28">
        <w:rPr>
          <w:rFonts w:eastAsia="MS Mincho"/>
          <w:b/>
          <w:bCs/>
          <w:color w:val="000000" w:themeColor="text1"/>
        </w:rPr>
        <w:lastRenderedPageBreak/>
        <w:t>Cross-Functional Coordination:</w:t>
      </w:r>
      <w:r w:rsidRPr="00B95E28">
        <w:rPr>
          <w:rFonts w:eastAsia="MS Mincho"/>
          <w:color w:val="000000" w:themeColor="text1"/>
        </w:rPr>
        <w:t xml:space="preserve"> Ensuring alignment and collaboration across departments to manage dependencies and avoid conflicts.</w:t>
      </w:r>
    </w:p>
    <w:p w14:paraId="7F3F1766" w14:textId="77777777" w:rsidR="00013707" w:rsidRPr="00B95E28" w:rsidRDefault="00013707" w:rsidP="00557AB7">
      <w:pPr>
        <w:pStyle w:val="ListParagraph"/>
        <w:numPr>
          <w:ilvl w:val="0"/>
          <w:numId w:val="4"/>
        </w:numPr>
        <w:spacing w:line="480" w:lineRule="auto"/>
        <w:rPr>
          <w:rFonts w:eastAsia="MS Mincho"/>
          <w:color w:val="000000" w:themeColor="text1"/>
        </w:rPr>
      </w:pPr>
      <w:r w:rsidRPr="00B95E28">
        <w:rPr>
          <w:rFonts w:eastAsia="MS Mincho"/>
          <w:b/>
          <w:bCs/>
          <w:color w:val="000000" w:themeColor="text1"/>
        </w:rPr>
        <w:t>Change Management and Adoption:</w:t>
      </w:r>
      <w:r w:rsidRPr="00B95E28">
        <w:rPr>
          <w:rFonts w:eastAsia="MS Mincho"/>
          <w:color w:val="000000" w:themeColor="text1"/>
        </w:rPr>
        <w:t xml:space="preserve"> Supporting employees through organizational changes to ensure adoption of new processes and structures.</w:t>
      </w:r>
    </w:p>
    <w:p w14:paraId="3271B0B2" w14:textId="77777777" w:rsidR="00013707" w:rsidRPr="00B95E28" w:rsidRDefault="00013707" w:rsidP="00557AB7">
      <w:pPr>
        <w:pStyle w:val="ListParagraph"/>
        <w:numPr>
          <w:ilvl w:val="0"/>
          <w:numId w:val="4"/>
        </w:numPr>
        <w:spacing w:line="480" w:lineRule="auto"/>
        <w:rPr>
          <w:rFonts w:eastAsia="MS Mincho"/>
          <w:color w:val="000000" w:themeColor="text1"/>
        </w:rPr>
      </w:pPr>
      <w:r w:rsidRPr="00B95E28">
        <w:rPr>
          <w:rFonts w:eastAsia="MS Mincho"/>
          <w:b/>
          <w:bCs/>
          <w:color w:val="000000" w:themeColor="text1"/>
        </w:rPr>
        <w:t>Performance Monitoring and Reporting:</w:t>
      </w:r>
      <w:r w:rsidRPr="00B95E28">
        <w:rPr>
          <w:rFonts w:eastAsia="MS Mincho"/>
          <w:color w:val="000000" w:themeColor="text1"/>
        </w:rPr>
        <w:t xml:space="preserve"> Tracking key performance indicators to assess progress and identify areas requiring adjustment.</w:t>
      </w:r>
    </w:p>
    <w:p w14:paraId="4E947441"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Execution discipline differentiates organizations that merely plan integration from those that convert strategic intent into measurable value realization. This is where governance, leadership, resourcing, and cross-functional coordination become visible in performance outcomes.</w:t>
      </w:r>
    </w:p>
    <w:p w14:paraId="19201F87" w14:textId="77777777" w:rsidR="008108A2" w:rsidRPr="00B95E28" w:rsidRDefault="008108A2" w:rsidP="00557AB7">
      <w:pPr>
        <w:spacing w:line="480" w:lineRule="auto"/>
        <w:rPr>
          <w:rFonts w:eastAsia="MS Mincho"/>
          <w:color w:val="000000" w:themeColor="text1"/>
        </w:rPr>
      </w:pPr>
    </w:p>
    <w:p w14:paraId="303CC86B" w14:textId="1454ED4B" w:rsidR="00013707" w:rsidRPr="00B95E28" w:rsidRDefault="00013707" w:rsidP="00557AB7">
      <w:pPr>
        <w:spacing w:line="480" w:lineRule="auto"/>
        <w:rPr>
          <w:rFonts w:eastAsia="MS Mincho"/>
          <w:color w:val="000000" w:themeColor="text1"/>
        </w:rPr>
      </w:pPr>
      <w:r w:rsidRPr="00B95E28">
        <w:rPr>
          <w:rFonts w:eastAsia="MS Mincho"/>
          <w:color w:val="000000" w:themeColor="text1"/>
        </w:rPr>
        <w:t>Technology integration plays a central role in enabling coordination and visibility during execution, yet is frequently underestimated in practice. The findings of this research indicate that decisions made during pre-close planning regarding systems integration have a disproportionate impact on execution complexity, particularly where systems affect data integrity, reporting, and operational workflows.</w:t>
      </w:r>
    </w:p>
    <w:p w14:paraId="6F3B224F" w14:textId="77777777" w:rsidR="008108A2" w:rsidRPr="00B95E28" w:rsidRDefault="008108A2" w:rsidP="00D15BAF">
      <w:pPr>
        <w:rPr>
          <w:rFonts w:eastAsia="MS Mincho"/>
          <w:color w:val="000000" w:themeColor="text1"/>
        </w:rPr>
      </w:pPr>
    </w:p>
    <w:p w14:paraId="26E16C71" w14:textId="00664A40" w:rsidR="00013707" w:rsidRPr="00B95E28" w:rsidRDefault="00013707" w:rsidP="00557AB7">
      <w:pPr>
        <w:spacing w:line="480" w:lineRule="auto"/>
        <w:rPr>
          <w:rFonts w:eastAsia="MS Mincho"/>
          <w:color w:val="000000" w:themeColor="text1"/>
        </w:rPr>
      </w:pPr>
      <w:r w:rsidRPr="00B95E28">
        <w:rPr>
          <w:rFonts w:eastAsia="MS Mincho"/>
          <w:color w:val="000000" w:themeColor="text1"/>
        </w:rPr>
        <w:t>Where technology is treated as a purely technical activity, organizations often encounter delays, duplication of effort, and reduced visibility into integration progress. In contrast, when technology integration is embedded within governance and planning structures, it supports real-time tracking of performance, facilitates communication across workstreams, and enhances overall execution discipline.</w:t>
      </w:r>
    </w:p>
    <w:p w14:paraId="7BDA8C92" w14:textId="77777777" w:rsidR="008108A2" w:rsidRPr="00B95E28" w:rsidRDefault="008108A2" w:rsidP="00D15BAF">
      <w:pPr>
        <w:rPr>
          <w:rFonts w:eastAsia="MS Mincho"/>
          <w:color w:val="000000" w:themeColor="text1"/>
        </w:rPr>
      </w:pPr>
    </w:p>
    <w:p w14:paraId="3109EE0A" w14:textId="4AA01F38" w:rsidR="00013707" w:rsidRPr="00B95E28" w:rsidRDefault="00013707" w:rsidP="00557AB7">
      <w:pPr>
        <w:spacing w:line="480" w:lineRule="auto"/>
        <w:rPr>
          <w:rFonts w:eastAsia="MS Mincho"/>
          <w:color w:val="000000" w:themeColor="text1"/>
        </w:rPr>
      </w:pPr>
      <w:r w:rsidRPr="00B95E28">
        <w:rPr>
          <w:rFonts w:eastAsia="MS Mincho"/>
          <w:color w:val="000000" w:themeColor="text1"/>
        </w:rPr>
        <w:lastRenderedPageBreak/>
        <w:t>This highlights that technology is not simply an enabler of integration activities, but a core component of integration capability that influences how effectively organizations can coordinate and execute across phases.</w:t>
      </w:r>
    </w:p>
    <w:p w14:paraId="32AF7839" w14:textId="77777777" w:rsidR="00D15BAF" w:rsidRPr="00B95E28" w:rsidRDefault="00D15BAF" w:rsidP="00D15BAF">
      <w:pPr>
        <w:rPr>
          <w:rFonts w:eastAsia="MS Gothic"/>
          <w:color w:val="000000" w:themeColor="text1"/>
        </w:rPr>
      </w:pPr>
    </w:p>
    <w:p w14:paraId="64FDB7F1" w14:textId="22D0789A" w:rsidR="00013707" w:rsidRPr="00B95E28" w:rsidRDefault="00013707" w:rsidP="00557AB7">
      <w:pPr>
        <w:pStyle w:val="Heading3"/>
        <w:spacing w:before="0" w:after="0" w:line="480" w:lineRule="auto"/>
        <w:rPr>
          <w:rFonts w:eastAsia="MS Gothic"/>
          <w:color w:val="000000" w:themeColor="text1"/>
        </w:rPr>
      </w:pPr>
      <w:bookmarkStart w:id="204" w:name="_Toc232351911"/>
      <w:r w:rsidRPr="00B95E28">
        <w:rPr>
          <w:rFonts w:eastAsia="MS Gothic"/>
          <w:color w:val="000000" w:themeColor="text1"/>
        </w:rPr>
        <w:t>6.4.3 Governance and Leadership</w:t>
      </w:r>
      <w:bookmarkEnd w:id="204"/>
    </w:p>
    <w:p w14:paraId="74868F3C"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Governance during the Integration Execution phase is focused on maintaining discipline, accountability, and alignment across all integration activities.</w:t>
      </w:r>
    </w:p>
    <w:p w14:paraId="6931E635"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A centralized Integration Management Office (IMO) plays a critical role in coordinating execution, tracking progress, and managing risks. Governance structures should ensure that decision-making authority is clearly defined and that issues are escalated and resolved efficiently.</w:t>
      </w:r>
    </w:p>
    <w:p w14:paraId="2F89F53B" w14:textId="77777777" w:rsidR="00D15BAF" w:rsidRPr="00B95E28" w:rsidRDefault="00D15BAF" w:rsidP="00557AB7">
      <w:pPr>
        <w:spacing w:line="480" w:lineRule="auto"/>
        <w:rPr>
          <w:rFonts w:eastAsia="MS Mincho"/>
          <w:color w:val="000000" w:themeColor="text1"/>
        </w:rPr>
      </w:pPr>
    </w:p>
    <w:p w14:paraId="3A59715F" w14:textId="7F104DEA" w:rsidR="00013707" w:rsidRPr="00B95E28" w:rsidRDefault="00013707" w:rsidP="00557AB7">
      <w:pPr>
        <w:spacing w:line="480" w:lineRule="auto"/>
        <w:rPr>
          <w:rFonts w:eastAsia="MS Mincho"/>
          <w:color w:val="000000" w:themeColor="text1"/>
        </w:rPr>
      </w:pPr>
      <w:r w:rsidRPr="00B95E28">
        <w:rPr>
          <w:rFonts w:eastAsia="MS Mincho"/>
          <w:color w:val="000000" w:themeColor="text1"/>
        </w:rPr>
        <w:t>Governance at this stage should include:</w:t>
      </w:r>
    </w:p>
    <w:p w14:paraId="145F157E" w14:textId="77777777" w:rsidR="00013707" w:rsidRPr="00B95E28" w:rsidRDefault="00013707" w:rsidP="00557AB7">
      <w:pPr>
        <w:pStyle w:val="ListParagraph"/>
        <w:numPr>
          <w:ilvl w:val="0"/>
          <w:numId w:val="5"/>
        </w:numPr>
        <w:spacing w:line="480" w:lineRule="auto"/>
        <w:rPr>
          <w:rFonts w:eastAsia="MS Mincho"/>
          <w:color w:val="000000" w:themeColor="text1"/>
        </w:rPr>
      </w:pPr>
      <w:r w:rsidRPr="00B95E28">
        <w:rPr>
          <w:rFonts w:eastAsia="MS Mincho"/>
          <w:color w:val="000000" w:themeColor="text1"/>
        </w:rPr>
        <w:t xml:space="preserve">Centralized coordination through the Integration Management Office (IMO)  </w:t>
      </w:r>
    </w:p>
    <w:p w14:paraId="1EC83D4B" w14:textId="77777777" w:rsidR="00013707" w:rsidRPr="00B95E28" w:rsidRDefault="00013707" w:rsidP="00557AB7">
      <w:pPr>
        <w:pStyle w:val="ListParagraph"/>
        <w:numPr>
          <w:ilvl w:val="0"/>
          <w:numId w:val="5"/>
        </w:numPr>
        <w:spacing w:line="480" w:lineRule="auto"/>
        <w:rPr>
          <w:rFonts w:eastAsia="MS Mincho"/>
          <w:color w:val="000000" w:themeColor="text1"/>
        </w:rPr>
      </w:pPr>
      <w:r w:rsidRPr="00B95E28">
        <w:rPr>
          <w:rFonts w:eastAsia="MS Mincho"/>
          <w:color w:val="000000" w:themeColor="text1"/>
        </w:rPr>
        <w:t xml:space="preserve">Clearly defined workstream ownership and accountability  </w:t>
      </w:r>
    </w:p>
    <w:p w14:paraId="02E43AC5" w14:textId="77777777" w:rsidR="00013707" w:rsidRPr="00B95E28" w:rsidRDefault="00013707" w:rsidP="00557AB7">
      <w:pPr>
        <w:pStyle w:val="ListParagraph"/>
        <w:numPr>
          <w:ilvl w:val="0"/>
          <w:numId w:val="5"/>
        </w:numPr>
        <w:spacing w:line="480" w:lineRule="auto"/>
        <w:rPr>
          <w:rFonts w:eastAsia="MS Mincho"/>
          <w:color w:val="000000" w:themeColor="text1"/>
        </w:rPr>
      </w:pPr>
      <w:r w:rsidRPr="00B95E28">
        <w:rPr>
          <w:rFonts w:eastAsia="MS Mincho"/>
          <w:color w:val="000000" w:themeColor="text1"/>
        </w:rPr>
        <w:t xml:space="preserve">Regular performance tracking and reporting  </w:t>
      </w:r>
    </w:p>
    <w:p w14:paraId="08AF46DA" w14:textId="77777777" w:rsidR="00013707" w:rsidRPr="00B95E28" w:rsidRDefault="00013707" w:rsidP="00557AB7">
      <w:pPr>
        <w:pStyle w:val="ListParagraph"/>
        <w:numPr>
          <w:ilvl w:val="0"/>
          <w:numId w:val="5"/>
        </w:numPr>
        <w:spacing w:line="480" w:lineRule="auto"/>
        <w:rPr>
          <w:rFonts w:eastAsia="MS Mincho"/>
          <w:color w:val="000000" w:themeColor="text1"/>
        </w:rPr>
      </w:pPr>
      <w:r w:rsidRPr="00B95E28">
        <w:rPr>
          <w:rFonts w:eastAsia="MS Mincho"/>
          <w:color w:val="000000" w:themeColor="text1"/>
        </w:rPr>
        <w:t xml:space="preserve">Structured escalation and decision-making processes  </w:t>
      </w:r>
    </w:p>
    <w:p w14:paraId="473DBDEA"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 xml:space="preserve">Leadership must actively manage execution, reinforce priorities, and ensure that integration efforts remain aligned with strategic objectives. </w:t>
      </w:r>
    </w:p>
    <w:p w14:paraId="191E62F1" w14:textId="77777777" w:rsidR="008108A2" w:rsidRPr="00B95E28" w:rsidRDefault="008108A2" w:rsidP="00D15BAF">
      <w:pPr>
        <w:rPr>
          <w:rFonts w:eastAsia="MS Mincho"/>
          <w:color w:val="000000" w:themeColor="text1"/>
        </w:rPr>
      </w:pPr>
    </w:p>
    <w:p w14:paraId="26AB84A1" w14:textId="1970D815" w:rsidR="00013707" w:rsidRPr="00B95E28" w:rsidRDefault="00013707" w:rsidP="00557AB7">
      <w:pPr>
        <w:spacing w:line="480" w:lineRule="auto"/>
        <w:rPr>
          <w:rFonts w:eastAsia="MS Mincho"/>
          <w:color w:val="000000" w:themeColor="text1"/>
        </w:rPr>
      </w:pPr>
      <w:r w:rsidRPr="00B95E28">
        <w:rPr>
          <w:rFonts w:eastAsia="MS Mincho"/>
          <w:color w:val="000000" w:themeColor="text1"/>
        </w:rPr>
        <w:t>Governance improves execution because it reduces ambiguity in cross-functional decision-making. Integration execution often fails when dependencies sit between functions rather than within them. Clear governance creates a mechanism for resolving those dependencies before they become delays, duplicated work, or missed value.</w:t>
      </w:r>
    </w:p>
    <w:p w14:paraId="2CA38D4F" w14:textId="77777777" w:rsidR="008108A2" w:rsidRPr="00B95E28" w:rsidRDefault="008108A2" w:rsidP="00D15BAF">
      <w:pPr>
        <w:rPr>
          <w:rFonts w:eastAsia="MS Mincho"/>
          <w:color w:val="000000" w:themeColor="text1"/>
        </w:rPr>
      </w:pPr>
    </w:p>
    <w:p w14:paraId="1D0BDBBF" w14:textId="0A4FA618"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shows the role of governance as an active coordination mechanism rather than a passive oversight function. Effective governance enables organizations to manage interdependencies, prioritize initiatives, and respond to emerging challenges in real time. Where governance is treated as a reporting structure rather than a decision-making system, execution becomes fragmented and reactive, limiting the organization’s ability to realize value consistently.</w:t>
      </w:r>
    </w:p>
    <w:p w14:paraId="76A8B06C" w14:textId="77777777" w:rsidR="00D15BAF" w:rsidRPr="00B95E28" w:rsidRDefault="00D15BAF" w:rsidP="00D15BAF">
      <w:pPr>
        <w:rPr>
          <w:rFonts w:eastAsia="MS Gothic"/>
          <w:color w:val="000000" w:themeColor="text1"/>
        </w:rPr>
      </w:pPr>
    </w:p>
    <w:p w14:paraId="6AF9FE42" w14:textId="2F80AE3A" w:rsidR="00013707" w:rsidRPr="00B95E28" w:rsidRDefault="00013707" w:rsidP="00557AB7">
      <w:pPr>
        <w:pStyle w:val="Heading3"/>
        <w:spacing w:before="0" w:after="0" w:line="480" w:lineRule="auto"/>
        <w:rPr>
          <w:rFonts w:eastAsia="MS Gothic"/>
          <w:color w:val="000000" w:themeColor="text1"/>
        </w:rPr>
      </w:pPr>
      <w:bookmarkStart w:id="205" w:name="_Toc232351912"/>
      <w:r w:rsidRPr="00B95E28">
        <w:rPr>
          <w:rFonts w:eastAsia="MS Gothic"/>
          <w:color w:val="000000" w:themeColor="text1"/>
        </w:rPr>
        <w:t>6.4.4 Outputs / Deliverables</w:t>
      </w:r>
      <w:bookmarkEnd w:id="205"/>
    </w:p>
    <w:p w14:paraId="139C1BF2" w14:textId="77777777" w:rsidR="00013707" w:rsidRPr="00B95E28" w:rsidRDefault="00013707" w:rsidP="00557AB7">
      <w:pPr>
        <w:pStyle w:val="ListParagraph"/>
        <w:numPr>
          <w:ilvl w:val="0"/>
          <w:numId w:val="6"/>
        </w:numPr>
        <w:spacing w:line="480" w:lineRule="auto"/>
        <w:rPr>
          <w:rFonts w:eastAsia="MS Mincho"/>
          <w:color w:val="000000" w:themeColor="text1"/>
        </w:rPr>
      </w:pPr>
      <w:r w:rsidRPr="00B95E28">
        <w:rPr>
          <w:rFonts w:eastAsia="MS Mincho"/>
          <w:color w:val="000000" w:themeColor="text1"/>
        </w:rPr>
        <w:t>Realization of defined synergies</w:t>
      </w:r>
    </w:p>
    <w:p w14:paraId="66E8D107" w14:textId="77777777" w:rsidR="00013707" w:rsidRPr="00B95E28" w:rsidRDefault="00013707" w:rsidP="00557AB7">
      <w:pPr>
        <w:pStyle w:val="ListParagraph"/>
        <w:numPr>
          <w:ilvl w:val="0"/>
          <w:numId w:val="6"/>
        </w:numPr>
        <w:spacing w:line="480" w:lineRule="auto"/>
        <w:rPr>
          <w:rFonts w:eastAsia="MS Mincho"/>
          <w:color w:val="000000" w:themeColor="text1"/>
        </w:rPr>
      </w:pPr>
      <w:r w:rsidRPr="00B95E28">
        <w:rPr>
          <w:rFonts w:eastAsia="MS Mincho"/>
          <w:color w:val="000000" w:themeColor="text1"/>
        </w:rPr>
        <w:t>Completion of key integration milestones</w:t>
      </w:r>
    </w:p>
    <w:p w14:paraId="0CA7E9A4" w14:textId="77777777" w:rsidR="00013707" w:rsidRPr="00B95E28" w:rsidRDefault="00013707" w:rsidP="00557AB7">
      <w:pPr>
        <w:pStyle w:val="ListParagraph"/>
        <w:numPr>
          <w:ilvl w:val="0"/>
          <w:numId w:val="6"/>
        </w:numPr>
        <w:spacing w:line="480" w:lineRule="auto"/>
        <w:rPr>
          <w:rFonts w:eastAsia="MS Mincho"/>
          <w:color w:val="000000" w:themeColor="text1"/>
        </w:rPr>
      </w:pPr>
      <w:r w:rsidRPr="00B95E28">
        <w:rPr>
          <w:rFonts w:eastAsia="MS Mincho"/>
          <w:color w:val="000000" w:themeColor="text1"/>
        </w:rPr>
        <w:t>Aligned operational processes and systems</w:t>
      </w:r>
    </w:p>
    <w:p w14:paraId="20BAE1DE" w14:textId="77777777" w:rsidR="00013707" w:rsidRPr="00B95E28" w:rsidRDefault="00013707" w:rsidP="00557AB7">
      <w:pPr>
        <w:pStyle w:val="ListParagraph"/>
        <w:numPr>
          <w:ilvl w:val="0"/>
          <w:numId w:val="6"/>
        </w:numPr>
        <w:spacing w:line="480" w:lineRule="auto"/>
        <w:rPr>
          <w:rFonts w:eastAsia="MS Mincho"/>
          <w:color w:val="000000" w:themeColor="text1"/>
        </w:rPr>
      </w:pPr>
      <w:r w:rsidRPr="00B95E28">
        <w:rPr>
          <w:rFonts w:eastAsia="MS Mincho"/>
          <w:color w:val="000000" w:themeColor="text1"/>
        </w:rPr>
        <w:t>Performance reports tracking integration progress</w:t>
      </w:r>
    </w:p>
    <w:p w14:paraId="3C77B859" w14:textId="77777777" w:rsidR="00013707" w:rsidRPr="00B95E28" w:rsidRDefault="00013707" w:rsidP="00557AB7">
      <w:pPr>
        <w:pStyle w:val="ListParagraph"/>
        <w:numPr>
          <w:ilvl w:val="0"/>
          <w:numId w:val="6"/>
        </w:numPr>
        <w:spacing w:line="480" w:lineRule="auto"/>
        <w:rPr>
          <w:rFonts w:eastAsia="MS Mincho"/>
          <w:color w:val="000000" w:themeColor="text1"/>
        </w:rPr>
      </w:pPr>
      <w:r w:rsidRPr="00B95E28">
        <w:rPr>
          <w:rFonts w:eastAsia="MS Mincho"/>
          <w:color w:val="000000" w:themeColor="text1"/>
        </w:rPr>
        <w:t>Updated integration plans reflecting execution progress</w:t>
      </w:r>
    </w:p>
    <w:p w14:paraId="57E7F8BC" w14:textId="77777777" w:rsidR="00013707" w:rsidRPr="00B95E28" w:rsidRDefault="00013707" w:rsidP="00557AB7">
      <w:pPr>
        <w:pStyle w:val="Heading3"/>
        <w:spacing w:before="0" w:after="0" w:line="480" w:lineRule="auto"/>
        <w:rPr>
          <w:rFonts w:eastAsia="MS Gothic"/>
          <w:color w:val="000000" w:themeColor="text1"/>
        </w:rPr>
      </w:pPr>
      <w:bookmarkStart w:id="206" w:name="_Toc232351913"/>
      <w:r w:rsidRPr="00B95E28">
        <w:rPr>
          <w:rFonts w:eastAsia="MS Gothic"/>
          <w:color w:val="000000" w:themeColor="text1"/>
        </w:rPr>
        <w:t>6.4.5 Risks and Failure Points</w:t>
      </w:r>
      <w:bookmarkEnd w:id="206"/>
    </w:p>
    <w:p w14:paraId="793E2C4B" w14:textId="77777777" w:rsidR="00013707" w:rsidRPr="00B95E28" w:rsidRDefault="00013707" w:rsidP="00557AB7">
      <w:pPr>
        <w:pStyle w:val="ListParagraph"/>
        <w:numPr>
          <w:ilvl w:val="0"/>
          <w:numId w:val="7"/>
        </w:numPr>
        <w:spacing w:line="480" w:lineRule="auto"/>
        <w:rPr>
          <w:rFonts w:eastAsia="MS Mincho"/>
          <w:color w:val="000000" w:themeColor="text1"/>
        </w:rPr>
      </w:pPr>
      <w:r w:rsidRPr="00B95E28">
        <w:rPr>
          <w:rFonts w:eastAsia="MS Mincho"/>
          <w:b/>
          <w:bCs/>
          <w:color w:val="000000" w:themeColor="text1"/>
        </w:rPr>
        <w:t>Lack of Execution Discipline:</w:t>
      </w:r>
      <w:r w:rsidRPr="00B95E28">
        <w:rPr>
          <w:rFonts w:eastAsia="MS Mincho"/>
          <w:color w:val="000000" w:themeColor="text1"/>
        </w:rPr>
        <w:t xml:space="preserve"> Inconsistent execution leads to missed milestones and delayed value realization.</w:t>
      </w:r>
    </w:p>
    <w:p w14:paraId="61363DF1" w14:textId="77777777" w:rsidR="00013707" w:rsidRPr="00B95E28" w:rsidRDefault="00013707" w:rsidP="00557AB7">
      <w:pPr>
        <w:pStyle w:val="ListParagraph"/>
        <w:numPr>
          <w:ilvl w:val="0"/>
          <w:numId w:val="7"/>
        </w:numPr>
        <w:spacing w:line="480" w:lineRule="auto"/>
        <w:rPr>
          <w:rFonts w:eastAsia="MS Mincho"/>
          <w:color w:val="000000" w:themeColor="text1"/>
        </w:rPr>
      </w:pPr>
      <w:r w:rsidRPr="00B95E28">
        <w:rPr>
          <w:rFonts w:eastAsia="MS Mincho"/>
          <w:b/>
          <w:bCs/>
          <w:color w:val="000000" w:themeColor="text1"/>
        </w:rPr>
        <w:t>Poor Coordination Across Workstreams:</w:t>
      </w:r>
      <w:r w:rsidRPr="00B95E28">
        <w:rPr>
          <w:rFonts w:eastAsia="MS Mincho"/>
          <w:color w:val="000000" w:themeColor="text1"/>
        </w:rPr>
        <w:t xml:space="preserve"> Misalignment between functions creates inefficiencies and conflicts.</w:t>
      </w:r>
    </w:p>
    <w:p w14:paraId="78F33AC3" w14:textId="77777777" w:rsidR="00013707" w:rsidRPr="00B95E28" w:rsidRDefault="00013707" w:rsidP="00557AB7">
      <w:pPr>
        <w:pStyle w:val="ListParagraph"/>
        <w:numPr>
          <w:ilvl w:val="0"/>
          <w:numId w:val="7"/>
        </w:numPr>
        <w:spacing w:line="480" w:lineRule="auto"/>
        <w:rPr>
          <w:rFonts w:eastAsia="MS Mincho"/>
          <w:color w:val="000000" w:themeColor="text1"/>
        </w:rPr>
      </w:pPr>
      <w:r w:rsidRPr="00B95E28">
        <w:rPr>
          <w:rFonts w:eastAsia="MS Mincho"/>
          <w:b/>
          <w:bCs/>
          <w:color w:val="000000" w:themeColor="text1"/>
        </w:rPr>
        <w:t>Unrealized Synergies:</w:t>
      </w:r>
      <w:r w:rsidRPr="00B95E28">
        <w:rPr>
          <w:rFonts w:eastAsia="MS Mincho"/>
          <w:color w:val="000000" w:themeColor="text1"/>
        </w:rPr>
        <w:t xml:space="preserve"> Failure to track and manage synergies results in value erosion.</w:t>
      </w:r>
    </w:p>
    <w:p w14:paraId="2622407B" w14:textId="77777777" w:rsidR="00013707" w:rsidRPr="00B95E28" w:rsidRDefault="00013707" w:rsidP="00557AB7">
      <w:pPr>
        <w:pStyle w:val="ListParagraph"/>
        <w:numPr>
          <w:ilvl w:val="0"/>
          <w:numId w:val="7"/>
        </w:numPr>
        <w:spacing w:line="480" w:lineRule="auto"/>
        <w:rPr>
          <w:rFonts w:eastAsia="MS Mincho"/>
          <w:color w:val="000000" w:themeColor="text1"/>
        </w:rPr>
      </w:pPr>
      <w:r w:rsidRPr="00B95E28">
        <w:rPr>
          <w:rFonts w:eastAsia="MS Mincho"/>
          <w:b/>
          <w:bCs/>
          <w:color w:val="000000" w:themeColor="text1"/>
        </w:rPr>
        <w:t>Change Resistance:</w:t>
      </w:r>
      <w:r w:rsidRPr="00B95E28">
        <w:rPr>
          <w:rFonts w:eastAsia="MS Mincho"/>
          <w:color w:val="000000" w:themeColor="text1"/>
        </w:rPr>
        <w:t xml:space="preserve"> Lack of adoption of new processes and structures limits integration effectiveness.</w:t>
      </w:r>
    </w:p>
    <w:p w14:paraId="0B10690E" w14:textId="77777777" w:rsidR="00013707" w:rsidRPr="00B95E28" w:rsidRDefault="00013707" w:rsidP="00557AB7">
      <w:pPr>
        <w:pStyle w:val="ListParagraph"/>
        <w:numPr>
          <w:ilvl w:val="0"/>
          <w:numId w:val="7"/>
        </w:numPr>
        <w:spacing w:line="480" w:lineRule="auto"/>
        <w:rPr>
          <w:rFonts w:eastAsia="MS Mincho"/>
          <w:color w:val="000000" w:themeColor="text1"/>
        </w:rPr>
      </w:pPr>
      <w:r w:rsidRPr="00B95E28">
        <w:rPr>
          <w:rFonts w:eastAsia="MS Mincho"/>
          <w:b/>
          <w:bCs/>
          <w:color w:val="000000" w:themeColor="text1"/>
        </w:rPr>
        <w:t>Inadequate Governance:</w:t>
      </w:r>
      <w:r w:rsidRPr="00B95E28">
        <w:rPr>
          <w:rFonts w:eastAsia="MS Mincho"/>
          <w:color w:val="000000" w:themeColor="text1"/>
        </w:rPr>
        <w:t xml:space="preserve"> Weak oversight and unclear decision-making authority reduce execution effectiveness.</w:t>
      </w:r>
    </w:p>
    <w:p w14:paraId="001E9C0E" w14:textId="77777777" w:rsidR="008108A2" w:rsidRPr="00B95E28" w:rsidRDefault="008108A2" w:rsidP="00D15BAF">
      <w:pPr>
        <w:rPr>
          <w:rFonts w:eastAsia="MS Mincho"/>
          <w:color w:val="000000" w:themeColor="text1"/>
        </w:rPr>
      </w:pPr>
    </w:p>
    <w:p w14:paraId="0F9B04AC" w14:textId="3DC66BB4" w:rsidR="00013707" w:rsidRPr="00B95E28" w:rsidRDefault="00013707" w:rsidP="00557AB7">
      <w:pPr>
        <w:spacing w:line="480" w:lineRule="auto"/>
        <w:rPr>
          <w:rFonts w:eastAsia="MS Mincho"/>
          <w:color w:val="000000" w:themeColor="text1"/>
        </w:rPr>
      </w:pPr>
      <w:r w:rsidRPr="00B95E28">
        <w:rPr>
          <w:rFonts w:eastAsia="MS Mincho"/>
          <w:color w:val="000000" w:themeColor="text1"/>
        </w:rPr>
        <w:lastRenderedPageBreak/>
        <w:t>These risks highlight the importance of disciplined execution and strong governance in achieving integration outcomes.</w:t>
      </w:r>
    </w:p>
    <w:p w14:paraId="371E9C90" w14:textId="77777777" w:rsidR="008108A2" w:rsidRPr="00B95E28" w:rsidRDefault="008108A2" w:rsidP="00D15BAF">
      <w:pPr>
        <w:rPr>
          <w:rFonts w:eastAsia="MS Mincho"/>
          <w:color w:val="000000" w:themeColor="text1"/>
        </w:rPr>
      </w:pPr>
    </w:p>
    <w:p w14:paraId="490EF202" w14:textId="31557963" w:rsidR="00013707" w:rsidRPr="00B95E28" w:rsidRDefault="00013707" w:rsidP="00557AB7">
      <w:pPr>
        <w:spacing w:line="480" w:lineRule="auto"/>
        <w:rPr>
          <w:rFonts w:eastAsia="MS Mincho"/>
          <w:color w:val="000000" w:themeColor="text1"/>
        </w:rPr>
      </w:pPr>
      <w:r w:rsidRPr="00B95E28">
        <w:rPr>
          <w:rFonts w:eastAsia="MS Mincho"/>
          <w:color w:val="000000" w:themeColor="text1"/>
        </w:rPr>
        <w:t>Execution performance is primarily driven by the resource model, governance structures, and cross-functional coordination enabled by the Integration Capability Engine.</w:t>
      </w:r>
    </w:p>
    <w:p w14:paraId="5D67010E" w14:textId="77777777"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This phase represents the point at which integration capability is translated into measurable outcomes. The effectiveness of execution reflects the combined strength of governance, planning, and coordination established in earlier phases. Where these elements are aligned, organizations are able to realize value efficiently; where they are not, execution challenges directly impact performance.</w:t>
      </w:r>
    </w:p>
    <w:p w14:paraId="58286FD0" w14:textId="77777777" w:rsidR="008108A2" w:rsidRPr="00B95E28" w:rsidRDefault="008108A2" w:rsidP="00D15BAF">
      <w:pPr>
        <w:rPr>
          <w:rFonts w:eastAsia="MS Mincho"/>
          <w:color w:val="000000" w:themeColor="text1"/>
        </w:rPr>
      </w:pPr>
    </w:p>
    <w:p w14:paraId="53A0571E" w14:textId="2C69211F" w:rsidR="00013707" w:rsidRPr="00B95E28" w:rsidRDefault="00013707" w:rsidP="00557AB7">
      <w:pPr>
        <w:spacing w:line="480" w:lineRule="auto"/>
        <w:rPr>
          <w:rFonts w:eastAsia="MS Mincho"/>
          <w:color w:val="000000" w:themeColor="text1"/>
        </w:rPr>
      </w:pPr>
      <w:r w:rsidRPr="00B95E28">
        <w:rPr>
          <w:rFonts w:eastAsia="MS Mincho"/>
          <w:color w:val="000000" w:themeColor="text1"/>
        </w:rPr>
        <w:t>These challenges are further compounded by the dual role of functional leaders, who are often required to manage both integration responsibilities and ongoing operations. This creates structural tension between maintaining business performance and delivering integration outcomes, reinforcing the importance of resource allocation as a critical determinant of execution success.</w:t>
      </w:r>
    </w:p>
    <w:p w14:paraId="1D25F04C" w14:textId="77777777" w:rsidR="00D15BAF" w:rsidRPr="00B95E28" w:rsidRDefault="00D15BAF" w:rsidP="00D15BAF">
      <w:pPr>
        <w:rPr>
          <w:rFonts w:eastAsia="MS Gothic"/>
          <w:color w:val="000000" w:themeColor="text1"/>
        </w:rPr>
      </w:pPr>
    </w:p>
    <w:p w14:paraId="493AFC5B" w14:textId="375042F8" w:rsidR="00013707" w:rsidRPr="00B95E28" w:rsidRDefault="00013707" w:rsidP="00557AB7">
      <w:pPr>
        <w:pStyle w:val="Heading2"/>
        <w:spacing w:before="0" w:after="0" w:line="480" w:lineRule="auto"/>
        <w:rPr>
          <w:rFonts w:eastAsia="MS Gothic"/>
          <w:color w:val="000000" w:themeColor="text1"/>
        </w:rPr>
      </w:pPr>
      <w:bookmarkStart w:id="207" w:name="_Toc232351914"/>
      <w:r w:rsidRPr="00B95E28">
        <w:rPr>
          <w:rFonts w:eastAsia="MS Gothic"/>
          <w:color w:val="000000" w:themeColor="text1"/>
        </w:rPr>
        <w:t>6.5 Phase 5: Organizational Learning and Capability Development</w:t>
      </w:r>
      <w:bookmarkEnd w:id="207"/>
    </w:p>
    <w:p w14:paraId="76EFFC75" w14:textId="77777777" w:rsidR="00013707" w:rsidRPr="00B95E28" w:rsidRDefault="00013707" w:rsidP="00557AB7">
      <w:pPr>
        <w:spacing w:line="480" w:lineRule="auto"/>
        <w:rPr>
          <w:color w:val="000000" w:themeColor="text1"/>
        </w:rPr>
      </w:pPr>
      <w:r w:rsidRPr="00B95E28">
        <w:rPr>
          <w:color w:val="000000" w:themeColor="text1"/>
        </w:rPr>
        <w:t>Organizational learning is presented as a distinct phase within the Integration Capability Loop, but the data suggests that learning also occurs throughout the integration lifecycle. Organizations adjust plans, refine execution approaches, and recalibrate decisions as new information becomes available. The formal learning phase remains necessary because real-time adaptation does not automatically become institutional knowledge.</w:t>
      </w:r>
    </w:p>
    <w:p w14:paraId="65875938" w14:textId="77777777" w:rsidR="008108A2" w:rsidRPr="00B95E28" w:rsidRDefault="008108A2" w:rsidP="00D15BAF">
      <w:pPr>
        <w:rPr>
          <w:color w:val="000000" w:themeColor="text1"/>
        </w:rPr>
      </w:pPr>
    </w:p>
    <w:p w14:paraId="6FB506B1" w14:textId="22565854" w:rsidR="00013707" w:rsidRPr="00B95E28" w:rsidRDefault="00013707" w:rsidP="00557AB7">
      <w:pPr>
        <w:spacing w:line="480" w:lineRule="auto"/>
        <w:rPr>
          <w:color w:val="000000" w:themeColor="text1"/>
        </w:rPr>
      </w:pPr>
      <w:r w:rsidRPr="00B95E28">
        <w:rPr>
          <w:color w:val="000000" w:themeColor="text1"/>
        </w:rPr>
        <w:lastRenderedPageBreak/>
        <w:t>Organizational learning is frequently weak because it competes with more immediate priorities. Once the transaction is stabilized, leadership attention often shifts to operational performance, the next acquisition, or other transformation initiatives. Functional teams return to business-as-usual responsibilities, and the individuals who hold integration knowledge may move into other roles or leave the organization. As a result, learning is often treated as an administrative closeout activity rather than as a capability-building mechanism.</w:t>
      </w:r>
    </w:p>
    <w:p w14:paraId="04D32D75" w14:textId="77777777" w:rsidR="008108A2" w:rsidRPr="00B95E28" w:rsidRDefault="008108A2" w:rsidP="00D15BAF">
      <w:pPr>
        <w:rPr>
          <w:color w:val="000000" w:themeColor="text1"/>
        </w:rPr>
      </w:pPr>
    </w:p>
    <w:p w14:paraId="0ECEAD9D" w14:textId="4823146B" w:rsidR="00013707" w:rsidRPr="00B95E28" w:rsidRDefault="00013707" w:rsidP="00557AB7">
      <w:pPr>
        <w:spacing w:line="480" w:lineRule="auto"/>
        <w:rPr>
          <w:color w:val="000000" w:themeColor="text1"/>
        </w:rPr>
      </w:pPr>
      <w:r w:rsidRPr="00B95E28">
        <w:rPr>
          <w:color w:val="000000" w:themeColor="text1"/>
        </w:rPr>
        <w:t>This creates a structural learning gap. The organization may recognize what went wrong, but unless those insights are translated into updated governance routines, revised diligence questions, improved decision gates, clearer playbook guidance, or different resourcing assumptions, the learning does not change future behaviour. Effective acquirers therefore treat learning as a design activity, not merely a retrospective. They ask not only what happened, but what should change in the integration system before the next transaction.</w:t>
      </w:r>
    </w:p>
    <w:p w14:paraId="24861D69" w14:textId="77777777" w:rsidR="008108A2" w:rsidRPr="00B95E28" w:rsidRDefault="008108A2" w:rsidP="00557AB7">
      <w:pPr>
        <w:spacing w:line="480" w:lineRule="auto"/>
        <w:rPr>
          <w:color w:val="000000" w:themeColor="text1"/>
        </w:rPr>
      </w:pPr>
    </w:p>
    <w:p w14:paraId="29E71682" w14:textId="147696DB" w:rsidR="00013707" w:rsidRPr="00B95E28" w:rsidRDefault="00013707" w:rsidP="00557AB7">
      <w:pPr>
        <w:spacing w:line="480" w:lineRule="auto"/>
        <w:rPr>
          <w:color w:val="000000" w:themeColor="text1"/>
        </w:rPr>
      </w:pPr>
      <w:r w:rsidRPr="00B95E28">
        <w:rPr>
          <w:color w:val="000000" w:themeColor="text1"/>
        </w:rPr>
        <w:t>This phase captures and institutionalizes insights from integration execution, enabling the development of repeatable integration capability. As identified in Chapter 5, this represents the weakest causal linkage in the lifecycle and therefore requires deliberate structure and governance.</w:t>
      </w:r>
    </w:p>
    <w:p w14:paraId="726C31F8" w14:textId="77777777" w:rsidR="00D15BAF" w:rsidRPr="00B95E28" w:rsidRDefault="00D15BAF" w:rsidP="00D15BAF">
      <w:pPr>
        <w:rPr>
          <w:rFonts w:eastAsia="MS Gothic"/>
          <w:color w:val="000000" w:themeColor="text1"/>
        </w:rPr>
      </w:pPr>
    </w:p>
    <w:p w14:paraId="21575517" w14:textId="4089681F" w:rsidR="00013707" w:rsidRPr="00B95E28" w:rsidRDefault="00013707" w:rsidP="00557AB7">
      <w:pPr>
        <w:pStyle w:val="Heading3"/>
        <w:spacing w:before="0" w:after="0" w:line="480" w:lineRule="auto"/>
        <w:rPr>
          <w:rFonts w:eastAsia="MS Gothic"/>
          <w:color w:val="000000" w:themeColor="text1"/>
        </w:rPr>
      </w:pPr>
      <w:bookmarkStart w:id="208" w:name="_Toc232351915"/>
      <w:r w:rsidRPr="00B95E28">
        <w:rPr>
          <w:rFonts w:eastAsia="MS Gothic"/>
          <w:color w:val="000000" w:themeColor="text1"/>
        </w:rPr>
        <w:t>6.5.1 Objectives</w:t>
      </w:r>
      <w:bookmarkEnd w:id="208"/>
    </w:p>
    <w:p w14:paraId="6F542C95" w14:textId="77777777" w:rsidR="00D15BAF" w:rsidRPr="00B95E28" w:rsidRDefault="00013707" w:rsidP="00557AB7">
      <w:pPr>
        <w:spacing w:line="480" w:lineRule="auto"/>
        <w:rPr>
          <w:color w:val="000000" w:themeColor="text1"/>
        </w:rPr>
      </w:pPr>
      <w:r w:rsidRPr="00B95E28">
        <w:rPr>
          <w:color w:val="000000" w:themeColor="text1"/>
        </w:rPr>
        <w:t>The objective of the Organizational Learning and Capability Development phase is to capture, formalize, and embed insights from integration execution to improve performance in subsequent acquisitions. This phase represents the point at which integration transitions from a transaction-specific activity to a repeatable organizational capability.</w:t>
      </w:r>
    </w:p>
    <w:p w14:paraId="16EB3F5A" w14:textId="77777777" w:rsidR="00D15BAF" w:rsidRPr="00B95E28" w:rsidRDefault="00D15BAF" w:rsidP="00D15BAF">
      <w:pPr>
        <w:rPr>
          <w:color w:val="000000" w:themeColor="text1"/>
        </w:rPr>
      </w:pPr>
    </w:p>
    <w:p w14:paraId="064A4FF5" w14:textId="77777777" w:rsidR="00D15BAF" w:rsidRPr="00B95E28" w:rsidRDefault="00013707" w:rsidP="00557AB7">
      <w:pPr>
        <w:spacing w:line="480" w:lineRule="auto"/>
        <w:rPr>
          <w:color w:val="000000" w:themeColor="text1"/>
        </w:rPr>
      </w:pPr>
      <w:r w:rsidRPr="00B95E28">
        <w:rPr>
          <w:color w:val="000000" w:themeColor="text1"/>
        </w:rPr>
        <w:t>The transition from execution to learning, and from learning to subsequent acquisitions, represents one of the weakest causal linkages in the integration lifecycle. While organizations accumulate experience through repeated acquisitions, this experience does not consistently translate into improved performance unless it is deliberately captured and institutionalized.</w:t>
      </w:r>
    </w:p>
    <w:p w14:paraId="0EA7F2CD" w14:textId="77777777" w:rsidR="00D15BAF" w:rsidRPr="00B95E28" w:rsidRDefault="00D15BAF" w:rsidP="00D15BAF">
      <w:pPr>
        <w:rPr>
          <w:color w:val="000000" w:themeColor="text1"/>
        </w:rPr>
      </w:pPr>
    </w:p>
    <w:p w14:paraId="2E68215B" w14:textId="6BEA1802" w:rsidR="00013707" w:rsidRPr="00B95E28" w:rsidRDefault="00013707" w:rsidP="00557AB7">
      <w:pPr>
        <w:spacing w:line="480" w:lineRule="auto"/>
        <w:rPr>
          <w:color w:val="000000" w:themeColor="text1"/>
        </w:rPr>
      </w:pPr>
      <w:r w:rsidRPr="00B95E28">
        <w:rPr>
          <w:color w:val="000000" w:themeColor="text1"/>
        </w:rPr>
        <w:t>The objective of this phase is therefore not only to reflect on past performance, but to convert experience into structured knowledge that informs future readiness, planning, and execution. In doing so, this phase closes the Integration Capability Loop by feeding learning back into acquisition readiness for subsequent transactions.</w:t>
      </w:r>
    </w:p>
    <w:p w14:paraId="566EBFD7" w14:textId="77777777" w:rsidR="00D15BAF" w:rsidRPr="00B95E28" w:rsidRDefault="00D15BAF" w:rsidP="00D15BAF">
      <w:pPr>
        <w:rPr>
          <w:color w:val="000000" w:themeColor="text1"/>
        </w:rPr>
      </w:pPr>
    </w:p>
    <w:p w14:paraId="6BD47D44" w14:textId="3D573A92" w:rsidR="00013707" w:rsidRPr="00B95E28" w:rsidRDefault="00013707" w:rsidP="00557AB7">
      <w:pPr>
        <w:spacing w:line="480" w:lineRule="auto"/>
        <w:rPr>
          <w:color w:val="000000" w:themeColor="text1"/>
        </w:rPr>
      </w:pPr>
      <w:r w:rsidRPr="00B95E28">
        <w:rPr>
          <w:color w:val="000000" w:themeColor="text1"/>
        </w:rPr>
        <w:t>This phase ensures that integration capability evolves across transactions rather than remaining dependent on individual deal experience.</w:t>
      </w:r>
    </w:p>
    <w:p w14:paraId="51D69868" w14:textId="77777777" w:rsidR="00013707" w:rsidRPr="00B95E28" w:rsidRDefault="00013707" w:rsidP="00557AB7">
      <w:pPr>
        <w:pStyle w:val="Heading3"/>
        <w:spacing w:before="0" w:after="0" w:line="480" w:lineRule="auto"/>
        <w:rPr>
          <w:rFonts w:eastAsia="MS Gothic"/>
          <w:color w:val="000000" w:themeColor="text1"/>
        </w:rPr>
      </w:pPr>
      <w:bookmarkStart w:id="209" w:name="_Toc232351916"/>
      <w:r w:rsidRPr="00B95E28">
        <w:rPr>
          <w:rFonts w:eastAsia="MS Gothic"/>
          <w:color w:val="000000" w:themeColor="text1"/>
        </w:rPr>
        <w:t>6.5.2 Key Activities</w:t>
      </w:r>
      <w:bookmarkEnd w:id="209"/>
    </w:p>
    <w:p w14:paraId="1F572CF6" w14:textId="77777777" w:rsidR="00D15BAF" w:rsidRPr="00B95E28" w:rsidRDefault="00013707" w:rsidP="00557AB7">
      <w:pPr>
        <w:spacing w:line="480" w:lineRule="auto"/>
        <w:rPr>
          <w:color w:val="000000" w:themeColor="text1"/>
        </w:rPr>
      </w:pPr>
      <w:r w:rsidRPr="00B95E28">
        <w:rPr>
          <w:color w:val="000000" w:themeColor="text1"/>
        </w:rPr>
        <w:t>The evidence shows that organizations that develop repeatable integration capability consistently perform a set of structured learning activities following integration execution.</w:t>
      </w:r>
    </w:p>
    <w:p w14:paraId="273ED54F" w14:textId="77777777" w:rsidR="00D15BAF" w:rsidRPr="00B95E28" w:rsidRDefault="00D15BAF" w:rsidP="00D15BAF">
      <w:pPr>
        <w:rPr>
          <w:color w:val="000000" w:themeColor="text1"/>
        </w:rPr>
      </w:pPr>
    </w:p>
    <w:p w14:paraId="30A1AD9E" w14:textId="6E64AC9C" w:rsidR="00013707" w:rsidRPr="00B95E28" w:rsidRDefault="00013707" w:rsidP="00557AB7">
      <w:pPr>
        <w:spacing w:line="480" w:lineRule="auto"/>
        <w:rPr>
          <w:color w:val="000000" w:themeColor="text1"/>
        </w:rPr>
      </w:pPr>
      <w:r w:rsidRPr="00B95E28">
        <w:rPr>
          <w:color w:val="000000" w:themeColor="text1"/>
        </w:rPr>
        <w:t>These include:</w:t>
      </w:r>
    </w:p>
    <w:p w14:paraId="458E4616" w14:textId="77777777" w:rsidR="00013707" w:rsidRPr="00B95E28" w:rsidRDefault="00013707" w:rsidP="00557AB7">
      <w:pPr>
        <w:pStyle w:val="ListBullet"/>
        <w:numPr>
          <w:ilvl w:val="0"/>
          <w:numId w:val="21"/>
        </w:numPr>
        <w:tabs>
          <w:tab w:val="num" w:pos="360"/>
        </w:tabs>
        <w:spacing w:after="0" w:line="480" w:lineRule="auto"/>
        <w:rPr>
          <w:rFonts w:ascii="Times New Roman" w:hAnsi="Times New Roman" w:cs="Times New Roman"/>
          <w:color w:val="000000" w:themeColor="text1"/>
          <w:sz w:val="24"/>
          <w:szCs w:val="24"/>
        </w:rPr>
      </w:pPr>
      <w:r w:rsidRPr="00B95E28">
        <w:rPr>
          <w:rFonts w:ascii="Times New Roman" w:hAnsi="Times New Roman" w:cs="Times New Roman"/>
          <w:b/>
          <w:bCs/>
          <w:color w:val="000000" w:themeColor="text1"/>
          <w:sz w:val="24"/>
          <w:szCs w:val="24"/>
        </w:rPr>
        <w:t>Post-Integration Reviews:</w:t>
      </w:r>
      <w:r w:rsidRPr="00B95E28">
        <w:rPr>
          <w:rFonts w:ascii="Times New Roman" w:hAnsi="Times New Roman" w:cs="Times New Roman"/>
          <w:color w:val="000000" w:themeColor="text1"/>
          <w:sz w:val="24"/>
          <w:szCs w:val="24"/>
        </w:rPr>
        <w:t xml:space="preserve"> Conducting structured assessments of integration performance across governance, execution, technology, and organizational alignment.</w:t>
      </w:r>
    </w:p>
    <w:p w14:paraId="7E23A2F7" w14:textId="77777777" w:rsidR="00013707" w:rsidRPr="00B95E28" w:rsidRDefault="00013707" w:rsidP="00557AB7">
      <w:pPr>
        <w:pStyle w:val="ListBullet"/>
        <w:numPr>
          <w:ilvl w:val="0"/>
          <w:numId w:val="21"/>
        </w:numPr>
        <w:tabs>
          <w:tab w:val="num" w:pos="360"/>
        </w:tabs>
        <w:spacing w:after="0" w:line="480" w:lineRule="auto"/>
        <w:ind w:left="714" w:hanging="357"/>
        <w:rPr>
          <w:rFonts w:ascii="Times New Roman" w:hAnsi="Times New Roman" w:cs="Times New Roman"/>
          <w:color w:val="000000" w:themeColor="text1"/>
          <w:sz w:val="24"/>
          <w:szCs w:val="24"/>
        </w:rPr>
      </w:pPr>
      <w:r w:rsidRPr="00B95E28">
        <w:rPr>
          <w:rFonts w:ascii="Times New Roman" w:hAnsi="Times New Roman" w:cs="Times New Roman"/>
          <w:b/>
          <w:bCs/>
          <w:color w:val="000000" w:themeColor="text1"/>
          <w:sz w:val="24"/>
          <w:szCs w:val="24"/>
        </w:rPr>
        <w:t>Lessons Learned Documentation</w:t>
      </w:r>
      <w:r w:rsidRPr="00B95E28">
        <w:rPr>
          <w:rFonts w:ascii="Times New Roman" w:hAnsi="Times New Roman" w:cs="Times New Roman"/>
          <w:color w:val="000000" w:themeColor="text1"/>
          <w:sz w:val="24"/>
          <w:szCs w:val="24"/>
        </w:rPr>
        <w:t>: Capturing key insights in a standardized format for future use.</w:t>
      </w:r>
    </w:p>
    <w:p w14:paraId="382FC9ED" w14:textId="77777777" w:rsidR="00013707" w:rsidRPr="00B95E28" w:rsidRDefault="00013707" w:rsidP="00557AB7">
      <w:pPr>
        <w:pStyle w:val="ListBullet"/>
        <w:numPr>
          <w:ilvl w:val="0"/>
          <w:numId w:val="21"/>
        </w:numPr>
        <w:tabs>
          <w:tab w:val="num" w:pos="360"/>
        </w:tabs>
        <w:spacing w:after="0" w:line="480" w:lineRule="auto"/>
        <w:ind w:left="714" w:hanging="357"/>
        <w:rPr>
          <w:rFonts w:ascii="Times New Roman" w:hAnsi="Times New Roman" w:cs="Times New Roman"/>
          <w:color w:val="000000" w:themeColor="text1"/>
          <w:sz w:val="24"/>
          <w:szCs w:val="24"/>
        </w:rPr>
      </w:pPr>
      <w:r w:rsidRPr="00B95E28">
        <w:rPr>
          <w:rFonts w:ascii="Times New Roman" w:hAnsi="Times New Roman" w:cs="Times New Roman"/>
          <w:b/>
          <w:bCs/>
          <w:color w:val="000000" w:themeColor="text1"/>
          <w:sz w:val="24"/>
          <w:szCs w:val="24"/>
        </w:rPr>
        <w:t>Playbook Development and Refinement:</w:t>
      </w:r>
      <w:r w:rsidRPr="00B95E28">
        <w:rPr>
          <w:rFonts w:ascii="Times New Roman" w:hAnsi="Times New Roman" w:cs="Times New Roman"/>
          <w:color w:val="000000" w:themeColor="text1"/>
          <w:sz w:val="24"/>
          <w:szCs w:val="24"/>
        </w:rPr>
        <w:t xml:space="preserve"> Updating integration frameworks and templates.</w:t>
      </w:r>
    </w:p>
    <w:p w14:paraId="1C626E07" w14:textId="77777777" w:rsidR="00013707" w:rsidRPr="00B95E28" w:rsidRDefault="00013707" w:rsidP="00557AB7">
      <w:pPr>
        <w:pStyle w:val="ListBullet"/>
        <w:numPr>
          <w:ilvl w:val="0"/>
          <w:numId w:val="21"/>
        </w:numPr>
        <w:tabs>
          <w:tab w:val="num" w:pos="360"/>
        </w:tabs>
        <w:spacing w:after="0" w:line="480" w:lineRule="auto"/>
        <w:ind w:left="714" w:hanging="357"/>
        <w:rPr>
          <w:rFonts w:ascii="Times New Roman" w:hAnsi="Times New Roman" w:cs="Times New Roman"/>
          <w:color w:val="000000" w:themeColor="text1"/>
          <w:sz w:val="24"/>
          <w:szCs w:val="24"/>
        </w:rPr>
      </w:pPr>
      <w:r w:rsidRPr="00B95E28">
        <w:rPr>
          <w:rFonts w:ascii="Times New Roman" w:hAnsi="Times New Roman" w:cs="Times New Roman"/>
          <w:b/>
          <w:bCs/>
          <w:color w:val="000000" w:themeColor="text1"/>
          <w:sz w:val="24"/>
          <w:szCs w:val="24"/>
        </w:rPr>
        <w:lastRenderedPageBreak/>
        <w:t>Knowledge Sharing Across the Organization:</w:t>
      </w:r>
      <w:r w:rsidRPr="00B95E28">
        <w:rPr>
          <w:rFonts w:ascii="Times New Roman" w:hAnsi="Times New Roman" w:cs="Times New Roman"/>
          <w:color w:val="000000" w:themeColor="text1"/>
          <w:sz w:val="24"/>
          <w:szCs w:val="24"/>
        </w:rPr>
        <w:t xml:space="preserve"> Distributing insights across teams and stakeholders.</w:t>
      </w:r>
    </w:p>
    <w:p w14:paraId="0723CFB9" w14:textId="77777777" w:rsidR="00013707" w:rsidRPr="00B95E28" w:rsidRDefault="00013707" w:rsidP="00557AB7">
      <w:pPr>
        <w:pStyle w:val="ListBullet"/>
        <w:numPr>
          <w:ilvl w:val="0"/>
          <w:numId w:val="21"/>
        </w:numPr>
        <w:tabs>
          <w:tab w:val="num" w:pos="360"/>
        </w:tabs>
        <w:spacing w:after="0" w:line="480" w:lineRule="auto"/>
        <w:ind w:left="714" w:hanging="357"/>
        <w:rPr>
          <w:rFonts w:ascii="Times New Roman" w:hAnsi="Times New Roman" w:cs="Times New Roman"/>
          <w:color w:val="000000" w:themeColor="text1"/>
          <w:sz w:val="24"/>
          <w:szCs w:val="24"/>
        </w:rPr>
      </w:pPr>
      <w:r w:rsidRPr="00B95E28">
        <w:rPr>
          <w:rFonts w:ascii="Times New Roman" w:hAnsi="Times New Roman" w:cs="Times New Roman"/>
          <w:b/>
          <w:bCs/>
          <w:color w:val="000000" w:themeColor="text1"/>
          <w:sz w:val="24"/>
          <w:szCs w:val="24"/>
        </w:rPr>
        <w:t>Integration Performance Benchmarking:</w:t>
      </w:r>
      <w:r w:rsidRPr="00B95E28">
        <w:rPr>
          <w:rFonts w:ascii="Times New Roman" w:hAnsi="Times New Roman" w:cs="Times New Roman"/>
          <w:color w:val="000000" w:themeColor="text1"/>
          <w:sz w:val="24"/>
          <w:szCs w:val="24"/>
        </w:rPr>
        <w:t xml:space="preserve"> Tracking performance metrics across integrations.</w:t>
      </w:r>
    </w:p>
    <w:p w14:paraId="03E4A322" w14:textId="77777777" w:rsidR="00013707" w:rsidRPr="00B95E28" w:rsidRDefault="00013707" w:rsidP="00D15BAF">
      <w:pPr>
        <w:rPr>
          <w:color w:val="000000" w:themeColor="text1"/>
          <w:lang w:val="en-CA"/>
        </w:rPr>
      </w:pPr>
    </w:p>
    <w:p w14:paraId="7553084B" w14:textId="77777777" w:rsidR="00013707" w:rsidRPr="00B95E28" w:rsidRDefault="00013707" w:rsidP="00557AB7">
      <w:pPr>
        <w:pStyle w:val="ListBullet"/>
        <w:numPr>
          <w:ilvl w:val="0"/>
          <w:numId w:val="0"/>
        </w:numPr>
        <w:tabs>
          <w:tab w:val="num" w:pos="360"/>
        </w:tabs>
        <w:spacing w:after="0" w:line="480" w:lineRule="auto"/>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lang w:val="en-CA"/>
        </w:rPr>
        <w:t>The critical distinction is that learning must change the next integration, not simply record what happened in the last one. Without this conversion from experience to institutional practice, organizations may accumulate transaction history without developing integration capability.</w:t>
      </w:r>
    </w:p>
    <w:p w14:paraId="0D722740" w14:textId="77777777" w:rsidR="00013707" w:rsidRPr="00B95E28" w:rsidRDefault="00013707" w:rsidP="00557AB7">
      <w:pPr>
        <w:pStyle w:val="NormalWeb"/>
        <w:spacing w:before="0" w:beforeAutospacing="0" w:after="0" w:afterAutospacing="0" w:line="480" w:lineRule="auto"/>
        <w:rPr>
          <w:color w:val="000000" w:themeColor="text1"/>
        </w:rPr>
      </w:pPr>
      <w:r w:rsidRPr="00B95E28">
        <w:rPr>
          <w:color w:val="000000" w:themeColor="text1"/>
        </w:rPr>
        <w:t>Effective learning activities should answer five questions:</w:t>
      </w:r>
    </w:p>
    <w:p w14:paraId="6F587B6B" w14:textId="77777777" w:rsidR="00013707" w:rsidRPr="00B95E28" w:rsidRDefault="00013707" w:rsidP="00557AB7">
      <w:pPr>
        <w:pStyle w:val="NormalWeb"/>
        <w:numPr>
          <w:ilvl w:val="0"/>
          <w:numId w:val="22"/>
        </w:numPr>
        <w:spacing w:before="0" w:beforeAutospacing="0" w:after="0" w:afterAutospacing="0" w:line="480" w:lineRule="auto"/>
        <w:ind w:left="714" w:hanging="357"/>
        <w:rPr>
          <w:color w:val="000000" w:themeColor="text1"/>
        </w:rPr>
      </w:pPr>
      <w:r w:rsidRPr="00B95E28">
        <w:rPr>
          <w:color w:val="000000" w:themeColor="text1"/>
        </w:rPr>
        <w:t>What assumptions proved incorrect?</w:t>
      </w:r>
    </w:p>
    <w:p w14:paraId="3083A86A" w14:textId="77777777" w:rsidR="00013707" w:rsidRPr="00B95E28" w:rsidRDefault="00013707" w:rsidP="00557AB7">
      <w:pPr>
        <w:pStyle w:val="NormalWeb"/>
        <w:numPr>
          <w:ilvl w:val="0"/>
          <w:numId w:val="22"/>
        </w:numPr>
        <w:spacing w:before="0" w:beforeAutospacing="0" w:after="0" w:afterAutospacing="0" w:line="480" w:lineRule="auto"/>
        <w:ind w:left="714" w:hanging="357"/>
        <w:rPr>
          <w:color w:val="000000" w:themeColor="text1"/>
        </w:rPr>
      </w:pPr>
      <w:r w:rsidRPr="00B95E28">
        <w:rPr>
          <w:color w:val="000000" w:themeColor="text1"/>
        </w:rPr>
        <w:t>Which risks were identified too late?</w:t>
      </w:r>
    </w:p>
    <w:p w14:paraId="45E0BDC1" w14:textId="77777777" w:rsidR="00013707" w:rsidRPr="00B95E28" w:rsidRDefault="00013707" w:rsidP="00557AB7">
      <w:pPr>
        <w:pStyle w:val="NormalWeb"/>
        <w:numPr>
          <w:ilvl w:val="0"/>
          <w:numId w:val="22"/>
        </w:numPr>
        <w:spacing w:before="0" w:beforeAutospacing="0" w:after="0" w:afterAutospacing="0" w:line="480" w:lineRule="auto"/>
        <w:ind w:left="714" w:hanging="357"/>
        <w:rPr>
          <w:color w:val="000000" w:themeColor="text1"/>
        </w:rPr>
      </w:pPr>
      <w:r w:rsidRPr="00B95E28">
        <w:rPr>
          <w:color w:val="000000" w:themeColor="text1"/>
        </w:rPr>
        <w:t>Which decisions were delayed, and why?</w:t>
      </w:r>
    </w:p>
    <w:p w14:paraId="59DC6762" w14:textId="77777777" w:rsidR="00013707" w:rsidRPr="00B95E28" w:rsidRDefault="00013707" w:rsidP="00557AB7">
      <w:pPr>
        <w:pStyle w:val="NormalWeb"/>
        <w:numPr>
          <w:ilvl w:val="0"/>
          <w:numId w:val="22"/>
        </w:numPr>
        <w:spacing w:before="0" w:beforeAutospacing="0" w:after="0" w:afterAutospacing="0" w:line="480" w:lineRule="auto"/>
        <w:ind w:left="714" w:hanging="357"/>
        <w:rPr>
          <w:color w:val="000000" w:themeColor="text1"/>
        </w:rPr>
      </w:pPr>
      <w:r w:rsidRPr="00B95E28">
        <w:rPr>
          <w:color w:val="000000" w:themeColor="text1"/>
        </w:rPr>
        <w:t>Which capabilities were missing or overstretched?</w:t>
      </w:r>
    </w:p>
    <w:p w14:paraId="7777055F" w14:textId="77777777" w:rsidR="00013707" w:rsidRPr="00B95E28" w:rsidRDefault="00013707" w:rsidP="00557AB7">
      <w:pPr>
        <w:pStyle w:val="NormalWeb"/>
        <w:numPr>
          <w:ilvl w:val="0"/>
          <w:numId w:val="22"/>
        </w:numPr>
        <w:spacing w:before="0" w:beforeAutospacing="0" w:after="0" w:afterAutospacing="0" w:line="480" w:lineRule="auto"/>
        <w:ind w:left="714" w:hanging="357"/>
        <w:rPr>
          <w:color w:val="000000" w:themeColor="text1"/>
        </w:rPr>
      </w:pPr>
      <w:r w:rsidRPr="00B95E28">
        <w:rPr>
          <w:color w:val="000000" w:themeColor="text1"/>
        </w:rPr>
        <w:t>What must change before the next acquisition?</w:t>
      </w:r>
    </w:p>
    <w:p w14:paraId="0AD6EC94" w14:textId="77777777" w:rsidR="00D15BAF" w:rsidRPr="00B95E28" w:rsidRDefault="00D15BAF" w:rsidP="00D15BAF">
      <w:pPr>
        <w:pStyle w:val="NoSpacing"/>
        <w:rPr>
          <w:rFonts w:eastAsia="MS Gothic"/>
          <w:color w:val="000000" w:themeColor="text1"/>
        </w:rPr>
      </w:pPr>
    </w:p>
    <w:p w14:paraId="2C16077F" w14:textId="299D190E" w:rsidR="00013707" w:rsidRPr="00B95E28" w:rsidRDefault="00013707" w:rsidP="00557AB7">
      <w:pPr>
        <w:pStyle w:val="Heading3"/>
        <w:spacing w:before="0" w:after="0" w:line="480" w:lineRule="auto"/>
        <w:rPr>
          <w:rFonts w:eastAsia="MS Gothic"/>
          <w:color w:val="000000" w:themeColor="text1"/>
        </w:rPr>
      </w:pPr>
      <w:bookmarkStart w:id="210" w:name="_Toc232351917"/>
      <w:r w:rsidRPr="00B95E28">
        <w:rPr>
          <w:rFonts w:eastAsia="MS Gothic"/>
          <w:color w:val="000000" w:themeColor="text1"/>
        </w:rPr>
        <w:t>6.5.3 Governance and Leadership Requirements</w:t>
      </w:r>
      <w:bookmarkEnd w:id="210"/>
    </w:p>
    <w:p w14:paraId="20FB8AFA" w14:textId="77777777" w:rsidR="00D15BAF" w:rsidRPr="00B95E28" w:rsidRDefault="00013707" w:rsidP="00D15BAF">
      <w:pPr>
        <w:spacing w:line="480" w:lineRule="auto"/>
        <w:rPr>
          <w:color w:val="000000" w:themeColor="text1"/>
        </w:rPr>
      </w:pPr>
      <w:r w:rsidRPr="00B95E28">
        <w:rPr>
          <w:color w:val="000000" w:themeColor="text1"/>
        </w:rPr>
        <w:t>Governance in the Organizational Learning phase is focused on ensuring that learning is structured, consistent, and actionable.</w:t>
      </w:r>
    </w:p>
    <w:p w14:paraId="02220C6D" w14:textId="77777777" w:rsidR="00D15BAF" w:rsidRPr="00B95E28" w:rsidRDefault="00D15BAF" w:rsidP="00D15BAF">
      <w:pPr>
        <w:rPr>
          <w:color w:val="000000" w:themeColor="text1"/>
        </w:rPr>
      </w:pPr>
    </w:p>
    <w:p w14:paraId="58CF8C12" w14:textId="77777777" w:rsidR="00D15BAF" w:rsidRPr="00B95E28" w:rsidRDefault="00013707" w:rsidP="00D15BAF">
      <w:pPr>
        <w:spacing w:line="480" w:lineRule="auto"/>
        <w:rPr>
          <w:color w:val="000000" w:themeColor="text1"/>
        </w:rPr>
      </w:pPr>
      <w:r w:rsidRPr="00B95E28">
        <w:rPr>
          <w:color w:val="000000" w:themeColor="text1"/>
        </w:rPr>
        <w:t>Learning does not occur automatically as a result of experience. Instead, it requires formal ownership, defined processes, and leadership reinforcement. Organizations that demonstrate stronger capability development assign accountability for capturing and embedding lessons learned.</w:t>
      </w:r>
    </w:p>
    <w:p w14:paraId="27672816" w14:textId="77777777" w:rsidR="00D15BAF" w:rsidRPr="00B95E28" w:rsidRDefault="00D15BAF" w:rsidP="00D15BAF">
      <w:pPr>
        <w:rPr>
          <w:color w:val="000000" w:themeColor="text1"/>
        </w:rPr>
      </w:pPr>
    </w:p>
    <w:p w14:paraId="642A61E2" w14:textId="2D3D6562" w:rsidR="00013707" w:rsidRPr="00B95E28" w:rsidRDefault="00013707" w:rsidP="00D15BAF">
      <w:pPr>
        <w:spacing w:line="480" w:lineRule="auto"/>
        <w:rPr>
          <w:color w:val="000000" w:themeColor="text1"/>
        </w:rPr>
      </w:pPr>
      <w:r w:rsidRPr="00B95E28">
        <w:rPr>
          <w:color w:val="000000" w:themeColor="text1"/>
        </w:rPr>
        <w:t>Governance at this stage should include:</w:t>
      </w:r>
    </w:p>
    <w:p w14:paraId="48FA17A2"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lastRenderedPageBreak/>
        <w:t>Defined ownership of learning processes</w:t>
      </w:r>
    </w:p>
    <w:p w14:paraId="3D697758"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Standardized learning frameworks</w:t>
      </w:r>
    </w:p>
    <w:p w14:paraId="12144E7A"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Executive reinforcement of learning priorities</w:t>
      </w:r>
    </w:p>
    <w:p w14:paraId="30135A30"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Integration with future deal processes</w:t>
      </w:r>
    </w:p>
    <w:p w14:paraId="3D390B3D" w14:textId="77777777" w:rsidR="00D15BAF" w:rsidRPr="00B95E28" w:rsidRDefault="00D15BAF" w:rsidP="00D15BAF">
      <w:pPr>
        <w:rPr>
          <w:rFonts w:eastAsia="MS Gothic"/>
          <w:color w:val="000000" w:themeColor="text1"/>
        </w:rPr>
      </w:pPr>
    </w:p>
    <w:p w14:paraId="7177C24B" w14:textId="01E4AFCD" w:rsidR="00013707" w:rsidRPr="00B95E28" w:rsidRDefault="00013707" w:rsidP="00557AB7">
      <w:pPr>
        <w:pStyle w:val="Heading3"/>
        <w:spacing w:before="0" w:after="0" w:line="480" w:lineRule="auto"/>
        <w:rPr>
          <w:rFonts w:eastAsia="MS Gothic"/>
          <w:color w:val="000000" w:themeColor="text1"/>
        </w:rPr>
      </w:pPr>
      <w:bookmarkStart w:id="211" w:name="_Toc232351918"/>
      <w:r w:rsidRPr="00B95E28">
        <w:rPr>
          <w:rFonts w:eastAsia="MS Gothic"/>
          <w:color w:val="000000" w:themeColor="text1"/>
        </w:rPr>
        <w:t>6.5.4 Outputs / Deliverables</w:t>
      </w:r>
      <w:bookmarkEnd w:id="211"/>
    </w:p>
    <w:p w14:paraId="1A65B5CD"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Documented post-integration review reports</w:t>
      </w:r>
    </w:p>
    <w:p w14:paraId="4AFC4B5E"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Updated integration playbooks and frameworks</w:t>
      </w:r>
    </w:p>
    <w:p w14:paraId="4BE44371"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Centralized repository of lessons learned</w:t>
      </w:r>
    </w:p>
    <w:p w14:paraId="0EFC2E48"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Defined improvements to governance, planning, and execution approaches</w:t>
      </w:r>
    </w:p>
    <w:p w14:paraId="7B8826AB"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Performance benchmarks and historical integration data</w:t>
      </w:r>
    </w:p>
    <w:p w14:paraId="314055E6" w14:textId="77777777" w:rsidR="00013707" w:rsidRPr="00B95E28" w:rsidRDefault="00013707" w:rsidP="00557AB7">
      <w:pPr>
        <w:pStyle w:val="Heading3"/>
        <w:spacing w:before="0" w:after="0" w:line="480" w:lineRule="auto"/>
        <w:rPr>
          <w:rFonts w:eastAsia="MS Gothic"/>
          <w:color w:val="000000" w:themeColor="text1"/>
        </w:rPr>
      </w:pPr>
      <w:bookmarkStart w:id="212" w:name="_Toc232351919"/>
      <w:r w:rsidRPr="00B95E28">
        <w:rPr>
          <w:rFonts w:eastAsia="MS Gothic"/>
          <w:color w:val="000000" w:themeColor="text1"/>
        </w:rPr>
        <w:t>6.5.5 Risks and Failure Points</w:t>
      </w:r>
      <w:bookmarkEnd w:id="212"/>
    </w:p>
    <w:p w14:paraId="6EF90E10" w14:textId="77777777" w:rsidR="00D15BAF" w:rsidRPr="00B95E28" w:rsidRDefault="00013707" w:rsidP="00557AB7">
      <w:pPr>
        <w:spacing w:line="480" w:lineRule="auto"/>
        <w:rPr>
          <w:color w:val="000000" w:themeColor="text1"/>
        </w:rPr>
      </w:pPr>
      <w:r w:rsidRPr="00B95E28">
        <w:rPr>
          <w:color w:val="000000" w:themeColor="text1"/>
        </w:rPr>
        <w:t>Failure to effectively execute the Organizational Learning phase limits the development of repeatable integration capability.</w:t>
      </w:r>
    </w:p>
    <w:p w14:paraId="2952B24E" w14:textId="77777777" w:rsidR="00D15BAF" w:rsidRPr="00B95E28" w:rsidRDefault="00D15BAF" w:rsidP="00D15BAF">
      <w:pPr>
        <w:rPr>
          <w:color w:val="000000" w:themeColor="text1"/>
        </w:rPr>
      </w:pPr>
    </w:p>
    <w:p w14:paraId="14237A8F" w14:textId="639D6C5A" w:rsidR="00013707" w:rsidRPr="00B95E28" w:rsidRDefault="00013707" w:rsidP="00557AB7">
      <w:pPr>
        <w:spacing w:line="480" w:lineRule="auto"/>
        <w:rPr>
          <w:color w:val="000000" w:themeColor="text1"/>
        </w:rPr>
      </w:pPr>
      <w:r w:rsidRPr="00B95E28">
        <w:rPr>
          <w:color w:val="000000" w:themeColor="text1"/>
        </w:rPr>
        <w:t>The most significant risks include:</w:t>
      </w:r>
    </w:p>
    <w:p w14:paraId="30218303"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Absence of formal learning processes</w:t>
      </w:r>
    </w:p>
    <w:p w14:paraId="10ABD35F"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Over-reliance on individual experience</w:t>
      </w:r>
    </w:p>
    <w:p w14:paraId="2AD8AFB7"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Failure to update playbooks and frameworks</w:t>
      </w:r>
    </w:p>
    <w:p w14:paraId="55D9CEE7"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Lack of accountability for learning outcomes</w:t>
      </w:r>
    </w:p>
    <w:p w14:paraId="1FE36271" w14:textId="77777777" w:rsidR="00013707" w:rsidRPr="00B95E28" w:rsidRDefault="00013707" w:rsidP="00557AB7">
      <w:pPr>
        <w:pStyle w:val="ListBullet"/>
        <w:tabs>
          <w:tab w:val="num" w:pos="360"/>
        </w:tabs>
        <w:spacing w:after="0" w:line="480" w:lineRule="auto"/>
        <w:ind w:left="360" w:hanging="360"/>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Immediate transition to next transaction without reflection</w:t>
      </w:r>
    </w:p>
    <w:p w14:paraId="71443974" w14:textId="77777777" w:rsidR="00013707" w:rsidRPr="00B95E28" w:rsidRDefault="00013707" w:rsidP="00D15BAF">
      <w:pPr>
        <w:rPr>
          <w:color w:val="000000" w:themeColor="text1"/>
        </w:rPr>
      </w:pPr>
    </w:p>
    <w:p w14:paraId="615CFE04" w14:textId="77777777" w:rsidR="00013707" w:rsidRPr="00B95E28" w:rsidRDefault="00013707" w:rsidP="00557AB7">
      <w:pPr>
        <w:pStyle w:val="ListBullet"/>
        <w:numPr>
          <w:ilvl w:val="0"/>
          <w:numId w:val="0"/>
        </w:numPr>
        <w:spacing w:after="0" w:line="480" w:lineRule="auto"/>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This phase addresses the weakest causal linkage identified in Chapter 5, transforming learning into a structured input for subsequent acquisition readiness and integration planning.</w:t>
      </w:r>
    </w:p>
    <w:p w14:paraId="4789C86D" w14:textId="77777777" w:rsidR="00013707" w:rsidRPr="00B95E28" w:rsidRDefault="00013707" w:rsidP="00D15BAF">
      <w:pPr>
        <w:rPr>
          <w:color w:val="000000" w:themeColor="text1"/>
          <w:lang w:val="en-CA"/>
        </w:rPr>
      </w:pPr>
    </w:p>
    <w:p w14:paraId="0BDAE9CC" w14:textId="77777777" w:rsidR="00013707" w:rsidRPr="00B95E28" w:rsidRDefault="00013707" w:rsidP="00557AB7">
      <w:pPr>
        <w:pStyle w:val="ListBullet"/>
        <w:numPr>
          <w:ilvl w:val="0"/>
          <w:numId w:val="0"/>
        </w:numPr>
        <w:spacing w:after="0" w:line="480" w:lineRule="auto"/>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rPr>
        <w:lastRenderedPageBreak/>
        <w:t xml:space="preserve">Despite the recognized importance of organizational learning, the findings of this research indicate that this phase is frequently deprioritized in practice. Organizations often transition directly to subsequent transactions without formal reflection, limiting the conversion of experience into structured capability. </w:t>
      </w:r>
      <w:r w:rsidRPr="00B95E28">
        <w:rPr>
          <w:rFonts w:ascii="Times New Roman" w:hAnsi="Times New Roman" w:cs="Times New Roman"/>
          <w:color w:val="000000" w:themeColor="text1"/>
          <w:sz w:val="24"/>
          <w:szCs w:val="24"/>
          <w:lang w:val="en-CA"/>
        </w:rPr>
        <w:t>This supports the conclusion that learning does not occur as a natural outcome of experience, but requires deliberate governance, ownership, and prioritization.</w:t>
      </w:r>
    </w:p>
    <w:p w14:paraId="26407A67" w14:textId="77777777" w:rsidR="00D15BAF" w:rsidRPr="00B95E28" w:rsidRDefault="00D15BAF" w:rsidP="00D15BAF">
      <w:pPr>
        <w:rPr>
          <w:color w:val="000000" w:themeColor="text1"/>
        </w:rPr>
      </w:pPr>
    </w:p>
    <w:p w14:paraId="6847F5AC" w14:textId="5B0692F4" w:rsidR="00013707" w:rsidRPr="00B95E28" w:rsidRDefault="00013707" w:rsidP="00557AB7">
      <w:pPr>
        <w:pStyle w:val="Heading3"/>
        <w:spacing w:before="0" w:after="0" w:line="480" w:lineRule="auto"/>
        <w:rPr>
          <w:color w:val="000000" w:themeColor="text1"/>
        </w:rPr>
      </w:pPr>
      <w:bookmarkStart w:id="213" w:name="_Toc232351920"/>
      <w:r w:rsidRPr="00B95E28">
        <w:rPr>
          <w:color w:val="000000" w:themeColor="text1"/>
        </w:rPr>
        <w:t>6.5.6 From Execution to Capability Development</w:t>
      </w:r>
      <w:bookmarkEnd w:id="213"/>
    </w:p>
    <w:p w14:paraId="2BA8BB06" w14:textId="77777777" w:rsidR="00013707" w:rsidRPr="00B95E28" w:rsidRDefault="00013707" w:rsidP="00557AB7">
      <w:pPr>
        <w:pStyle w:val="ListBullet"/>
        <w:numPr>
          <w:ilvl w:val="0"/>
          <w:numId w:val="0"/>
        </w:numPr>
        <w:spacing w:after="0" w:line="480" w:lineRule="auto"/>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The transition from execution to capability development represents a critical inflection point within the Integration Capability Loop. While organizations often focus on execution performance, the long-term value of integration lies in the ability to convert execution outcomes into improved future performance.</w:t>
      </w:r>
    </w:p>
    <w:p w14:paraId="031BB278" w14:textId="77777777" w:rsidR="00013707" w:rsidRPr="00B95E28" w:rsidRDefault="00013707" w:rsidP="00D15BAF">
      <w:pPr>
        <w:rPr>
          <w:color w:val="000000" w:themeColor="text1"/>
          <w:lang w:val="en-CA"/>
        </w:rPr>
      </w:pPr>
    </w:p>
    <w:p w14:paraId="589A5E8A" w14:textId="77777777" w:rsidR="00013707" w:rsidRPr="00B95E28" w:rsidRDefault="00013707" w:rsidP="00557AB7">
      <w:pPr>
        <w:pStyle w:val="ListBullet"/>
        <w:numPr>
          <w:ilvl w:val="0"/>
          <w:numId w:val="0"/>
        </w:numPr>
        <w:spacing w:after="0" w:line="480" w:lineRule="auto"/>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This transition requires deliberate effort to move from individual transaction experience to institutionalized knowledge. Without structured mechanisms to capture and apply insights, organizations risk repeating similar challenges across transactions despite accumulating experience.</w:t>
      </w:r>
    </w:p>
    <w:p w14:paraId="60235764" w14:textId="77777777" w:rsidR="00D15BAF" w:rsidRPr="00B95E28" w:rsidRDefault="00D15BAF" w:rsidP="00D15BAF">
      <w:pPr>
        <w:rPr>
          <w:color w:val="000000" w:themeColor="text1"/>
          <w:lang w:val="en-CA"/>
        </w:rPr>
      </w:pPr>
    </w:p>
    <w:p w14:paraId="3529AFC6" w14:textId="0607465F" w:rsidR="00013707" w:rsidRPr="00B95E28" w:rsidRDefault="00013707" w:rsidP="00557AB7">
      <w:pPr>
        <w:pStyle w:val="ListBullet"/>
        <w:numPr>
          <w:ilvl w:val="0"/>
          <w:numId w:val="0"/>
        </w:numPr>
        <w:spacing w:after="0" w:line="480" w:lineRule="auto"/>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The findings of this research suggest that organizations that successfully develop integration capability treat learning as an integral component of the integration process rather than a post-transaction activity. By embedding learning into the lifecycle, they are able to reduce variability, improve coordination, and enhance performance over time.</w:t>
      </w:r>
    </w:p>
    <w:p w14:paraId="1BE94615" w14:textId="7602DB07" w:rsidR="00C300D1" w:rsidRPr="00B95E28" w:rsidRDefault="00C300D1" w:rsidP="00C300D1">
      <w:pPr>
        <w:pStyle w:val="Heading3"/>
        <w:rPr>
          <w:color w:val="000000" w:themeColor="text1"/>
        </w:rPr>
      </w:pPr>
      <w:bookmarkStart w:id="214" w:name="_Toc232351921"/>
      <w:r w:rsidRPr="00B95E28">
        <w:rPr>
          <w:color w:val="000000" w:themeColor="text1"/>
        </w:rPr>
        <w:lastRenderedPageBreak/>
        <w:t>6.5.7 Institutionalizing Integration Learning</w:t>
      </w:r>
      <w:bookmarkEnd w:id="214"/>
    </w:p>
    <w:p w14:paraId="12729EE5" w14:textId="77777777" w:rsidR="00C300D1" w:rsidRPr="00B95E28" w:rsidRDefault="00C300D1" w:rsidP="00C300D1">
      <w:pPr>
        <w:spacing w:line="480" w:lineRule="auto"/>
        <w:rPr>
          <w:color w:val="000000" w:themeColor="text1"/>
          <w:lang w:val="en-CA"/>
        </w:rPr>
      </w:pPr>
      <w:r w:rsidRPr="00B95E28">
        <w:rPr>
          <w:color w:val="000000" w:themeColor="text1"/>
          <w:lang w:val="en-CA"/>
        </w:rPr>
        <w:t>Learning becomes institutionalized when it is converted from individual experience into reusable organizational knowledge. In serial acquisition environments, this requires more than informal reflection after a transaction. It requires structured post-integration reviews, decision logs, updated playbooks, reusable templates, integration risk registers, and governance forums that require evidence from prior transactions to be considered in future deals. Without these mechanisms, learning remains tacit and vulnerable to turnover, role changes, or reliance on a small number of experienced individuals.</w:t>
      </w:r>
    </w:p>
    <w:p w14:paraId="2F03CA66" w14:textId="77777777" w:rsidR="00E0797D" w:rsidRDefault="00E0797D" w:rsidP="00E0797D">
      <w:pPr>
        <w:rPr>
          <w:lang w:val="en-CA"/>
        </w:rPr>
      </w:pPr>
    </w:p>
    <w:p w14:paraId="524678AE" w14:textId="7380CB4A" w:rsidR="00C300D1" w:rsidRPr="00B95E28" w:rsidRDefault="00C300D1" w:rsidP="00C300D1">
      <w:pPr>
        <w:spacing w:line="480" w:lineRule="auto"/>
        <w:rPr>
          <w:color w:val="000000" w:themeColor="text1"/>
          <w:lang w:val="en-CA"/>
        </w:rPr>
      </w:pPr>
      <w:r w:rsidRPr="00B95E28">
        <w:rPr>
          <w:color w:val="000000" w:themeColor="text1"/>
          <w:lang w:val="en-CA"/>
        </w:rPr>
        <w:t>The findings of this study suggest that integration learning becomes repeatable through three mechanisms. First, experience must be articulated through structured post-mortems, retrospectives, and leadership reviews. Second, this experience must be codified into reusable assets such as playbooks, diligence checklists, Day 1 plans, workstream templates, communication plans, and decision logs. Third, governance must enforce reuse by requiring future deal teams and integration leaders to review prior lessons before approving integration plans.</w:t>
      </w:r>
    </w:p>
    <w:p w14:paraId="2F3560A3" w14:textId="77777777" w:rsidR="00E0797D" w:rsidRDefault="00E0797D" w:rsidP="00E0797D">
      <w:pPr>
        <w:rPr>
          <w:lang w:val="en-CA"/>
        </w:rPr>
      </w:pPr>
    </w:p>
    <w:p w14:paraId="74907B9B" w14:textId="035D593E" w:rsidR="00C300D1" w:rsidRPr="00B95E28" w:rsidRDefault="00C300D1" w:rsidP="00C300D1">
      <w:pPr>
        <w:spacing w:line="480" w:lineRule="auto"/>
        <w:rPr>
          <w:color w:val="000000" w:themeColor="text1"/>
          <w:lang w:val="en-CA"/>
        </w:rPr>
      </w:pPr>
      <w:r w:rsidRPr="00B95E28">
        <w:rPr>
          <w:color w:val="000000" w:themeColor="text1"/>
          <w:lang w:val="en-CA"/>
        </w:rPr>
        <w:t>A learning failure occurs when the same integration issue appears across multiple acquisitions but is treated as new each time. Examples include repeated delays in ERP consolidation, recurring uncertainty around Day 1 ownership, duplicated reporting structures, or repeated employee communication gaps. In these cases, experience has accumulated, but it has not been converted into institutional capability.</w:t>
      </w:r>
    </w:p>
    <w:p w14:paraId="3EFA3409" w14:textId="77777777" w:rsidR="00E0797D" w:rsidRDefault="00E0797D" w:rsidP="00E0797D">
      <w:pPr>
        <w:rPr>
          <w:lang w:val="en-CA"/>
        </w:rPr>
      </w:pPr>
    </w:p>
    <w:p w14:paraId="64077D17" w14:textId="439B7C3E" w:rsidR="00C300D1" w:rsidRDefault="00C300D1" w:rsidP="00C300D1">
      <w:pPr>
        <w:spacing w:line="480" w:lineRule="auto"/>
        <w:rPr>
          <w:color w:val="000000" w:themeColor="text1"/>
          <w:lang w:val="en-CA"/>
        </w:rPr>
      </w:pPr>
      <w:r w:rsidRPr="00B95E28">
        <w:rPr>
          <w:color w:val="000000" w:themeColor="text1"/>
          <w:lang w:val="en-CA"/>
        </w:rPr>
        <w:t xml:space="preserve">By contrast, learning success occurs when prior integration experience changes future behaviour. This may include revising diligence checklists after a missed technology dependency, adding a </w:t>
      </w:r>
      <w:r w:rsidRPr="00B95E28">
        <w:rPr>
          <w:color w:val="000000" w:themeColor="text1"/>
          <w:lang w:val="en-CA"/>
        </w:rPr>
        <w:lastRenderedPageBreak/>
        <w:t>formal Day 1 decision gate after a prior stabilization failure, assigning earlier HR and IT ownership based on previous delays, or requiring integration assumptions to be reviewed before deal approval. In this way, organizational learning becomes an active management discipline rather than a passive by-product of repeated acquisition experience.</w:t>
      </w:r>
    </w:p>
    <w:p w14:paraId="7EDB5036" w14:textId="77777777" w:rsidR="004530FF" w:rsidRDefault="004530FF" w:rsidP="00C300D1">
      <w:pPr>
        <w:spacing w:line="480" w:lineRule="auto"/>
        <w:rPr>
          <w:color w:val="000000" w:themeColor="text1"/>
          <w:lang w:val="en-CA"/>
        </w:rPr>
      </w:pPr>
    </w:p>
    <w:p w14:paraId="6CE233B4" w14:textId="77777777" w:rsidR="004530FF" w:rsidRPr="005946D4" w:rsidRDefault="004530FF" w:rsidP="004530FF">
      <w:pPr>
        <w:spacing w:line="480" w:lineRule="auto"/>
        <w:rPr>
          <w:color w:val="000000" w:themeColor="text1"/>
          <w:lang w:val="en-CA"/>
        </w:rPr>
      </w:pPr>
      <w:r w:rsidRPr="005946D4">
        <w:rPr>
          <w:color w:val="000000" w:themeColor="text1"/>
          <w:lang w:val="en-CA"/>
        </w:rPr>
        <w:t>Institutional learning requires more than a retrospective discussion at the end of an integration. For learning to become part of integration capability, it must be captured, owned, stored, and reused. A practical learning routine should include a short post-integration review, a lessons learned report, an updated integration playbook, a decision log, and a mandatory pre-deal review before the next acquisition. The ownership of this process should sit with the integration leader, IMO, or designated executive sponsor, rather than being left to individual workstreams.</w:t>
      </w:r>
    </w:p>
    <w:p w14:paraId="0E6DDECC" w14:textId="77777777" w:rsidR="004530FF" w:rsidRPr="005946D4" w:rsidRDefault="004530FF" w:rsidP="004530FF">
      <w:pPr>
        <w:rPr>
          <w:color w:val="000000" w:themeColor="text1"/>
          <w:lang w:val="en-CA"/>
        </w:rPr>
      </w:pPr>
    </w:p>
    <w:p w14:paraId="3CE66818" w14:textId="1CA5BF3F" w:rsidR="004530FF" w:rsidRPr="005946D4" w:rsidRDefault="004530FF" w:rsidP="004530FF">
      <w:pPr>
        <w:spacing w:line="480" w:lineRule="auto"/>
        <w:rPr>
          <w:color w:val="000000" w:themeColor="text1"/>
          <w:lang w:val="en-CA"/>
        </w:rPr>
      </w:pPr>
      <w:r w:rsidRPr="005946D4">
        <w:rPr>
          <w:color w:val="000000" w:themeColor="text1"/>
          <w:lang w:val="en-CA"/>
        </w:rPr>
        <w:t>Weak learning reflects in general observations such as, “The last integration was difficult, so we should improve next time.” Strong learning is more specific and reusable: “The prior acquisition underestimated IT migration by three months; therefore, the next transaction requires an IT readiness checklist, data quality assessment, and systems dependency review before Day 1.” In this way, learning becomes operational knowledge rather than informal memory.</w:t>
      </w:r>
    </w:p>
    <w:p w14:paraId="6CA2983E" w14:textId="77777777" w:rsidR="005946D4" w:rsidRDefault="005946D4" w:rsidP="005946D4"/>
    <w:p w14:paraId="200A1BA2" w14:textId="3B5CA7EA" w:rsidR="005946D4" w:rsidRPr="004530FF" w:rsidRDefault="005946D4" w:rsidP="004530FF">
      <w:pPr>
        <w:spacing w:line="480" w:lineRule="auto"/>
        <w:rPr>
          <w:color w:val="4F81BD" w:themeColor="accent1"/>
          <w:lang w:val="en-CA"/>
        </w:rPr>
      </w:pPr>
      <w:r w:rsidRPr="005946D4">
        <w:rPr>
          <w:color w:val="4F81BD" w:themeColor="accent1"/>
        </w:rPr>
        <w:t xml:space="preserve">Organizational learning becomes valuable only when experience is converted into institutional knowledge. Following each acquisition, organizations should conduct structured post-integration reviews to assess integration outcomes, identify root causes of challenges, and evaluate which assumptions proved accurate or inaccurate. Findings should then be documented, incorporated into integration playbooks, and used to refine governance practices, planning activities, and decision-gate criteria for future transactions. In this way, experience from one acquisition </w:t>
      </w:r>
      <w:r w:rsidRPr="005946D4">
        <w:rPr>
          <w:color w:val="4F81BD" w:themeColor="accent1"/>
        </w:rPr>
        <w:lastRenderedPageBreak/>
        <w:t>becomes an input into future integrations, allowing organizations to strengthen integration capability and reduce the likelihood of repeating past mistakes.</w:t>
      </w:r>
    </w:p>
    <w:p w14:paraId="4BAA674D" w14:textId="77777777" w:rsidR="00D15BAF" w:rsidRPr="00B95E28" w:rsidRDefault="00D15BAF" w:rsidP="00D15BAF">
      <w:pPr>
        <w:rPr>
          <w:rFonts w:eastAsia="MS Gothic"/>
          <w:color w:val="000000" w:themeColor="text1"/>
        </w:rPr>
      </w:pPr>
    </w:p>
    <w:p w14:paraId="1B490F08" w14:textId="26093E5E" w:rsidR="00013707" w:rsidRPr="00B95E28" w:rsidRDefault="00013707" w:rsidP="00557AB7">
      <w:pPr>
        <w:pStyle w:val="Heading2"/>
        <w:spacing w:before="0" w:after="0" w:line="480" w:lineRule="auto"/>
        <w:rPr>
          <w:rFonts w:eastAsia="MS Gothic"/>
          <w:color w:val="000000" w:themeColor="text1"/>
        </w:rPr>
      </w:pPr>
      <w:bookmarkStart w:id="215" w:name="_Toc232351922"/>
      <w:r w:rsidRPr="00B95E28">
        <w:rPr>
          <w:rFonts w:eastAsia="MS Gothic"/>
          <w:color w:val="000000" w:themeColor="text1"/>
        </w:rPr>
        <w:t>6.6 Summary of the Operational Model</w:t>
      </w:r>
      <w:bookmarkEnd w:id="215"/>
    </w:p>
    <w:p w14:paraId="5CD2600D" w14:textId="77777777" w:rsidR="00013707" w:rsidRPr="00B95E28" w:rsidRDefault="00013707" w:rsidP="00557AB7">
      <w:pPr>
        <w:spacing w:line="480" w:lineRule="auto"/>
        <w:rPr>
          <w:color w:val="000000" w:themeColor="text1"/>
        </w:rPr>
      </w:pPr>
      <w:r w:rsidRPr="00B95E28">
        <w:rPr>
          <w:color w:val="000000" w:themeColor="text1"/>
        </w:rPr>
        <w:t>This chapter operationalized the Integration Capability Loop developed in Chapter 5 by translating empirical findings into a structured, phase-based model for integration execution. The model defines integration not as a linear sequence of activities, but as a governed, repeatable system that connects acquisition readiness, planning, stabilization, execution, and learning across successive transactions.</w:t>
      </w:r>
    </w:p>
    <w:p w14:paraId="37BD89EF" w14:textId="77777777" w:rsidR="008108A2" w:rsidRPr="00B95E28" w:rsidRDefault="008108A2" w:rsidP="00D15BAF">
      <w:pPr>
        <w:rPr>
          <w:color w:val="000000" w:themeColor="text1"/>
        </w:rPr>
      </w:pPr>
    </w:p>
    <w:p w14:paraId="0DBBAAC4" w14:textId="34839A27" w:rsidR="00013707" w:rsidRPr="00B95E28" w:rsidRDefault="00013707" w:rsidP="00557AB7">
      <w:pPr>
        <w:spacing w:line="480" w:lineRule="auto"/>
        <w:rPr>
          <w:color w:val="000000" w:themeColor="text1"/>
        </w:rPr>
      </w:pPr>
      <w:r w:rsidRPr="00B95E28">
        <w:rPr>
          <w:color w:val="000000" w:themeColor="text1"/>
        </w:rPr>
        <w:t>Each phase of the model reflects consistent patterns observed across interviews, particularly the importance of early integration involvement, governance clarity, execution discipline, and the structured capture of lessons learned. The introduction of decision gates reinforces the controlled progression between phases, ensuring that integration does not advance based on assumptions, but on defined readiness and performance criteria.</w:t>
      </w:r>
    </w:p>
    <w:p w14:paraId="7392E516" w14:textId="7D615F66" w:rsidR="00013707" w:rsidRPr="00B95E28" w:rsidRDefault="00013707" w:rsidP="00557AB7">
      <w:pPr>
        <w:spacing w:line="480" w:lineRule="auto"/>
        <w:rPr>
          <w:color w:val="000000" w:themeColor="text1"/>
        </w:rPr>
      </w:pPr>
      <w:r w:rsidRPr="00B95E28">
        <w:rPr>
          <w:color w:val="000000" w:themeColor="text1"/>
        </w:rPr>
        <w:t>The chapter also highlights that integration outcomes are not determined within a single phase, but through the interaction of phases. Acquisition readiness influences planning effectiveness, planning shapes Day 1 stabilization, and execution outcomes directly impact organizational learning. This supports the central finding of this research: integration success is driven by the strength of the system as a whole rather than the effectiveness of any individual component.</w:t>
      </w:r>
    </w:p>
    <w:p w14:paraId="1DC21DCB" w14:textId="77777777" w:rsidR="008108A2" w:rsidRPr="00B95E28" w:rsidRDefault="008108A2" w:rsidP="00D15BAF">
      <w:pPr>
        <w:rPr>
          <w:color w:val="000000" w:themeColor="text1"/>
        </w:rPr>
      </w:pPr>
    </w:p>
    <w:p w14:paraId="656B6C8F" w14:textId="5EEBF926" w:rsidR="00013707" w:rsidRPr="00B95E28" w:rsidRDefault="00013707" w:rsidP="00557AB7">
      <w:pPr>
        <w:spacing w:line="480" w:lineRule="auto"/>
        <w:rPr>
          <w:color w:val="000000" w:themeColor="text1"/>
        </w:rPr>
      </w:pPr>
      <w:r w:rsidRPr="00B95E28">
        <w:rPr>
          <w:color w:val="000000" w:themeColor="text1"/>
        </w:rPr>
        <w:t xml:space="preserve">The Integration Capability Engine further supports this system by providing the underlying enablers required for consistent execution. Governance structures, resource allocation, and technology integration act as cross-functional capabilities that influence performance across all phases of the lifecycle. Together, the loop and the engine form a unified model that explains how </w:t>
      </w:r>
      <w:r w:rsidRPr="00B95E28">
        <w:rPr>
          <w:color w:val="000000" w:themeColor="text1"/>
        </w:rPr>
        <w:lastRenderedPageBreak/>
        <w:t>organizations can move from fragmented, transaction-specific integration efforts to a repeatable and scalable integration capability.</w:t>
      </w:r>
    </w:p>
    <w:p w14:paraId="32BAC6E5" w14:textId="77777777" w:rsidR="008108A2" w:rsidRPr="00B95E28" w:rsidRDefault="008108A2" w:rsidP="00D15BAF">
      <w:pPr>
        <w:rPr>
          <w:color w:val="000000" w:themeColor="text1"/>
        </w:rPr>
      </w:pPr>
    </w:p>
    <w:p w14:paraId="6530959F" w14:textId="3AFDB94E" w:rsidR="00013707" w:rsidRPr="00B95E28" w:rsidRDefault="00013707" w:rsidP="00557AB7">
      <w:pPr>
        <w:spacing w:line="480" w:lineRule="auto"/>
        <w:rPr>
          <w:color w:val="000000" w:themeColor="text1"/>
        </w:rPr>
      </w:pPr>
      <w:r w:rsidRPr="00B95E28">
        <w:rPr>
          <w:color w:val="000000" w:themeColor="text1"/>
        </w:rPr>
        <w:t>By integrating causal relationships, structured phases, and enabling capabilities, this model provides both a conceptual and practical framework for improving integration performance. It directly addresses the gaps identified in Chapter 5, particularly the lack of early planning, weak governance structures, and the absence of formal learning mechanisms.</w:t>
      </w:r>
    </w:p>
    <w:p w14:paraId="6B807AF1" w14:textId="77777777" w:rsidR="008108A2" w:rsidRPr="00B95E28" w:rsidRDefault="008108A2" w:rsidP="00D15BAF">
      <w:pPr>
        <w:rPr>
          <w:color w:val="000000" w:themeColor="text1"/>
        </w:rPr>
      </w:pPr>
    </w:p>
    <w:p w14:paraId="13E8CF47" w14:textId="426D05B3" w:rsidR="00013707" w:rsidRPr="00B95E28" w:rsidRDefault="00013707" w:rsidP="00557AB7">
      <w:pPr>
        <w:spacing w:line="480" w:lineRule="auto"/>
        <w:rPr>
          <w:color w:val="000000" w:themeColor="text1"/>
        </w:rPr>
      </w:pPr>
      <w:r w:rsidRPr="00B95E28">
        <w:rPr>
          <w:color w:val="000000" w:themeColor="text1"/>
        </w:rPr>
        <w:t>This reflects the central argument of this research: integration capability is not a static resource, but a dynamic organizational system that evolves through repeated application and refinement. The model therefore provides both a structural and behavioural framework for achieving consistent integration outcomes across transactions.</w:t>
      </w:r>
    </w:p>
    <w:p w14:paraId="0C8C2485" w14:textId="77777777" w:rsidR="008108A2" w:rsidRPr="00B95E28" w:rsidRDefault="008108A2" w:rsidP="00D15BAF">
      <w:pPr>
        <w:rPr>
          <w:color w:val="000000" w:themeColor="text1"/>
        </w:rPr>
      </w:pPr>
    </w:p>
    <w:p w14:paraId="65649A74" w14:textId="3AF9645D" w:rsidR="00013707" w:rsidRPr="00B95E28" w:rsidRDefault="00013707" w:rsidP="00557AB7">
      <w:pPr>
        <w:spacing w:line="480" w:lineRule="auto"/>
        <w:rPr>
          <w:color w:val="000000" w:themeColor="text1"/>
        </w:rPr>
      </w:pPr>
      <w:r w:rsidRPr="00B95E28">
        <w:rPr>
          <w:color w:val="000000" w:themeColor="text1"/>
        </w:rPr>
        <w:t>Crucially, the Integration Capability Loop demonstrates that repeatable integration performance is not achieved through the design of structured phases alone. It depends on the organization’s ability to sustain governance continuity, coordinate activities across phases, and make effective decisions under conditions of uncertainty and pressure. In this sense, the model provides not only a framework for integration execution, but a pathway for capability development over time.</w:t>
      </w:r>
    </w:p>
    <w:p w14:paraId="7D64FD70" w14:textId="77777777" w:rsidR="008108A2" w:rsidRPr="00B95E28" w:rsidRDefault="008108A2" w:rsidP="00D15BAF">
      <w:pPr>
        <w:rPr>
          <w:color w:val="000000" w:themeColor="text1"/>
        </w:rPr>
      </w:pPr>
    </w:p>
    <w:p w14:paraId="5F862ECD" w14:textId="7761C8E5" w:rsidR="00013707" w:rsidRPr="00B95E28" w:rsidRDefault="00013707" w:rsidP="00557AB7">
      <w:pPr>
        <w:spacing w:line="480" w:lineRule="auto"/>
        <w:rPr>
          <w:color w:val="000000" w:themeColor="text1"/>
        </w:rPr>
      </w:pPr>
      <w:r w:rsidRPr="00B95E28">
        <w:rPr>
          <w:color w:val="000000" w:themeColor="text1"/>
        </w:rPr>
        <w:t>Chapter 7 builds on this operational model by drawing together the dissertation’s theoretical and practical contributions. It considers the implications of the Integration Capability Loop for serial acquirers, outlines how organizations can apply the model to strengthen integration maturity, and identifies the limitations of the research and opportunities for future study.</w:t>
      </w:r>
    </w:p>
    <w:p w14:paraId="0F0C4E86" w14:textId="77777777" w:rsidR="00013707" w:rsidRPr="00B95E28" w:rsidRDefault="00013707" w:rsidP="00557AB7">
      <w:pPr>
        <w:spacing w:line="480" w:lineRule="auto"/>
        <w:rPr>
          <w:color w:val="000000" w:themeColor="text1"/>
        </w:rPr>
      </w:pPr>
    </w:p>
    <w:p w14:paraId="31287E49" w14:textId="77777777" w:rsidR="004604AB" w:rsidRPr="00B95E28" w:rsidRDefault="004604AB" w:rsidP="00557AB7">
      <w:pPr>
        <w:spacing w:line="480" w:lineRule="auto"/>
        <w:jc w:val="center"/>
        <w:rPr>
          <w:b/>
          <w:color w:val="000000" w:themeColor="text1"/>
        </w:rPr>
      </w:pPr>
    </w:p>
    <w:p w14:paraId="7AD98799" w14:textId="77777777" w:rsidR="004604AB" w:rsidRPr="00B95E28" w:rsidRDefault="004604AB" w:rsidP="00557AB7">
      <w:pPr>
        <w:spacing w:line="480" w:lineRule="auto"/>
        <w:jc w:val="center"/>
        <w:rPr>
          <w:b/>
          <w:color w:val="000000" w:themeColor="text1"/>
        </w:rPr>
      </w:pPr>
    </w:p>
    <w:p w14:paraId="136042D2" w14:textId="77777777" w:rsidR="004604AB" w:rsidRPr="00B95E28" w:rsidRDefault="004604AB" w:rsidP="00557AB7">
      <w:pPr>
        <w:spacing w:line="480" w:lineRule="auto"/>
        <w:jc w:val="center"/>
        <w:rPr>
          <w:b/>
          <w:color w:val="000000" w:themeColor="text1"/>
        </w:rPr>
      </w:pPr>
    </w:p>
    <w:p w14:paraId="1541F4AF" w14:textId="77777777" w:rsidR="00D15BAF" w:rsidRPr="00B95E28" w:rsidRDefault="00D15BAF" w:rsidP="00557AB7">
      <w:pPr>
        <w:spacing w:line="480" w:lineRule="auto"/>
        <w:jc w:val="center"/>
        <w:rPr>
          <w:b/>
          <w:bCs/>
          <w:color w:val="000000" w:themeColor="text1"/>
        </w:rPr>
      </w:pPr>
    </w:p>
    <w:p w14:paraId="2C33BE12" w14:textId="77777777" w:rsidR="00D15BAF" w:rsidRPr="00B95E28" w:rsidRDefault="00D15BAF" w:rsidP="00557AB7">
      <w:pPr>
        <w:spacing w:line="480" w:lineRule="auto"/>
        <w:jc w:val="center"/>
        <w:rPr>
          <w:b/>
          <w:bCs/>
          <w:color w:val="000000" w:themeColor="text1"/>
        </w:rPr>
      </w:pPr>
    </w:p>
    <w:p w14:paraId="65A684FB" w14:textId="77777777" w:rsidR="00D15BAF" w:rsidRPr="00B95E28" w:rsidRDefault="00D15BAF" w:rsidP="00557AB7">
      <w:pPr>
        <w:spacing w:line="480" w:lineRule="auto"/>
        <w:jc w:val="center"/>
        <w:rPr>
          <w:b/>
          <w:bCs/>
          <w:color w:val="000000" w:themeColor="text1"/>
        </w:rPr>
      </w:pPr>
    </w:p>
    <w:p w14:paraId="38DC2D36" w14:textId="77777777" w:rsidR="00D15BAF" w:rsidRPr="00B95E28" w:rsidRDefault="00D15BAF" w:rsidP="00557AB7">
      <w:pPr>
        <w:spacing w:line="480" w:lineRule="auto"/>
        <w:jc w:val="center"/>
        <w:rPr>
          <w:b/>
          <w:bCs/>
          <w:color w:val="000000" w:themeColor="text1"/>
        </w:rPr>
      </w:pPr>
    </w:p>
    <w:p w14:paraId="4F22E402" w14:textId="77777777" w:rsidR="00D15BAF" w:rsidRPr="00B95E28" w:rsidRDefault="00D15BAF" w:rsidP="00557AB7">
      <w:pPr>
        <w:spacing w:line="480" w:lineRule="auto"/>
        <w:jc w:val="center"/>
        <w:rPr>
          <w:b/>
          <w:bCs/>
          <w:color w:val="000000" w:themeColor="text1"/>
        </w:rPr>
      </w:pPr>
    </w:p>
    <w:p w14:paraId="63B9592C" w14:textId="77777777" w:rsidR="00D15BAF" w:rsidRPr="00B95E28" w:rsidRDefault="00D15BAF" w:rsidP="00557AB7">
      <w:pPr>
        <w:spacing w:line="480" w:lineRule="auto"/>
        <w:jc w:val="center"/>
        <w:rPr>
          <w:b/>
          <w:bCs/>
          <w:color w:val="000000" w:themeColor="text1"/>
        </w:rPr>
      </w:pPr>
    </w:p>
    <w:p w14:paraId="6237F08B" w14:textId="77777777" w:rsidR="00D15BAF" w:rsidRPr="00B95E28" w:rsidRDefault="00D15BAF" w:rsidP="00557AB7">
      <w:pPr>
        <w:spacing w:line="480" w:lineRule="auto"/>
        <w:jc w:val="center"/>
        <w:rPr>
          <w:b/>
          <w:bCs/>
          <w:color w:val="000000" w:themeColor="text1"/>
        </w:rPr>
      </w:pPr>
    </w:p>
    <w:p w14:paraId="700BDD7F" w14:textId="77777777" w:rsidR="00D15BAF" w:rsidRPr="00B95E28" w:rsidRDefault="00D15BAF" w:rsidP="00557AB7">
      <w:pPr>
        <w:spacing w:line="480" w:lineRule="auto"/>
        <w:jc w:val="center"/>
        <w:rPr>
          <w:b/>
          <w:bCs/>
          <w:color w:val="000000" w:themeColor="text1"/>
        </w:rPr>
      </w:pPr>
    </w:p>
    <w:p w14:paraId="562F7F4C" w14:textId="77777777" w:rsidR="00D15BAF" w:rsidRPr="00B95E28" w:rsidRDefault="00D15BAF" w:rsidP="00557AB7">
      <w:pPr>
        <w:spacing w:line="480" w:lineRule="auto"/>
        <w:jc w:val="center"/>
        <w:rPr>
          <w:b/>
          <w:bCs/>
          <w:color w:val="000000" w:themeColor="text1"/>
        </w:rPr>
      </w:pPr>
    </w:p>
    <w:p w14:paraId="0CC52263" w14:textId="77777777" w:rsidR="00D15BAF" w:rsidRPr="00B95E28" w:rsidRDefault="00D15BAF" w:rsidP="00557AB7">
      <w:pPr>
        <w:spacing w:line="480" w:lineRule="auto"/>
        <w:jc w:val="center"/>
        <w:rPr>
          <w:b/>
          <w:bCs/>
          <w:color w:val="000000" w:themeColor="text1"/>
        </w:rPr>
      </w:pPr>
    </w:p>
    <w:p w14:paraId="7A98293C" w14:textId="77777777" w:rsidR="00D15BAF" w:rsidRPr="00B95E28" w:rsidRDefault="00D15BAF" w:rsidP="00557AB7">
      <w:pPr>
        <w:spacing w:line="480" w:lineRule="auto"/>
        <w:jc w:val="center"/>
        <w:rPr>
          <w:b/>
          <w:bCs/>
          <w:color w:val="000000" w:themeColor="text1"/>
        </w:rPr>
      </w:pPr>
    </w:p>
    <w:p w14:paraId="643C2285" w14:textId="77777777" w:rsidR="00D15BAF" w:rsidRPr="00B95E28" w:rsidRDefault="00D15BAF" w:rsidP="00557AB7">
      <w:pPr>
        <w:spacing w:line="480" w:lineRule="auto"/>
        <w:jc w:val="center"/>
        <w:rPr>
          <w:b/>
          <w:bCs/>
          <w:color w:val="000000" w:themeColor="text1"/>
        </w:rPr>
      </w:pPr>
    </w:p>
    <w:p w14:paraId="027FB946" w14:textId="3A72E15B" w:rsidR="0033207C" w:rsidRPr="00B95E28" w:rsidRDefault="0033207C" w:rsidP="00557AB7">
      <w:pPr>
        <w:spacing w:line="480" w:lineRule="auto"/>
        <w:jc w:val="center"/>
        <w:rPr>
          <w:b/>
          <w:bCs/>
          <w:color w:val="000000" w:themeColor="text1"/>
        </w:rPr>
      </w:pPr>
      <w:r w:rsidRPr="00B95E28">
        <w:rPr>
          <w:b/>
          <w:bCs/>
          <w:color w:val="000000" w:themeColor="text1"/>
        </w:rPr>
        <w:t>CHAPTER 7</w:t>
      </w:r>
    </w:p>
    <w:p w14:paraId="78F363F4" w14:textId="770FCD91" w:rsidR="0033207C" w:rsidRPr="00B95E28" w:rsidRDefault="0033207C" w:rsidP="00557AB7">
      <w:pPr>
        <w:pStyle w:val="Heading1"/>
        <w:rPr>
          <w:color w:val="000000" w:themeColor="text1"/>
        </w:rPr>
      </w:pPr>
      <w:bookmarkStart w:id="216" w:name="_Toc232351923"/>
      <w:r w:rsidRPr="00B95E28">
        <w:rPr>
          <w:color w:val="000000" w:themeColor="text1"/>
        </w:rPr>
        <w:t>CONCLUSION</w:t>
      </w:r>
      <w:bookmarkEnd w:id="216"/>
    </w:p>
    <w:p w14:paraId="314F86FA" w14:textId="77777777" w:rsidR="0033207C" w:rsidRPr="00B95E28" w:rsidRDefault="0033207C" w:rsidP="00557AB7">
      <w:pPr>
        <w:pStyle w:val="Heading2"/>
        <w:spacing w:before="0" w:after="0" w:line="480" w:lineRule="auto"/>
        <w:rPr>
          <w:color w:val="000000" w:themeColor="text1"/>
        </w:rPr>
      </w:pPr>
      <w:bookmarkStart w:id="217" w:name="_Toc232351924"/>
      <w:r w:rsidRPr="00B95E28">
        <w:rPr>
          <w:color w:val="000000" w:themeColor="text1"/>
        </w:rPr>
        <w:t>Chapter 7: Overview</w:t>
      </w:r>
      <w:bookmarkEnd w:id="217"/>
    </w:p>
    <w:p w14:paraId="52F9F298" w14:textId="77777777" w:rsidR="0033207C" w:rsidRPr="00B95E28" w:rsidRDefault="0033207C" w:rsidP="00557AB7">
      <w:pPr>
        <w:spacing w:line="480" w:lineRule="auto"/>
        <w:rPr>
          <w:color w:val="000000" w:themeColor="text1"/>
        </w:rPr>
      </w:pPr>
      <w:r w:rsidRPr="00B95E28">
        <w:rPr>
          <w:color w:val="000000" w:themeColor="text1"/>
        </w:rPr>
        <w:t>This chapter brings together the findings and analysis presented in Chapters 4 through 6 to examine their broader implications for both theory and practice. While the preceding chapters established the empirical patterns underlying integration challenges and introduced the Integration Capability Loop (ICL) and Integration Capability Engine (ICE) as explanatory constructs, this chapter focuses on interpreting these insights within the context of existing literature and organizational practice.</w:t>
      </w:r>
    </w:p>
    <w:p w14:paraId="6858C982" w14:textId="77777777" w:rsidR="0033207C" w:rsidRPr="00B95E28" w:rsidRDefault="0033207C" w:rsidP="00D15BAF">
      <w:pPr>
        <w:rPr>
          <w:color w:val="000000" w:themeColor="text1"/>
        </w:rPr>
      </w:pPr>
    </w:p>
    <w:p w14:paraId="59DC9FE3" w14:textId="36E773F8" w:rsidR="0033207C" w:rsidRPr="00B95E28" w:rsidRDefault="0033207C" w:rsidP="00557AB7">
      <w:pPr>
        <w:spacing w:line="480" w:lineRule="auto"/>
        <w:rPr>
          <w:color w:val="000000" w:themeColor="text1"/>
        </w:rPr>
      </w:pPr>
      <w:r w:rsidRPr="00B95E28">
        <w:rPr>
          <w:color w:val="000000" w:themeColor="text1"/>
        </w:rPr>
        <w:t>The purpose of this chapter is threefold. First, it synthesizes the key findings of the study, moving beyond individual themes to present a coherent view of how integration capability develops across transactions. Second, it articulates the contribution of the research to existing theory, positioning integration as an organizational capability rather than a transaction-level process. Third, it considers the practical implications of the findings, alongside the limitations of the study and opportunities for future research.</w:t>
      </w:r>
    </w:p>
    <w:p w14:paraId="3575799B" w14:textId="77777777" w:rsidR="0033207C" w:rsidRPr="00B95E28" w:rsidRDefault="0033207C" w:rsidP="00D15BAF">
      <w:pPr>
        <w:rPr>
          <w:color w:val="000000" w:themeColor="text1"/>
        </w:rPr>
      </w:pPr>
    </w:p>
    <w:p w14:paraId="7FEEAC2A" w14:textId="313766F4" w:rsidR="0033207C" w:rsidRPr="00B95E28" w:rsidRDefault="0033207C" w:rsidP="00557AB7">
      <w:pPr>
        <w:spacing w:line="480" w:lineRule="auto"/>
        <w:rPr>
          <w:color w:val="000000" w:themeColor="text1"/>
        </w:rPr>
      </w:pPr>
      <w:r w:rsidRPr="00B95E28">
        <w:rPr>
          <w:color w:val="000000" w:themeColor="text1"/>
        </w:rPr>
        <w:t xml:space="preserve">In doing so, this chapter shifts the focus from what was observed and how it was explained, to what these findings mean for understanding and managing post-merger integration in organizations that pursue acquisition-driven growth. It provides the final step in linking empirical evidence, conceptual development, and practical application into a unified perspective on repeatable integration capability. </w:t>
      </w:r>
    </w:p>
    <w:p w14:paraId="617FF743" w14:textId="77777777" w:rsidR="00D15BAF" w:rsidRPr="00B95E28" w:rsidRDefault="00D15BAF" w:rsidP="00D15BAF">
      <w:pPr>
        <w:rPr>
          <w:color w:val="000000" w:themeColor="text1"/>
        </w:rPr>
      </w:pPr>
    </w:p>
    <w:p w14:paraId="024FCC42" w14:textId="67B33833" w:rsidR="0033207C" w:rsidRPr="00B95E28" w:rsidRDefault="0033207C" w:rsidP="00557AB7">
      <w:pPr>
        <w:spacing w:line="480" w:lineRule="auto"/>
        <w:rPr>
          <w:color w:val="000000" w:themeColor="text1"/>
        </w:rPr>
      </w:pPr>
      <w:r w:rsidRPr="00B95E28">
        <w:rPr>
          <w:color w:val="000000" w:themeColor="text1"/>
        </w:rPr>
        <w:t xml:space="preserve">In addition to identifying key themes, the analysis revealed a set of causal relationships linking governance, planning, execution, and learning across the integration lifecycle. These relationships highlight how decisions and conditions established in earlier phases shape downstream outcomes, reinforcing the view of integration as a system of interdependent activities rather than a sequence of isolated steps. These causal mechanisms are examined in greater detail in the following sections. </w:t>
      </w:r>
    </w:p>
    <w:p w14:paraId="49E828CF" w14:textId="77777777" w:rsidR="0033207C" w:rsidRPr="00B95E28" w:rsidRDefault="0033207C" w:rsidP="00D15BAF">
      <w:pPr>
        <w:rPr>
          <w:color w:val="000000" w:themeColor="text1"/>
        </w:rPr>
      </w:pPr>
    </w:p>
    <w:p w14:paraId="4A5BC356" w14:textId="76C6F66A" w:rsidR="0033207C" w:rsidRPr="00B95E28" w:rsidRDefault="0033207C" w:rsidP="00557AB7">
      <w:pPr>
        <w:spacing w:line="480" w:lineRule="auto"/>
        <w:rPr>
          <w:color w:val="000000" w:themeColor="text1"/>
        </w:rPr>
      </w:pPr>
      <w:r w:rsidRPr="00B95E28">
        <w:rPr>
          <w:color w:val="000000" w:themeColor="text1"/>
        </w:rPr>
        <w:t>The chapter therefore concludes the dissertation by showing how the empirical findings, conceptual models, and practical implications collectively support the central argument that integration capability is built across transactions rather than contained within individual deals.</w:t>
      </w:r>
    </w:p>
    <w:p w14:paraId="1294313B" w14:textId="77777777" w:rsidR="00D15BAF" w:rsidRPr="00B95E28" w:rsidRDefault="00D15BAF" w:rsidP="00D15BAF">
      <w:pPr>
        <w:rPr>
          <w:color w:val="000000" w:themeColor="text1"/>
        </w:rPr>
      </w:pPr>
    </w:p>
    <w:p w14:paraId="3D619F66" w14:textId="51570629" w:rsidR="0033207C" w:rsidRPr="00B95E28" w:rsidRDefault="0033207C" w:rsidP="00557AB7">
      <w:pPr>
        <w:pStyle w:val="Heading2"/>
        <w:spacing w:before="0" w:after="0" w:line="480" w:lineRule="auto"/>
        <w:rPr>
          <w:color w:val="000000" w:themeColor="text1"/>
        </w:rPr>
      </w:pPr>
      <w:bookmarkStart w:id="218" w:name="_Toc232351925"/>
      <w:r w:rsidRPr="00B95E28">
        <w:rPr>
          <w:color w:val="000000" w:themeColor="text1"/>
        </w:rPr>
        <w:lastRenderedPageBreak/>
        <w:t>7.1 Summary of Research Findings</w:t>
      </w:r>
      <w:bookmarkEnd w:id="218"/>
    </w:p>
    <w:p w14:paraId="652CDEC6" w14:textId="77777777" w:rsidR="0033207C" w:rsidRPr="00B95E28" w:rsidRDefault="0033207C" w:rsidP="00557AB7">
      <w:pPr>
        <w:spacing w:line="480" w:lineRule="auto"/>
        <w:rPr>
          <w:color w:val="000000" w:themeColor="text1"/>
        </w:rPr>
      </w:pPr>
      <w:r w:rsidRPr="00B95E28">
        <w:rPr>
          <w:color w:val="000000" w:themeColor="text1"/>
        </w:rPr>
        <w:t>The findings of this study provide a consistent and converging view of how integration is experienced and executed across organizations engaged in acquisition activity. While participants represented diverse industries, roles, and levels of acquisition maturity, the patterns observed across interviews indicate that integration challenges and outcomes are shaped by a common set of structural and organizational conditions.</w:t>
      </w:r>
    </w:p>
    <w:p w14:paraId="4101C6A7" w14:textId="77777777" w:rsidR="0033207C" w:rsidRPr="00B95E28" w:rsidRDefault="0033207C" w:rsidP="00D15BAF">
      <w:pPr>
        <w:rPr>
          <w:color w:val="000000" w:themeColor="text1"/>
        </w:rPr>
      </w:pPr>
    </w:p>
    <w:p w14:paraId="056B4027" w14:textId="6A72610B" w:rsidR="0033207C" w:rsidRPr="00B95E28" w:rsidRDefault="0033207C" w:rsidP="00557AB7">
      <w:pPr>
        <w:spacing w:line="480" w:lineRule="auto"/>
        <w:rPr>
          <w:color w:val="000000" w:themeColor="text1"/>
        </w:rPr>
      </w:pPr>
      <w:r w:rsidRPr="00B95E28">
        <w:rPr>
          <w:color w:val="000000" w:themeColor="text1"/>
        </w:rPr>
        <w:t>A central finding is that integration outcomes are largely determined prior to execution. Across interviews, participants emphasized that the effectiveness of integration is heavily influenced by decisions made during the pre-close phase, particularly in relation to planning, governance design, and leadership alignment. Where integration considerations were incorporated early, organizations demonstrated greater clarity, faster mobilization, and more consistent execution. In contrast, delayed planning resulted in reactive approaches, compressed timelines, and increased execution risk.</w:t>
      </w:r>
    </w:p>
    <w:p w14:paraId="284DFE93" w14:textId="77777777" w:rsidR="0033207C" w:rsidRPr="00B95E28" w:rsidRDefault="0033207C" w:rsidP="00557AB7">
      <w:pPr>
        <w:spacing w:line="480" w:lineRule="auto"/>
        <w:rPr>
          <w:color w:val="000000" w:themeColor="text1"/>
        </w:rPr>
      </w:pPr>
    </w:p>
    <w:p w14:paraId="7E88D30F" w14:textId="7C2EBE78" w:rsidR="0033207C" w:rsidRPr="00B95E28" w:rsidRDefault="0033207C" w:rsidP="00557AB7">
      <w:pPr>
        <w:spacing w:line="480" w:lineRule="auto"/>
        <w:rPr>
          <w:color w:val="000000" w:themeColor="text1"/>
        </w:rPr>
      </w:pPr>
      <w:r w:rsidRPr="00B95E28">
        <w:rPr>
          <w:color w:val="000000" w:themeColor="text1"/>
        </w:rPr>
        <w:t>Closely linked to this is the role of governance continuity. The findings indicate that integration effectiveness is strongly associated with the presence of clear accountability, defined decision rights, and centralized coordination mechanisms. Organizations that established governance structures early and maintained them consistently across transactions were better able to coordinate activities, resolve issues, and sustain execution discipline. Conversely, fragmented or evolving governance structures led to ambiguity in ownership, delayed decision-making, and misalignment across functional areas.</w:t>
      </w:r>
    </w:p>
    <w:p w14:paraId="5FC7C8BF" w14:textId="77777777" w:rsidR="0033207C" w:rsidRPr="00B95E28" w:rsidRDefault="0033207C" w:rsidP="00D15BAF">
      <w:pPr>
        <w:rPr>
          <w:color w:val="000000" w:themeColor="text1"/>
        </w:rPr>
      </w:pPr>
    </w:p>
    <w:p w14:paraId="6215DDCF" w14:textId="532C2657" w:rsidR="0033207C" w:rsidRPr="00B95E28" w:rsidRDefault="0033207C" w:rsidP="00557AB7">
      <w:pPr>
        <w:spacing w:line="480" w:lineRule="auto"/>
        <w:rPr>
          <w:color w:val="000000" w:themeColor="text1"/>
        </w:rPr>
      </w:pPr>
      <w:r w:rsidRPr="00B95E28">
        <w:rPr>
          <w:color w:val="000000" w:themeColor="text1"/>
        </w:rPr>
        <w:lastRenderedPageBreak/>
        <w:t>The execution phase, while often perceived as the primary driver of integration success, was consistently described as reflective rather than determinative. Participants highlighted that execution challenges typically arise from upstream weaknesses in planning and alignment. As a result, execution outcomes are better understood as the manifestation of earlier decisions rather than as isolated performance issues. This finding challenges traditional views that position execution as the primary lever of integration success and instead emphasizes the importance of upstream conditions.</w:t>
      </w:r>
    </w:p>
    <w:p w14:paraId="0D38AD62" w14:textId="77777777" w:rsidR="0033207C" w:rsidRPr="00B95E28" w:rsidRDefault="0033207C" w:rsidP="00D15BAF">
      <w:pPr>
        <w:rPr>
          <w:color w:val="000000" w:themeColor="text1"/>
        </w:rPr>
      </w:pPr>
    </w:p>
    <w:p w14:paraId="7BEB35AC" w14:textId="0E6D2BDE" w:rsidR="0033207C" w:rsidRPr="00B95E28" w:rsidRDefault="0033207C" w:rsidP="00557AB7">
      <w:pPr>
        <w:spacing w:line="480" w:lineRule="auto"/>
        <w:rPr>
          <w:color w:val="000000" w:themeColor="text1"/>
        </w:rPr>
      </w:pPr>
      <w:r w:rsidRPr="00B95E28">
        <w:rPr>
          <w:color w:val="000000" w:themeColor="text1"/>
        </w:rPr>
        <w:t>Organizational learning emerged as a critical yet underdeveloped component of integration capability. While participants frequently described informal learning through experience, there was limited evidence of systematic mechanisms for capturing, codifying, and transferring knowledge across transactions. In many cases, learning remained embedded at the individual level, resulting in repeated challenges across deals despite prior experience. This suggests that learning does not accumulate automatically and requires deliberate structures to contribute to capability development.</w:t>
      </w:r>
    </w:p>
    <w:p w14:paraId="4F66AE86" w14:textId="77777777" w:rsidR="0033207C" w:rsidRPr="00B95E28" w:rsidRDefault="0033207C" w:rsidP="00557AB7">
      <w:pPr>
        <w:spacing w:line="480" w:lineRule="auto"/>
        <w:rPr>
          <w:color w:val="000000" w:themeColor="text1"/>
        </w:rPr>
      </w:pPr>
    </w:p>
    <w:p w14:paraId="097701C5" w14:textId="526031E3" w:rsidR="0033207C" w:rsidRPr="00B95E28" w:rsidRDefault="0033207C" w:rsidP="00557AB7">
      <w:pPr>
        <w:spacing w:line="480" w:lineRule="auto"/>
        <w:rPr>
          <w:color w:val="000000" w:themeColor="text1"/>
        </w:rPr>
      </w:pPr>
      <w:r w:rsidRPr="00B95E28">
        <w:rPr>
          <w:color w:val="000000" w:themeColor="text1"/>
        </w:rPr>
        <w:t>Taken together, these findings indicate that integration capability is not simply a function of experience or process execution, but of the organization’s ability to maintain continuity across key conditions over time. Governance structures, planning approaches, execution practices, and learning mechanisms must operate in alignment across transactions in order to produce consistent outcomes. Where this continuity is absent, capability does not accumulate, and organizations experience recurring inefficiencies and variability in performance.</w:t>
      </w:r>
    </w:p>
    <w:p w14:paraId="54EF6C6A" w14:textId="77777777" w:rsidR="0033207C" w:rsidRPr="00B95E28" w:rsidRDefault="0033207C" w:rsidP="00D15BAF">
      <w:pPr>
        <w:rPr>
          <w:color w:val="000000" w:themeColor="text1"/>
        </w:rPr>
      </w:pPr>
    </w:p>
    <w:p w14:paraId="358BA6D4" w14:textId="31423B73" w:rsidR="0033207C" w:rsidRPr="00B95E28" w:rsidRDefault="0033207C" w:rsidP="00557AB7">
      <w:pPr>
        <w:spacing w:line="480" w:lineRule="auto"/>
        <w:rPr>
          <w:color w:val="000000" w:themeColor="text1"/>
        </w:rPr>
      </w:pPr>
      <w:r w:rsidRPr="00B95E28">
        <w:rPr>
          <w:color w:val="000000" w:themeColor="text1"/>
        </w:rPr>
        <w:lastRenderedPageBreak/>
        <w:t>In addition to identifying these patterns, the findings also reveal a set of causal relationships linking phases of the integration lifecycle. Decisions made during readiness and planning phases shape the conditions under which execution occurs, while the effectiveness of execution influences the organization’s ability to generate and retain learning. However, the connection between execution and learning was consistently identified as the weakest linkage, limiting the ability of organizations to translate experience into improved performance over time.</w:t>
      </w:r>
    </w:p>
    <w:p w14:paraId="3FD6B83F" w14:textId="77777777" w:rsidR="0033207C" w:rsidRPr="00B95E28" w:rsidRDefault="0033207C" w:rsidP="00D15BAF">
      <w:pPr>
        <w:rPr>
          <w:color w:val="000000" w:themeColor="text1"/>
        </w:rPr>
      </w:pPr>
    </w:p>
    <w:p w14:paraId="498BD8B3" w14:textId="001EFCD9" w:rsidR="0033207C" w:rsidRPr="00B95E28" w:rsidRDefault="0033207C" w:rsidP="00557AB7">
      <w:pPr>
        <w:spacing w:line="480" w:lineRule="auto"/>
        <w:rPr>
          <w:color w:val="000000" w:themeColor="text1"/>
        </w:rPr>
      </w:pPr>
      <w:r w:rsidRPr="00B95E28">
        <w:rPr>
          <w:color w:val="000000" w:themeColor="text1"/>
        </w:rPr>
        <w:t>Overall, the findings reinforce the central argument of this study: that integration should be understood not as a discrete process executed within individual transactions, but as a repeatable organizational capability that develops, or fails to develop, across multiple acquisitions. This perspective provides the foundation for examining how integration capability is constructed and sustained, which is explored in greater detail in the following section.</w:t>
      </w:r>
    </w:p>
    <w:p w14:paraId="15052206" w14:textId="77777777" w:rsidR="0033207C" w:rsidRPr="00B95E28" w:rsidRDefault="0033207C" w:rsidP="00557AB7">
      <w:pPr>
        <w:spacing w:line="480" w:lineRule="auto"/>
        <w:rPr>
          <w:color w:val="000000" w:themeColor="text1"/>
        </w:rPr>
      </w:pPr>
      <w:r w:rsidRPr="00B95E28">
        <w:rPr>
          <w:color w:val="000000" w:themeColor="text1"/>
        </w:rPr>
        <w:t>To consolidate the key findings identified across the analysis, Table 7.1 provides a summary of the primary dimensions, associated insights, and their implications for integration capability.</w:t>
      </w:r>
    </w:p>
    <w:p w14:paraId="279BBAE6" w14:textId="0361A506" w:rsidR="0033207C" w:rsidRPr="00B95E28" w:rsidRDefault="0033207C"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219" w:name="_Toc232351985"/>
      <w:r w:rsidR="00B91B93">
        <w:rPr>
          <w:noProof/>
          <w:color w:val="000000" w:themeColor="text1"/>
        </w:rPr>
        <w:t>17</w:t>
      </w:r>
      <w:r w:rsidRPr="00B95E28">
        <w:rPr>
          <w:color w:val="000000" w:themeColor="text1"/>
        </w:rPr>
        <w:fldChar w:fldCharType="end"/>
      </w:r>
      <w:r w:rsidRPr="00B95E28">
        <w:rPr>
          <w:color w:val="000000" w:themeColor="text1"/>
        </w:rPr>
        <w:t>: Table 7.1: Summary of Key Findings (Source: Author)</w:t>
      </w:r>
      <w:bookmarkEnd w:id="219"/>
    </w:p>
    <w:p w14:paraId="1C44AD56" w14:textId="7881C6C9" w:rsidR="0033207C" w:rsidRPr="00B95E28" w:rsidRDefault="0033207C" w:rsidP="00557AB7">
      <w:pPr>
        <w:spacing w:line="480" w:lineRule="auto"/>
        <w:rPr>
          <w:color w:val="000000" w:themeColor="text1"/>
        </w:rPr>
      </w:pPr>
      <w:r w:rsidRPr="00B95E28">
        <w:rPr>
          <w:noProof/>
          <w:color w:val="000000" w:themeColor="text1"/>
        </w:rPr>
        <w:drawing>
          <wp:inline distT="0" distB="0" distL="0" distR="0" wp14:anchorId="56900F4E" wp14:editId="6FA81599">
            <wp:extent cx="5943600" cy="961390"/>
            <wp:effectExtent l="0" t="0" r="0" b="0"/>
            <wp:docPr id="172979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961390"/>
                    </a:xfrm>
                    <a:prstGeom prst="rect">
                      <a:avLst/>
                    </a:prstGeom>
                    <a:noFill/>
                    <a:ln>
                      <a:noFill/>
                    </a:ln>
                  </pic:spPr>
                </pic:pic>
              </a:graphicData>
            </a:graphic>
          </wp:inline>
        </w:drawing>
      </w:r>
      <w:r w:rsidRPr="00B95E28">
        <w:rPr>
          <w:color w:val="000000" w:themeColor="text1"/>
        </w:rPr>
        <w:t>Table 7.1 shows that the key findings are not separate observations but connected conditions that shape integration performance. Governance, planning, execution, technology, people, and learning each influence outcomes, but their value depends on how consistently they are connected across transactions. This reinforces the central argument of the dissertation: integration capability develops when organizations create continuity between what they decide, what they execute, and what they learn.</w:t>
      </w:r>
    </w:p>
    <w:p w14:paraId="4FDA0C8D" w14:textId="77777777" w:rsidR="00D15BAF" w:rsidRPr="00B95E28" w:rsidRDefault="00D15BAF" w:rsidP="00D15BAF">
      <w:pPr>
        <w:rPr>
          <w:color w:val="000000" w:themeColor="text1"/>
        </w:rPr>
      </w:pPr>
    </w:p>
    <w:p w14:paraId="11BA7C3C" w14:textId="4D68FDB6" w:rsidR="0033207C" w:rsidRPr="00B95E28" w:rsidRDefault="0033207C" w:rsidP="00557AB7">
      <w:pPr>
        <w:pStyle w:val="Heading3"/>
        <w:spacing w:before="0" w:after="0" w:line="480" w:lineRule="auto"/>
        <w:rPr>
          <w:color w:val="000000" w:themeColor="text1"/>
        </w:rPr>
      </w:pPr>
      <w:bookmarkStart w:id="220" w:name="_Toc232351926"/>
      <w:r w:rsidRPr="00B95E28">
        <w:rPr>
          <w:color w:val="000000" w:themeColor="text1"/>
        </w:rPr>
        <w:t>7.1.1 Answer to the Primary Research Question</w:t>
      </w:r>
      <w:bookmarkEnd w:id="220"/>
    </w:p>
    <w:p w14:paraId="3A3CCD6C" w14:textId="77777777" w:rsidR="0033207C" w:rsidRPr="00B95E28" w:rsidRDefault="0033207C" w:rsidP="00557AB7">
      <w:pPr>
        <w:spacing w:line="480" w:lineRule="auto"/>
        <w:rPr>
          <w:color w:val="000000" w:themeColor="text1"/>
        </w:rPr>
      </w:pPr>
      <w:r w:rsidRPr="00B95E28">
        <w:rPr>
          <w:color w:val="000000" w:themeColor="text1"/>
        </w:rPr>
        <w:t>The primary research question guiding this study asked: How do organizations develop repeatable integration capability across multiple acquisitions? The findings indicate that repeatable integration capability develops when organizations move beyond treating integration as a transaction-specific project and instead establish the conditions required to execute, learn, and improve across successive acquisitions.</w:t>
      </w:r>
    </w:p>
    <w:p w14:paraId="07F8EF0C" w14:textId="77777777" w:rsidR="0033207C" w:rsidRPr="00B95E28" w:rsidRDefault="0033207C" w:rsidP="00D15BAF">
      <w:pPr>
        <w:rPr>
          <w:color w:val="000000" w:themeColor="text1"/>
        </w:rPr>
      </w:pPr>
    </w:p>
    <w:p w14:paraId="709C5FA5" w14:textId="77777777" w:rsidR="0033207C" w:rsidRPr="00B95E28" w:rsidRDefault="0033207C" w:rsidP="00557AB7">
      <w:pPr>
        <w:spacing w:line="480" w:lineRule="auto"/>
        <w:rPr>
          <w:color w:val="000000" w:themeColor="text1"/>
        </w:rPr>
      </w:pPr>
      <w:r w:rsidRPr="00B95E28">
        <w:rPr>
          <w:color w:val="000000" w:themeColor="text1"/>
        </w:rPr>
        <w:t xml:space="preserve">Specifically, the study finds that repeatable integration capability develops through five connected mechanisms. First, organizations must establish governance continuity, including clear decision rights, leadership accountability, and escalation structures that are carried across transactions rather than recreated for each deal. Second, integration planning must begin early enough to influence the deal thesis, synergy assumptions, Day 1 readiness, and execution design. </w:t>
      </w:r>
    </w:p>
    <w:p w14:paraId="49A16C3B" w14:textId="3A0E4264" w:rsidR="0033207C" w:rsidRPr="00B95E28" w:rsidRDefault="0033207C" w:rsidP="00557AB7">
      <w:pPr>
        <w:spacing w:line="480" w:lineRule="auto"/>
        <w:rPr>
          <w:color w:val="000000" w:themeColor="text1"/>
        </w:rPr>
      </w:pPr>
      <w:r w:rsidRPr="00B95E28">
        <w:rPr>
          <w:color w:val="000000" w:themeColor="text1"/>
        </w:rPr>
        <w:t>Third, integration execution must be supported by realistic resource capacity and cross-functional coordination, rather than relying on functional teams to absorb integration work alongside business-as-usual responsibilities. Fourth, technology and data integration must be treated as operating model integration, because systems decisions shape visibility, control, reporting, and business process alignment. Fifth, organizations must convert integration experience into institutional learning through structured post-integration review, playbook refinement, and updated diligence and planning practices.</w:t>
      </w:r>
    </w:p>
    <w:p w14:paraId="0EDCAD69" w14:textId="77777777" w:rsidR="0033207C" w:rsidRPr="00B95E28" w:rsidRDefault="0033207C" w:rsidP="00D15BAF">
      <w:pPr>
        <w:rPr>
          <w:color w:val="000000" w:themeColor="text1"/>
        </w:rPr>
      </w:pPr>
    </w:p>
    <w:p w14:paraId="50C1FA3C" w14:textId="6D05B424" w:rsidR="0033207C" w:rsidRPr="00B95E28" w:rsidRDefault="0033207C" w:rsidP="00557AB7">
      <w:pPr>
        <w:spacing w:line="480" w:lineRule="auto"/>
        <w:rPr>
          <w:color w:val="000000" w:themeColor="text1"/>
        </w:rPr>
      </w:pPr>
      <w:r w:rsidRPr="00B95E28">
        <w:rPr>
          <w:color w:val="000000" w:themeColor="text1"/>
        </w:rPr>
        <w:t xml:space="preserve">The findings also show that these mechanisms must operate together. Isolated improvements do not necessarily create repeatable capability. A strong playbook is insufficient without governance authority. Early planning is insufficient without execution capacity. Lessons learned are insufficient unless they change how the next acquisition is approached. Repeatable capability </w:t>
      </w:r>
      <w:r w:rsidRPr="00B95E28">
        <w:rPr>
          <w:color w:val="000000" w:themeColor="text1"/>
        </w:rPr>
        <w:lastRenderedPageBreak/>
        <w:t>therefore emerges from the alignment of governance, planning, execution, technology, people, and learning across transactions.</w:t>
      </w:r>
    </w:p>
    <w:p w14:paraId="5831BEF3" w14:textId="77777777" w:rsidR="0033207C" w:rsidRPr="00B95E28" w:rsidRDefault="0033207C" w:rsidP="00D15BAF">
      <w:pPr>
        <w:rPr>
          <w:color w:val="000000" w:themeColor="text1"/>
        </w:rPr>
      </w:pPr>
    </w:p>
    <w:p w14:paraId="3CA9B1BB" w14:textId="42F55103" w:rsidR="0033207C" w:rsidRPr="00B95E28" w:rsidRDefault="0033207C" w:rsidP="00557AB7">
      <w:pPr>
        <w:spacing w:line="480" w:lineRule="auto"/>
        <w:rPr>
          <w:color w:val="000000" w:themeColor="text1"/>
        </w:rPr>
      </w:pPr>
      <w:r w:rsidRPr="00B95E28">
        <w:rPr>
          <w:color w:val="000000" w:themeColor="text1"/>
        </w:rPr>
        <w:t>This answer reinforces the central argument of the dissertation: experience alone does not create integration capability. Organizations may complete multiple acquisitions and still fail to improve if governance changes from deal to deal, learning remains informal, and execution depends on individual effort rather than institutionalized routines. Repeatable integration capability develops only when knowledge, decision-making, and execution discipline are carried forward across transactions.</w:t>
      </w:r>
    </w:p>
    <w:p w14:paraId="71960DD8" w14:textId="77777777" w:rsidR="00D15BAF" w:rsidRPr="00B95E28" w:rsidRDefault="00D15BAF" w:rsidP="00D15BAF">
      <w:pPr>
        <w:rPr>
          <w:color w:val="000000" w:themeColor="text1"/>
        </w:rPr>
      </w:pPr>
    </w:p>
    <w:p w14:paraId="551415EB" w14:textId="3F531694" w:rsidR="0033207C" w:rsidRPr="00B95E28" w:rsidRDefault="0033207C" w:rsidP="00557AB7">
      <w:pPr>
        <w:pStyle w:val="Heading2"/>
        <w:spacing w:before="0" w:after="0" w:line="480" w:lineRule="auto"/>
        <w:rPr>
          <w:color w:val="000000" w:themeColor="text1"/>
        </w:rPr>
      </w:pPr>
      <w:bookmarkStart w:id="221" w:name="_Toc232351927"/>
      <w:r w:rsidRPr="00B95E28">
        <w:rPr>
          <w:color w:val="000000" w:themeColor="text1"/>
        </w:rPr>
        <w:t>7.2 Mechanisms of Integration Capability Development</w:t>
      </w:r>
      <w:bookmarkEnd w:id="221"/>
    </w:p>
    <w:p w14:paraId="7E99C10B" w14:textId="77777777" w:rsidR="0033207C" w:rsidRPr="00B95E28" w:rsidRDefault="0033207C" w:rsidP="00557AB7">
      <w:pPr>
        <w:spacing w:line="480" w:lineRule="auto"/>
        <w:rPr>
          <w:color w:val="000000" w:themeColor="text1"/>
        </w:rPr>
      </w:pPr>
      <w:r w:rsidRPr="00B95E28">
        <w:rPr>
          <w:color w:val="000000" w:themeColor="text1"/>
        </w:rPr>
        <w:t>While the preceding sections have established the key patterns underlying integration outcomes, a central objective of this research is to explain how integration capability develops, or fails to develop, across transactions. The findings indicate that capability is not formed through the repetition of integration activities alone, but through a set of reinforcing mechanisms that operate across the integration lifecycle.</w:t>
      </w:r>
    </w:p>
    <w:p w14:paraId="0623F56B" w14:textId="77777777" w:rsidR="0033207C" w:rsidRPr="00B95E28" w:rsidRDefault="0033207C" w:rsidP="00D15BAF">
      <w:pPr>
        <w:rPr>
          <w:color w:val="000000" w:themeColor="text1"/>
        </w:rPr>
      </w:pPr>
    </w:p>
    <w:p w14:paraId="6B8FB9AE" w14:textId="07774879" w:rsidR="0033207C" w:rsidRPr="00B95E28" w:rsidRDefault="0033207C" w:rsidP="00557AB7">
      <w:pPr>
        <w:spacing w:line="480" w:lineRule="auto"/>
        <w:rPr>
          <w:color w:val="000000" w:themeColor="text1"/>
        </w:rPr>
      </w:pPr>
      <w:r w:rsidRPr="00B95E28">
        <w:rPr>
          <w:b/>
          <w:bCs/>
          <w:color w:val="000000" w:themeColor="text1"/>
        </w:rPr>
        <w:t>Mechanism 1: Governance Continuity.</w:t>
      </w:r>
      <w:r w:rsidRPr="00B95E28">
        <w:rPr>
          <w:color w:val="000000" w:themeColor="text1"/>
        </w:rPr>
        <w:t xml:space="preserve"> Governance continuity refers to the organization’s ability to maintain consistent decision rights, accountability structures, and leadership roles across transactions. Integration capability develops when governance is not recreated for each deal, but carried forward as a stable operating discipline. This continuity enables faster decision-making, clearer coordination, and reduced ambiguity during execution. In contrast, when governance structures are redefined or fragmented from one transaction to the next, organizations experience recurring inefficiencies because teams must re-establish alignment and decision-making processes each time.</w:t>
      </w:r>
    </w:p>
    <w:p w14:paraId="639439B9" w14:textId="77777777" w:rsidR="0033207C" w:rsidRPr="00B95E28" w:rsidRDefault="0033207C" w:rsidP="00D15BAF">
      <w:pPr>
        <w:rPr>
          <w:color w:val="000000" w:themeColor="text1"/>
        </w:rPr>
      </w:pPr>
    </w:p>
    <w:p w14:paraId="03D33DA1" w14:textId="2C8ACAD6" w:rsidR="0033207C" w:rsidRPr="00B95E28" w:rsidRDefault="0033207C" w:rsidP="00557AB7">
      <w:pPr>
        <w:spacing w:line="480" w:lineRule="auto"/>
        <w:rPr>
          <w:color w:val="000000" w:themeColor="text1"/>
        </w:rPr>
      </w:pPr>
      <w:r w:rsidRPr="00B95E28">
        <w:rPr>
          <w:b/>
          <w:bCs/>
          <w:color w:val="000000" w:themeColor="text1"/>
        </w:rPr>
        <w:t>Mechanism 2: Lifecycle Linkage.</w:t>
      </w:r>
      <w:r w:rsidRPr="00B95E28">
        <w:rPr>
          <w:color w:val="000000" w:themeColor="text1"/>
        </w:rPr>
        <w:t xml:space="preserve"> Lifecycle linkage refers to the connection between integration phases, where outputs from earlier stages shape the conditions for later execution and learning. The findings demonstrate that integration should not be understood as a sequence of independent stages, but as a system of interdependent phases. Planning decisions determine the conditions under which execution occurs, while execution outcomes influence the organization’s ability to generate meaningful learning. Capability develops when these linkages are maintained consistently across transactions, allowing organizations to build on prior experience rather than resetting with each deal.</w:t>
      </w:r>
    </w:p>
    <w:p w14:paraId="26D3DAD7" w14:textId="77777777" w:rsidR="0033207C" w:rsidRPr="00B95E28" w:rsidRDefault="0033207C" w:rsidP="00D15BAF">
      <w:pPr>
        <w:rPr>
          <w:color w:val="000000" w:themeColor="text1"/>
        </w:rPr>
      </w:pPr>
    </w:p>
    <w:p w14:paraId="59EFEEE0" w14:textId="48776112" w:rsidR="0033207C" w:rsidRPr="00B95E28" w:rsidRDefault="0033207C" w:rsidP="00557AB7">
      <w:pPr>
        <w:spacing w:line="480" w:lineRule="auto"/>
        <w:rPr>
          <w:color w:val="000000" w:themeColor="text1"/>
        </w:rPr>
      </w:pPr>
      <w:r w:rsidRPr="00B95E28">
        <w:rPr>
          <w:b/>
          <w:bCs/>
          <w:color w:val="000000" w:themeColor="text1"/>
        </w:rPr>
        <w:t>Mechanism 3: Decision-Making Under Constraint.</w:t>
      </w:r>
      <w:r w:rsidRPr="00B95E28">
        <w:rPr>
          <w:color w:val="000000" w:themeColor="text1"/>
        </w:rPr>
        <w:t xml:space="preserve"> Decision-making under constraint refers to the organization’s ability to maintain coordination and make effective decisions despite incomplete information, competing priorities, and time pressure. Integration rarely occurs in environments characterized by complete data, stable resources, or full organizational alignment. Capability is therefore shaped not by the ability to follow predefined processes alone, but by the organization’s ability to sustain decision discipline under pressure. This highlights that integration capability is closely linked to organizational resilience and the capacity to operate effectively in uncertain conditions.</w:t>
      </w:r>
    </w:p>
    <w:p w14:paraId="303FA78F" w14:textId="77777777" w:rsidR="0033207C" w:rsidRPr="00B95E28" w:rsidRDefault="0033207C" w:rsidP="00D15BAF">
      <w:pPr>
        <w:rPr>
          <w:color w:val="000000" w:themeColor="text1"/>
        </w:rPr>
      </w:pPr>
    </w:p>
    <w:p w14:paraId="64ABF9B7" w14:textId="287F21C7" w:rsidR="0033207C" w:rsidRPr="00B95E28" w:rsidRDefault="0033207C" w:rsidP="00557AB7">
      <w:pPr>
        <w:spacing w:line="480" w:lineRule="auto"/>
        <w:rPr>
          <w:color w:val="000000" w:themeColor="text1"/>
        </w:rPr>
      </w:pPr>
      <w:r w:rsidRPr="00B95E28">
        <w:rPr>
          <w:b/>
          <w:bCs/>
          <w:color w:val="000000" w:themeColor="text1"/>
        </w:rPr>
        <w:t>Mechanism 4: Execution-Learning Conversion.</w:t>
      </w:r>
      <w:r w:rsidRPr="00B95E28">
        <w:rPr>
          <w:color w:val="000000" w:themeColor="text1"/>
        </w:rPr>
        <w:t xml:space="preserve"> Execution-learning conversion refers to the organization’s ability to transform integration experience into institutional knowledge that improves future transactions. While execution provides the opportunity for learning, the findings indicate that this linkage is frequently weak. In many organizations, insights generated during execution remain informal and embedded within individuals rather than codified at the organizational level. Capability develops when organizations establish formal mechanisms to </w:t>
      </w:r>
      <w:r w:rsidRPr="00B95E28">
        <w:rPr>
          <w:color w:val="000000" w:themeColor="text1"/>
        </w:rPr>
        <w:lastRenderedPageBreak/>
        <w:t>capture, interpret, and apply learning across deals, transforming experience into routines, playbooks, decision gates, and improved planning practices.</w:t>
      </w:r>
    </w:p>
    <w:p w14:paraId="7B6866B4" w14:textId="77777777" w:rsidR="0033207C" w:rsidRPr="00B95E28" w:rsidRDefault="0033207C" w:rsidP="00D15BAF">
      <w:pPr>
        <w:rPr>
          <w:color w:val="000000" w:themeColor="text1"/>
        </w:rPr>
      </w:pPr>
    </w:p>
    <w:p w14:paraId="3497C25D" w14:textId="3D518502" w:rsidR="0033207C" w:rsidRPr="00B95E28" w:rsidRDefault="0033207C" w:rsidP="00557AB7">
      <w:pPr>
        <w:spacing w:line="480" w:lineRule="auto"/>
        <w:rPr>
          <w:color w:val="000000" w:themeColor="text1"/>
        </w:rPr>
      </w:pPr>
      <w:r w:rsidRPr="00B95E28">
        <w:rPr>
          <w:color w:val="000000" w:themeColor="text1"/>
        </w:rPr>
        <w:t>These mechanisms do not operate independently. Rather, they reinforce one another across transactions. Governance continuity supports effective phase linkage by ensuring that decisions made during planning are carried through execution. Strong execution enables the generation of meaningful learning, while formalized learning processes strengthen governance and planning in subsequent transactions. Conversely, breakdowns in any one mechanism can disrupt the entire system, preventing capability from accumulating over time.</w:t>
      </w:r>
    </w:p>
    <w:p w14:paraId="0645C2DE" w14:textId="77777777" w:rsidR="0033207C" w:rsidRPr="00B95E28" w:rsidRDefault="0033207C" w:rsidP="00D15BAF">
      <w:pPr>
        <w:rPr>
          <w:color w:val="000000" w:themeColor="text1"/>
        </w:rPr>
      </w:pPr>
    </w:p>
    <w:p w14:paraId="3D083E4E" w14:textId="150BF1BE" w:rsidR="0033207C" w:rsidRPr="00B95E28" w:rsidRDefault="0033207C" w:rsidP="00557AB7">
      <w:pPr>
        <w:spacing w:line="480" w:lineRule="auto"/>
        <w:rPr>
          <w:color w:val="000000" w:themeColor="text1"/>
        </w:rPr>
      </w:pPr>
      <w:r w:rsidRPr="00B95E28">
        <w:rPr>
          <w:color w:val="000000" w:themeColor="text1"/>
        </w:rPr>
        <w:t>The mechanisms identified in this study can be represented as a reinforcing system linking governance, planning, execution, and learning across transactions, as illustrated in Figure 7.1.</w:t>
      </w:r>
    </w:p>
    <w:p w14:paraId="1FC71CC2" w14:textId="6AAD5546" w:rsidR="0033207C" w:rsidRPr="00B95E28" w:rsidRDefault="0033207C" w:rsidP="00557AB7">
      <w:pPr>
        <w:pStyle w:val="Caption"/>
        <w:keepNext/>
        <w:spacing w:after="0" w:line="480" w:lineRule="auto"/>
        <w:jc w:val="center"/>
        <w:rPr>
          <w:color w:val="000000" w:themeColor="text1"/>
        </w:rPr>
      </w:pPr>
      <w:r w:rsidRPr="00B95E28">
        <w:rPr>
          <w:color w:val="000000" w:themeColor="text1"/>
        </w:rPr>
        <w:fldChar w:fldCharType="begin"/>
      </w:r>
      <w:r w:rsidRPr="00B95E28">
        <w:rPr>
          <w:color w:val="000000" w:themeColor="text1"/>
        </w:rPr>
        <w:instrText xml:space="preserve"> SEQ Figure \* ARABIC </w:instrText>
      </w:r>
      <w:r w:rsidRPr="00B95E28">
        <w:rPr>
          <w:color w:val="000000" w:themeColor="text1"/>
        </w:rPr>
        <w:fldChar w:fldCharType="separate"/>
      </w:r>
      <w:bookmarkStart w:id="222" w:name="_Toc230886214"/>
      <w:r w:rsidRPr="00B95E28">
        <w:rPr>
          <w:noProof/>
          <w:color w:val="000000" w:themeColor="text1"/>
        </w:rPr>
        <w:t>6</w:t>
      </w:r>
      <w:r w:rsidRPr="00B95E28">
        <w:rPr>
          <w:color w:val="000000" w:themeColor="text1"/>
        </w:rPr>
        <w:fldChar w:fldCharType="end"/>
      </w:r>
      <w:r w:rsidRPr="00B95E28">
        <w:rPr>
          <w:color w:val="000000" w:themeColor="text1"/>
        </w:rPr>
        <w:t>: Figure 7.1: Mechanisms of Integration Capability Development (Source: Author)</w:t>
      </w:r>
      <w:bookmarkEnd w:id="222"/>
    </w:p>
    <w:p w14:paraId="004B0BFC" w14:textId="435A9C74" w:rsidR="0033207C" w:rsidRPr="00B95E28" w:rsidRDefault="0033207C" w:rsidP="00557AB7">
      <w:pPr>
        <w:spacing w:line="480" w:lineRule="auto"/>
        <w:jc w:val="center"/>
        <w:rPr>
          <w:color w:val="000000" w:themeColor="text1"/>
        </w:rPr>
      </w:pPr>
      <w:r w:rsidRPr="00B95E28">
        <w:rPr>
          <w:noProof/>
          <w:color w:val="000000" w:themeColor="text1"/>
        </w:rPr>
        <w:drawing>
          <wp:inline distT="0" distB="0" distL="0" distR="0" wp14:anchorId="1E518EDD" wp14:editId="39E26690">
            <wp:extent cx="3114287" cy="3187709"/>
            <wp:effectExtent l="0" t="0" r="0" b="0"/>
            <wp:docPr id="102879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9502" name=""/>
                    <pic:cNvPicPr/>
                  </pic:nvPicPr>
                  <pic:blipFill>
                    <a:blip r:embed="rId34"/>
                    <a:stretch>
                      <a:fillRect/>
                    </a:stretch>
                  </pic:blipFill>
                  <pic:spPr>
                    <a:xfrm>
                      <a:off x="0" y="0"/>
                      <a:ext cx="3143277" cy="3217383"/>
                    </a:xfrm>
                    <a:prstGeom prst="rect">
                      <a:avLst/>
                    </a:prstGeom>
                  </pic:spPr>
                </pic:pic>
              </a:graphicData>
            </a:graphic>
          </wp:inline>
        </w:drawing>
      </w:r>
    </w:p>
    <w:p w14:paraId="5A176743" w14:textId="77777777" w:rsidR="0033207C" w:rsidRPr="00B95E28" w:rsidRDefault="0033207C" w:rsidP="00557AB7">
      <w:pPr>
        <w:spacing w:line="480" w:lineRule="auto"/>
        <w:rPr>
          <w:color w:val="000000" w:themeColor="text1"/>
        </w:rPr>
      </w:pPr>
      <w:r w:rsidRPr="00B95E28">
        <w:rPr>
          <w:color w:val="000000" w:themeColor="text1"/>
        </w:rPr>
        <w:t xml:space="preserve">Figure 7.1 shows that integration capability develops through the interaction of governance continuity, lifecycle coordination, decision-making under constraint, and organizational learning. </w:t>
      </w:r>
      <w:r w:rsidRPr="00B95E28">
        <w:rPr>
          <w:color w:val="000000" w:themeColor="text1"/>
        </w:rPr>
        <w:lastRenderedPageBreak/>
        <w:t>The figure is important because it demonstrates that no single mechanism is sufficient on its own. Capability develops when these mechanisms reinforce one another across transactions, allowing organizations to convert repeated acquisition activity into improved integration performance.</w:t>
      </w:r>
    </w:p>
    <w:p w14:paraId="6A607870" w14:textId="77777777" w:rsidR="00D15BAF" w:rsidRPr="00B95E28" w:rsidRDefault="00D15BAF" w:rsidP="00D15BAF">
      <w:pPr>
        <w:rPr>
          <w:color w:val="000000" w:themeColor="text1"/>
        </w:rPr>
      </w:pPr>
    </w:p>
    <w:p w14:paraId="4EE14F54" w14:textId="27E07E78" w:rsidR="0033207C" w:rsidRPr="00B95E28" w:rsidRDefault="0033207C" w:rsidP="00557AB7">
      <w:pPr>
        <w:spacing w:line="480" w:lineRule="auto"/>
        <w:rPr>
          <w:color w:val="000000" w:themeColor="text1"/>
        </w:rPr>
      </w:pPr>
      <w:r w:rsidRPr="00B95E28">
        <w:rPr>
          <w:color w:val="000000" w:themeColor="text1"/>
        </w:rPr>
        <w:t>Taken together, these findings indicate that integration capability should be understood as an emergent property of an interconnected system rather than the result of isolated practices. In practical terms, this means organizations only improve when governance, planning, execution, technology, people, and learning work together rather than operating as separate workstreams. It is the interaction of these elements that enables organizations to move from variable outcomes to more consistent performance across acquisitions.</w:t>
      </w:r>
    </w:p>
    <w:p w14:paraId="2F6D506D" w14:textId="77777777" w:rsidR="0033207C" w:rsidRPr="00B95E28" w:rsidRDefault="0033207C" w:rsidP="00557AB7">
      <w:pPr>
        <w:spacing w:line="480" w:lineRule="auto"/>
        <w:rPr>
          <w:color w:val="000000" w:themeColor="text1"/>
        </w:rPr>
      </w:pPr>
    </w:p>
    <w:p w14:paraId="34AD3783" w14:textId="6CEBDC3F" w:rsidR="0033207C" w:rsidRPr="00B95E28" w:rsidRDefault="0033207C" w:rsidP="00557AB7">
      <w:pPr>
        <w:spacing w:line="480" w:lineRule="auto"/>
        <w:rPr>
          <w:color w:val="000000" w:themeColor="text1"/>
        </w:rPr>
      </w:pPr>
      <w:r w:rsidRPr="00B95E28">
        <w:rPr>
          <w:color w:val="000000" w:themeColor="text1"/>
        </w:rPr>
        <w:t>This perspective also explains why repeated acquisition activity does not inherently lead to improved integration outcomes. Without the continuity of these underlying mechanisms, organizations do not build capability; instead, they accumulate constraints. Fragmented governance, inconsistent planning, and weak learning systems compound across transactions, reinforcing variability rather than reducing it.</w:t>
      </w:r>
    </w:p>
    <w:p w14:paraId="3CE00EA4" w14:textId="339BF0E7" w:rsidR="0033207C" w:rsidRPr="00B95E28" w:rsidRDefault="0033207C" w:rsidP="00557AB7">
      <w:pPr>
        <w:pStyle w:val="Caption"/>
        <w:keepNext/>
        <w:spacing w:after="0" w:line="480" w:lineRule="auto"/>
        <w:rPr>
          <w:color w:val="000000" w:themeColor="text1"/>
        </w:rPr>
      </w:pPr>
      <w:r w:rsidRPr="00B95E28">
        <w:rPr>
          <w:color w:val="000000" w:themeColor="text1"/>
        </w:rPr>
        <w:fldChar w:fldCharType="begin"/>
      </w:r>
      <w:r w:rsidRPr="00B95E28">
        <w:rPr>
          <w:color w:val="000000" w:themeColor="text1"/>
        </w:rPr>
        <w:instrText xml:space="preserve"> SEQ Table \* ARABIC </w:instrText>
      </w:r>
      <w:r w:rsidRPr="00B95E28">
        <w:rPr>
          <w:color w:val="000000" w:themeColor="text1"/>
        </w:rPr>
        <w:fldChar w:fldCharType="separate"/>
      </w:r>
      <w:bookmarkStart w:id="223" w:name="_Toc232351986"/>
      <w:r w:rsidR="00B91B93">
        <w:rPr>
          <w:noProof/>
          <w:color w:val="000000" w:themeColor="text1"/>
        </w:rPr>
        <w:t>18</w:t>
      </w:r>
      <w:r w:rsidRPr="00B95E28">
        <w:rPr>
          <w:color w:val="000000" w:themeColor="text1"/>
        </w:rPr>
        <w:fldChar w:fldCharType="end"/>
      </w:r>
      <w:r w:rsidRPr="00B95E28">
        <w:rPr>
          <w:color w:val="000000" w:themeColor="text1"/>
        </w:rPr>
        <w:t>: Table 7.2: Summary of Theoretical Contributions (Source: Author)</w:t>
      </w:r>
      <w:bookmarkEnd w:id="223"/>
    </w:p>
    <w:p w14:paraId="743768F0" w14:textId="5FDCA7A1" w:rsidR="0033207C" w:rsidRPr="00B95E28" w:rsidRDefault="0033207C" w:rsidP="00557AB7">
      <w:pPr>
        <w:spacing w:line="480" w:lineRule="auto"/>
        <w:rPr>
          <w:color w:val="000000" w:themeColor="text1"/>
        </w:rPr>
      </w:pPr>
      <w:r w:rsidRPr="00B95E28">
        <w:rPr>
          <w:noProof/>
          <w:color w:val="000000" w:themeColor="text1"/>
        </w:rPr>
        <w:drawing>
          <wp:inline distT="0" distB="0" distL="0" distR="0" wp14:anchorId="3D857795" wp14:editId="44495DBB">
            <wp:extent cx="5800725" cy="828675"/>
            <wp:effectExtent l="0" t="0" r="9525" b="9525"/>
            <wp:docPr id="210020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00725" cy="828675"/>
                    </a:xfrm>
                    <a:prstGeom prst="rect">
                      <a:avLst/>
                    </a:prstGeom>
                    <a:noFill/>
                    <a:ln>
                      <a:noFill/>
                    </a:ln>
                  </pic:spPr>
                </pic:pic>
              </a:graphicData>
            </a:graphic>
          </wp:inline>
        </w:drawing>
      </w:r>
    </w:p>
    <w:p w14:paraId="0CC1C2EA" w14:textId="77777777" w:rsidR="0033207C" w:rsidRPr="00B95E28" w:rsidRDefault="0033207C" w:rsidP="00557AB7">
      <w:pPr>
        <w:spacing w:line="480" w:lineRule="auto"/>
        <w:rPr>
          <w:color w:val="000000" w:themeColor="text1"/>
        </w:rPr>
      </w:pPr>
      <w:r w:rsidRPr="00B95E28">
        <w:rPr>
          <w:color w:val="000000" w:themeColor="text1"/>
        </w:rPr>
        <w:t xml:space="preserve">Table 7.2 summarizes how this study extends existing process-oriented views of integration by positioning capability development as a cross-transaction phenomenon. The table shows that the dissertation’s contribution is not simply the identification of additional integration activities, but </w:t>
      </w:r>
      <w:r w:rsidRPr="00B95E28">
        <w:rPr>
          <w:color w:val="000000" w:themeColor="text1"/>
        </w:rPr>
        <w:lastRenderedPageBreak/>
        <w:t>the explanation of how governance, lifecycle continuity, structural enablers, and learning mechanisms combine to produce repeatable integration capability. This distinction is important because it clarifies why organizations may follow similar integration processes yet achieve different outcomes.</w:t>
      </w:r>
    </w:p>
    <w:p w14:paraId="702FD57E" w14:textId="77777777" w:rsidR="00D15BAF" w:rsidRPr="00B95E28" w:rsidRDefault="00D15BAF" w:rsidP="00D15BAF">
      <w:pPr>
        <w:rPr>
          <w:color w:val="000000" w:themeColor="text1"/>
        </w:rPr>
      </w:pPr>
    </w:p>
    <w:p w14:paraId="005F4B13" w14:textId="09B7EDF0" w:rsidR="0033207C" w:rsidRPr="00B95E28" w:rsidRDefault="0033207C" w:rsidP="00557AB7">
      <w:pPr>
        <w:spacing w:line="480" w:lineRule="auto"/>
        <w:rPr>
          <w:color w:val="000000" w:themeColor="text1"/>
        </w:rPr>
      </w:pPr>
      <w:r w:rsidRPr="00B95E28">
        <w:rPr>
          <w:color w:val="000000" w:themeColor="text1"/>
        </w:rPr>
        <w:t>The identification of these mechanisms provides a deeper understanding of how integration capability develops in practice. It moves beyond descriptive accounts of integration activities to explain the conditions under which those activities contribute to sustained performance. In doing so, it establishes a foundation for linking empirical findings to theoretical constructs, which is explored in the following section.</w:t>
      </w:r>
    </w:p>
    <w:p w14:paraId="35BE8AB0" w14:textId="77777777" w:rsidR="0033207C" w:rsidRPr="00B95E28" w:rsidRDefault="0033207C" w:rsidP="00557AB7">
      <w:pPr>
        <w:spacing w:line="480" w:lineRule="auto"/>
        <w:rPr>
          <w:color w:val="000000" w:themeColor="text1"/>
        </w:rPr>
      </w:pPr>
    </w:p>
    <w:p w14:paraId="62CFD6FD" w14:textId="0A45E067" w:rsidR="0033207C" w:rsidRPr="00B95E28" w:rsidRDefault="0033207C" w:rsidP="00557AB7">
      <w:pPr>
        <w:spacing w:line="480" w:lineRule="auto"/>
        <w:rPr>
          <w:color w:val="000000" w:themeColor="text1"/>
        </w:rPr>
      </w:pPr>
      <w:r w:rsidRPr="00B95E28">
        <w:rPr>
          <w:color w:val="000000" w:themeColor="text1"/>
        </w:rPr>
        <w:t>These findings also clarify the relationship between this study and prior integration literature. Existing research has established the importance of integration planning, governance, leadership, cultural alignment, and post-close execution. This study does not reject those insights. Rather, it extends them by showing that these practices only become capability-building mechanisms when they are connected across transactions and retained at the organizational level.</w:t>
      </w:r>
    </w:p>
    <w:p w14:paraId="5DAC7ABE" w14:textId="77777777" w:rsidR="00D15BAF" w:rsidRPr="00B95E28" w:rsidRDefault="00D15BAF" w:rsidP="00D15BAF">
      <w:pPr>
        <w:rPr>
          <w:color w:val="000000" w:themeColor="text1"/>
        </w:rPr>
      </w:pPr>
    </w:p>
    <w:p w14:paraId="5A77A5DD" w14:textId="188FBF59" w:rsidR="0033207C" w:rsidRPr="00B95E28" w:rsidRDefault="0033207C" w:rsidP="00557AB7">
      <w:pPr>
        <w:pStyle w:val="Heading2"/>
        <w:spacing w:before="0" w:after="0" w:line="480" w:lineRule="auto"/>
        <w:rPr>
          <w:color w:val="000000" w:themeColor="text1"/>
        </w:rPr>
      </w:pPr>
      <w:bookmarkStart w:id="224" w:name="_Toc232351928"/>
      <w:r w:rsidRPr="00B95E28">
        <w:rPr>
          <w:color w:val="000000" w:themeColor="text1"/>
        </w:rPr>
        <w:t>7.3 Contributions to Theory</w:t>
      </w:r>
      <w:bookmarkEnd w:id="224"/>
    </w:p>
    <w:p w14:paraId="3B230479" w14:textId="77777777" w:rsidR="0033207C" w:rsidRPr="00B95E28" w:rsidRDefault="0033207C" w:rsidP="00557AB7">
      <w:pPr>
        <w:spacing w:line="480" w:lineRule="auto"/>
        <w:rPr>
          <w:color w:val="000000" w:themeColor="text1"/>
        </w:rPr>
      </w:pPr>
      <w:r w:rsidRPr="00B95E28">
        <w:rPr>
          <w:color w:val="000000" w:themeColor="text1"/>
        </w:rPr>
        <w:t xml:space="preserve">This dissertation makes three primary theoretical contributions. First, it shifts the unit of analysis in post-merger integration from the individual transaction to the organization as a repeat acquirer. Second, it introduces the Integration Capability Loop as a temporal model explaining how integration capability develops across phases and transactions. Third, it introduces the Integration Capability Engine as a structural model explaining the organizational conditions required for repeatable integration performance. Together, these contributions extend existing </w:t>
      </w:r>
      <w:r w:rsidRPr="00B95E28">
        <w:rPr>
          <w:color w:val="000000" w:themeColor="text1"/>
        </w:rPr>
        <w:lastRenderedPageBreak/>
        <w:t>process-oriented views of integration by explaining why repeated acquisition activity does not automatically produce improved integration outcomes.</w:t>
      </w:r>
    </w:p>
    <w:p w14:paraId="1D82684E" w14:textId="77777777" w:rsidR="0033207C" w:rsidRPr="00B95E28" w:rsidRDefault="0033207C" w:rsidP="00D15BAF">
      <w:pPr>
        <w:rPr>
          <w:color w:val="000000" w:themeColor="text1"/>
        </w:rPr>
      </w:pPr>
    </w:p>
    <w:p w14:paraId="496F7318" w14:textId="69DB4F69" w:rsidR="0033207C" w:rsidRPr="00B95E28" w:rsidRDefault="0033207C" w:rsidP="00557AB7">
      <w:pPr>
        <w:spacing w:line="480" w:lineRule="auto"/>
        <w:rPr>
          <w:color w:val="000000" w:themeColor="text1"/>
        </w:rPr>
      </w:pPr>
      <w:r w:rsidRPr="00B95E28">
        <w:rPr>
          <w:color w:val="000000" w:themeColor="text1"/>
        </w:rPr>
        <w:t>These contributions also position integration capability within broader capability-based theory, particularly in relation to dynamic capabilities, organizational learning, routines, and path dependence. The study shows that integration capability develops when organizations convert repeated acquisition experience into stable routines, governance disciplines, and learning mechanisms that can be adapted across future transactions.</w:t>
      </w:r>
    </w:p>
    <w:p w14:paraId="3E17A916" w14:textId="77777777" w:rsidR="0033207C" w:rsidRPr="00B95E28" w:rsidRDefault="0033207C" w:rsidP="00557AB7">
      <w:pPr>
        <w:spacing w:line="480" w:lineRule="auto"/>
        <w:rPr>
          <w:color w:val="000000" w:themeColor="text1"/>
        </w:rPr>
      </w:pPr>
    </w:p>
    <w:p w14:paraId="539F3117" w14:textId="13299A78" w:rsidR="0033207C" w:rsidRPr="00B95E28" w:rsidRDefault="0033207C" w:rsidP="00557AB7">
      <w:pPr>
        <w:pStyle w:val="Heading3"/>
        <w:spacing w:before="0" w:after="0" w:line="480" w:lineRule="auto"/>
        <w:rPr>
          <w:color w:val="000000" w:themeColor="text1"/>
        </w:rPr>
      </w:pPr>
      <w:bookmarkStart w:id="225" w:name="_Toc232351929"/>
      <w:r w:rsidRPr="00B95E28">
        <w:rPr>
          <w:color w:val="000000" w:themeColor="text1"/>
        </w:rPr>
        <w:t>7.3.1 Integration as an Organizational Capability</w:t>
      </w:r>
      <w:bookmarkEnd w:id="225"/>
    </w:p>
    <w:p w14:paraId="1D2B233D" w14:textId="77777777" w:rsidR="0033207C" w:rsidRPr="00B95E28" w:rsidRDefault="0033207C" w:rsidP="00557AB7">
      <w:pPr>
        <w:spacing w:line="480" w:lineRule="auto"/>
        <w:rPr>
          <w:color w:val="000000" w:themeColor="text1"/>
        </w:rPr>
      </w:pPr>
      <w:r w:rsidRPr="00B95E28">
        <w:rPr>
          <w:color w:val="000000" w:themeColor="text1"/>
        </w:rPr>
        <w:t xml:space="preserve">A primary contribution of this research is the shift in the unit of analysis from the individual transaction to the organization as a repeat acquirer. Traditional integration models focus on the execution of activities within a single deal, emphasizing process design, sequencing, and coordination. </w:t>
      </w:r>
    </w:p>
    <w:p w14:paraId="1FFECD08" w14:textId="77777777" w:rsidR="0033207C" w:rsidRPr="00B95E28" w:rsidRDefault="0033207C" w:rsidP="00D15BAF">
      <w:pPr>
        <w:rPr>
          <w:color w:val="000000" w:themeColor="text1"/>
        </w:rPr>
      </w:pPr>
    </w:p>
    <w:p w14:paraId="1AF39382" w14:textId="2EE84729" w:rsidR="0033207C" w:rsidRPr="00B95E28" w:rsidRDefault="0033207C" w:rsidP="00557AB7">
      <w:pPr>
        <w:spacing w:line="480" w:lineRule="auto"/>
        <w:rPr>
          <w:color w:val="000000" w:themeColor="text1"/>
        </w:rPr>
      </w:pPr>
      <w:r w:rsidRPr="00B95E28">
        <w:rPr>
          <w:color w:val="000000" w:themeColor="text1"/>
        </w:rPr>
        <w:t>While these perspectives provide valuable guidance for managing individual integrations, they do not fully explain why performance variability persists across repeated acquisitions.</w:t>
      </w:r>
    </w:p>
    <w:p w14:paraId="0D6EAC7C" w14:textId="77777777" w:rsidR="0033207C" w:rsidRPr="00B95E28" w:rsidRDefault="0033207C" w:rsidP="00557AB7">
      <w:pPr>
        <w:spacing w:line="480" w:lineRule="auto"/>
        <w:rPr>
          <w:color w:val="000000" w:themeColor="text1"/>
        </w:rPr>
      </w:pPr>
      <w:r w:rsidRPr="00B95E28">
        <w:rPr>
          <w:color w:val="000000" w:themeColor="text1"/>
        </w:rPr>
        <w:t>This study demonstrates that integration outcomes cannot be fully explained at the level of the individual deal. Instead, they are shaped by the organization’s ability to sustain alignment across governance, planning, execution, and learning over time. By conceptualizing integration as a capability, this research extends existing process-oriented perspectives and provides a framework for understanding how organizations develop, or fail to develop, repeatable integration performance.</w:t>
      </w:r>
    </w:p>
    <w:p w14:paraId="2628904F" w14:textId="77777777" w:rsidR="0033207C" w:rsidRPr="00B95E28" w:rsidRDefault="0033207C" w:rsidP="00D15BAF">
      <w:pPr>
        <w:rPr>
          <w:color w:val="000000" w:themeColor="text1"/>
        </w:rPr>
      </w:pPr>
    </w:p>
    <w:p w14:paraId="69DBC4BF" w14:textId="2CBE9360" w:rsidR="0033207C" w:rsidRPr="00B95E28" w:rsidRDefault="0033207C" w:rsidP="00557AB7">
      <w:pPr>
        <w:pStyle w:val="Heading3"/>
        <w:spacing w:before="0" w:after="0" w:line="480" w:lineRule="auto"/>
        <w:rPr>
          <w:color w:val="000000" w:themeColor="text1"/>
        </w:rPr>
      </w:pPr>
      <w:bookmarkStart w:id="226" w:name="_Toc232351930"/>
      <w:r w:rsidRPr="00B95E28">
        <w:rPr>
          <w:color w:val="000000" w:themeColor="text1"/>
        </w:rPr>
        <w:lastRenderedPageBreak/>
        <w:t>7.3.2 The Integration Capability Loop (ICL)</w:t>
      </w:r>
      <w:bookmarkEnd w:id="226"/>
    </w:p>
    <w:p w14:paraId="2F17B9F7" w14:textId="77777777" w:rsidR="0033207C" w:rsidRPr="00B95E28" w:rsidRDefault="0033207C" w:rsidP="00557AB7">
      <w:pPr>
        <w:spacing w:line="480" w:lineRule="auto"/>
        <w:rPr>
          <w:color w:val="000000" w:themeColor="text1"/>
        </w:rPr>
      </w:pPr>
      <w:r w:rsidRPr="00B95E28">
        <w:rPr>
          <w:color w:val="000000" w:themeColor="text1"/>
        </w:rPr>
        <w:t>The Integration Capability Loop represents a second key contribution, providing a temporal model of how integration capability evolves across transactions. Unlike traditional lifecycle models that treat integration as a discrete sequence of phases within a single deal, the ICL captures the continuity between transactions, emphasizing how outputs from one integration inform the next. This extends prior acquisition lifecycle research by moving beyond the sequencing of integration phases and explaining how learning, readiness, and governance discipline are carried forward into future deals. The contribution is therefore temporal: it shows that integration capability develops through repeated cycles of readiness, planning, execution, and learning rather than through one-time completion of integration tasks.</w:t>
      </w:r>
    </w:p>
    <w:p w14:paraId="332EF0AC" w14:textId="77777777" w:rsidR="0033207C" w:rsidRPr="00B95E28" w:rsidRDefault="0033207C" w:rsidP="00D15BAF">
      <w:pPr>
        <w:rPr>
          <w:color w:val="000000" w:themeColor="text1"/>
        </w:rPr>
      </w:pPr>
    </w:p>
    <w:p w14:paraId="73E710DF" w14:textId="027F41D0" w:rsidR="0033207C" w:rsidRPr="00B95E28" w:rsidRDefault="0033207C" w:rsidP="00557AB7">
      <w:pPr>
        <w:spacing w:line="480" w:lineRule="auto"/>
        <w:rPr>
          <w:color w:val="000000" w:themeColor="text1"/>
        </w:rPr>
      </w:pPr>
      <w:r w:rsidRPr="00B95E28">
        <w:rPr>
          <w:color w:val="000000" w:themeColor="text1"/>
        </w:rPr>
        <w:t>The findings demonstrate that integration is not reset with each transaction. Instead, it is path-dependent, with prior decisions, structures, and experiences shaping future outcomes. The ICL therefore extends existing lifecycle models by introducing a cross-transaction perspective, highlighting the importance of maintaining alignment across phases over time. This perspective also explains why organizations that execute multiple acquisitions do not necessarily improve performance, as repetition alone does not ensure the accumulation of capability.</w:t>
      </w:r>
    </w:p>
    <w:p w14:paraId="4043BD0E" w14:textId="77777777" w:rsidR="0033207C" w:rsidRPr="00B95E28" w:rsidRDefault="0033207C" w:rsidP="00D15BAF">
      <w:pPr>
        <w:rPr>
          <w:color w:val="000000" w:themeColor="text1"/>
        </w:rPr>
      </w:pPr>
    </w:p>
    <w:p w14:paraId="6557B2D3" w14:textId="00F7DF72" w:rsidR="0033207C" w:rsidRPr="00B95E28" w:rsidRDefault="0033207C" w:rsidP="00557AB7">
      <w:pPr>
        <w:pStyle w:val="Heading3"/>
        <w:spacing w:before="0" w:after="0" w:line="480" w:lineRule="auto"/>
        <w:rPr>
          <w:color w:val="000000" w:themeColor="text1"/>
        </w:rPr>
      </w:pPr>
      <w:bookmarkStart w:id="227" w:name="_Toc232351931"/>
      <w:r w:rsidRPr="00B95E28">
        <w:rPr>
          <w:color w:val="000000" w:themeColor="text1"/>
        </w:rPr>
        <w:t>7.3.3 The Integration Capability Engine (ICE)</w:t>
      </w:r>
      <w:bookmarkEnd w:id="227"/>
    </w:p>
    <w:p w14:paraId="70743033" w14:textId="77777777" w:rsidR="0033207C" w:rsidRPr="00B95E28" w:rsidRDefault="0033207C" w:rsidP="00557AB7">
      <w:pPr>
        <w:spacing w:line="480" w:lineRule="auto"/>
        <w:rPr>
          <w:color w:val="000000" w:themeColor="text1"/>
        </w:rPr>
      </w:pPr>
      <w:r w:rsidRPr="00B95E28">
        <w:rPr>
          <w:color w:val="000000" w:themeColor="text1"/>
        </w:rPr>
        <w:t>Complementing the temporal perspective of the ICL, the Integration Capability Engine represents the structural dimension of integration capability. The ICE identifies the organizational conditions that enable consistent performance, including governance structures, leadership roles, resource allocation, and technology integration.</w:t>
      </w:r>
    </w:p>
    <w:p w14:paraId="1BA6A96C" w14:textId="77777777" w:rsidR="0033207C" w:rsidRPr="00B95E28" w:rsidRDefault="0033207C" w:rsidP="00D15BAF">
      <w:pPr>
        <w:rPr>
          <w:color w:val="000000" w:themeColor="text1"/>
        </w:rPr>
      </w:pPr>
    </w:p>
    <w:p w14:paraId="346A15C8" w14:textId="2AD3D532" w:rsidR="0033207C" w:rsidRPr="00B95E28" w:rsidRDefault="0033207C" w:rsidP="00557AB7">
      <w:pPr>
        <w:spacing w:line="480" w:lineRule="auto"/>
        <w:rPr>
          <w:color w:val="000000" w:themeColor="text1"/>
        </w:rPr>
      </w:pPr>
      <w:r w:rsidRPr="00B95E28">
        <w:rPr>
          <w:color w:val="000000" w:themeColor="text1"/>
        </w:rPr>
        <w:lastRenderedPageBreak/>
        <w:t>This contribution builds on existing literature related to integration management offices and governance frameworks but extends it by emphasizing continuity across transactions rather than configuration within a single deal. Existing governance perspectives often focus on how integration should be structured for a specific transaction. In contrast, the ICE explains how governance authority, leadership roles, resource capacity, technology alignment, and learning mechanisms must operate as a durable organizational system if integration performance is to become repeatable. The findings indicate that capability develops when these structural elements remain stable and aligned over time. Where these conditions are absent or inconsistent, organizations experience fragmentation, limiting their ability to sustain performance across acquisitions.</w:t>
      </w:r>
    </w:p>
    <w:p w14:paraId="76E20CE3" w14:textId="77777777" w:rsidR="0033207C" w:rsidRPr="00B95E28" w:rsidRDefault="0033207C" w:rsidP="00D15BAF">
      <w:pPr>
        <w:rPr>
          <w:color w:val="000000" w:themeColor="text1"/>
        </w:rPr>
      </w:pPr>
    </w:p>
    <w:p w14:paraId="64D259DE" w14:textId="51EC7219" w:rsidR="0033207C" w:rsidRPr="00B95E28" w:rsidRDefault="0033207C" w:rsidP="00557AB7">
      <w:pPr>
        <w:pStyle w:val="Heading3"/>
        <w:spacing w:before="0" w:after="0" w:line="480" w:lineRule="auto"/>
        <w:rPr>
          <w:color w:val="000000" w:themeColor="text1"/>
        </w:rPr>
      </w:pPr>
      <w:bookmarkStart w:id="228" w:name="_Toc232351932"/>
      <w:r w:rsidRPr="00B95E28">
        <w:rPr>
          <w:color w:val="000000" w:themeColor="text1"/>
        </w:rPr>
        <w:t>7.3.4 Extending Existing Perspectives on Integration and Capability Development</w:t>
      </w:r>
      <w:bookmarkEnd w:id="228"/>
    </w:p>
    <w:p w14:paraId="74CE8D09" w14:textId="77777777" w:rsidR="0033207C" w:rsidRPr="00B95E28" w:rsidRDefault="0033207C" w:rsidP="00557AB7">
      <w:pPr>
        <w:spacing w:line="480" w:lineRule="auto"/>
        <w:rPr>
          <w:color w:val="000000" w:themeColor="text1"/>
        </w:rPr>
      </w:pPr>
      <w:r w:rsidRPr="00B95E28">
        <w:rPr>
          <w:color w:val="000000" w:themeColor="text1"/>
        </w:rPr>
        <w:t>Taken together, these contributions extend existing research in both post-merger integration and organizational capability development. Prior studies have highlighted the importance of planning, execution, and learning within individual transactions, as well as the role of experience in improving acquisition outcomes. However, they have not fully explained the mechanisms through which experience is translated into consistent performance.</w:t>
      </w:r>
    </w:p>
    <w:p w14:paraId="15DA8267" w14:textId="77777777" w:rsidR="0033207C" w:rsidRPr="00B95E28" w:rsidRDefault="0033207C" w:rsidP="00D15BAF">
      <w:pPr>
        <w:rPr>
          <w:color w:val="000000" w:themeColor="text1"/>
        </w:rPr>
      </w:pPr>
    </w:p>
    <w:p w14:paraId="330587FC" w14:textId="63BE47EF" w:rsidR="0033207C" w:rsidRPr="00B95E28" w:rsidRDefault="0033207C" w:rsidP="00557AB7">
      <w:pPr>
        <w:spacing w:line="480" w:lineRule="auto"/>
        <w:rPr>
          <w:color w:val="000000" w:themeColor="text1"/>
        </w:rPr>
      </w:pPr>
      <w:r w:rsidRPr="00B95E28">
        <w:rPr>
          <w:color w:val="000000" w:themeColor="text1"/>
        </w:rPr>
        <w:t>This research addresses that gap by identifying the reinforcing relationships between governance continuity, lifecycle coordination, decision-making under constraint, and organizational learning. It demonstrates that capability is not an automatic outcome of repeated activity, but an emergent property of an interconnected system of organizational conditions.</w:t>
      </w:r>
    </w:p>
    <w:p w14:paraId="1DD1C2C4" w14:textId="77777777" w:rsidR="0033207C" w:rsidRPr="00B95E28" w:rsidRDefault="0033207C" w:rsidP="00D15BAF">
      <w:pPr>
        <w:rPr>
          <w:color w:val="000000" w:themeColor="text1"/>
        </w:rPr>
      </w:pPr>
    </w:p>
    <w:p w14:paraId="763E8FCE" w14:textId="7AC97671" w:rsidR="0033207C" w:rsidRPr="00B95E28" w:rsidRDefault="0033207C" w:rsidP="00557AB7">
      <w:pPr>
        <w:spacing w:line="480" w:lineRule="auto"/>
        <w:rPr>
          <w:color w:val="000000" w:themeColor="text1"/>
        </w:rPr>
      </w:pPr>
      <w:r w:rsidRPr="00B95E28">
        <w:rPr>
          <w:color w:val="000000" w:themeColor="text1"/>
        </w:rPr>
        <w:t xml:space="preserve">In doing so, the study aligns with and extends capability-based perspectives in the broader management literature by providing a domain-specific model for integration capability. It </w:t>
      </w:r>
      <w:r w:rsidRPr="00B95E28">
        <w:rPr>
          <w:color w:val="000000" w:themeColor="text1"/>
        </w:rPr>
        <w:lastRenderedPageBreak/>
        <w:t>contributes to a more nuanced understanding of how capabilities are developed and sustained in practice, particularly in environments characterized by complexity, uncertainty, and time pressure. The theoretical contribution is therefore not that integration requires planning, governance, or learning; these are already recognized in the literature. The contribution is the explanation of how these elements must be connected and sustained across transactions for integration to become a repeatable organizational capability.</w:t>
      </w:r>
    </w:p>
    <w:p w14:paraId="5CBFF374" w14:textId="77777777" w:rsidR="0033207C" w:rsidRPr="00B95E28" w:rsidRDefault="0033207C" w:rsidP="00557AB7">
      <w:pPr>
        <w:spacing w:line="480" w:lineRule="auto"/>
        <w:rPr>
          <w:color w:val="000000" w:themeColor="text1"/>
        </w:rPr>
      </w:pPr>
    </w:p>
    <w:p w14:paraId="591FDA0E" w14:textId="2C4B386A" w:rsidR="0033207C" w:rsidRPr="00B95E28" w:rsidRDefault="0033207C" w:rsidP="00557AB7">
      <w:pPr>
        <w:pStyle w:val="Heading2"/>
        <w:spacing w:before="0" w:after="0" w:line="480" w:lineRule="auto"/>
        <w:rPr>
          <w:color w:val="000000" w:themeColor="text1"/>
        </w:rPr>
      </w:pPr>
      <w:bookmarkStart w:id="229" w:name="_Toc232351933"/>
      <w:r w:rsidRPr="00B95E28">
        <w:rPr>
          <w:color w:val="000000" w:themeColor="text1"/>
        </w:rPr>
        <w:t>7.4 Practical Implications</w:t>
      </w:r>
      <w:bookmarkEnd w:id="229"/>
    </w:p>
    <w:p w14:paraId="35FD2D9E" w14:textId="77777777" w:rsidR="0033207C" w:rsidRPr="00B95E28" w:rsidRDefault="0033207C" w:rsidP="00557AB7">
      <w:pPr>
        <w:spacing w:line="480" w:lineRule="auto"/>
        <w:rPr>
          <w:color w:val="000000" w:themeColor="text1"/>
        </w:rPr>
      </w:pPr>
      <w:r w:rsidRPr="00B95E28">
        <w:rPr>
          <w:color w:val="000000" w:themeColor="text1"/>
        </w:rPr>
        <w:t>The findings of this study have direct implications for organizations pursuing acquisition-driven growth. By reframing integration as a capability rather than a transaction-level process, the research highlights the need for a shift in how integration is designed, governed, and evaluated in practice. These implications are particularly relevant for senior leadership, integration leaders, and organizations seeking to improve consistency across transactions.</w:t>
      </w:r>
    </w:p>
    <w:p w14:paraId="1B1E4522" w14:textId="77777777" w:rsidR="0033207C" w:rsidRPr="00B95E28" w:rsidRDefault="0033207C" w:rsidP="00D15BAF">
      <w:pPr>
        <w:rPr>
          <w:color w:val="000000" w:themeColor="text1"/>
        </w:rPr>
      </w:pPr>
    </w:p>
    <w:p w14:paraId="4CCBDAC4" w14:textId="387C7EEE" w:rsidR="0033207C" w:rsidRPr="00B95E28" w:rsidRDefault="0033207C" w:rsidP="00557AB7">
      <w:pPr>
        <w:pStyle w:val="Heading3"/>
        <w:spacing w:before="0" w:after="0" w:line="480" w:lineRule="auto"/>
        <w:rPr>
          <w:color w:val="000000" w:themeColor="text1"/>
        </w:rPr>
      </w:pPr>
      <w:bookmarkStart w:id="230" w:name="_Toc232351934"/>
      <w:r w:rsidRPr="00B95E28">
        <w:rPr>
          <w:color w:val="000000" w:themeColor="text1"/>
        </w:rPr>
        <w:t>7.4.1 Implications for Senior Leadership</w:t>
      </w:r>
      <w:bookmarkEnd w:id="230"/>
    </w:p>
    <w:p w14:paraId="43947F46" w14:textId="77777777" w:rsidR="0033207C" w:rsidRPr="00B95E28" w:rsidRDefault="0033207C" w:rsidP="00557AB7">
      <w:pPr>
        <w:spacing w:line="480" w:lineRule="auto"/>
        <w:rPr>
          <w:color w:val="000000" w:themeColor="text1"/>
        </w:rPr>
      </w:pPr>
      <w:r w:rsidRPr="00B95E28">
        <w:rPr>
          <w:color w:val="000000" w:themeColor="text1"/>
        </w:rPr>
        <w:t>A primary implication for senior leadership is the need to position integration as a strategic capability that must be established prior to deal execution. The findings demonstrate that integration outcomes are largely determined before execution begins, particularly through decisions related to governance, leadership alignment, and planning. As such, integration considerations should be embedded within the acquisition process at the earliest stages, rather than treated as a downstream activity following deal close.</w:t>
      </w:r>
    </w:p>
    <w:p w14:paraId="32F57805" w14:textId="77777777" w:rsidR="0033207C" w:rsidRPr="00B95E28" w:rsidRDefault="0033207C" w:rsidP="00D15BAF">
      <w:pPr>
        <w:rPr>
          <w:color w:val="000000" w:themeColor="text1"/>
        </w:rPr>
      </w:pPr>
    </w:p>
    <w:p w14:paraId="32E373C0" w14:textId="68EEF9E3" w:rsidR="0033207C" w:rsidRPr="00B95E28" w:rsidRDefault="0033207C" w:rsidP="00557AB7">
      <w:pPr>
        <w:spacing w:line="480" w:lineRule="auto"/>
        <w:rPr>
          <w:color w:val="000000" w:themeColor="text1"/>
        </w:rPr>
      </w:pPr>
      <w:r w:rsidRPr="00B95E28">
        <w:rPr>
          <w:color w:val="000000" w:themeColor="text1"/>
        </w:rPr>
        <w:t xml:space="preserve">This also requires clarity in governance authority. The research highlights that decision gates and coordination mechanisms are only effective when supported by clear accountability and </w:t>
      </w:r>
      <w:r w:rsidRPr="00B95E28">
        <w:rPr>
          <w:color w:val="000000" w:themeColor="text1"/>
        </w:rPr>
        <w:lastRenderedPageBreak/>
        <w:t>leadership alignment. Without explicit authority structures, integration decisions become advisory rather than enforceable, resulting in delays, misalignment, and variability in outcomes. Senior leadership must therefore ensure that integration leadership is empowered to make and enforce decisions across functional boundaries.</w:t>
      </w:r>
    </w:p>
    <w:p w14:paraId="1BD693D1" w14:textId="77777777" w:rsidR="00D15BAF" w:rsidRPr="00B95E28" w:rsidRDefault="00D15BAF" w:rsidP="00D15BAF">
      <w:pPr>
        <w:rPr>
          <w:color w:val="000000" w:themeColor="text1"/>
        </w:rPr>
      </w:pPr>
    </w:p>
    <w:p w14:paraId="5ADC65FD" w14:textId="6F07DDD8" w:rsidR="0033207C" w:rsidRPr="00B95E28" w:rsidRDefault="0033207C" w:rsidP="00557AB7">
      <w:pPr>
        <w:pStyle w:val="Heading3"/>
        <w:spacing w:before="0" w:after="0" w:line="480" w:lineRule="auto"/>
        <w:rPr>
          <w:color w:val="000000" w:themeColor="text1"/>
        </w:rPr>
      </w:pPr>
      <w:bookmarkStart w:id="231" w:name="_Toc232351935"/>
      <w:r w:rsidRPr="00B95E28">
        <w:rPr>
          <w:color w:val="000000" w:themeColor="text1"/>
        </w:rPr>
        <w:t>7.4.2 Implications for Integration Leaders</w:t>
      </w:r>
      <w:bookmarkEnd w:id="231"/>
    </w:p>
    <w:p w14:paraId="54418190" w14:textId="77777777" w:rsidR="0033207C" w:rsidRPr="00B95E28" w:rsidRDefault="0033207C" w:rsidP="00557AB7">
      <w:pPr>
        <w:spacing w:line="480" w:lineRule="auto"/>
        <w:rPr>
          <w:color w:val="000000" w:themeColor="text1"/>
        </w:rPr>
      </w:pPr>
      <w:r w:rsidRPr="00B95E28">
        <w:rPr>
          <w:color w:val="000000" w:themeColor="text1"/>
        </w:rPr>
        <w:t>For integration leaders, the findings emphasize the importance of maintaining continuity and control across the integration lifecycle. The role of the integration leader extends beyond coordination to include the enforcement of governance structures, the management of interdependencies between phases, and the facilitation of decision-making under constraint.</w:t>
      </w:r>
    </w:p>
    <w:p w14:paraId="36EC398B" w14:textId="77777777" w:rsidR="0033207C" w:rsidRPr="00B95E28" w:rsidRDefault="0033207C" w:rsidP="00557AB7">
      <w:pPr>
        <w:spacing w:line="480" w:lineRule="auto"/>
        <w:rPr>
          <w:color w:val="000000" w:themeColor="text1"/>
        </w:rPr>
      </w:pPr>
      <w:r w:rsidRPr="00B95E28">
        <w:rPr>
          <w:color w:val="000000" w:themeColor="text1"/>
        </w:rPr>
        <w:t xml:space="preserve">The research also highlights the limitations of temporary or loosely defined integration roles. </w:t>
      </w:r>
    </w:p>
    <w:p w14:paraId="7FBDEE2F" w14:textId="77777777" w:rsidR="0033207C" w:rsidRPr="00B95E28" w:rsidRDefault="0033207C" w:rsidP="00D15BAF">
      <w:pPr>
        <w:rPr>
          <w:color w:val="000000" w:themeColor="text1"/>
        </w:rPr>
      </w:pPr>
    </w:p>
    <w:p w14:paraId="7014454E" w14:textId="1F684F7B" w:rsidR="0033207C" w:rsidRPr="00B95E28" w:rsidRDefault="0033207C" w:rsidP="00557AB7">
      <w:pPr>
        <w:spacing w:line="480" w:lineRule="auto"/>
        <w:rPr>
          <w:color w:val="000000" w:themeColor="text1"/>
        </w:rPr>
      </w:pPr>
      <w:r w:rsidRPr="00B95E28">
        <w:rPr>
          <w:color w:val="000000" w:themeColor="text1"/>
        </w:rPr>
        <w:t>Where integration leadership lacks positional authority relative to functional stakeholders, coordination becomes difficult and decision-making slows. As a result, organizations should consider formalizing integration leadership roles, ensuring that they are supported by appropriate authority, resources, and organizational backing.</w:t>
      </w:r>
    </w:p>
    <w:p w14:paraId="7EB5568B" w14:textId="77777777" w:rsidR="0033207C" w:rsidRPr="00B95E28" w:rsidRDefault="0033207C" w:rsidP="00D15BAF">
      <w:pPr>
        <w:rPr>
          <w:color w:val="000000" w:themeColor="text1"/>
        </w:rPr>
      </w:pPr>
    </w:p>
    <w:p w14:paraId="54B3B2ED" w14:textId="34676C5F" w:rsidR="0033207C" w:rsidRPr="00B95E28" w:rsidRDefault="0033207C" w:rsidP="00557AB7">
      <w:pPr>
        <w:spacing w:line="480" w:lineRule="auto"/>
        <w:rPr>
          <w:color w:val="000000" w:themeColor="text1"/>
        </w:rPr>
      </w:pPr>
      <w:r w:rsidRPr="00B95E28">
        <w:rPr>
          <w:color w:val="000000" w:themeColor="text1"/>
        </w:rPr>
        <w:t>In addition, integration leaders must actively manage the transition between phases, ensuring that outputs from planning are effectively translated into execution, and that insights generated during execution are captured and applied. This requires a deliberate focus on maintaining alignment across phases rather than treating each stage as an independent activity.</w:t>
      </w:r>
    </w:p>
    <w:p w14:paraId="028BD192" w14:textId="77777777" w:rsidR="0033207C" w:rsidRPr="00B95E28" w:rsidRDefault="0033207C" w:rsidP="00D15BAF">
      <w:pPr>
        <w:rPr>
          <w:color w:val="000000" w:themeColor="text1"/>
        </w:rPr>
      </w:pPr>
    </w:p>
    <w:p w14:paraId="0CE41607" w14:textId="0DC61121" w:rsidR="0033207C" w:rsidRPr="00B95E28" w:rsidRDefault="0033207C" w:rsidP="00557AB7">
      <w:pPr>
        <w:pStyle w:val="Heading3"/>
        <w:spacing w:before="0" w:after="0" w:line="480" w:lineRule="auto"/>
        <w:rPr>
          <w:color w:val="000000" w:themeColor="text1"/>
        </w:rPr>
      </w:pPr>
      <w:bookmarkStart w:id="232" w:name="_Toc232351936"/>
      <w:r w:rsidRPr="00B95E28">
        <w:rPr>
          <w:color w:val="000000" w:themeColor="text1"/>
        </w:rPr>
        <w:t>7.4.3 Implications for Organizational Design</w:t>
      </w:r>
      <w:bookmarkEnd w:id="232"/>
    </w:p>
    <w:p w14:paraId="252DBB8C" w14:textId="77777777" w:rsidR="0033207C" w:rsidRPr="00B95E28" w:rsidRDefault="0033207C" w:rsidP="00557AB7">
      <w:pPr>
        <w:spacing w:line="480" w:lineRule="auto"/>
        <w:rPr>
          <w:color w:val="000000" w:themeColor="text1"/>
        </w:rPr>
      </w:pPr>
      <w:r w:rsidRPr="00B95E28">
        <w:rPr>
          <w:color w:val="000000" w:themeColor="text1"/>
        </w:rPr>
        <w:t xml:space="preserve">At an organizational level, the findings suggest that integration capability requires structural support in the form of dedicated resources, stable governance mechanisms, and formalized </w:t>
      </w:r>
      <w:r w:rsidRPr="00B95E28">
        <w:rPr>
          <w:color w:val="000000" w:themeColor="text1"/>
        </w:rPr>
        <w:lastRenderedPageBreak/>
        <w:t>processes for knowledge capture and transfer. The reliance on ad hoc coordination and informal learning observed in many organizations limits the ability to achieve consistent outcomes across transactions.</w:t>
      </w:r>
    </w:p>
    <w:p w14:paraId="4522E00B" w14:textId="77777777" w:rsidR="00D15BAF" w:rsidRPr="00B95E28" w:rsidRDefault="00D15BAF" w:rsidP="00D15BAF">
      <w:pPr>
        <w:rPr>
          <w:color w:val="000000" w:themeColor="text1"/>
        </w:rPr>
      </w:pPr>
    </w:p>
    <w:p w14:paraId="6680BBC1" w14:textId="025D0203" w:rsidR="0033207C" w:rsidRPr="00B95E28" w:rsidRDefault="0033207C" w:rsidP="00557AB7">
      <w:pPr>
        <w:spacing w:line="480" w:lineRule="auto"/>
        <w:rPr>
          <w:color w:val="000000" w:themeColor="text1"/>
        </w:rPr>
      </w:pPr>
      <w:r w:rsidRPr="00B95E28">
        <w:rPr>
          <w:color w:val="000000" w:themeColor="text1"/>
        </w:rPr>
        <w:t>The role of the Integration Management Office (IMO) is particularly significant in this context. While the IMO is often positioned as a coordination function, the findings indicate that its effectiveness depends on its ability to operate with sufficient authority to influence decision-making across functions. Where the IMO lacks this authority, it risks becoming a bottleneck rather than an enabler of integration.</w:t>
      </w:r>
    </w:p>
    <w:p w14:paraId="004066D5" w14:textId="77777777" w:rsidR="00D15BAF" w:rsidRPr="00B95E28" w:rsidRDefault="00D15BAF" w:rsidP="00D15BAF">
      <w:pPr>
        <w:rPr>
          <w:color w:val="000000" w:themeColor="text1"/>
        </w:rPr>
      </w:pPr>
    </w:p>
    <w:p w14:paraId="73AFC968" w14:textId="31D62B1B" w:rsidR="0033207C" w:rsidRPr="00B95E28" w:rsidRDefault="0033207C" w:rsidP="00557AB7">
      <w:pPr>
        <w:spacing w:line="480" w:lineRule="auto"/>
        <w:rPr>
          <w:color w:val="000000" w:themeColor="text1"/>
        </w:rPr>
      </w:pPr>
      <w:r w:rsidRPr="00B95E28">
        <w:rPr>
          <w:color w:val="000000" w:themeColor="text1"/>
        </w:rPr>
        <w:t>Organizations must also invest in mechanisms that support institutional learning. This includes the development of playbooks, structured post-integration reviews, and systems for capturing and sharing lessons learned. Without these mechanisms, learning remains fragmented and does not contribute to long-term capability development.</w:t>
      </w:r>
    </w:p>
    <w:p w14:paraId="68D07E19" w14:textId="77777777" w:rsidR="0033207C" w:rsidRPr="00B95E28" w:rsidRDefault="0033207C" w:rsidP="00D15BAF">
      <w:pPr>
        <w:rPr>
          <w:color w:val="000000" w:themeColor="text1"/>
        </w:rPr>
      </w:pPr>
    </w:p>
    <w:p w14:paraId="39CE8302" w14:textId="52C84A20" w:rsidR="0033207C" w:rsidRPr="00B95E28" w:rsidRDefault="0033207C" w:rsidP="00557AB7">
      <w:pPr>
        <w:pStyle w:val="Heading3"/>
        <w:spacing w:before="0" w:after="0" w:line="480" w:lineRule="auto"/>
        <w:rPr>
          <w:color w:val="000000" w:themeColor="text1"/>
        </w:rPr>
      </w:pPr>
      <w:bookmarkStart w:id="233" w:name="_Toc232351937"/>
      <w:r w:rsidRPr="00B95E28">
        <w:rPr>
          <w:color w:val="000000" w:themeColor="text1"/>
        </w:rPr>
        <w:t>7.4.4 Implications for Performance Measurement</w:t>
      </w:r>
      <w:bookmarkEnd w:id="233"/>
    </w:p>
    <w:p w14:paraId="0171208D" w14:textId="77777777" w:rsidR="00D15BAF" w:rsidRPr="00B95E28" w:rsidRDefault="0033207C" w:rsidP="00557AB7">
      <w:pPr>
        <w:spacing w:line="480" w:lineRule="auto"/>
        <w:rPr>
          <w:color w:val="000000" w:themeColor="text1"/>
        </w:rPr>
      </w:pPr>
      <w:r w:rsidRPr="00B95E28">
        <w:rPr>
          <w:color w:val="000000" w:themeColor="text1"/>
        </w:rPr>
        <w:t>The findings also suggest a need to reconsider how integration performance is evaluated. Traditional approaches often focus on the success of individual transactions, measuring outcomes such as synergy realization, cost savings, or integration timelines. While these metrics remain important, they do not capture the development of integration capability over time.</w:t>
      </w:r>
    </w:p>
    <w:p w14:paraId="033EDE7D" w14:textId="77777777" w:rsidR="00D15BAF" w:rsidRPr="00B95E28" w:rsidRDefault="00D15BAF" w:rsidP="00D15BAF">
      <w:pPr>
        <w:rPr>
          <w:color w:val="000000" w:themeColor="text1"/>
        </w:rPr>
      </w:pPr>
    </w:p>
    <w:p w14:paraId="28514E27" w14:textId="77777777" w:rsidR="00D15BAF" w:rsidRPr="00B95E28" w:rsidRDefault="0033207C" w:rsidP="00D15BAF">
      <w:pPr>
        <w:spacing w:line="480" w:lineRule="auto"/>
        <w:rPr>
          <w:color w:val="000000" w:themeColor="text1"/>
        </w:rPr>
      </w:pPr>
      <w:r w:rsidRPr="00B95E28">
        <w:rPr>
          <w:color w:val="000000" w:themeColor="text1"/>
        </w:rPr>
        <w:t xml:space="preserve">A capability-based perspective requires organizations to assess the extent to which integration processes are becoming more consistent, predictable, and efficient across transactions. This includes evaluating the stability of governance structures, the effectiveness of planning processes, and the degree to which learning is being institutionalized. By shifting the focus from </w:t>
      </w:r>
      <w:r w:rsidRPr="00B95E28">
        <w:rPr>
          <w:color w:val="000000" w:themeColor="text1"/>
        </w:rPr>
        <w:lastRenderedPageBreak/>
        <w:t>transaction-level outcomes to capability development, organizations can better understand and improve their long-term integration performance.</w:t>
      </w:r>
    </w:p>
    <w:p w14:paraId="55C54C20" w14:textId="77777777" w:rsidR="00045864" w:rsidRPr="00B95E28" w:rsidRDefault="00045864" w:rsidP="00045864">
      <w:pPr>
        <w:rPr>
          <w:color w:val="000000" w:themeColor="text1"/>
        </w:rPr>
      </w:pPr>
    </w:p>
    <w:p w14:paraId="60508D2B" w14:textId="3F7DBCEB" w:rsidR="00045864" w:rsidRDefault="00045864" w:rsidP="00D15BAF">
      <w:pPr>
        <w:spacing w:line="480" w:lineRule="auto"/>
        <w:rPr>
          <w:color w:val="000000" w:themeColor="text1"/>
        </w:rPr>
      </w:pPr>
      <w:r w:rsidRPr="00B95E28">
        <w:rPr>
          <w:color w:val="000000" w:themeColor="text1"/>
        </w:rPr>
        <w:t>The findings suggest that integration capability should be measured using both outcome-based and capability-based indicators. Outcome indicators may include synergy realization, cost-to-integrate, employee retention, customer retention, system consolidation milestones, Day 1 readiness, and achievement of value thesis milestones. Capability-based indicators may include decision velocity, escalation cycle time, percentage of integration risks identified before close, percentage of workstreams with named owners, completion of post-integration reviews, number of lessons incorporated into future playbooks, and reuse of prior templates or decision logs. Together, these indicators allow organizations to assess not only whether an individual integration succeeded, but whether the organization is becoming better at integration over time.</w:t>
      </w:r>
    </w:p>
    <w:p w14:paraId="71AC22C3" w14:textId="77777777" w:rsidR="004530FF" w:rsidRDefault="004530FF" w:rsidP="004530FF"/>
    <w:p w14:paraId="70FC4016" w14:textId="33706D16" w:rsidR="004530FF" w:rsidRPr="00B91B93" w:rsidRDefault="004530FF" w:rsidP="00D15BAF">
      <w:pPr>
        <w:spacing w:line="480" w:lineRule="auto"/>
        <w:rPr>
          <w:color w:val="000000" w:themeColor="text1"/>
        </w:rPr>
      </w:pPr>
      <w:r w:rsidRPr="00B91B93">
        <w:rPr>
          <w:color w:val="000000" w:themeColor="text1"/>
        </w:rPr>
        <w:t>The practical value of integration capability is demonstrated through improved business outcomes over successive transactions. Stronger governance should reduce decision delays and escalation cycles. Earlier planning should reduce Day 1 disruption and prevent avoidable post-close rework. More mature technology readiness should shorten systems consolidation timelines and improve management visibility. Institutionalized learning should reduce repeated mistakes across deals. Over time, a serial acquirer with stronger integration capability should be able to demonstrate faster integration timelines, higher synergy realization, lower integration costs, improved employee and customer retention, and fewer recurring execution issues.</w:t>
      </w:r>
    </w:p>
    <w:p w14:paraId="3CE14B87" w14:textId="397F11C3" w:rsidR="0033207C" w:rsidRPr="00B95E28" w:rsidRDefault="00D15BAF" w:rsidP="00D15BAF">
      <w:pPr>
        <w:pStyle w:val="Heading3"/>
        <w:rPr>
          <w:color w:val="000000" w:themeColor="text1"/>
        </w:rPr>
      </w:pPr>
      <w:bookmarkStart w:id="234" w:name="_Toc232351938"/>
      <w:r w:rsidRPr="00B95E28">
        <w:rPr>
          <w:color w:val="000000" w:themeColor="text1"/>
        </w:rPr>
        <w:t xml:space="preserve">7.4.5 </w:t>
      </w:r>
      <w:r w:rsidR="0033207C" w:rsidRPr="00B95E28">
        <w:rPr>
          <w:color w:val="000000" w:themeColor="text1"/>
        </w:rPr>
        <w:t>Practical Recommendations for Serial Acquirers</w:t>
      </w:r>
      <w:bookmarkEnd w:id="234"/>
    </w:p>
    <w:p w14:paraId="2A1B54A2" w14:textId="77777777" w:rsidR="0033207C" w:rsidRPr="00B95E28" w:rsidRDefault="0033207C" w:rsidP="00557AB7">
      <w:pPr>
        <w:spacing w:line="480" w:lineRule="auto"/>
        <w:rPr>
          <w:color w:val="000000" w:themeColor="text1"/>
        </w:rPr>
      </w:pPr>
      <w:r w:rsidRPr="00B95E28">
        <w:rPr>
          <w:color w:val="000000" w:themeColor="text1"/>
        </w:rPr>
        <w:t xml:space="preserve">The findings suggest several practical recommendations for organizations seeking to improve repeatable integration capability. These recommendations are grounded in recurring practitioner </w:t>
      </w:r>
      <w:r w:rsidRPr="00B95E28">
        <w:rPr>
          <w:color w:val="000000" w:themeColor="text1"/>
        </w:rPr>
        <w:lastRenderedPageBreak/>
        <w:t xml:space="preserve">feedback that integration problems are rarely caused by a lack of awareness alone, but by weak authority, late planning, insufficient resourcing, fragmented technology decisions, and the failure to convert lessons learned into future practice. </w:t>
      </w:r>
    </w:p>
    <w:p w14:paraId="2B6BE65E" w14:textId="77777777" w:rsidR="0033207C" w:rsidRPr="00B95E28" w:rsidRDefault="0033207C" w:rsidP="00D15BAF">
      <w:pPr>
        <w:rPr>
          <w:color w:val="000000" w:themeColor="text1"/>
        </w:rPr>
      </w:pPr>
    </w:p>
    <w:p w14:paraId="758A957A" w14:textId="77D7C34A" w:rsidR="0033207C" w:rsidRPr="00B95E28" w:rsidRDefault="0033207C" w:rsidP="00557AB7">
      <w:pPr>
        <w:spacing w:line="480" w:lineRule="auto"/>
        <w:rPr>
          <w:color w:val="000000" w:themeColor="text1"/>
        </w:rPr>
      </w:pPr>
      <w:r w:rsidRPr="00B95E28">
        <w:rPr>
          <w:b/>
          <w:bCs/>
          <w:color w:val="000000" w:themeColor="text1"/>
        </w:rPr>
        <w:t>First</w:t>
      </w:r>
      <w:r w:rsidRPr="00B95E28">
        <w:rPr>
          <w:color w:val="000000" w:themeColor="text1"/>
        </w:rPr>
        <w:t>, integration should be positioned as a strategic capability before deal execution begins. This requires integration leadership to be involved early enough to influence diligence, valuation assumptions, synergy planning, and Day 1 readiness. Treating integration as a post-close activity limits the organization’s ability to shape the conditions that determine execution success.</w:t>
      </w:r>
    </w:p>
    <w:p w14:paraId="3F422221" w14:textId="77777777" w:rsidR="00D15BAF" w:rsidRPr="00B95E28" w:rsidRDefault="00D15BAF" w:rsidP="00D15BAF">
      <w:pPr>
        <w:rPr>
          <w:color w:val="000000" w:themeColor="text1"/>
        </w:rPr>
      </w:pPr>
    </w:p>
    <w:p w14:paraId="60956639" w14:textId="0E3FC3AB" w:rsidR="0033207C" w:rsidRPr="00B95E28" w:rsidRDefault="0033207C" w:rsidP="00557AB7">
      <w:pPr>
        <w:spacing w:line="480" w:lineRule="auto"/>
        <w:rPr>
          <w:color w:val="000000" w:themeColor="text1"/>
        </w:rPr>
      </w:pPr>
      <w:r w:rsidRPr="00B95E28">
        <w:rPr>
          <w:b/>
          <w:bCs/>
          <w:color w:val="000000" w:themeColor="text1"/>
        </w:rPr>
        <w:t>Second</w:t>
      </w:r>
      <w:r w:rsidRPr="00B95E28">
        <w:rPr>
          <w:color w:val="000000" w:themeColor="text1"/>
        </w:rPr>
        <w:t>, organizations should define integration decision rights explicitly. Integration leaders require more than coordination responsibility; they need authority to escalate issues, resolve trade-offs, and enforce decisions across functional boundaries. Without this authority, integration governance may provide visibility without control.</w:t>
      </w:r>
    </w:p>
    <w:p w14:paraId="5FBB344D" w14:textId="77777777" w:rsidR="0033207C" w:rsidRPr="00B95E28" w:rsidRDefault="0033207C" w:rsidP="00D15BAF">
      <w:pPr>
        <w:rPr>
          <w:color w:val="000000" w:themeColor="text1"/>
        </w:rPr>
      </w:pPr>
    </w:p>
    <w:p w14:paraId="5E7F911E" w14:textId="0109602C" w:rsidR="0033207C" w:rsidRPr="00B95E28" w:rsidRDefault="0033207C" w:rsidP="00557AB7">
      <w:pPr>
        <w:spacing w:line="480" w:lineRule="auto"/>
        <w:rPr>
          <w:color w:val="000000" w:themeColor="text1"/>
        </w:rPr>
      </w:pPr>
      <w:r w:rsidRPr="00B95E28">
        <w:rPr>
          <w:b/>
          <w:bCs/>
          <w:color w:val="000000" w:themeColor="text1"/>
        </w:rPr>
        <w:t>Third</w:t>
      </w:r>
      <w:r w:rsidRPr="00B95E28">
        <w:rPr>
          <w:color w:val="000000" w:themeColor="text1"/>
        </w:rPr>
        <w:t>, integration planning should be directly connected to the value thesis of the deal. The purpose of integration is not to complete a checklist of functional activities, but to enable the strategic and financial objectives that justified the acquisition. This means that integration priorities should be derived from the deal rationale and translated into operational plans, resource commitments, and measurable outcomes.</w:t>
      </w:r>
    </w:p>
    <w:p w14:paraId="3E5EA516" w14:textId="77777777" w:rsidR="0033207C" w:rsidRPr="00B95E28" w:rsidRDefault="0033207C" w:rsidP="00D15BAF">
      <w:pPr>
        <w:rPr>
          <w:color w:val="000000" w:themeColor="text1"/>
        </w:rPr>
      </w:pPr>
    </w:p>
    <w:p w14:paraId="5EEF01C4" w14:textId="2BD25048" w:rsidR="0033207C" w:rsidRPr="00B95E28" w:rsidRDefault="0033207C" w:rsidP="00557AB7">
      <w:pPr>
        <w:spacing w:line="480" w:lineRule="auto"/>
        <w:rPr>
          <w:color w:val="000000" w:themeColor="text1"/>
        </w:rPr>
      </w:pPr>
      <w:r w:rsidRPr="00B95E28">
        <w:rPr>
          <w:b/>
          <w:bCs/>
          <w:color w:val="000000" w:themeColor="text1"/>
        </w:rPr>
        <w:t>Fourth,</w:t>
      </w:r>
      <w:r w:rsidRPr="00B95E28">
        <w:rPr>
          <w:color w:val="000000" w:themeColor="text1"/>
        </w:rPr>
        <w:t xml:space="preserve"> organizations should resource integration as real work rather than additional work. Functional leaders and teams cannot be expected to absorb integration responsibilities indefinitely while maintaining full business-as-usual workloads. Where integration depends entirely on spare capacity, execution delays and decision fatigue become predictable rather than exceptional.</w:t>
      </w:r>
    </w:p>
    <w:p w14:paraId="12239C30" w14:textId="77777777" w:rsidR="0033207C" w:rsidRDefault="0033207C" w:rsidP="00557AB7">
      <w:pPr>
        <w:spacing w:line="480" w:lineRule="auto"/>
        <w:rPr>
          <w:color w:val="000000" w:themeColor="text1"/>
        </w:rPr>
      </w:pPr>
      <w:r w:rsidRPr="00B95E28">
        <w:rPr>
          <w:b/>
          <w:bCs/>
          <w:color w:val="000000" w:themeColor="text1"/>
        </w:rPr>
        <w:lastRenderedPageBreak/>
        <w:t>Fifth</w:t>
      </w:r>
      <w:r w:rsidRPr="00B95E28">
        <w:rPr>
          <w:color w:val="000000" w:themeColor="text1"/>
        </w:rPr>
        <w:t>, technology integration should be treated as operating model integration. Systems decisions affect reporting, controls, customer experience, employee workflows, data quality, and management visibility. Positioning technology as a technical workstream alone understates its role in value realization.</w:t>
      </w:r>
    </w:p>
    <w:p w14:paraId="6949C36A" w14:textId="77777777" w:rsidR="00B91B93" w:rsidRDefault="00B91B93" w:rsidP="00B91B93"/>
    <w:p w14:paraId="6BAE86DC" w14:textId="0340D576" w:rsidR="00B91B93" w:rsidRPr="00B91B93" w:rsidRDefault="00B91B93" w:rsidP="00557AB7">
      <w:pPr>
        <w:spacing w:line="480" w:lineRule="auto"/>
        <w:rPr>
          <w:color w:val="548DD4" w:themeColor="text2" w:themeTint="99"/>
        </w:rPr>
      </w:pPr>
      <w:r w:rsidRPr="00B91B93">
        <w:rPr>
          <w:color w:val="548DD4" w:themeColor="text2" w:themeTint="99"/>
        </w:rPr>
        <w:t>Technology should be treated not only as an integration workstream but as an organizational capability that supports future acquisition activity. Standardized platforms, integrated data environments, and scalable operating systems can reduce integration effort, improve decision quality, and increase organizational readiness for subsequent transactions.</w:t>
      </w:r>
    </w:p>
    <w:p w14:paraId="4697D2D9" w14:textId="77777777" w:rsidR="0033207C" w:rsidRPr="00B95E28" w:rsidRDefault="0033207C" w:rsidP="00D15BAF">
      <w:pPr>
        <w:rPr>
          <w:color w:val="000000" w:themeColor="text1"/>
        </w:rPr>
      </w:pPr>
    </w:p>
    <w:p w14:paraId="7B2BAB0F" w14:textId="4FF0090B" w:rsidR="0033207C" w:rsidRPr="00B95E28" w:rsidRDefault="0033207C" w:rsidP="00557AB7">
      <w:pPr>
        <w:spacing w:line="480" w:lineRule="auto"/>
        <w:rPr>
          <w:color w:val="000000" w:themeColor="text1"/>
        </w:rPr>
      </w:pPr>
      <w:r w:rsidRPr="00B95E28">
        <w:rPr>
          <w:color w:val="000000" w:themeColor="text1"/>
        </w:rPr>
        <w:t>Finally, organizations should formalize learning before moving to the next transaction. A post-integration review should not simply document lessons learned; it should update playbooks, diligence questions, decision gates, resource models, and governance practices. The test of learning is whether the organization enters the next acquisition better prepared than it entered the previous one.</w:t>
      </w:r>
    </w:p>
    <w:p w14:paraId="66697073" w14:textId="77777777" w:rsidR="0033207C" w:rsidRPr="00B95E28" w:rsidRDefault="0033207C" w:rsidP="00D15BAF">
      <w:pPr>
        <w:rPr>
          <w:color w:val="000000" w:themeColor="text1"/>
        </w:rPr>
      </w:pPr>
    </w:p>
    <w:p w14:paraId="554E658B" w14:textId="49809F3B" w:rsidR="0033207C" w:rsidRDefault="0033207C" w:rsidP="00557AB7">
      <w:pPr>
        <w:spacing w:line="480" w:lineRule="auto"/>
        <w:rPr>
          <w:color w:val="000000" w:themeColor="text1"/>
        </w:rPr>
      </w:pPr>
      <w:r w:rsidRPr="00B95E28">
        <w:rPr>
          <w:color w:val="000000" w:themeColor="text1"/>
        </w:rPr>
        <w:t>These recommendations reinforce the practical contribution of the study. Repeatable integration capability is not built by adding more templates or expanding project reporting. It is built by strengthening the organizational conditions that allow integration knowledge to be applied consistently, adapted intelligently, and retained across transactions.</w:t>
      </w:r>
    </w:p>
    <w:p w14:paraId="16B344D8" w14:textId="77777777" w:rsidR="00B91B93" w:rsidRDefault="00B91B93" w:rsidP="00B91B93"/>
    <w:p w14:paraId="25EA7860" w14:textId="561FA2BE" w:rsidR="00B91B93" w:rsidRPr="00B91B93" w:rsidRDefault="00B91B93" w:rsidP="00557AB7">
      <w:pPr>
        <w:spacing w:line="480" w:lineRule="auto"/>
        <w:rPr>
          <w:color w:val="548DD4" w:themeColor="text2" w:themeTint="99"/>
        </w:rPr>
      </w:pPr>
      <w:r w:rsidRPr="00B91B93">
        <w:rPr>
          <w:color w:val="548DD4" w:themeColor="text2" w:themeTint="99"/>
        </w:rPr>
        <w:t xml:space="preserve">Serial acquirers should formalize learning mechanisms as part of their integration methodology. Structured post-integration reviews, documented lessons learned, periodic playbook updates, and continuous refinement of governance and decision-gate criteria help ensure that acquisition </w:t>
      </w:r>
      <w:r w:rsidRPr="00B91B93">
        <w:rPr>
          <w:color w:val="548DD4" w:themeColor="text2" w:themeTint="99"/>
        </w:rPr>
        <w:lastRenderedPageBreak/>
        <w:t>experience is retained and reused. Without these mechanisms, organizations risk treating each integration as an isolated event rather than building cumulative integration capability.</w:t>
      </w:r>
    </w:p>
    <w:p w14:paraId="3FAB6D69" w14:textId="77777777" w:rsidR="0033207C" w:rsidRPr="00B95E28" w:rsidRDefault="0033207C" w:rsidP="00D15BAF">
      <w:pPr>
        <w:rPr>
          <w:color w:val="000000" w:themeColor="text1"/>
        </w:rPr>
      </w:pPr>
    </w:p>
    <w:p w14:paraId="3B9A7284" w14:textId="760BD9B2" w:rsidR="0033207C" w:rsidRPr="00B95E28" w:rsidRDefault="0033207C" w:rsidP="00557AB7">
      <w:pPr>
        <w:pStyle w:val="Heading3"/>
        <w:spacing w:before="0" w:after="0" w:line="480" w:lineRule="auto"/>
        <w:rPr>
          <w:color w:val="000000" w:themeColor="text1"/>
        </w:rPr>
      </w:pPr>
      <w:bookmarkStart w:id="235" w:name="_Toc232351939"/>
      <w:r w:rsidRPr="00B95E28">
        <w:rPr>
          <w:color w:val="000000" w:themeColor="text1"/>
        </w:rPr>
        <w:t>7.4.6 From Framework to Management Discipline</w:t>
      </w:r>
      <w:bookmarkEnd w:id="235"/>
    </w:p>
    <w:p w14:paraId="2F2816CF" w14:textId="77777777" w:rsidR="0033207C" w:rsidRPr="00B95E28" w:rsidRDefault="0033207C" w:rsidP="00557AB7">
      <w:pPr>
        <w:spacing w:line="480" w:lineRule="auto"/>
        <w:rPr>
          <w:color w:val="000000" w:themeColor="text1"/>
        </w:rPr>
      </w:pPr>
      <w:r w:rsidRPr="00B95E28">
        <w:rPr>
          <w:color w:val="000000" w:themeColor="text1"/>
        </w:rPr>
        <w:t>The practical value of this research lies not only in identifying what organizations should do during integration, but in reframing integration as a management discipline that must be sustained across transactions. Many organizations already understand the need for planning, governance, communication, and lessons learned. The challenge is that these practices are often applied inconsistently, owned temporarily, or disconnected from the next acquisition. As a result, integration remains dependent on individual effort rather than institutional discipline.</w:t>
      </w:r>
    </w:p>
    <w:p w14:paraId="5CB11152" w14:textId="77777777" w:rsidR="0033207C" w:rsidRPr="00B95E28" w:rsidRDefault="0033207C" w:rsidP="00B91B93"/>
    <w:p w14:paraId="2FFFC969" w14:textId="69E3A154" w:rsidR="0033207C" w:rsidRPr="00B95E28" w:rsidRDefault="0033207C" w:rsidP="00557AB7">
      <w:pPr>
        <w:spacing w:line="480" w:lineRule="auto"/>
        <w:rPr>
          <w:color w:val="000000" w:themeColor="text1"/>
        </w:rPr>
      </w:pPr>
      <w:r w:rsidRPr="00B95E28">
        <w:rPr>
          <w:color w:val="000000" w:themeColor="text1"/>
        </w:rPr>
        <w:t>Treating integration as a management discipline requires organizations to create routines that survive beyond a single deal. These routines include early integration involvement in diligence, formal decision rights, consistent workstream governance, structured issue escalation, resource planning, technology readiness assessment, and post-integration learning.</w:t>
      </w:r>
    </w:p>
    <w:p w14:paraId="5DE6A3D7" w14:textId="77777777" w:rsidR="0033207C" w:rsidRPr="00B95E28" w:rsidRDefault="0033207C" w:rsidP="00D15BAF">
      <w:pPr>
        <w:rPr>
          <w:color w:val="000000" w:themeColor="text1"/>
        </w:rPr>
      </w:pPr>
    </w:p>
    <w:p w14:paraId="02DE7C31" w14:textId="0FF24FA8" w:rsidR="0033207C" w:rsidRPr="00B95E28" w:rsidRDefault="0033207C" w:rsidP="00557AB7">
      <w:pPr>
        <w:spacing w:line="480" w:lineRule="auto"/>
        <w:rPr>
          <w:color w:val="000000" w:themeColor="text1"/>
        </w:rPr>
      </w:pPr>
      <w:r w:rsidRPr="00B95E28">
        <w:rPr>
          <w:color w:val="000000" w:themeColor="text1"/>
        </w:rPr>
        <w:t>Each routine may appear practical or operational in isolation. Collectively, however, they form the operating system through which acquisition strategy is translated into value realization.</w:t>
      </w:r>
    </w:p>
    <w:p w14:paraId="2C4F1C60" w14:textId="77777777" w:rsidR="0033207C" w:rsidRPr="00B95E28" w:rsidRDefault="0033207C" w:rsidP="00557AB7">
      <w:pPr>
        <w:spacing w:line="480" w:lineRule="auto"/>
        <w:rPr>
          <w:color w:val="000000" w:themeColor="text1"/>
        </w:rPr>
      </w:pPr>
      <w:r w:rsidRPr="00B95E28">
        <w:rPr>
          <w:color w:val="000000" w:themeColor="text1"/>
        </w:rPr>
        <w:t xml:space="preserve">This perspective also changes how organizations should evaluate integration success. A successful integration should not be assessed only by whether one transaction met its milestones or achieved expected synergies. It should also be assessed by whether the organization became more capable as a result of the transaction. If the organization enters the next acquisition with clearer governance, better planning assumptions, stronger decision routines, and improved learning mechanisms, then integration has contributed to capability development. If the same </w:t>
      </w:r>
      <w:r w:rsidRPr="00B95E28">
        <w:rPr>
          <w:color w:val="000000" w:themeColor="text1"/>
        </w:rPr>
        <w:lastRenderedPageBreak/>
        <w:t>issues recur, then the transaction may have been completed, but the organization has not learned in a meaningful way.</w:t>
      </w:r>
    </w:p>
    <w:p w14:paraId="4AB9841C" w14:textId="77777777" w:rsidR="0033207C" w:rsidRPr="00B95E28" w:rsidRDefault="0033207C" w:rsidP="00D15BAF">
      <w:pPr>
        <w:rPr>
          <w:color w:val="000000" w:themeColor="text1"/>
        </w:rPr>
      </w:pPr>
    </w:p>
    <w:p w14:paraId="720047AC" w14:textId="742857B4" w:rsidR="0033207C" w:rsidRPr="00B95E28" w:rsidRDefault="0033207C" w:rsidP="00557AB7">
      <w:pPr>
        <w:spacing w:line="480" w:lineRule="auto"/>
        <w:rPr>
          <w:color w:val="000000" w:themeColor="text1"/>
        </w:rPr>
      </w:pPr>
      <w:r w:rsidRPr="00B95E28">
        <w:rPr>
          <w:color w:val="000000" w:themeColor="text1"/>
        </w:rPr>
        <w:t>This distinction is particularly important for serial acquirers. For organizations pursuing acquisition-driven growth, the true test of integration capability is not performance in one deal, but consistency across deals. The findings of this study suggest that repeatability depends on the ability to institutionalize integration discipline while still adapting to the specific context of each transaction. In this sense, integration capability is both structured and flexible: structured enough to create consistency, but flexible enough to reflect deal-specific realities.</w:t>
      </w:r>
    </w:p>
    <w:p w14:paraId="15265025" w14:textId="77777777" w:rsidR="0033207C" w:rsidRPr="00B95E28" w:rsidRDefault="0033207C" w:rsidP="00B91B93"/>
    <w:p w14:paraId="0FCA7631" w14:textId="4A0DF96B" w:rsidR="0033207C" w:rsidRPr="00B95E28" w:rsidRDefault="0033207C" w:rsidP="00557AB7">
      <w:pPr>
        <w:pStyle w:val="Heading2"/>
        <w:spacing w:before="0" w:after="0" w:line="480" w:lineRule="auto"/>
        <w:rPr>
          <w:color w:val="000000" w:themeColor="text1"/>
        </w:rPr>
      </w:pPr>
      <w:bookmarkStart w:id="236" w:name="_Toc232351940"/>
      <w:r w:rsidRPr="00B95E28">
        <w:rPr>
          <w:color w:val="000000" w:themeColor="text1"/>
        </w:rPr>
        <w:t>7.5 Boundary Conditions</w:t>
      </w:r>
      <w:bookmarkEnd w:id="236"/>
    </w:p>
    <w:p w14:paraId="6524EE12" w14:textId="77777777" w:rsidR="0033207C" w:rsidRPr="00B95E28" w:rsidRDefault="0033207C" w:rsidP="00557AB7">
      <w:pPr>
        <w:spacing w:line="480" w:lineRule="auto"/>
        <w:rPr>
          <w:color w:val="000000" w:themeColor="text1"/>
        </w:rPr>
      </w:pPr>
      <w:r w:rsidRPr="00B95E28">
        <w:rPr>
          <w:color w:val="000000" w:themeColor="text1"/>
        </w:rPr>
        <w:t>While the Integration Capability Loop and Integration Capability Engine provide a structured framework for understanding how integration capability develops across transactions, the findings of this study indicate that the effectiveness of this model is influenced by a range of contextual factors. These boundary conditions shape how integration is executed in practice and determine the extent to which capability can be developed and sustained over time.</w:t>
      </w:r>
    </w:p>
    <w:p w14:paraId="706965BD" w14:textId="77777777" w:rsidR="0033207C" w:rsidRPr="00B95E28" w:rsidRDefault="0033207C" w:rsidP="00B91B93"/>
    <w:p w14:paraId="54CE1230" w14:textId="36583155" w:rsidR="0033207C" w:rsidRPr="00B95E28" w:rsidRDefault="0033207C" w:rsidP="00557AB7">
      <w:pPr>
        <w:spacing w:line="480" w:lineRule="auto"/>
        <w:rPr>
          <w:color w:val="000000" w:themeColor="text1"/>
        </w:rPr>
      </w:pPr>
      <w:r w:rsidRPr="00B95E28">
        <w:rPr>
          <w:color w:val="000000" w:themeColor="text1"/>
        </w:rPr>
        <w:t>A primary boundary condition relates to the nature of the acquisition itself. The model is most directly applicable in scenarios where the acquiring organization seeks to integrate operations, systems, or processes in order to realize value. In transactions characterized by limited integration, such as those designed to preserve autonomy or operate as standalone investments, the relevance of certain phases and mechanisms may be reduced. In these contexts, the emphasis shifts away from coordination and execution toward governance oversight and strategic alignment.</w:t>
      </w:r>
    </w:p>
    <w:p w14:paraId="06E7DB78" w14:textId="77777777" w:rsidR="0033207C" w:rsidRPr="00B95E28" w:rsidRDefault="0033207C" w:rsidP="00D15BAF">
      <w:pPr>
        <w:rPr>
          <w:color w:val="000000" w:themeColor="text1"/>
        </w:rPr>
      </w:pPr>
    </w:p>
    <w:p w14:paraId="009C99A0" w14:textId="1670F807" w:rsidR="0033207C" w:rsidRPr="00B95E28" w:rsidRDefault="0033207C" w:rsidP="00557AB7">
      <w:pPr>
        <w:spacing w:line="480" w:lineRule="auto"/>
        <w:rPr>
          <w:color w:val="000000" w:themeColor="text1"/>
        </w:rPr>
      </w:pPr>
      <w:r w:rsidRPr="00B95E28">
        <w:rPr>
          <w:color w:val="000000" w:themeColor="text1"/>
        </w:rPr>
        <w:lastRenderedPageBreak/>
        <w:t>The relative size and complexity of the transaction also influence the applicability of the model. Larger and more complex acquisitions, particularly those involving significant operational interdependence or technology integration, tend to amplify the importance of early-phase planning and governance alignment. In contrast, smaller transactions may rely more heavily on informal coordination and may not require the same level of structured governance or planning. However, even in these cases, the absence of formal mechanisms can limit the organization’s ability to develop repeatable capability over time.</w:t>
      </w:r>
    </w:p>
    <w:p w14:paraId="01BAE0C6" w14:textId="77777777" w:rsidR="0033207C" w:rsidRPr="00B95E28" w:rsidRDefault="0033207C" w:rsidP="00557AB7">
      <w:pPr>
        <w:spacing w:line="480" w:lineRule="auto"/>
        <w:rPr>
          <w:color w:val="000000" w:themeColor="text1"/>
        </w:rPr>
      </w:pPr>
    </w:p>
    <w:p w14:paraId="12BE4EF8" w14:textId="07DB438B" w:rsidR="0033207C" w:rsidRPr="00B95E28" w:rsidRDefault="0033207C" w:rsidP="00557AB7">
      <w:pPr>
        <w:spacing w:line="480" w:lineRule="auto"/>
        <w:rPr>
          <w:color w:val="000000" w:themeColor="text1"/>
        </w:rPr>
      </w:pPr>
      <w:r w:rsidRPr="00B95E28">
        <w:rPr>
          <w:color w:val="000000" w:themeColor="text1"/>
        </w:rPr>
        <w:t>Industry context represents another important boundary condition. Highly regulated industries, such as financial services or healthcare, introduce additional constraints related to compliance, risk management, and reporting requirements. These constraints can increase the complexity of integration and place greater emphasis on governance structures and decision-making discipline. Similarly, industries characterized by high levels of technological dependency may require more sophisticated approaches to system integration, further influencing how the model is applied in practice.</w:t>
      </w:r>
    </w:p>
    <w:p w14:paraId="378C60C2" w14:textId="77777777" w:rsidR="0033207C" w:rsidRPr="00B95E28" w:rsidRDefault="0033207C" w:rsidP="00D15BAF">
      <w:pPr>
        <w:rPr>
          <w:color w:val="000000" w:themeColor="text1"/>
        </w:rPr>
      </w:pPr>
    </w:p>
    <w:p w14:paraId="29E82A48" w14:textId="794DC506" w:rsidR="0033207C" w:rsidRPr="00B95E28" w:rsidRDefault="0033207C" w:rsidP="00557AB7">
      <w:pPr>
        <w:spacing w:line="480" w:lineRule="auto"/>
        <w:rPr>
          <w:color w:val="000000" w:themeColor="text1"/>
        </w:rPr>
      </w:pPr>
      <w:r w:rsidRPr="00B95E28">
        <w:rPr>
          <w:color w:val="000000" w:themeColor="text1"/>
        </w:rPr>
        <w:t>The organizational maturity of the acquiring firm also plays a critical role. Organizations with established acquisition programs and dedicated integration resources are more likely to exhibit the continuity required for capability development. In contrast, organizations engaging in infrequent or opportunistic acquisitions may lack the structures, experience, and institutional knowledge necessary to apply the model effectively. In such cases, integration practices may remain fragmented, limiting the ability to achieve consistent outcomes across transactions.</w:t>
      </w:r>
    </w:p>
    <w:p w14:paraId="0FC13024" w14:textId="77777777" w:rsidR="0033207C" w:rsidRPr="00B95E28" w:rsidRDefault="0033207C" w:rsidP="00D15BAF">
      <w:pPr>
        <w:rPr>
          <w:color w:val="000000" w:themeColor="text1"/>
        </w:rPr>
      </w:pPr>
    </w:p>
    <w:p w14:paraId="4AAAD540" w14:textId="1F68BA56" w:rsidR="0033207C" w:rsidRPr="00B95E28" w:rsidRDefault="0033207C" w:rsidP="00557AB7">
      <w:pPr>
        <w:spacing w:line="480" w:lineRule="auto"/>
        <w:rPr>
          <w:color w:val="000000" w:themeColor="text1"/>
        </w:rPr>
      </w:pPr>
      <w:r w:rsidRPr="00B95E28">
        <w:rPr>
          <w:color w:val="000000" w:themeColor="text1"/>
        </w:rPr>
        <w:lastRenderedPageBreak/>
        <w:t>Finally, the strategic intent of the acquisition influences how integration capability is deployed. Transactions focused on cost synergies may prioritize operational efficiency and rapid consolidation, while those aimed at revenue growth or capability acquisition may require a more nuanced approach to integration. These differences affect the relative importance of various phases and mechanisms within the model, reinforcing the need to adapt integration approaches to the specific objectives of each transaction.</w:t>
      </w:r>
    </w:p>
    <w:p w14:paraId="6E105084" w14:textId="77777777" w:rsidR="0033207C" w:rsidRPr="00B95E28" w:rsidRDefault="0033207C" w:rsidP="00D15BAF">
      <w:pPr>
        <w:rPr>
          <w:color w:val="000000" w:themeColor="text1"/>
        </w:rPr>
      </w:pPr>
    </w:p>
    <w:p w14:paraId="16C3C637" w14:textId="01607FB7" w:rsidR="0033207C" w:rsidRPr="00B95E28" w:rsidRDefault="0033207C" w:rsidP="00557AB7">
      <w:pPr>
        <w:spacing w:line="480" w:lineRule="auto"/>
        <w:rPr>
          <w:color w:val="000000" w:themeColor="text1"/>
        </w:rPr>
      </w:pPr>
      <w:r w:rsidRPr="00B95E28">
        <w:rPr>
          <w:color w:val="000000" w:themeColor="text1"/>
        </w:rPr>
        <w:t>Taken together, these boundary conditions highlight that the Integration Capability Loop should not be interpreted as a rigid or universally applicable model. Rather, it provides a structured framework that must be adapted to the specific context of each acquisition. The effectiveness of the model therefore depends not only on its design, but on the organization’s ability to calibrate its application based on the characteristics of the deal, the industry environment, and its own level of maturity.</w:t>
      </w:r>
    </w:p>
    <w:p w14:paraId="779BEA0F" w14:textId="77777777" w:rsidR="0033207C" w:rsidRPr="00B95E28" w:rsidRDefault="0033207C" w:rsidP="00D15BAF">
      <w:pPr>
        <w:rPr>
          <w:color w:val="000000" w:themeColor="text1"/>
        </w:rPr>
      </w:pPr>
    </w:p>
    <w:p w14:paraId="6F97F28F" w14:textId="02EDCB46" w:rsidR="0033207C" w:rsidRPr="00B95E28" w:rsidRDefault="0033207C" w:rsidP="00557AB7">
      <w:pPr>
        <w:spacing w:line="480" w:lineRule="auto"/>
        <w:rPr>
          <w:color w:val="000000" w:themeColor="text1"/>
        </w:rPr>
      </w:pPr>
      <w:r w:rsidRPr="00B95E28">
        <w:rPr>
          <w:color w:val="000000" w:themeColor="text1"/>
        </w:rPr>
        <w:t>Collectively, these conditions indicate that integration capability is not universally expressed in the same way, but is contingent on transaction characteristics, organizational maturity, industry context, and strategic intent.</w:t>
      </w:r>
    </w:p>
    <w:p w14:paraId="4C0605A3" w14:textId="77777777" w:rsidR="0033207C" w:rsidRPr="00B95E28" w:rsidRDefault="0033207C" w:rsidP="00D15BAF">
      <w:pPr>
        <w:rPr>
          <w:color w:val="000000" w:themeColor="text1"/>
        </w:rPr>
      </w:pPr>
    </w:p>
    <w:p w14:paraId="33415C33" w14:textId="336F330B" w:rsidR="0033207C" w:rsidRPr="00B95E28" w:rsidRDefault="0033207C" w:rsidP="00557AB7">
      <w:pPr>
        <w:pStyle w:val="Heading2"/>
        <w:spacing w:before="0" w:after="0" w:line="480" w:lineRule="auto"/>
        <w:rPr>
          <w:color w:val="000000" w:themeColor="text1"/>
        </w:rPr>
      </w:pPr>
      <w:bookmarkStart w:id="237" w:name="_Toc232351941"/>
      <w:r w:rsidRPr="00B95E28">
        <w:rPr>
          <w:color w:val="000000" w:themeColor="text1"/>
        </w:rPr>
        <w:t>7.6 Limitations of the Study</w:t>
      </w:r>
      <w:bookmarkEnd w:id="237"/>
    </w:p>
    <w:p w14:paraId="6D7ADAEE" w14:textId="77777777" w:rsidR="0033207C" w:rsidRPr="00B95E28" w:rsidRDefault="0033207C" w:rsidP="00557AB7">
      <w:pPr>
        <w:spacing w:line="480" w:lineRule="auto"/>
        <w:rPr>
          <w:color w:val="000000" w:themeColor="text1"/>
        </w:rPr>
      </w:pPr>
      <w:r w:rsidRPr="00B95E28">
        <w:rPr>
          <w:color w:val="000000" w:themeColor="text1"/>
        </w:rPr>
        <w:t>While this study provides a structured framework for understanding how integration capability develops across transactions, several limitations should be acknowledged in interpreting the findings.</w:t>
      </w:r>
    </w:p>
    <w:p w14:paraId="656C68B9" w14:textId="77777777" w:rsidR="0033207C" w:rsidRPr="00B95E28" w:rsidRDefault="0033207C" w:rsidP="00D15BAF">
      <w:pPr>
        <w:rPr>
          <w:color w:val="000000" w:themeColor="text1"/>
        </w:rPr>
      </w:pPr>
    </w:p>
    <w:p w14:paraId="1D2DC477" w14:textId="46B33E5E" w:rsidR="0033207C" w:rsidRPr="00B95E28" w:rsidRDefault="0033207C" w:rsidP="00557AB7">
      <w:pPr>
        <w:spacing w:line="480" w:lineRule="auto"/>
        <w:rPr>
          <w:color w:val="000000" w:themeColor="text1"/>
        </w:rPr>
      </w:pPr>
      <w:r w:rsidRPr="00B95E28">
        <w:rPr>
          <w:color w:val="000000" w:themeColor="text1"/>
        </w:rPr>
        <w:t xml:space="preserve">A primary limitation relates to the qualitative nature of the research design. The study is based on semi-structured interviews with experienced practitioners, which allows for in-depth </w:t>
      </w:r>
      <w:r w:rsidRPr="00B95E28">
        <w:rPr>
          <w:color w:val="000000" w:themeColor="text1"/>
        </w:rPr>
        <w:lastRenderedPageBreak/>
        <w:t>exploration of integration practices and organizational dynamics. However, as with all qualitative research, the findings are based on subjective perspectives and interpretations. While consistent patterns emerged across participants, the results are not intended to be statistically generalizable. Instead, they provide analytical insights that are transferable to similar organizational contexts.</w:t>
      </w:r>
    </w:p>
    <w:p w14:paraId="452CC2DF" w14:textId="77777777" w:rsidR="0033207C" w:rsidRPr="00B95E28" w:rsidRDefault="0033207C" w:rsidP="00D15BAF">
      <w:pPr>
        <w:rPr>
          <w:color w:val="000000" w:themeColor="text1"/>
        </w:rPr>
      </w:pPr>
    </w:p>
    <w:p w14:paraId="7FD6C133" w14:textId="0AFA737A" w:rsidR="0033207C" w:rsidRPr="00B95E28" w:rsidRDefault="0033207C" w:rsidP="00557AB7">
      <w:pPr>
        <w:spacing w:line="480" w:lineRule="auto"/>
        <w:rPr>
          <w:color w:val="000000" w:themeColor="text1"/>
        </w:rPr>
      </w:pPr>
      <w:r w:rsidRPr="00B95E28">
        <w:rPr>
          <w:color w:val="000000" w:themeColor="text1"/>
        </w:rPr>
        <w:t>A second limitation concerns the composition of the sample. Participants were selected based on their experience with multiple acquisitions, which provides a strong basis for examining repeat integration activity. However, this focus may introduce a degree of selection bias, as the sample is skewed toward organizations and individuals with exposure to acquisition programs. As a result, the findings may be less representative of organizations that engage in infrequent or one-off acquisitions, where integration practices and challenges may differ.</w:t>
      </w:r>
    </w:p>
    <w:p w14:paraId="724484EF" w14:textId="77777777" w:rsidR="0033207C" w:rsidRPr="00B95E28" w:rsidRDefault="0033207C" w:rsidP="00D15BAF">
      <w:pPr>
        <w:rPr>
          <w:color w:val="000000" w:themeColor="text1"/>
        </w:rPr>
      </w:pPr>
    </w:p>
    <w:p w14:paraId="6CBEB5AA" w14:textId="613CBDA6" w:rsidR="0033207C" w:rsidRPr="00B95E28" w:rsidRDefault="0033207C" w:rsidP="00557AB7">
      <w:pPr>
        <w:spacing w:line="480" w:lineRule="auto"/>
        <w:rPr>
          <w:color w:val="000000" w:themeColor="text1"/>
        </w:rPr>
      </w:pPr>
      <w:r w:rsidRPr="00B95E28">
        <w:rPr>
          <w:color w:val="000000" w:themeColor="text1"/>
        </w:rPr>
        <w:t>The reliance on retrospective accounts also presents a limitation. Participants described integration experiences based on prior transactions, which may be influenced by recall bias or the framing of outcomes after the fact. While efforts were made to validate and triangulate insights through consistent patterns across interviews, the accuracy of individual accounts cannot be independently verified.</w:t>
      </w:r>
    </w:p>
    <w:p w14:paraId="026042B1" w14:textId="77777777" w:rsidR="0033207C" w:rsidRPr="00B95E28" w:rsidRDefault="0033207C" w:rsidP="00D15BAF">
      <w:pPr>
        <w:rPr>
          <w:color w:val="000000" w:themeColor="text1"/>
        </w:rPr>
      </w:pPr>
    </w:p>
    <w:p w14:paraId="6B4C2993" w14:textId="49ACB9C9" w:rsidR="0033207C" w:rsidRPr="00B95E28" w:rsidRDefault="0033207C" w:rsidP="00557AB7">
      <w:pPr>
        <w:spacing w:line="480" w:lineRule="auto"/>
        <w:rPr>
          <w:color w:val="000000" w:themeColor="text1"/>
        </w:rPr>
      </w:pPr>
      <w:r w:rsidRPr="00B95E28">
        <w:rPr>
          <w:color w:val="000000" w:themeColor="text1"/>
        </w:rPr>
        <w:t>Another limitation relates to the scope of industries represented in the sample. Although participants were drawn from a range of sectors, the study does not aim to provide industry-specific analysis. Differences in regulatory environments, operational complexity, and market dynamics may influence how integration is executed in practice. As such, the applicability of the model may vary across industries, as discussed in the boundary conditions.</w:t>
      </w:r>
    </w:p>
    <w:p w14:paraId="78CEF836" w14:textId="77777777" w:rsidR="0033207C" w:rsidRPr="00B95E28" w:rsidRDefault="0033207C" w:rsidP="00D15BAF">
      <w:pPr>
        <w:rPr>
          <w:color w:val="000000" w:themeColor="text1"/>
        </w:rPr>
      </w:pPr>
    </w:p>
    <w:p w14:paraId="63E3DF1E" w14:textId="41EB3EA4" w:rsidR="0033207C" w:rsidRPr="00B95E28" w:rsidRDefault="0033207C" w:rsidP="00557AB7">
      <w:pPr>
        <w:spacing w:line="480" w:lineRule="auto"/>
        <w:rPr>
          <w:color w:val="000000" w:themeColor="text1"/>
        </w:rPr>
      </w:pPr>
      <w:r w:rsidRPr="00B95E28">
        <w:rPr>
          <w:color w:val="000000" w:themeColor="text1"/>
        </w:rPr>
        <w:lastRenderedPageBreak/>
        <w:t>In addition, the study focuses primarily on the acquiring organization, with less emphasis on the perspective of the acquired entity. While this reflects the objective of understanding integration capability from the standpoint of repeat acquirers, it may limit the extent to which the findings capture the full range of organizational dynamics involved in integration, particularly those related to culture, employee experience, and change management within the acquired firm.</w:t>
      </w:r>
    </w:p>
    <w:p w14:paraId="17849849" w14:textId="77777777" w:rsidR="00D15BAF" w:rsidRPr="00B95E28" w:rsidRDefault="00D15BAF" w:rsidP="00D15BAF">
      <w:pPr>
        <w:rPr>
          <w:color w:val="000000" w:themeColor="text1"/>
        </w:rPr>
      </w:pPr>
    </w:p>
    <w:p w14:paraId="37F35F56" w14:textId="33211738" w:rsidR="0033207C" w:rsidRPr="00B95E28" w:rsidRDefault="0033207C" w:rsidP="00557AB7">
      <w:pPr>
        <w:spacing w:line="480" w:lineRule="auto"/>
        <w:rPr>
          <w:color w:val="000000" w:themeColor="text1"/>
        </w:rPr>
      </w:pPr>
      <w:r w:rsidRPr="00B95E28">
        <w:rPr>
          <w:color w:val="000000" w:themeColor="text1"/>
        </w:rPr>
        <w:t>Finally, the conceptual nature of the Integration Capability Loop and Integration Capability Engine represents both a strength and a limitation. While the model provides a structured and theoretically grounded framework, it has not been quantitatively tested. The relationships identified in the study are derived from qualitative analysis and would benefit from further empirical validation using larger datasets and quantitative methods.</w:t>
      </w:r>
    </w:p>
    <w:p w14:paraId="6B74C366" w14:textId="77777777" w:rsidR="0033207C" w:rsidRPr="00B95E28" w:rsidRDefault="0033207C" w:rsidP="00D15BAF">
      <w:pPr>
        <w:rPr>
          <w:color w:val="000000" w:themeColor="text1"/>
        </w:rPr>
      </w:pPr>
    </w:p>
    <w:p w14:paraId="0E9D2D21" w14:textId="69513540" w:rsidR="0033207C" w:rsidRPr="00B95E28" w:rsidRDefault="0033207C" w:rsidP="00557AB7">
      <w:pPr>
        <w:spacing w:line="480" w:lineRule="auto"/>
        <w:rPr>
          <w:color w:val="000000" w:themeColor="text1"/>
        </w:rPr>
      </w:pPr>
      <w:r w:rsidRPr="00B95E28">
        <w:rPr>
          <w:color w:val="000000" w:themeColor="text1"/>
        </w:rPr>
        <w:t>A further limitation relates to the reliance on practitioner accounts of integration effectiveness. While the participants brought substantial acquisition and integration experience, the study does not independently measure transaction outcomes or compare participant accounts against financial performance data. As a result, the findings explain perceived mechanisms of integration capability rather than statistically verified performance effects.</w:t>
      </w:r>
    </w:p>
    <w:p w14:paraId="02276AC3" w14:textId="77777777" w:rsidR="00D15BAF" w:rsidRPr="00B95E28" w:rsidRDefault="00D15BAF" w:rsidP="00D15BAF">
      <w:pPr>
        <w:rPr>
          <w:color w:val="000000" w:themeColor="text1"/>
        </w:rPr>
      </w:pPr>
    </w:p>
    <w:p w14:paraId="3ED8F805" w14:textId="0D6BF875" w:rsidR="0033207C" w:rsidRPr="00B95E28" w:rsidRDefault="0033207C" w:rsidP="00557AB7">
      <w:pPr>
        <w:spacing w:line="480" w:lineRule="auto"/>
        <w:rPr>
          <w:color w:val="000000" w:themeColor="text1"/>
        </w:rPr>
      </w:pPr>
      <w:r w:rsidRPr="00B95E28">
        <w:rPr>
          <w:color w:val="000000" w:themeColor="text1"/>
        </w:rPr>
        <w:t>Another limitation concerns the cross-sectional nature of the interviews. Participants reflected on multiple acquisitions, but the research did not follow a single organization longitudinally across successive transactions. A longitudinal design could provide deeper insight into how integration capability evolves over time and how specific governance, planning, or learning mechanisms affect subsequent deals.</w:t>
      </w:r>
    </w:p>
    <w:p w14:paraId="7F01B842" w14:textId="77777777" w:rsidR="0033207C" w:rsidRPr="00B95E28" w:rsidRDefault="0033207C" w:rsidP="00D15BAF">
      <w:pPr>
        <w:rPr>
          <w:color w:val="000000" w:themeColor="text1"/>
        </w:rPr>
      </w:pPr>
    </w:p>
    <w:p w14:paraId="24AFB807" w14:textId="497DED34" w:rsidR="0033207C" w:rsidRPr="00B95E28" w:rsidRDefault="0033207C" w:rsidP="00557AB7">
      <w:pPr>
        <w:spacing w:line="480" w:lineRule="auto"/>
        <w:rPr>
          <w:color w:val="000000" w:themeColor="text1"/>
        </w:rPr>
      </w:pPr>
      <w:r w:rsidRPr="00B95E28">
        <w:rPr>
          <w:color w:val="000000" w:themeColor="text1"/>
        </w:rPr>
        <w:lastRenderedPageBreak/>
        <w:t>Finally, the study includes participants from different organizational contexts, including corporate acquirers, private equity environments, advisors, and operators. This diversity strengthens the breadth of the findings, but also means that the model may apply differently depending on acquisition type, industry, scale, and integration strategy. For example, the governance requirements of a transformational acquisition may differ from those of a small bolt-on acquisition. These contextual differences do not weaken the model, but they indicate that its application should be adapted to the acquisition environment.</w:t>
      </w:r>
    </w:p>
    <w:p w14:paraId="0D8D64AF" w14:textId="77777777" w:rsidR="0033207C" w:rsidRPr="00B95E28" w:rsidRDefault="0033207C" w:rsidP="00D15BAF">
      <w:pPr>
        <w:rPr>
          <w:color w:val="000000" w:themeColor="text1"/>
        </w:rPr>
      </w:pPr>
    </w:p>
    <w:p w14:paraId="0433A0B7" w14:textId="064E8693" w:rsidR="0033207C" w:rsidRPr="00B95E28" w:rsidRDefault="0033207C" w:rsidP="00557AB7">
      <w:pPr>
        <w:spacing w:line="480" w:lineRule="auto"/>
        <w:rPr>
          <w:color w:val="000000" w:themeColor="text1"/>
        </w:rPr>
      </w:pPr>
      <w:r w:rsidRPr="00B95E28">
        <w:rPr>
          <w:color w:val="000000" w:themeColor="text1"/>
        </w:rPr>
        <w:t>Despite these limitations, the study provides a robust foundation for understanding integration capability as an organizational phenomenon. The consistency of findings across participants, combined with the structured analytical approach, supports the validity of the conclusions and highlights opportunities for further research.</w:t>
      </w:r>
    </w:p>
    <w:p w14:paraId="22D9A39F" w14:textId="77777777" w:rsidR="0033207C" w:rsidRPr="00B95E28" w:rsidRDefault="0033207C" w:rsidP="00D15BAF">
      <w:pPr>
        <w:rPr>
          <w:color w:val="000000" w:themeColor="text1"/>
        </w:rPr>
      </w:pPr>
    </w:p>
    <w:p w14:paraId="4BA93A7C" w14:textId="6B472169" w:rsidR="0033207C" w:rsidRPr="00B95E28" w:rsidRDefault="0033207C" w:rsidP="00557AB7">
      <w:pPr>
        <w:pStyle w:val="Heading2"/>
        <w:spacing w:before="0" w:after="0" w:line="480" w:lineRule="auto"/>
        <w:rPr>
          <w:color w:val="000000" w:themeColor="text1"/>
        </w:rPr>
      </w:pPr>
      <w:bookmarkStart w:id="238" w:name="_Toc232351942"/>
      <w:r w:rsidRPr="00B95E28">
        <w:rPr>
          <w:color w:val="000000" w:themeColor="text1"/>
        </w:rPr>
        <w:t>7.7 Recommendations for Future Research</w:t>
      </w:r>
      <w:bookmarkEnd w:id="238"/>
    </w:p>
    <w:p w14:paraId="3635951E" w14:textId="77777777" w:rsidR="0033207C" w:rsidRPr="00B95E28" w:rsidRDefault="0033207C" w:rsidP="00557AB7">
      <w:pPr>
        <w:spacing w:line="480" w:lineRule="auto"/>
        <w:rPr>
          <w:color w:val="000000" w:themeColor="text1"/>
        </w:rPr>
      </w:pPr>
      <w:r w:rsidRPr="00B95E28">
        <w:rPr>
          <w:color w:val="000000" w:themeColor="text1"/>
        </w:rPr>
        <w:t>The findings of this study open several avenues for future research aimed at extending and validating the concept of integration capability as an organizational construct. While the Integration Capability Loop and Integration Capability Engine provide a structured framework grounded in qualitative evidence, further research is required to test, refine, and expand these concepts across different contexts and methodologies.</w:t>
      </w:r>
    </w:p>
    <w:p w14:paraId="65C1D8A8" w14:textId="77777777" w:rsidR="0033207C" w:rsidRPr="00B95E28" w:rsidRDefault="0033207C" w:rsidP="00D15BAF">
      <w:pPr>
        <w:rPr>
          <w:color w:val="000000" w:themeColor="text1"/>
        </w:rPr>
      </w:pPr>
    </w:p>
    <w:p w14:paraId="40A67338" w14:textId="045C58A8" w:rsidR="0033207C" w:rsidRPr="00B95E28" w:rsidRDefault="0033207C" w:rsidP="00557AB7">
      <w:pPr>
        <w:spacing w:line="480" w:lineRule="auto"/>
        <w:rPr>
          <w:color w:val="000000" w:themeColor="text1"/>
        </w:rPr>
      </w:pPr>
      <w:r w:rsidRPr="00B95E28">
        <w:rPr>
          <w:color w:val="000000" w:themeColor="text1"/>
        </w:rPr>
        <w:t xml:space="preserve">A primary opportunity lies in the quantitative validation of the model. Future studies could examine the relationships identified in this research using larger datasets, enabling statistical analysis of how governance continuity, planning practices, execution effectiveness, and learning mechanisms influence integration outcomes. Such research would provide empirical support for </w:t>
      </w:r>
      <w:r w:rsidRPr="00B95E28">
        <w:rPr>
          <w:color w:val="000000" w:themeColor="text1"/>
        </w:rPr>
        <w:lastRenderedPageBreak/>
        <w:t>the causal relationships proposed in this study and allow for the measurement of their relative impact on performance.</w:t>
      </w:r>
    </w:p>
    <w:p w14:paraId="3FFD7053" w14:textId="77777777" w:rsidR="00045864" w:rsidRPr="00B95E28" w:rsidRDefault="00045864" w:rsidP="00045864">
      <w:pPr>
        <w:rPr>
          <w:color w:val="000000" w:themeColor="text1"/>
          <w:lang w:val="en-CA"/>
        </w:rPr>
      </w:pPr>
    </w:p>
    <w:p w14:paraId="35F46FE4" w14:textId="68632E8B" w:rsidR="00045864" w:rsidRPr="00B95E28" w:rsidRDefault="00045864" w:rsidP="00045864">
      <w:pPr>
        <w:spacing w:line="480" w:lineRule="auto"/>
        <w:rPr>
          <w:color w:val="000000" w:themeColor="text1"/>
          <w:lang w:val="en-CA"/>
        </w:rPr>
      </w:pPr>
      <w:r w:rsidRPr="00B95E28">
        <w:rPr>
          <w:color w:val="000000" w:themeColor="text1"/>
          <w:lang w:val="en-CA"/>
        </w:rPr>
        <w:t>Future research could examine the development of integration capability longitudinally across three to five acquisition cycles. Such a design would allow researchers to observe how governance routines, integration leadership roles, playbooks, technology standards, and learning mechanisms evolve over time. For example, a first acquisition may reveal gaps in planning, authority, or system readiness. A second acquisition may show whether those lessons are captured and applied. By the third or fourth transaction, researchers could assess whether the organization has moved from experience accumulation to repeatable capability. By the fifth transaction, it may be possible to determine whether integration capability has become institutionalized through stable governance routines, reusable tools, decision gates, and measurable improvements in execution consistency.</w:t>
      </w:r>
    </w:p>
    <w:p w14:paraId="29355E07" w14:textId="77777777" w:rsidR="00045864" w:rsidRPr="00B95E28" w:rsidRDefault="00045864" w:rsidP="00045864">
      <w:pPr>
        <w:rPr>
          <w:color w:val="000000" w:themeColor="text1"/>
          <w:lang w:val="en-CA"/>
        </w:rPr>
      </w:pPr>
    </w:p>
    <w:p w14:paraId="7D754BC0" w14:textId="3A0D3EF7" w:rsidR="00045864" w:rsidRPr="00B95E28" w:rsidRDefault="00045864" w:rsidP="00045864">
      <w:pPr>
        <w:spacing w:line="480" w:lineRule="auto"/>
        <w:rPr>
          <w:color w:val="000000" w:themeColor="text1"/>
          <w:lang w:val="en-CA"/>
        </w:rPr>
      </w:pPr>
      <w:r w:rsidRPr="00B95E28">
        <w:rPr>
          <w:color w:val="000000" w:themeColor="text1"/>
          <w:lang w:val="en-CA"/>
        </w:rPr>
        <w:t>A longitudinal study could also test whether the Integration Capability Loop strengthens over repeated use. Specifically, future research could examine whether organizations that formalize learning after each transaction demonstrate faster Day 1 readiness, improved decision velocity, reduced integration delays, stronger talent retention, or more consistent value realization across later acquisitions.</w:t>
      </w:r>
    </w:p>
    <w:p w14:paraId="1E57BF4E" w14:textId="77777777" w:rsidR="00045864" w:rsidRPr="00B95E28" w:rsidRDefault="00045864" w:rsidP="00045864">
      <w:pPr>
        <w:rPr>
          <w:color w:val="000000" w:themeColor="text1"/>
        </w:rPr>
      </w:pPr>
    </w:p>
    <w:p w14:paraId="4C9F0495" w14:textId="2F2C74E9" w:rsidR="0033207C" w:rsidRPr="00B95E28" w:rsidRDefault="0033207C" w:rsidP="00557AB7">
      <w:pPr>
        <w:spacing w:line="480" w:lineRule="auto"/>
        <w:rPr>
          <w:color w:val="000000" w:themeColor="text1"/>
        </w:rPr>
      </w:pPr>
      <w:r w:rsidRPr="00B95E28">
        <w:rPr>
          <w:color w:val="000000" w:themeColor="text1"/>
        </w:rPr>
        <w:t xml:space="preserve">Another area for development is the exploration of integration capability maturity. While this study suggests that capability develops incrementally across transactions, further research could focus on defining and measuring stages of maturity. This could include the identification of maturity levels based on the stability of governance structures, the sophistication of planning processes, and the effectiveness of learning mechanisms. Developing a capability maturity model </w:t>
      </w:r>
      <w:r w:rsidRPr="00B95E28">
        <w:rPr>
          <w:color w:val="000000" w:themeColor="text1"/>
        </w:rPr>
        <w:lastRenderedPageBreak/>
        <w:t>would provide organizations with a practical tool for assessing and improving their integration practices over time.</w:t>
      </w:r>
    </w:p>
    <w:p w14:paraId="4E89073F" w14:textId="77777777" w:rsidR="0033207C" w:rsidRPr="00B95E28" w:rsidRDefault="0033207C" w:rsidP="00045864">
      <w:pPr>
        <w:rPr>
          <w:color w:val="000000" w:themeColor="text1"/>
        </w:rPr>
      </w:pPr>
    </w:p>
    <w:p w14:paraId="0B7FAEC9" w14:textId="654977E2" w:rsidR="0033207C" w:rsidRPr="00B95E28" w:rsidRDefault="0033207C" w:rsidP="00557AB7">
      <w:pPr>
        <w:spacing w:line="480" w:lineRule="auto"/>
        <w:rPr>
          <w:color w:val="000000" w:themeColor="text1"/>
        </w:rPr>
      </w:pPr>
      <w:r w:rsidRPr="00B95E28">
        <w:rPr>
          <w:color w:val="000000" w:themeColor="text1"/>
        </w:rPr>
        <w:t>Future research could also examine how integration capability varies across industries and acquisition strategies. Differences in regulatory requirements, operational complexity, and market dynamics may influence the relative importance of specific phases and mechanisms within the model. Comparative studies across sectors would provide greater insight into how integration capability is shaped by external conditions and help refine the boundary conditions identified in this research.</w:t>
      </w:r>
    </w:p>
    <w:p w14:paraId="6F48C204" w14:textId="77777777" w:rsidR="0033207C" w:rsidRPr="00B95E28" w:rsidRDefault="0033207C" w:rsidP="00D15BAF">
      <w:pPr>
        <w:rPr>
          <w:color w:val="000000" w:themeColor="text1"/>
        </w:rPr>
      </w:pPr>
    </w:p>
    <w:p w14:paraId="3C6102A7" w14:textId="0BDB1888" w:rsidR="0033207C" w:rsidRPr="00B95E28" w:rsidRDefault="0033207C" w:rsidP="00557AB7">
      <w:pPr>
        <w:spacing w:line="480" w:lineRule="auto"/>
        <w:rPr>
          <w:color w:val="000000" w:themeColor="text1"/>
        </w:rPr>
      </w:pPr>
      <w:r w:rsidRPr="00B95E28">
        <w:rPr>
          <w:color w:val="000000" w:themeColor="text1"/>
        </w:rPr>
        <w:t>In addition, there is an opportunity to explore the role of organizational culture and human capital in greater depth. While this study acknowledges the importance of these factors, further research could investigate how cultural alignment, leadership behavior, and employee engagement influence the effectiveness of integration capability. This would provide a more comprehensive understanding of the social and behavioral dimensions of integration.</w:t>
      </w:r>
    </w:p>
    <w:p w14:paraId="4F270D63" w14:textId="77777777" w:rsidR="001E5B4A" w:rsidRPr="00B95E28" w:rsidRDefault="001E5B4A" w:rsidP="00D15BAF">
      <w:pPr>
        <w:rPr>
          <w:color w:val="000000" w:themeColor="text1"/>
        </w:rPr>
      </w:pPr>
    </w:p>
    <w:p w14:paraId="70AF8BE5" w14:textId="38EBF51C" w:rsidR="0033207C" w:rsidRPr="00B95E28" w:rsidRDefault="0033207C" w:rsidP="00557AB7">
      <w:pPr>
        <w:spacing w:line="480" w:lineRule="auto"/>
        <w:rPr>
          <w:color w:val="000000" w:themeColor="text1"/>
        </w:rPr>
      </w:pPr>
      <w:r w:rsidRPr="00B95E28">
        <w:rPr>
          <w:color w:val="000000" w:themeColor="text1"/>
        </w:rPr>
        <w:t>The perspective of the acquired organization also represents an important area for future study. This research focuses primarily on the acquiring firm, reflecting its objective of understanding repeatable integration capability. However, examining integration from the standpoint of the acquired entity could provide additional insights into how integration decisions are experienced and how they impact outcomes related to retention, performance, and cultural alignment.</w:t>
      </w:r>
    </w:p>
    <w:p w14:paraId="1996B81F" w14:textId="77777777" w:rsidR="0033207C" w:rsidRPr="00B95E28" w:rsidRDefault="0033207C" w:rsidP="00557AB7">
      <w:pPr>
        <w:spacing w:line="480" w:lineRule="auto"/>
        <w:rPr>
          <w:color w:val="000000" w:themeColor="text1"/>
        </w:rPr>
      </w:pPr>
      <w:r w:rsidRPr="00B95E28">
        <w:rPr>
          <w:color w:val="000000" w:themeColor="text1"/>
        </w:rPr>
        <w:t xml:space="preserve">Finally, future research could explore the application of the Integration Capability Loop beyond the context of mergers and acquisitions. The underlying principles of governance continuity, lifecycle coordination, and learning across repeated activities may be relevant in other domains, such as large-scale transformation programs, strategic alliances, or multi-phase project </w:t>
      </w:r>
      <w:r w:rsidRPr="00B95E28">
        <w:rPr>
          <w:color w:val="000000" w:themeColor="text1"/>
        </w:rPr>
        <w:lastRenderedPageBreak/>
        <w:t>environments. Extending the model to these contexts would contribute to a broader understanding of how organizational capabilities are developed and sustained over time.</w:t>
      </w:r>
    </w:p>
    <w:p w14:paraId="46222E57" w14:textId="3C45F820" w:rsidR="0033207C" w:rsidRPr="00B95E28" w:rsidRDefault="0033207C" w:rsidP="00557AB7">
      <w:pPr>
        <w:spacing w:line="480" w:lineRule="auto"/>
        <w:rPr>
          <w:color w:val="000000" w:themeColor="text1"/>
        </w:rPr>
      </w:pPr>
      <w:r w:rsidRPr="00B95E28">
        <w:rPr>
          <w:color w:val="000000" w:themeColor="text1"/>
        </w:rPr>
        <w:t>Taken together, these areas highlight the potential for further development of integration capability as both a research domain and a practical field of application. By building on the foundations established in this study, future research can contribute to a more comprehensive and empirically grounded understanding of how organizations achieve consistent performance in complex, multi-transaction environments.</w:t>
      </w:r>
    </w:p>
    <w:p w14:paraId="4B5D75F9" w14:textId="77777777" w:rsidR="001E5B4A" w:rsidRPr="00B95E28" w:rsidRDefault="001E5B4A" w:rsidP="00D15BAF">
      <w:pPr>
        <w:rPr>
          <w:color w:val="000000" w:themeColor="text1"/>
        </w:rPr>
      </w:pPr>
    </w:p>
    <w:p w14:paraId="28589879" w14:textId="10A60012" w:rsidR="0033207C" w:rsidRPr="00B95E28" w:rsidRDefault="0033207C" w:rsidP="00557AB7">
      <w:pPr>
        <w:pStyle w:val="Heading2"/>
        <w:spacing w:before="0" w:after="0" w:line="480" w:lineRule="auto"/>
        <w:rPr>
          <w:color w:val="000000" w:themeColor="text1"/>
        </w:rPr>
      </w:pPr>
      <w:bookmarkStart w:id="239" w:name="_Toc232351943"/>
      <w:r w:rsidRPr="00B95E28">
        <w:rPr>
          <w:color w:val="000000" w:themeColor="text1"/>
        </w:rPr>
        <w:t>7.8 Final Reflection on the Study’s Contribution</w:t>
      </w:r>
      <w:bookmarkEnd w:id="239"/>
    </w:p>
    <w:p w14:paraId="69DE1DC4" w14:textId="77777777" w:rsidR="0033207C" w:rsidRPr="00B95E28" w:rsidRDefault="0033207C" w:rsidP="00557AB7">
      <w:pPr>
        <w:spacing w:line="480" w:lineRule="auto"/>
        <w:rPr>
          <w:color w:val="000000" w:themeColor="text1"/>
        </w:rPr>
      </w:pPr>
      <w:r w:rsidRPr="00B95E28">
        <w:rPr>
          <w:color w:val="000000" w:themeColor="text1"/>
        </w:rPr>
        <w:t>The broader contribution of this study is that it reframes integration capability as a continuity problem rather than a knowledge problem. The findings do not suggest that organizations are unaware of what good integration requires. Participants repeatedly described the importance of early planning, clear governance, leadership authority, communication, technology readiness, and lessons learned. The issue is that these practices are not always connected, sustained, or carried forward across acquisitions.</w:t>
      </w:r>
    </w:p>
    <w:p w14:paraId="15D56810" w14:textId="77777777" w:rsidR="001E5B4A" w:rsidRPr="00B95E28" w:rsidRDefault="001E5B4A" w:rsidP="00D15BAF">
      <w:pPr>
        <w:rPr>
          <w:color w:val="000000" w:themeColor="text1"/>
        </w:rPr>
      </w:pPr>
    </w:p>
    <w:p w14:paraId="0928D0CF" w14:textId="02B5DC69" w:rsidR="0033207C" w:rsidRPr="00B95E28" w:rsidRDefault="0033207C" w:rsidP="00557AB7">
      <w:pPr>
        <w:spacing w:line="480" w:lineRule="auto"/>
        <w:rPr>
          <w:color w:val="000000" w:themeColor="text1"/>
        </w:rPr>
      </w:pPr>
      <w:r w:rsidRPr="00B95E28">
        <w:rPr>
          <w:color w:val="000000" w:themeColor="text1"/>
        </w:rPr>
        <w:t>This distinction matters because it shifts the practical and theoretical conversation away from simply improving integration checklists and toward understanding the organizational conditions that allow integration knowledge to persist. In serial acquisition environments, the organization must not only execute the current integration; it must become more capable for the next one. This requires integration to be treated as an enduring organizational function rather than a temporary post-close project.</w:t>
      </w:r>
    </w:p>
    <w:p w14:paraId="2A679C6E" w14:textId="77777777" w:rsidR="001E5B4A" w:rsidRPr="00B95E28" w:rsidRDefault="001E5B4A" w:rsidP="00D15BAF">
      <w:pPr>
        <w:rPr>
          <w:color w:val="000000" w:themeColor="text1"/>
        </w:rPr>
      </w:pPr>
    </w:p>
    <w:p w14:paraId="7DDF3830" w14:textId="6E861F31" w:rsidR="0033207C" w:rsidRPr="00B95E28" w:rsidRDefault="0033207C" w:rsidP="00557AB7">
      <w:pPr>
        <w:spacing w:line="480" w:lineRule="auto"/>
        <w:rPr>
          <w:color w:val="000000" w:themeColor="text1"/>
        </w:rPr>
      </w:pPr>
      <w:r w:rsidRPr="00B95E28">
        <w:rPr>
          <w:color w:val="000000" w:themeColor="text1"/>
        </w:rPr>
        <w:t xml:space="preserve">By introducing the Integration Capability Loop and Integration Capability Engine, this study provides a way to explain both the temporal and structural dimensions of integration capability. </w:t>
      </w:r>
      <w:r w:rsidRPr="00B95E28">
        <w:rPr>
          <w:color w:val="000000" w:themeColor="text1"/>
        </w:rPr>
        <w:lastRenderedPageBreak/>
        <w:t>The Loop shows how capability develops across phases and transactions, while the Engine identifies the organizational conditions that enable the Loop to function. Together, these constructs explain why some organizations convert acquisition experience into repeatable performance while others continue to restart with each transaction.</w:t>
      </w:r>
    </w:p>
    <w:p w14:paraId="2B72F0BA" w14:textId="77777777" w:rsidR="001E5B4A" w:rsidRPr="00B95E28" w:rsidRDefault="001E5B4A" w:rsidP="00D15BAF">
      <w:pPr>
        <w:rPr>
          <w:color w:val="000000" w:themeColor="text1"/>
        </w:rPr>
      </w:pPr>
    </w:p>
    <w:p w14:paraId="777B82F8" w14:textId="02EBCF0E" w:rsidR="0033207C" w:rsidRPr="00B95E28" w:rsidRDefault="0033207C" w:rsidP="00557AB7">
      <w:pPr>
        <w:spacing w:line="480" w:lineRule="auto"/>
        <w:rPr>
          <w:color w:val="000000" w:themeColor="text1"/>
        </w:rPr>
      </w:pPr>
      <w:r w:rsidRPr="00B95E28">
        <w:rPr>
          <w:color w:val="000000" w:themeColor="text1"/>
        </w:rPr>
        <w:t>The study therefore contributes a practical and theoretical lens for understanding integration as a repeatable capability. Successful serial acquisition is not only a matter of finding the right targets or negotiating favourable terms. It also depends on the organization’s ability to absorb, coordinate, learn, and improve across successive integrations.</w:t>
      </w:r>
    </w:p>
    <w:p w14:paraId="43A936EA" w14:textId="77777777" w:rsidR="001E5B4A" w:rsidRPr="00B95E28" w:rsidRDefault="001E5B4A" w:rsidP="00D15BAF">
      <w:pPr>
        <w:rPr>
          <w:color w:val="000000" w:themeColor="text1"/>
        </w:rPr>
      </w:pPr>
    </w:p>
    <w:p w14:paraId="585C55E9" w14:textId="361E4E28" w:rsidR="0033207C" w:rsidRPr="00B95E28" w:rsidRDefault="0033207C" w:rsidP="00557AB7">
      <w:pPr>
        <w:pStyle w:val="Heading2"/>
        <w:spacing w:before="0" w:after="0" w:line="480" w:lineRule="auto"/>
        <w:rPr>
          <w:color w:val="000000" w:themeColor="text1"/>
        </w:rPr>
      </w:pPr>
      <w:bookmarkStart w:id="240" w:name="_Toc232351944"/>
      <w:r w:rsidRPr="00B95E28">
        <w:rPr>
          <w:color w:val="000000" w:themeColor="text1"/>
        </w:rPr>
        <w:t>7.9 Final Conclusion</w:t>
      </w:r>
      <w:bookmarkEnd w:id="240"/>
    </w:p>
    <w:p w14:paraId="6958A22F" w14:textId="77777777" w:rsidR="0033207C" w:rsidRPr="00B95E28" w:rsidRDefault="0033207C" w:rsidP="00557AB7">
      <w:pPr>
        <w:spacing w:line="480" w:lineRule="auto"/>
        <w:rPr>
          <w:color w:val="000000" w:themeColor="text1"/>
        </w:rPr>
      </w:pPr>
      <w:r w:rsidRPr="00B95E28">
        <w:rPr>
          <w:color w:val="000000" w:themeColor="text1"/>
        </w:rPr>
        <w:t>This study set out to examine why organizations engaged in repeated acquisition activity often fail to achieve consistent integration outcomes, despite access to established frameworks, experienced practitioners, and accumulated knowledge. The findings demonstrate that this inconsistency cannot be fully explained by differences in individual transactions or execution practices alone. Instead, it reflects a more fundamental issue related to how integration is understood and managed within organizations.</w:t>
      </w:r>
    </w:p>
    <w:p w14:paraId="10F3F6F8" w14:textId="77777777" w:rsidR="001E5B4A" w:rsidRPr="00B95E28" w:rsidRDefault="001E5B4A" w:rsidP="00D15BAF">
      <w:pPr>
        <w:rPr>
          <w:color w:val="000000" w:themeColor="text1"/>
        </w:rPr>
      </w:pPr>
    </w:p>
    <w:p w14:paraId="0852DD6A" w14:textId="19C7617F" w:rsidR="0033207C" w:rsidRPr="00B95E28" w:rsidRDefault="0033207C" w:rsidP="00557AB7">
      <w:pPr>
        <w:spacing w:line="480" w:lineRule="auto"/>
        <w:rPr>
          <w:color w:val="000000" w:themeColor="text1"/>
        </w:rPr>
      </w:pPr>
      <w:r w:rsidRPr="00B95E28">
        <w:rPr>
          <w:color w:val="000000" w:themeColor="text1"/>
        </w:rPr>
        <w:t>A central conclusion of this research is that integration should not be viewed as a discrete process executed within the boundaries of a single deal. Rather, it should be understood as an organizational capability that develops, or fails to develop, across transactions. This shift in perspective reframes integration from a set of activities to a system of conditions that must be sustained over time in order to achieve repeatable performance.</w:t>
      </w:r>
    </w:p>
    <w:p w14:paraId="23174C90" w14:textId="77777777" w:rsidR="001E5B4A" w:rsidRPr="00B95E28" w:rsidRDefault="001E5B4A" w:rsidP="00D15BAF">
      <w:pPr>
        <w:rPr>
          <w:color w:val="000000" w:themeColor="text1"/>
        </w:rPr>
      </w:pPr>
    </w:p>
    <w:p w14:paraId="6E04D40B" w14:textId="0C3D3497" w:rsidR="0033207C" w:rsidRPr="00B95E28" w:rsidRDefault="0033207C" w:rsidP="00557AB7">
      <w:pPr>
        <w:spacing w:line="480" w:lineRule="auto"/>
        <w:rPr>
          <w:color w:val="000000" w:themeColor="text1"/>
        </w:rPr>
      </w:pPr>
      <w:r w:rsidRPr="00B95E28">
        <w:rPr>
          <w:color w:val="000000" w:themeColor="text1"/>
        </w:rPr>
        <w:lastRenderedPageBreak/>
        <w:t>Through the analysis of practitioner experiences, the study identified a consistent set of mechanisms that shape integration outcomes. Governance continuity, early-stage planning, coordinated execution, and the effective capture and application of learning emerged as interdependent elements of an integrated system. The findings further indicate that these elements do not operate in isolation. Instead, their interaction determines whether organizations are able to translate experience into improved performance across transactions.</w:t>
      </w:r>
    </w:p>
    <w:p w14:paraId="41CB7E8A" w14:textId="77777777" w:rsidR="001E5B4A" w:rsidRPr="00B95E28" w:rsidRDefault="001E5B4A" w:rsidP="00D15BAF">
      <w:pPr>
        <w:rPr>
          <w:color w:val="000000" w:themeColor="text1"/>
        </w:rPr>
      </w:pPr>
    </w:p>
    <w:p w14:paraId="4A478E1A" w14:textId="79EADA74" w:rsidR="0033207C" w:rsidRPr="00B95E28" w:rsidRDefault="0033207C" w:rsidP="00557AB7">
      <w:pPr>
        <w:spacing w:line="480" w:lineRule="auto"/>
        <w:rPr>
          <w:color w:val="000000" w:themeColor="text1"/>
        </w:rPr>
      </w:pPr>
      <w:r w:rsidRPr="00B95E28">
        <w:rPr>
          <w:color w:val="000000" w:themeColor="text1"/>
        </w:rPr>
        <w:t>The Integration Capability Loop and Integration Capability Engine were developed to provide a structured representation of these dynamics. Together, they offer a framework for understanding how integration capability evolves over time and the conditions required to sustain it. Importantly, the study highlights that capability does not accumulate automatically through repeated acquisition activity. Without continuity in governance, alignment across lifecycle phases, and deliberate mechanisms for institutional learning, organizations are more likely to experience the compounding of constraints rather than the development of capability.</w:t>
      </w:r>
    </w:p>
    <w:p w14:paraId="6972A46F" w14:textId="77777777" w:rsidR="001E5B4A" w:rsidRPr="00B95E28" w:rsidRDefault="001E5B4A" w:rsidP="00D15BAF">
      <w:pPr>
        <w:rPr>
          <w:color w:val="000000" w:themeColor="text1"/>
        </w:rPr>
      </w:pPr>
    </w:p>
    <w:p w14:paraId="362348B3" w14:textId="3A339F4A" w:rsidR="0033207C" w:rsidRPr="00B95E28" w:rsidRDefault="0033207C" w:rsidP="00557AB7">
      <w:pPr>
        <w:spacing w:line="480" w:lineRule="auto"/>
        <w:rPr>
          <w:color w:val="000000" w:themeColor="text1"/>
        </w:rPr>
      </w:pPr>
      <w:r w:rsidRPr="00B95E28">
        <w:rPr>
          <w:color w:val="000000" w:themeColor="text1"/>
        </w:rPr>
        <w:t>The implications of this research extend beyond the context of individual integrations. For organizations pursuing acquisition-driven growth, the findings underscore the importance of investing in the structures, processes, and leadership required to support integration as an ongoing capability. This includes embedding integration considerations into the acquisition process, establishing clear governance and accountability, and developing mechanisms to capture and apply learning across transactions.</w:t>
      </w:r>
    </w:p>
    <w:p w14:paraId="0930FB57" w14:textId="77777777" w:rsidR="001E5B4A" w:rsidRPr="00B95E28" w:rsidRDefault="001E5B4A" w:rsidP="00D15BAF">
      <w:pPr>
        <w:rPr>
          <w:color w:val="000000" w:themeColor="text1"/>
        </w:rPr>
      </w:pPr>
    </w:p>
    <w:p w14:paraId="02A8B8EC" w14:textId="09BBEAF2" w:rsidR="0033207C" w:rsidRPr="00B95E28" w:rsidRDefault="0033207C" w:rsidP="00557AB7">
      <w:pPr>
        <w:spacing w:line="480" w:lineRule="auto"/>
        <w:rPr>
          <w:color w:val="000000" w:themeColor="text1"/>
        </w:rPr>
      </w:pPr>
      <w:r w:rsidRPr="00B95E28">
        <w:rPr>
          <w:color w:val="000000" w:themeColor="text1"/>
        </w:rPr>
        <w:t xml:space="preserve">While the study acknowledges the limitations inherent in qualitative research, it provides a robust and coherent framework grounded in consistent practitioner insights. It also establishes a </w:t>
      </w:r>
      <w:r w:rsidRPr="00B95E28">
        <w:rPr>
          <w:color w:val="000000" w:themeColor="text1"/>
        </w:rPr>
        <w:lastRenderedPageBreak/>
        <w:t>foundation for further research aimed at validating and extending the concept of integration capability across different contexts and methodologies.</w:t>
      </w:r>
    </w:p>
    <w:p w14:paraId="5EFE574E" w14:textId="77777777" w:rsidR="001E5B4A" w:rsidRPr="00B95E28" w:rsidRDefault="001E5B4A" w:rsidP="00557AB7">
      <w:pPr>
        <w:spacing w:line="480" w:lineRule="auto"/>
        <w:rPr>
          <w:color w:val="000000" w:themeColor="text1"/>
        </w:rPr>
      </w:pPr>
    </w:p>
    <w:p w14:paraId="1DCAEA90" w14:textId="230DAEF9" w:rsidR="0033207C" w:rsidRPr="00B95E28" w:rsidRDefault="0033207C" w:rsidP="00557AB7">
      <w:pPr>
        <w:spacing w:line="480" w:lineRule="auto"/>
        <w:rPr>
          <w:color w:val="000000" w:themeColor="text1"/>
        </w:rPr>
      </w:pPr>
      <w:r w:rsidRPr="00B95E28">
        <w:rPr>
          <w:color w:val="000000" w:themeColor="text1"/>
        </w:rPr>
        <w:t>In conclusion, this research contributes to a more comprehensive understanding of post-merger integration by shifting the focus from process execution to capability development. It demonstrates that consistent integration outcomes are not achieved through the repetition of activities alone, but through the sustained alignment of organizational conditions over time. In doing so, it provides both a theoretical and practical basis for understanding how organizations can move from variable performance to repeatable success in acquisition-driven environments.</w:t>
      </w:r>
    </w:p>
    <w:p w14:paraId="649ECA58" w14:textId="77777777" w:rsidR="001E5B4A" w:rsidRPr="00B95E28" w:rsidRDefault="001E5B4A" w:rsidP="00D15BAF">
      <w:pPr>
        <w:rPr>
          <w:color w:val="000000" w:themeColor="text1"/>
        </w:rPr>
      </w:pPr>
    </w:p>
    <w:p w14:paraId="0C954BF8" w14:textId="5739EF51" w:rsidR="0033207C" w:rsidRPr="00B95E28" w:rsidRDefault="0033207C" w:rsidP="00557AB7">
      <w:pPr>
        <w:spacing w:line="480" w:lineRule="auto"/>
        <w:rPr>
          <w:color w:val="000000" w:themeColor="text1"/>
        </w:rPr>
      </w:pPr>
      <w:r w:rsidRPr="00B95E28">
        <w:rPr>
          <w:color w:val="000000" w:themeColor="text1"/>
        </w:rPr>
        <w:t>Ultimately, this study shows that repeatable integration capability is not built by completing more acquisitions alone. It is built when organizations deliberately convert transaction experience into governance discipline, planning routines, execution capacity, and institutional learning. Integration capability determines whether acquisition experience translates into sustained performance.</w:t>
      </w:r>
    </w:p>
    <w:p w14:paraId="078023D8" w14:textId="67013E0B" w:rsidR="005917D3" w:rsidRPr="00B95E28" w:rsidRDefault="005917D3" w:rsidP="005917D3">
      <w:pPr>
        <w:pStyle w:val="Heading1"/>
        <w:rPr>
          <w:color w:val="000000" w:themeColor="text1"/>
        </w:rPr>
      </w:pPr>
      <w:bookmarkStart w:id="241" w:name="_Toc232351945"/>
      <w:r>
        <w:rPr>
          <w:color w:val="000000" w:themeColor="text1"/>
        </w:rPr>
        <w:t>BIBL</w:t>
      </w:r>
      <w:r w:rsidR="004A49B8">
        <w:rPr>
          <w:color w:val="000000" w:themeColor="text1"/>
        </w:rPr>
        <w:t>I</w:t>
      </w:r>
      <w:r>
        <w:rPr>
          <w:color w:val="000000" w:themeColor="text1"/>
        </w:rPr>
        <w:t>OGRAPHY</w:t>
      </w:r>
      <w:bookmarkEnd w:id="241"/>
    </w:p>
    <w:tbl>
      <w:tblPr>
        <w:tblStyle w:val="TableGrid"/>
        <w:tblW w:w="0" w:type="auto"/>
        <w:jc w:val="center"/>
        <w:tblLook w:val="04A0" w:firstRow="1" w:lastRow="0" w:firstColumn="1" w:lastColumn="0" w:noHBand="0" w:noVBand="1"/>
      </w:tblPr>
      <w:tblGrid>
        <w:gridCol w:w="745"/>
        <w:gridCol w:w="1793"/>
        <w:gridCol w:w="6812"/>
      </w:tblGrid>
      <w:tr w:rsidR="005917D3" w:rsidRPr="00B95E28" w14:paraId="019E988E" w14:textId="77777777" w:rsidTr="00594503">
        <w:trPr>
          <w:cantSplit/>
          <w:tblHeader/>
          <w:jc w:val="center"/>
        </w:trPr>
        <w:tc>
          <w:tcPr>
            <w:tcW w:w="900" w:type="dxa"/>
            <w:shd w:val="clear" w:color="auto" w:fill="B8CCE4" w:themeFill="accent1" w:themeFillTint="66"/>
            <w:vAlign w:val="center"/>
          </w:tcPr>
          <w:p w14:paraId="4D4182DB"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b/>
                <w:color w:val="000000" w:themeColor="text1"/>
                <w:sz w:val="24"/>
                <w:szCs w:val="24"/>
              </w:rPr>
              <w:t>Ref.</w:t>
            </w:r>
          </w:p>
        </w:tc>
        <w:tc>
          <w:tcPr>
            <w:tcW w:w="2400" w:type="dxa"/>
            <w:shd w:val="clear" w:color="auto" w:fill="B8CCE4" w:themeFill="accent1" w:themeFillTint="66"/>
            <w:vAlign w:val="center"/>
          </w:tcPr>
          <w:p w14:paraId="6545E240"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b/>
                <w:color w:val="000000" w:themeColor="text1"/>
                <w:sz w:val="24"/>
                <w:szCs w:val="24"/>
              </w:rPr>
              <w:t>First in-text citation</w:t>
            </w:r>
          </w:p>
        </w:tc>
        <w:tc>
          <w:tcPr>
            <w:tcW w:w="10800" w:type="dxa"/>
            <w:shd w:val="clear" w:color="auto" w:fill="B8CCE4" w:themeFill="accent1" w:themeFillTint="66"/>
            <w:vAlign w:val="center"/>
          </w:tcPr>
          <w:p w14:paraId="45059129"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b/>
                <w:color w:val="000000" w:themeColor="text1"/>
                <w:sz w:val="24"/>
                <w:szCs w:val="24"/>
              </w:rPr>
              <w:t>Harvard-style reference</w:t>
            </w:r>
          </w:p>
        </w:tc>
      </w:tr>
      <w:tr w:rsidR="005917D3" w:rsidRPr="00B95E28" w14:paraId="205794EF" w14:textId="77777777" w:rsidTr="00594503">
        <w:trPr>
          <w:cantSplit/>
          <w:jc w:val="center"/>
        </w:trPr>
        <w:tc>
          <w:tcPr>
            <w:tcW w:w="900" w:type="dxa"/>
          </w:tcPr>
          <w:p w14:paraId="3C4F3E14"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w:t>
            </w:r>
          </w:p>
        </w:tc>
        <w:tc>
          <w:tcPr>
            <w:tcW w:w="2400" w:type="dxa"/>
          </w:tcPr>
          <w:p w14:paraId="470D4B79"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Cartwright &amp; Schoenberg (2006)</w:t>
            </w:r>
          </w:p>
        </w:tc>
        <w:tc>
          <w:tcPr>
            <w:tcW w:w="10800" w:type="dxa"/>
          </w:tcPr>
          <w:p w14:paraId="64154DD3"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Cartwright, S. and Schoenberg, R. (2006) 'Thirty years of mergers and acquisitions research: Recent advances and future opportunities', British Journal of Management, 17(S1), pp. S1-S5. doi: 10.1111/j.1467-8551.2006.00475.x.</w:t>
            </w:r>
          </w:p>
        </w:tc>
      </w:tr>
      <w:tr w:rsidR="005917D3" w:rsidRPr="00B95E28" w14:paraId="344F961A" w14:textId="77777777" w:rsidTr="00594503">
        <w:trPr>
          <w:cantSplit/>
          <w:jc w:val="center"/>
        </w:trPr>
        <w:tc>
          <w:tcPr>
            <w:tcW w:w="900" w:type="dxa"/>
          </w:tcPr>
          <w:p w14:paraId="5AF96346"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2</w:t>
            </w:r>
          </w:p>
        </w:tc>
        <w:tc>
          <w:tcPr>
            <w:tcW w:w="2400" w:type="dxa"/>
          </w:tcPr>
          <w:p w14:paraId="2C625517"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Christensen et al. (2011)</w:t>
            </w:r>
          </w:p>
        </w:tc>
        <w:tc>
          <w:tcPr>
            <w:tcW w:w="10800" w:type="dxa"/>
          </w:tcPr>
          <w:p w14:paraId="536712F8"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Christensen, C.M., Alton, R., Rising, C. and Waldeck, A. (2011) 'The big idea: The new M&amp;A playbook', Harvard Business Review, 89(3), pp. 48-57.</w:t>
            </w:r>
          </w:p>
        </w:tc>
      </w:tr>
      <w:tr w:rsidR="005917D3" w:rsidRPr="00B95E28" w14:paraId="4743CAC8" w14:textId="77777777" w:rsidTr="00594503">
        <w:trPr>
          <w:cantSplit/>
          <w:jc w:val="center"/>
        </w:trPr>
        <w:tc>
          <w:tcPr>
            <w:tcW w:w="900" w:type="dxa"/>
          </w:tcPr>
          <w:p w14:paraId="6C3E2D66"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3</w:t>
            </w:r>
          </w:p>
        </w:tc>
        <w:tc>
          <w:tcPr>
            <w:tcW w:w="2400" w:type="dxa"/>
          </w:tcPr>
          <w:p w14:paraId="2860869C"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Teece (2007)</w:t>
            </w:r>
          </w:p>
        </w:tc>
        <w:tc>
          <w:tcPr>
            <w:tcW w:w="10800" w:type="dxa"/>
          </w:tcPr>
          <w:p w14:paraId="1A18DF86"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Teece, D.J. (2007) 'Explicating dynamic capabilities: The nature and microfoundations of (sustainable) enterprise performance', Strategic Management Journal, 28(13), pp. 1319-1350. doi: 10.1002/smj.640.</w:t>
            </w:r>
          </w:p>
        </w:tc>
      </w:tr>
      <w:tr w:rsidR="005917D3" w:rsidRPr="00B95E28" w14:paraId="2D460D83" w14:textId="77777777" w:rsidTr="00594503">
        <w:trPr>
          <w:cantSplit/>
          <w:jc w:val="center"/>
        </w:trPr>
        <w:tc>
          <w:tcPr>
            <w:tcW w:w="900" w:type="dxa"/>
          </w:tcPr>
          <w:p w14:paraId="0EC72FDA"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4</w:t>
            </w:r>
          </w:p>
        </w:tc>
        <w:tc>
          <w:tcPr>
            <w:tcW w:w="2400" w:type="dxa"/>
          </w:tcPr>
          <w:p w14:paraId="0A8385D5"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Zollo &amp; Winter (2002)</w:t>
            </w:r>
          </w:p>
        </w:tc>
        <w:tc>
          <w:tcPr>
            <w:tcW w:w="10800" w:type="dxa"/>
          </w:tcPr>
          <w:p w14:paraId="72B1E25D"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Zollo, M. and Winter, S.G. (2002) 'Deliberate learning and the evolution of dynamic capabilities', Organization Science, 13(3), pp. 339-351. doi: 10.1287/orsc.13.3.339.2780.</w:t>
            </w:r>
          </w:p>
        </w:tc>
      </w:tr>
      <w:tr w:rsidR="005917D3" w:rsidRPr="00B95E28" w14:paraId="78CD2BBC" w14:textId="77777777" w:rsidTr="00594503">
        <w:trPr>
          <w:cantSplit/>
          <w:jc w:val="center"/>
        </w:trPr>
        <w:tc>
          <w:tcPr>
            <w:tcW w:w="900" w:type="dxa"/>
          </w:tcPr>
          <w:p w14:paraId="73811AA7"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lastRenderedPageBreak/>
              <w:t>5</w:t>
            </w:r>
          </w:p>
        </w:tc>
        <w:tc>
          <w:tcPr>
            <w:tcW w:w="2400" w:type="dxa"/>
          </w:tcPr>
          <w:p w14:paraId="3AE85E1F"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de Baat (2026)</w:t>
            </w:r>
          </w:p>
        </w:tc>
        <w:tc>
          <w:tcPr>
            <w:tcW w:w="10800" w:type="dxa"/>
          </w:tcPr>
          <w:p w14:paraId="7F6FA300"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de Baat, M. (2026) Interview by Amanda David, March 2026. Unpublished doctoral research interview.</w:t>
            </w:r>
          </w:p>
        </w:tc>
      </w:tr>
      <w:tr w:rsidR="005917D3" w:rsidRPr="00B95E28" w14:paraId="30557EF0" w14:textId="77777777" w:rsidTr="00594503">
        <w:trPr>
          <w:cantSplit/>
          <w:jc w:val="center"/>
        </w:trPr>
        <w:tc>
          <w:tcPr>
            <w:tcW w:w="900" w:type="dxa"/>
          </w:tcPr>
          <w:p w14:paraId="7213CB7F"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6</w:t>
            </w:r>
          </w:p>
        </w:tc>
        <w:tc>
          <w:tcPr>
            <w:tcW w:w="2400" w:type="dxa"/>
          </w:tcPr>
          <w:p w14:paraId="7C72BF3E"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Zollo &amp; Singh (2004)</w:t>
            </w:r>
          </w:p>
        </w:tc>
        <w:tc>
          <w:tcPr>
            <w:tcW w:w="10800" w:type="dxa"/>
          </w:tcPr>
          <w:p w14:paraId="591FB451"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Zollo, M. and Singh, H. (2004) 'Deliberate learning in corporate acquisitions: Post-acquisition strategies and integration capability in U.S. bank mergers', Strategic Management Journal, 25(13), pp. 1233-1256. doi: 10.1002/smj.426.</w:t>
            </w:r>
          </w:p>
        </w:tc>
      </w:tr>
      <w:tr w:rsidR="005917D3" w:rsidRPr="00B95E28" w14:paraId="5B783956" w14:textId="77777777" w:rsidTr="00594503">
        <w:trPr>
          <w:cantSplit/>
          <w:jc w:val="center"/>
        </w:trPr>
        <w:tc>
          <w:tcPr>
            <w:tcW w:w="900" w:type="dxa"/>
          </w:tcPr>
          <w:p w14:paraId="5AF38C29"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7</w:t>
            </w:r>
          </w:p>
        </w:tc>
        <w:tc>
          <w:tcPr>
            <w:tcW w:w="2400" w:type="dxa"/>
          </w:tcPr>
          <w:p w14:paraId="4C54EBF7"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Gaughan (2018)</w:t>
            </w:r>
          </w:p>
        </w:tc>
        <w:tc>
          <w:tcPr>
            <w:tcW w:w="10800" w:type="dxa"/>
          </w:tcPr>
          <w:p w14:paraId="70ED5239"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Gaughan, P.A. (2018) Mergers, acquisitions, and corporate restructurings. 7th edn. Hoboken, NJ: Wiley.</w:t>
            </w:r>
          </w:p>
        </w:tc>
      </w:tr>
      <w:tr w:rsidR="005917D3" w:rsidRPr="00B95E28" w14:paraId="1D721856" w14:textId="77777777" w:rsidTr="00594503">
        <w:trPr>
          <w:cantSplit/>
          <w:jc w:val="center"/>
        </w:trPr>
        <w:tc>
          <w:tcPr>
            <w:tcW w:w="900" w:type="dxa"/>
          </w:tcPr>
          <w:p w14:paraId="2E3C6FFC"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8</w:t>
            </w:r>
          </w:p>
        </w:tc>
        <w:tc>
          <w:tcPr>
            <w:tcW w:w="2400" w:type="dxa"/>
          </w:tcPr>
          <w:p w14:paraId="5FA0E4EC"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King et al. (2004)</w:t>
            </w:r>
          </w:p>
        </w:tc>
        <w:tc>
          <w:tcPr>
            <w:tcW w:w="10800" w:type="dxa"/>
          </w:tcPr>
          <w:p w14:paraId="3A7B0B6D"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King, D.R., Dalton, D.R., Daily, C.M. and Covin, J.G. (2004) 'Meta-analyses of post-acquisition performance: Indications of unidentified moderators', Strategic Management Journal, 25(2), pp. 187-200. doi: 10.1002/smj.371.</w:t>
            </w:r>
          </w:p>
        </w:tc>
      </w:tr>
      <w:tr w:rsidR="005917D3" w:rsidRPr="00B95E28" w14:paraId="7DE31A48" w14:textId="77777777" w:rsidTr="00594503">
        <w:trPr>
          <w:cantSplit/>
          <w:jc w:val="center"/>
        </w:trPr>
        <w:tc>
          <w:tcPr>
            <w:tcW w:w="900" w:type="dxa"/>
          </w:tcPr>
          <w:p w14:paraId="3D1C5683"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9</w:t>
            </w:r>
          </w:p>
        </w:tc>
        <w:tc>
          <w:tcPr>
            <w:tcW w:w="2400" w:type="dxa"/>
          </w:tcPr>
          <w:p w14:paraId="032FAD12"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Haspeslagh &amp; Jemison (1991)</w:t>
            </w:r>
          </w:p>
        </w:tc>
        <w:tc>
          <w:tcPr>
            <w:tcW w:w="10800" w:type="dxa"/>
          </w:tcPr>
          <w:p w14:paraId="570F37F8"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Haspeslagh, P.C. and Jemison, D.B. (1991) Managing acquisitions: Creating value through corporate renewal. New York: Free Press.</w:t>
            </w:r>
          </w:p>
        </w:tc>
      </w:tr>
      <w:tr w:rsidR="005917D3" w:rsidRPr="00B95E28" w14:paraId="3CFCAC89" w14:textId="77777777" w:rsidTr="00594503">
        <w:trPr>
          <w:cantSplit/>
          <w:jc w:val="center"/>
        </w:trPr>
        <w:tc>
          <w:tcPr>
            <w:tcW w:w="900" w:type="dxa"/>
          </w:tcPr>
          <w:p w14:paraId="0C74304C"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10</w:t>
            </w:r>
          </w:p>
        </w:tc>
        <w:tc>
          <w:tcPr>
            <w:tcW w:w="2400" w:type="dxa"/>
          </w:tcPr>
          <w:p w14:paraId="606D9C10"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Kim &amp; Olsen (1999)</w:t>
            </w:r>
          </w:p>
        </w:tc>
        <w:tc>
          <w:tcPr>
            <w:tcW w:w="10800" w:type="dxa"/>
          </w:tcPr>
          <w:p w14:paraId="68090473"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Kim, K.-H. and Olsen, M.D. (1999) 'Managing the corporate acquisition process for success', Journal of Hospitality Financial Management, 7(1), Article 3.</w:t>
            </w:r>
          </w:p>
        </w:tc>
      </w:tr>
      <w:tr w:rsidR="005917D3" w:rsidRPr="00B95E28" w14:paraId="696744A4" w14:textId="77777777" w:rsidTr="00594503">
        <w:trPr>
          <w:cantSplit/>
          <w:jc w:val="center"/>
        </w:trPr>
        <w:tc>
          <w:tcPr>
            <w:tcW w:w="900" w:type="dxa"/>
          </w:tcPr>
          <w:p w14:paraId="4473C7CE"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11</w:t>
            </w:r>
          </w:p>
        </w:tc>
        <w:tc>
          <w:tcPr>
            <w:tcW w:w="2400" w:type="dxa"/>
          </w:tcPr>
          <w:p w14:paraId="28C500FB"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Laamanen &amp; Keil (2008)</w:t>
            </w:r>
          </w:p>
        </w:tc>
        <w:tc>
          <w:tcPr>
            <w:tcW w:w="10800" w:type="dxa"/>
          </w:tcPr>
          <w:p w14:paraId="28C35A2D"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Laamanen, T. and Keil, T. (2008) 'Performance of serial acquirers: Toward an acquisition program perspective', Strategic Management Journal, 29(6), pp. 663-672. doi: 10.1002/smj.670.</w:t>
            </w:r>
          </w:p>
        </w:tc>
      </w:tr>
      <w:tr w:rsidR="005917D3" w:rsidRPr="00B95E28" w14:paraId="3002EE95" w14:textId="77777777" w:rsidTr="00594503">
        <w:trPr>
          <w:cantSplit/>
          <w:jc w:val="center"/>
        </w:trPr>
        <w:tc>
          <w:tcPr>
            <w:tcW w:w="900" w:type="dxa"/>
          </w:tcPr>
          <w:p w14:paraId="39C12EAE"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12</w:t>
            </w:r>
          </w:p>
        </w:tc>
        <w:tc>
          <w:tcPr>
            <w:tcW w:w="2400" w:type="dxa"/>
          </w:tcPr>
          <w:p w14:paraId="4328A0A7"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Eisenhardt &amp; Martin (2000)</w:t>
            </w:r>
          </w:p>
        </w:tc>
        <w:tc>
          <w:tcPr>
            <w:tcW w:w="10800" w:type="dxa"/>
          </w:tcPr>
          <w:p w14:paraId="08A7FF89"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Eisenhardt, K.M. and Martin, J.A. (2000) 'Dynamic capabilities: What are they?', Strategic Management Journal, 21(10-11), pp. 1105-1121. doi: 10.1002/1097-0266(200010/11)21:10/11&lt;1105::AID-SMJ133&gt;3.0.CO;2-E.</w:t>
            </w:r>
          </w:p>
        </w:tc>
      </w:tr>
      <w:tr w:rsidR="005917D3" w:rsidRPr="00B95E28" w14:paraId="6E715F71" w14:textId="77777777" w:rsidTr="00594503">
        <w:trPr>
          <w:cantSplit/>
          <w:jc w:val="center"/>
        </w:trPr>
        <w:tc>
          <w:tcPr>
            <w:tcW w:w="900" w:type="dxa"/>
          </w:tcPr>
          <w:p w14:paraId="7B878C5D"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13</w:t>
            </w:r>
          </w:p>
        </w:tc>
        <w:tc>
          <w:tcPr>
            <w:tcW w:w="2400" w:type="dxa"/>
          </w:tcPr>
          <w:p w14:paraId="1A20BB82"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Sirower (1997)</w:t>
            </w:r>
          </w:p>
        </w:tc>
        <w:tc>
          <w:tcPr>
            <w:tcW w:w="10800" w:type="dxa"/>
          </w:tcPr>
          <w:p w14:paraId="74C6171B"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Sirower, M.L. (1997) The synergy trap: How companies lose the acquisition game. New York: Free Press.</w:t>
            </w:r>
          </w:p>
        </w:tc>
      </w:tr>
      <w:tr w:rsidR="005917D3" w:rsidRPr="00B95E28" w14:paraId="6CA5AF2C" w14:textId="77777777" w:rsidTr="00594503">
        <w:trPr>
          <w:cantSplit/>
          <w:jc w:val="center"/>
        </w:trPr>
        <w:tc>
          <w:tcPr>
            <w:tcW w:w="900" w:type="dxa"/>
          </w:tcPr>
          <w:p w14:paraId="0E675CFA"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14</w:t>
            </w:r>
          </w:p>
        </w:tc>
        <w:tc>
          <w:tcPr>
            <w:tcW w:w="2400" w:type="dxa"/>
          </w:tcPr>
          <w:p w14:paraId="2E669E17"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Jemison &amp; Sitkin (1986)</w:t>
            </w:r>
          </w:p>
        </w:tc>
        <w:tc>
          <w:tcPr>
            <w:tcW w:w="10800" w:type="dxa"/>
          </w:tcPr>
          <w:p w14:paraId="31CBA5D5"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Jemison, D.B. and Sitkin, S.B. (1986) 'Corporate acquisitions: A process perspective', Academy of Management Review, 11(1), pp. 145-163. doi: 10.5465/amr.1986.4282648.</w:t>
            </w:r>
          </w:p>
        </w:tc>
      </w:tr>
      <w:tr w:rsidR="005917D3" w:rsidRPr="00B95E28" w14:paraId="33DF85BB" w14:textId="77777777" w:rsidTr="00594503">
        <w:trPr>
          <w:cantSplit/>
          <w:jc w:val="center"/>
        </w:trPr>
        <w:tc>
          <w:tcPr>
            <w:tcW w:w="900" w:type="dxa"/>
          </w:tcPr>
          <w:p w14:paraId="2B3E202C"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15</w:t>
            </w:r>
          </w:p>
        </w:tc>
        <w:tc>
          <w:tcPr>
            <w:tcW w:w="2400" w:type="dxa"/>
          </w:tcPr>
          <w:p w14:paraId="09651520"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Galpin &amp; Herndon (2014)</w:t>
            </w:r>
          </w:p>
        </w:tc>
        <w:tc>
          <w:tcPr>
            <w:tcW w:w="10800" w:type="dxa"/>
          </w:tcPr>
          <w:p w14:paraId="05E817A3"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Galpin, T.J. and Herndon, M. (2014) The complete guide to mergers and acquisitions: Process tools to support M&amp;A integration at every level. 3rd edn. San Francisco, CA: Jossey-Bass.</w:t>
            </w:r>
          </w:p>
        </w:tc>
      </w:tr>
      <w:tr w:rsidR="005917D3" w:rsidRPr="00B95E28" w14:paraId="435D3CA6" w14:textId="77777777" w:rsidTr="00594503">
        <w:trPr>
          <w:cantSplit/>
          <w:jc w:val="center"/>
        </w:trPr>
        <w:tc>
          <w:tcPr>
            <w:tcW w:w="900" w:type="dxa"/>
          </w:tcPr>
          <w:p w14:paraId="211A35A5"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16</w:t>
            </w:r>
          </w:p>
        </w:tc>
        <w:tc>
          <w:tcPr>
            <w:tcW w:w="2400" w:type="dxa"/>
          </w:tcPr>
          <w:p w14:paraId="0588C533"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Lajoux (2006)</w:t>
            </w:r>
          </w:p>
        </w:tc>
        <w:tc>
          <w:tcPr>
            <w:tcW w:w="10800" w:type="dxa"/>
          </w:tcPr>
          <w:p w14:paraId="6B01E93A"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Lajoux, A.R. (2006) The art of M&amp;A integration: A guide to merging resources, processes, and responsibilities. 2nd edn. New York: McGraw-Hill.</w:t>
            </w:r>
          </w:p>
        </w:tc>
      </w:tr>
      <w:tr w:rsidR="005917D3" w:rsidRPr="00B95E28" w14:paraId="516A7FDA" w14:textId="77777777" w:rsidTr="00594503">
        <w:trPr>
          <w:cantSplit/>
          <w:jc w:val="center"/>
        </w:trPr>
        <w:tc>
          <w:tcPr>
            <w:tcW w:w="900" w:type="dxa"/>
          </w:tcPr>
          <w:p w14:paraId="6AEC7967"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17</w:t>
            </w:r>
          </w:p>
        </w:tc>
        <w:tc>
          <w:tcPr>
            <w:tcW w:w="2400" w:type="dxa"/>
          </w:tcPr>
          <w:p w14:paraId="0CFA611A"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Teece, Pisano &amp; Shuen (1997)</w:t>
            </w:r>
          </w:p>
        </w:tc>
        <w:tc>
          <w:tcPr>
            <w:tcW w:w="10800" w:type="dxa"/>
          </w:tcPr>
          <w:p w14:paraId="7C6BDF82"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Teece, D.J., Pisano, G. and Shuen, A. (1997) 'Dynamic capabilities and strategic management', Strategic Management Journal, 18(7), pp. 509-533. doi: 10.1002/(SICI)1097-0266(199708)18:7&lt;509::AID-SMJ882&gt;3.0.CO;2-Z.</w:t>
            </w:r>
          </w:p>
        </w:tc>
      </w:tr>
      <w:tr w:rsidR="005917D3" w:rsidRPr="00B95E28" w14:paraId="4A7224A9" w14:textId="77777777" w:rsidTr="00594503">
        <w:trPr>
          <w:cantSplit/>
          <w:jc w:val="center"/>
        </w:trPr>
        <w:tc>
          <w:tcPr>
            <w:tcW w:w="900" w:type="dxa"/>
          </w:tcPr>
          <w:p w14:paraId="7DB7B152"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18</w:t>
            </w:r>
          </w:p>
        </w:tc>
        <w:tc>
          <w:tcPr>
            <w:tcW w:w="2400" w:type="dxa"/>
          </w:tcPr>
          <w:p w14:paraId="0B1AA2E9"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Saunders et al. (2019)</w:t>
            </w:r>
          </w:p>
        </w:tc>
        <w:tc>
          <w:tcPr>
            <w:tcW w:w="10800" w:type="dxa"/>
          </w:tcPr>
          <w:p w14:paraId="17E86B89"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Saunders, M.N.K., Lewis, P. and Thornhill, A. (2019) Research methods for business students. 8th edn. Harlow: Pearson.</w:t>
            </w:r>
          </w:p>
        </w:tc>
      </w:tr>
      <w:tr w:rsidR="005917D3" w:rsidRPr="00B95E28" w14:paraId="38C0056C" w14:textId="77777777" w:rsidTr="00594503">
        <w:trPr>
          <w:cantSplit/>
          <w:jc w:val="center"/>
        </w:trPr>
        <w:tc>
          <w:tcPr>
            <w:tcW w:w="900" w:type="dxa"/>
          </w:tcPr>
          <w:p w14:paraId="17F54296"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19</w:t>
            </w:r>
          </w:p>
        </w:tc>
        <w:tc>
          <w:tcPr>
            <w:tcW w:w="2400" w:type="dxa"/>
          </w:tcPr>
          <w:p w14:paraId="37082A24"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Lincoln &amp; Guba (1985)</w:t>
            </w:r>
          </w:p>
        </w:tc>
        <w:tc>
          <w:tcPr>
            <w:tcW w:w="10800" w:type="dxa"/>
          </w:tcPr>
          <w:p w14:paraId="4F458304"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Lincoln, Y.S. and Guba, E.G. (1985) Naturalistic inquiry. Newbury Park, CA: Sage.</w:t>
            </w:r>
          </w:p>
        </w:tc>
      </w:tr>
      <w:tr w:rsidR="005917D3" w:rsidRPr="00B95E28" w14:paraId="014A33F3" w14:textId="77777777" w:rsidTr="00594503">
        <w:trPr>
          <w:cantSplit/>
          <w:jc w:val="center"/>
        </w:trPr>
        <w:tc>
          <w:tcPr>
            <w:tcW w:w="900" w:type="dxa"/>
          </w:tcPr>
          <w:p w14:paraId="399CD953"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lastRenderedPageBreak/>
              <w:t>20</w:t>
            </w:r>
          </w:p>
        </w:tc>
        <w:tc>
          <w:tcPr>
            <w:tcW w:w="2400" w:type="dxa"/>
          </w:tcPr>
          <w:p w14:paraId="514A1DDE"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Eisenhardt (1989)</w:t>
            </w:r>
          </w:p>
        </w:tc>
        <w:tc>
          <w:tcPr>
            <w:tcW w:w="10800" w:type="dxa"/>
          </w:tcPr>
          <w:p w14:paraId="2368A9E3"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Eisenhardt, K.M. (1989) 'Building theories from case study research', Academy of Management Review, 14(4), pp. 532-550. doi: 10.5465/amr.1989.4308385.</w:t>
            </w:r>
          </w:p>
        </w:tc>
      </w:tr>
      <w:tr w:rsidR="005917D3" w:rsidRPr="00B95E28" w14:paraId="22B668E2" w14:textId="77777777" w:rsidTr="00594503">
        <w:trPr>
          <w:cantSplit/>
          <w:jc w:val="center"/>
        </w:trPr>
        <w:tc>
          <w:tcPr>
            <w:tcW w:w="900" w:type="dxa"/>
          </w:tcPr>
          <w:p w14:paraId="16B79386"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21</w:t>
            </w:r>
          </w:p>
        </w:tc>
        <w:tc>
          <w:tcPr>
            <w:tcW w:w="2400" w:type="dxa"/>
          </w:tcPr>
          <w:p w14:paraId="1BA32F89"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Braun &amp; Clarke (2006)</w:t>
            </w:r>
          </w:p>
        </w:tc>
        <w:tc>
          <w:tcPr>
            <w:tcW w:w="10800" w:type="dxa"/>
          </w:tcPr>
          <w:p w14:paraId="5E634E0E"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Braun, V. and Clarke, V. (2006) 'Using thematic analysis in psychology', Qualitative Research in Psychology, 3(2), pp. 77-101. doi: 10.1191/1478088706qp063oa.</w:t>
            </w:r>
          </w:p>
        </w:tc>
      </w:tr>
      <w:tr w:rsidR="005917D3" w:rsidRPr="00B95E28" w14:paraId="63EDD9F6" w14:textId="77777777" w:rsidTr="00594503">
        <w:trPr>
          <w:cantSplit/>
          <w:jc w:val="center"/>
        </w:trPr>
        <w:tc>
          <w:tcPr>
            <w:tcW w:w="900" w:type="dxa"/>
          </w:tcPr>
          <w:p w14:paraId="4AE27693"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22</w:t>
            </w:r>
          </w:p>
        </w:tc>
        <w:tc>
          <w:tcPr>
            <w:tcW w:w="2400" w:type="dxa"/>
          </w:tcPr>
          <w:p w14:paraId="6CEBC263"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Gaughan (2007)</w:t>
            </w:r>
          </w:p>
        </w:tc>
        <w:tc>
          <w:tcPr>
            <w:tcW w:w="10800" w:type="dxa"/>
          </w:tcPr>
          <w:p w14:paraId="2B8D39C4"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Gaughan, P.A. (2007) Mergers, acquisitions, and corporate restructurings. 4th edn. Hoboken, NJ: John Wiley &amp; Sons.</w:t>
            </w:r>
          </w:p>
        </w:tc>
      </w:tr>
      <w:tr w:rsidR="005917D3" w:rsidRPr="00B95E28" w14:paraId="4ED89BC9" w14:textId="77777777" w:rsidTr="00594503">
        <w:trPr>
          <w:cantSplit/>
          <w:jc w:val="center"/>
        </w:trPr>
        <w:tc>
          <w:tcPr>
            <w:tcW w:w="900" w:type="dxa"/>
          </w:tcPr>
          <w:p w14:paraId="36CF9054"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23</w:t>
            </w:r>
          </w:p>
        </w:tc>
        <w:tc>
          <w:tcPr>
            <w:tcW w:w="2400" w:type="dxa"/>
          </w:tcPr>
          <w:p w14:paraId="53E0B7D0"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Sherman (2018)</w:t>
            </w:r>
          </w:p>
        </w:tc>
        <w:tc>
          <w:tcPr>
            <w:tcW w:w="10800" w:type="dxa"/>
          </w:tcPr>
          <w:p w14:paraId="6EF88379"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Sherman, A.J. (2018) Mergers and acquisitions from A to Z. 4th edn. New York: AMACOM.</w:t>
            </w:r>
          </w:p>
        </w:tc>
      </w:tr>
      <w:tr w:rsidR="005917D3" w:rsidRPr="00B95E28" w14:paraId="20657FBB" w14:textId="77777777" w:rsidTr="00594503">
        <w:trPr>
          <w:cantSplit/>
          <w:jc w:val="center"/>
        </w:trPr>
        <w:tc>
          <w:tcPr>
            <w:tcW w:w="900" w:type="dxa"/>
          </w:tcPr>
          <w:p w14:paraId="66DD5E56" w14:textId="77777777" w:rsidR="005917D3" w:rsidRPr="00B95E28" w:rsidRDefault="005917D3" w:rsidP="00594503">
            <w:pPr>
              <w:jc w:val="cente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24</w:t>
            </w:r>
          </w:p>
        </w:tc>
        <w:tc>
          <w:tcPr>
            <w:tcW w:w="2400" w:type="dxa"/>
          </w:tcPr>
          <w:p w14:paraId="5578EDCC"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Mroczyński (2022)</w:t>
            </w:r>
          </w:p>
        </w:tc>
        <w:tc>
          <w:tcPr>
            <w:tcW w:w="10800" w:type="dxa"/>
          </w:tcPr>
          <w:p w14:paraId="1B477BCF" w14:textId="77777777" w:rsidR="005917D3" w:rsidRPr="00B95E28" w:rsidRDefault="005917D3" w:rsidP="00594503">
            <w:pPr>
              <w:rPr>
                <w:rFonts w:ascii="Times New Roman" w:hAnsi="Times New Roman" w:cs="Times New Roman"/>
                <w:color w:val="000000" w:themeColor="text1"/>
                <w:sz w:val="24"/>
                <w:szCs w:val="24"/>
              </w:rPr>
            </w:pPr>
            <w:r w:rsidRPr="00B95E28">
              <w:rPr>
                <w:rFonts w:ascii="Times New Roman" w:hAnsi="Times New Roman" w:cs="Times New Roman"/>
                <w:color w:val="000000" w:themeColor="text1"/>
                <w:sz w:val="24"/>
                <w:szCs w:val="24"/>
              </w:rPr>
              <w:t>Mroczyński, W.G. (2022) 'The value-driving acquisition process: Conceptual framework and business case', Prace Naukowe Uniwersytetu Ekonomicznego we Wrocławiu, 66(1), pp. 74-100. doi: 10.15611/pn.2022.1.06.</w:t>
            </w:r>
          </w:p>
        </w:tc>
      </w:tr>
    </w:tbl>
    <w:p w14:paraId="68F554BD" w14:textId="77777777" w:rsidR="005917D3" w:rsidRDefault="005917D3" w:rsidP="005917D3"/>
    <w:p w14:paraId="4ACC9E53" w14:textId="77777777" w:rsidR="005917D3" w:rsidRDefault="005917D3" w:rsidP="005917D3"/>
    <w:p w14:paraId="6277EA15" w14:textId="77777777" w:rsidR="005917D3" w:rsidRDefault="005917D3" w:rsidP="005917D3"/>
    <w:p w14:paraId="3D7D6C98" w14:textId="77777777" w:rsidR="005917D3" w:rsidRDefault="005917D3" w:rsidP="005917D3"/>
    <w:p w14:paraId="34A95F4C" w14:textId="77777777" w:rsidR="005917D3" w:rsidRDefault="005917D3" w:rsidP="005917D3"/>
    <w:p w14:paraId="223A2D57" w14:textId="77777777" w:rsidR="005917D3" w:rsidRPr="005917D3" w:rsidRDefault="005917D3" w:rsidP="005917D3"/>
    <w:p w14:paraId="68BF3348" w14:textId="77777777" w:rsidR="005917D3" w:rsidRDefault="005917D3" w:rsidP="005917D3">
      <w:pPr>
        <w:rPr>
          <w:color w:val="000000" w:themeColor="text1"/>
        </w:rPr>
      </w:pPr>
    </w:p>
    <w:p w14:paraId="6AA43494" w14:textId="77777777" w:rsidR="005917D3" w:rsidRDefault="005917D3" w:rsidP="005917D3"/>
    <w:p w14:paraId="70A1ECA5" w14:textId="77777777" w:rsidR="005917D3" w:rsidRPr="005917D3" w:rsidRDefault="005917D3" w:rsidP="005917D3"/>
    <w:p w14:paraId="7AADF507" w14:textId="77777777" w:rsidR="005917D3" w:rsidRDefault="005917D3">
      <w:pPr>
        <w:rPr>
          <w:b/>
          <w:smallCaps/>
          <w:color w:val="000000" w:themeColor="text1"/>
        </w:rPr>
      </w:pPr>
      <w:r>
        <w:rPr>
          <w:color w:val="000000" w:themeColor="text1"/>
        </w:rPr>
        <w:br w:type="page"/>
      </w:r>
    </w:p>
    <w:p w14:paraId="0F1DEBED" w14:textId="58B03354" w:rsidR="00E04446" w:rsidRPr="00B95E28" w:rsidRDefault="00000000" w:rsidP="00EA2DA7">
      <w:pPr>
        <w:pStyle w:val="Heading1"/>
        <w:rPr>
          <w:color w:val="000000" w:themeColor="text1"/>
        </w:rPr>
      </w:pPr>
      <w:bookmarkStart w:id="242" w:name="_Toc232351946"/>
      <w:r w:rsidRPr="00B95E28">
        <w:rPr>
          <w:color w:val="000000" w:themeColor="text1"/>
        </w:rPr>
        <w:lastRenderedPageBreak/>
        <w:t>APPENDI</w:t>
      </w:r>
      <w:r w:rsidR="00EA2DA7" w:rsidRPr="00B95E28">
        <w:rPr>
          <w:color w:val="000000" w:themeColor="text1"/>
        </w:rPr>
        <w:t>CES</w:t>
      </w:r>
      <w:bookmarkEnd w:id="242"/>
    </w:p>
    <w:p w14:paraId="09F09A40" w14:textId="4F251D19" w:rsidR="00E04446" w:rsidRPr="00B95E28" w:rsidRDefault="00EA2DA7" w:rsidP="00EA2DA7">
      <w:pPr>
        <w:pStyle w:val="Heading2"/>
        <w:rPr>
          <w:color w:val="000000" w:themeColor="text1"/>
        </w:rPr>
      </w:pPr>
      <w:bookmarkStart w:id="243" w:name="_Toc232351947"/>
      <w:r w:rsidRPr="00B95E28">
        <w:rPr>
          <w:color w:val="000000" w:themeColor="text1"/>
        </w:rPr>
        <w:t>APPENDIX A: INTERVIEW GUIDE</w:t>
      </w:r>
      <w:bookmarkEnd w:id="243"/>
    </w:p>
    <w:p w14:paraId="3067BA6B" w14:textId="77777777" w:rsidR="00EA2DA7" w:rsidRPr="00B95E28" w:rsidRDefault="00EA2DA7" w:rsidP="00EA2DA7">
      <w:pPr>
        <w:rPr>
          <w:b/>
          <w:bCs/>
          <w:color w:val="000000" w:themeColor="text1"/>
        </w:rPr>
      </w:pPr>
      <w:r w:rsidRPr="00B95E28">
        <w:rPr>
          <w:b/>
          <w:bCs/>
          <w:color w:val="000000" w:themeColor="text1"/>
        </w:rPr>
        <w:t>1. Big Picture</w:t>
      </w:r>
    </w:p>
    <w:p w14:paraId="16677144" w14:textId="77777777" w:rsidR="00EA2DA7" w:rsidRPr="00B95E28" w:rsidRDefault="00EA2DA7" w:rsidP="00EA2DA7">
      <w:pPr>
        <w:rPr>
          <w:color w:val="000000" w:themeColor="text1"/>
        </w:rPr>
      </w:pPr>
    </w:p>
    <w:p w14:paraId="197101BE" w14:textId="77777777" w:rsidR="00EA2DA7" w:rsidRPr="00B95E28" w:rsidRDefault="00EA2DA7" w:rsidP="00EA2DA7">
      <w:pPr>
        <w:rPr>
          <w:color w:val="000000" w:themeColor="text1"/>
        </w:rPr>
      </w:pPr>
      <w:r w:rsidRPr="00B95E28">
        <w:rPr>
          <w:color w:val="000000" w:themeColor="text1"/>
        </w:rPr>
        <w:t>“From your experience, do you see integration as more of a structured process, or as an organizational capability? Why?”</w:t>
      </w:r>
    </w:p>
    <w:p w14:paraId="1F5C86CE" w14:textId="77777777" w:rsidR="00EA2DA7" w:rsidRPr="00B95E28" w:rsidRDefault="00EA2DA7" w:rsidP="00EA2DA7">
      <w:pPr>
        <w:rPr>
          <w:color w:val="000000" w:themeColor="text1"/>
        </w:rPr>
      </w:pPr>
    </w:p>
    <w:p w14:paraId="3BAC49D4" w14:textId="34C90CB6" w:rsidR="00EA2DA7" w:rsidRPr="00B95E28" w:rsidRDefault="00EA2DA7" w:rsidP="00EA2DA7">
      <w:pPr>
        <w:rPr>
          <w:color w:val="000000" w:themeColor="text1"/>
        </w:rPr>
      </w:pPr>
      <w:r w:rsidRPr="00B95E28">
        <w:rPr>
          <w:color w:val="000000" w:themeColor="text1"/>
        </w:rPr>
        <w:t>Follow-up:</w:t>
      </w:r>
    </w:p>
    <w:p w14:paraId="5B991E4F" w14:textId="77777777" w:rsidR="00EA2DA7" w:rsidRPr="00B95E28" w:rsidRDefault="00EA2DA7" w:rsidP="00EA2DA7">
      <w:pPr>
        <w:rPr>
          <w:color w:val="000000" w:themeColor="text1"/>
        </w:rPr>
      </w:pPr>
      <w:r w:rsidRPr="00B95E28">
        <w:rPr>
          <w:color w:val="000000" w:themeColor="text1"/>
        </w:rPr>
        <w:t>“What makes it repeatable vs one-off?”</w:t>
      </w:r>
    </w:p>
    <w:p w14:paraId="1C2CA3CE" w14:textId="77777777" w:rsidR="00EA2DA7" w:rsidRPr="00B95E28" w:rsidRDefault="00EA2DA7" w:rsidP="00EA2DA7">
      <w:pPr>
        <w:rPr>
          <w:color w:val="000000" w:themeColor="text1"/>
        </w:rPr>
      </w:pPr>
    </w:p>
    <w:p w14:paraId="7794C6E9" w14:textId="77777777" w:rsidR="00EA2DA7" w:rsidRPr="00B95E28" w:rsidRDefault="00EA2DA7" w:rsidP="00EA2DA7">
      <w:pPr>
        <w:rPr>
          <w:b/>
          <w:bCs/>
          <w:color w:val="000000" w:themeColor="text1"/>
        </w:rPr>
      </w:pPr>
      <w:r w:rsidRPr="00B95E28">
        <w:rPr>
          <w:b/>
          <w:bCs/>
          <w:color w:val="000000" w:themeColor="text1"/>
        </w:rPr>
        <w:t>2. Pre-Close vs Post-Close</w:t>
      </w:r>
    </w:p>
    <w:p w14:paraId="219FD7E0" w14:textId="77777777" w:rsidR="00EA2DA7" w:rsidRPr="00B95E28" w:rsidRDefault="00EA2DA7" w:rsidP="00EA2DA7">
      <w:pPr>
        <w:rPr>
          <w:color w:val="000000" w:themeColor="text1"/>
        </w:rPr>
      </w:pPr>
    </w:p>
    <w:p w14:paraId="0C297057" w14:textId="77777777" w:rsidR="00EA2DA7" w:rsidRPr="00B95E28" w:rsidRDefault="00EA2DA7" w:rsidP="00EA2DA7">
      <w:pPr>
        <w:rPr>
          <w:color w:val="000000" w:themeColor="text1"/>
        </w:rPr>
      </w:pPr>
      <w:r w:rsidRPr="00B95E28">
        <w:rPr>
          <w:color w:val="000000" w:themeColor="text1"/>
        </w:rPr>
        <w:t>“How much of integration success do you think is determined before the deal even closes?”</w:t>
      </w:r>
    </w:p>
    <w:p w14:paraId="2CC7636B" w14:textId="77777777" w:rsidR="00EA2DA7" w:rsidRPr="00B95E28" w:rsidRDefault="00EA2DA7" w:rsidP="00EA2DA7">
      <w:pPr>
        <w:rPr>
          <w:color w:val="000000" w:themeColor="text1"/>
        </w:rPr>
      </w:pPr>
    </w:p>
    <w:p w14:paraId="783DC0FB" w14:textId="77777777" w:rsidR="00EA2DA7" w:rsidRPr="00B95E28" w:rsidRDefault="00EA2DA7" w:rsidP="00EA2DA7">
      <w:pPr>
        <w:rPr>
          <w:color w:val="000000" w:themeColor="text1"/>
        </w:rPr>
      </w:pPr>
      <w:r w:rsidRPr="00B95E28">
        <w:rPr>
          <w:color w:val="000000" w:themeColor="text1"/>
        </w:rPr>
        <w:t>“What should organizations be doing before signing or closing that they typically don’t?”</w:t>
      </w:r>
    </w:p>
    <w:p w14:paraId="74215777" w14:textId="77777777" w:rsidR="00EA2DA7" w:rsidRPr="00B95E28" w:rsidRDefault="00EA2DA7" w:rsidP="00EA2DA7">
      <w:pPr>
        <w:rPr>
          <w:color w:val="000000" w:themeColor="text1"/>
        </w:rPr>
      </w:pPr>
    </w:p>
    <w:p w14:paraId="3E255ADB" w14:textId="77777777" w:rsidR="00EA2DA7" w:rsidRPr="00B95E28" w:rsidRDefault="00EA2DA7" w:rsidP="00EA2DA7">
      <w:pPr>
        <w:rPr>
          <w:color w:val="000000" w:themeColor="text1"/>
        </w:rPr>
      </w:pPr>
      <w:r w:rsidRPr="00B95E28">
        <w:rPr>
          <w:color w:val="000000" w:themeColor="text1"/>
        </w:rPr>
        <w:t>Prompt:</w:t>
      </w:r>
    </w:p>
    <w:p w14:paraId="3A1B4951" w14:textId="77777777" w:rsidR="00EA2DA7" w:rsidRPr="00B95E28" w:rsidRDefault="00EA2DA7" w:rsidP="00EA2DA7">
      <w:pPr>
        <w:rPr>
          <w:color w:val="000000" w:themeColor="text1"/>
        </w:rPr>
      </w:pPr>
      <w:r w:rsidRPr="00B95E28">
        <w:rPr>
          <w:color w:val="000000" w:themeColor="text1"/>
        </w:rPr>
        <w:t>“Anything you’ve seen consistently missed?”</w:t>
      </w:r>
    </w:p>
    <w:p w14:paraId="43D88663" w14:textId="77777777" w:rsidR="00EA2DA7" w:rsidRPr="00B95E28" w:rsidRDefault="00EA2DA7" w:rsidP="00EA2DA7">
      <w:pPr>
        <w:rPr>
          <w:color w:val="000000" w:themeColor="text1"/>
        </w:rPr>
      </w:pPr>
    </w:p>
    <w:p w14:paraId="64A85543" w14:textId="1FF97391" w:rsidR="00EA2DA7" w:rsidRPr="00B95E28" w:rsidRDefault="00EA2DA7" w:rsidP="00EA2DA7">
      <w:pPr>
        <w:rPr>
          <w:b/>
          <w:bCs/>
          <w:color w:val="000000" w:themeColor="text1"/>
        </w:rPr>
      </w:pPr>
      <w:r w:rsidRPr="00B95E28">
        <w:rPr>
          <w:b/>
          <w:bCs/>
          <w:color w:val="000000" w:themeColor="text1"/>
        </w:rPr>
        <w:t xml:space="preserve">3. Failure Deep-Dive </w:t>
      </w:r>
    </w:p>
    <w:p w14:paraId="28DBC841" w14:textId="77777777" w:rsidR="00EA2DA7" w:rsidRPr="00B95E28" w:rsidRDefault="00EA2DA7" w:rsidP="00EA2DA7">
      <w:pPr>
        <w:rPr>
          <w:color w:val="000000" w:themeColor="text1"/>
        </w:rPr>
      </w:pPr>
    </w:p>
    <w:p w14:paraId="129E2215" w14:textId="77777777" w:rsidR="00EA2DA7" w:rsidRPr="00B95E28" w:rsidRDefault="00EA2DA7" w:rsidP="00EA2DA7">
      <w:pPr>
        <w:rPr>
          <w:color w:val="000000" w:themeColor="text1"/>
        </w:rPr>
      </w:pPr>
      <w:r w:rsidRPr="00B95E28">
        <w:rPr>
          <w:color w:val="000000" w:themeColor="text1"/>
        </w:rPr>
        <w:t>“Can you walk me through a deal that didn’t go as expected?”</w:t>
      </w:r>
    </w:p>
    <w:p w14:paraId="578E4982" w14:textId="77777777" w:rsidR="00EA2DA7" w:rsidRPr="00B95E28" w:rsidRDefault="00EA2DA7" w:rsidP="00EA2DA7">
      <w:pPr>
        <w:rPr>
          <w:color w:val="000000" w:themeColor="text1"/>
        </w:rPr>
      </w:pPr>
    </w:p>
    <w:p w14:paraId="08A6DDD1" w14:textId="77777777" w:rsidR="00EA2DA7" w:rsidRPr="00B95E28" w:rsidRDefault="00EA2DA7" w:rsidP="00EA2DA7">
      <w:pPr>
        <w:rPr>
          <w:color w:val="000000" w:themeColor="text1"/>
        </w:rPr>
      </w:pPr>
      <w:r w:rsidRPr="00B95E28">
        <w:rPr>
          <w:color w:val="000000" w:themeColor="text1"/>
        </w:rPr>
        <w:t>Follow-ups:</w:t>
      </w:r>
    </w:p>
    <w:p w14:paraId="04984963" w14:textId="77777777" w:rsidR="00EA2DA7" w:rsidRPr="00B95E28" w:rsidRDefault="00EA2DA7" w:rsidP="00EA2DA7">
      <w:pPr>
        <w:rPr>
          <w:color w:val="000000" w:themeColor="text1"/>
        </w:rPr>
      </w:pPr>
    </w:p>
    <w:p w14:paraId="6143FFC1" w14:textId="77777777" w:rsidR="00EA2DA7" w:rsidRPr="00B95E28" w:rsidRDefault="00EA2DA7" w:rsidP="00EA2DA7">
      <w:pPr>
        <w:rPr>
          <w:color w:val="000000" w:themeColor="text1"/>
        </w:rPr>
      </w:pPr>
      <w:r w:rsidRPr="00B95E28">
        <w:rPr>
          <w:color w:val="000000" w:themeColor="text1"/>
        </w:rPr>
        <w:t>“At what point did things start to go wrong?”</w:t>
      </w:r>
    </w:p>
    <w:p w14:paraId="08B77013" w14:textId="77777777" w:rsidR="00EA2DA7" w:rsidRPr="00B95E28" w:rsidRDefault="00EA2DA7" w:rsidP="00EA2DA7">
      <w:pPr>
        <w:rPr>
          <w:color w:val="000000" w:themeColor="text1"/>
        </w:rPr>
      </w:pPr>
      <w:r w:rsidRPr="00B95E28">
        <w:rPr>
          <w:color w:val="000000" w:themeColor="text1"/>
        </w:rPr>
        <w:t>“Was that visible before close or only after?”</w:t>
      </w:r>
    </w:p>
    <w:p w14:paraId="00533E08" w14:textId="77777777" w:rsidR="00EA2DA7" w:rsidRPr="00B95E28" w:rsidRDefault="00EA2DA7" w:rsidP="00EA2DA7">
      <w:pPr>
        <w:rPr>
          <w:color w:val="000000" w:themeColor="text1"/>
        </w:rPr>
      </w:pPr>
    </w:p>
    <w:p w14:paraId="147F6411" w14:textId="77777777" w:rsidR="00EA2DA7" w:rsidRPr="00B95E28" w:rsidRDefault="00EA2DA7" w:rsidP="00EA2DA7">
      <w:pPr>
        <w:rPr>
          <w:b/>
          <w:bCs/>
          <w:color w:val="000000" w:themeColor="text1"/>
        </w:rPr>
      </w:pPr>
      <w:r w:rsidRPr="00B95E28">
        <w:rPr>
          <w:b/>
          <w:bCs/>
          <w:color w:val="000000" w:themeColor="text1"/>
        </w:rPr>
        <w:t>4. People &amp; Communication</w:t>
      </w:r>
    </w:p>
    <w:p w14:paraId="762EABA1" w14:textId="77777777" w:rsidR="00EA2DA7" w:rsidRPr="00B95E28" w:rsidRDefault="00EA2DA7" w:rsidP="00EA2DA7">
      <w:pPr>
        <w:rPr>
          <w:color w:val="000000" w:themeColor="text1"/>
        </w:rPr>
      </w:pPr>
    </w:p>
    <w:p w14:paraId="777B2452" w14:textId="77777777" w:rsidR="00EA2DA7" w:rsidRPr="00B95E28" w:rsidRDefault="00EA2DA7" w:rsidP="00EA2DA7">
      <w:pPr>
        <w:rPr>
          <w:color w:val="000000" w:themeColor="text1"/>
        </w:rPr>
      </w:pPr>
      <w:r w:rsidRPr="00B95E28">
        <w:rPr>
          <w:color w:val="000000" w:themeColor="text1"/>
        </w:rPr>
        <w:t>“Why do people-related issues tend to become the biggest challenge during integration?”</w:t>
      </w:r>
    </w:p>
    <w:p w14:paraId="4A2D524D" w14:textId="77777777" w:rsidR="00EA2DA7" w:rsidRPr="00B95E28" w:rsidRDefault="00EA2DA7" w:rsidP="00EA2DA7">
      <w:pPr>
        <w:rPr>
          <w:color w:val="000000" w:themeColor="text1"/>
        </w:rPr>
      </w:pPr>
    </w:p>
    <w:p w14:paraId="47BB3F32" w14:textId="77777777" w:rsidR="00EA2DA7" w:rsidRPr="00B95E28" w:rsidRDefault="00EA2DA7" w:rsidP="00EA2DA7">
      <w:pPr>
        <w:rPr>
          <w:color w:val="000000" w:themeColor="text1"/>
        </w:rPr>
      </w:pPr>
      <w:r w:rsidRPr="00B95E28">
        <w:rPr>
          <w:color w:val="000000" w:themeColor="text1"/>
        </w:rPr>
        <w:t>“What does effective communication actually look like in the first 30 days post-close?”</w:t>
      </w:r>
    </w:p>
    <w:p w14:paraId="7574383A" w14:textId="77777777" w:rsidR="00EA2DA7" w:rsidRPr="00B95E28" w:rsidRDefault="00EA2DA7" w:rsidP="00EA2DA7">
      <w:pPr>
        <w:rPr>
          <w:color w:val="000000" w:themeColor="text1"/>
        </w:rPr>
      </w:pPr>
    </w:p>
    <w:p w14:paraId="069E0BD3" w14:textId="77777777" w:rsidR="00EA2DA7" w:rsidRPr="00B95E28" w:rsidRDefault="00EA2DA7" w:rsidP="00EA2DA7">
      <w:pPr>
        <w:rPr>
          <w:color w:val="000000" w:themeColor="text1"/>
        </w:rPr>
      </w:pPr>
      <w:r w:rsidRPr="00B95E28">
        <w:rPr>
          <w:color w:val="000000" w:themeColor="text1"/>
        </w:rPr>
        <w:t>Prompt:</w:t>
      </w:r>
    </w:p>
    <w:p w14:paraId="78384FC7" w14:textId="77777777" w:rsidR="00EA2DA7" w:rsidRPr="00B95E28" w:rsidRDefault="00EA2DA7" w:rsidP="00EA2DA7">
      <w:pPr>
        <w:rPr>
          <w:color w:val="000000" w:themeColor="text1"/>
        </w:rPr>
      </w:pPr>
      <w:r w:rsidRPr="00B95E28">
        <w:rPr>
          <w:color w:val="000000" w:themeColor="text1"/>
        </w:rPr>
        <w:t>“What happens when that’s not done well?”</w:t>
      </w:r>
    </w:p>
    <w:p w14:paraId="235972FD" w14:textId="77777777" w:rsidR="00EA2DA7" w:rsidRPr="00B95E28" w:rsidRDefault="00EA2DA7" w:rsidP="00EA2DA7">
      <w:pPr>
        <w:rPr>
          <w:color w:val="000000" w:themeColor="text1"/>
        </w:rPr>
      </w:pPr>
    </w:p>
    <w:p w14:paraId="399D2AC1" w14:textId="77777777" w:rsidR="00EA2DA7" w:rsidRPr="00B95E28" w:rsidRDefault="00EA2DA7" w:rsidP="00EA2DA7">
      <w:pPr>
        <w:rPr>
          <w:b/>
          <w:bCs/>
          <w:color w:val="000000" w:themeColor="text1"/>
        </w:rPr>
      </w:pPr>
      <w:r w:rsidRPr="00B95E28">
        <w:rPr>
          <w:b/>
          <w:bCs/>
          <w:color w:val="000000" w:themeColor="text1"/>
        </w:rPr>
        <w:t>5. Governance</w:t>
      </w:r>
    </w:p>
    <w:p w14:paraId="5D7DF598" w14:textId="77777777" w:rsidR="00EA2DA7" w:rsidRPr="00B95E28" w:rsidRDefault="00EA2DA7" w:rsidP="00EA2DA7">
      <w:pPr>
        <w:rPr>
          <w:color w:val="000000" w:themeColor="text1"/>
        </w:rPr>
      </w:pPr>
    </w:p>
    <w:p w14:paraId="4443ACFF" w14:textId="77777777" w:rsidR="00EA2DA7" w:rsidRPr="00B95E28" w:rsidRDefault="00EA2DA7" w:rsidP="00EA2DA7">
      <w:pPr>
        <w:rPr>
          <w:color w:val="000000" w:themeColor="text1"/>
        </w:rPr>
      </w:pPr>
      <w:r w:rsidRPr="00B95E28">
        <w:rPr>
          <w:color w:val="000000" w:themeColor="text1"/>
        </w:rPr>
        <w:t>“What does effective integration governance look like in practice?”</w:t>
      </w:r>
    </w:p>
    <w:p w14:paraId="7350983D" w14:textId="77777777" w:rsidR="00EA2DA7" w:rsidRPr="00B95E28" w:rsidRDefault="00EA2DA7" w:rsidP="00EA2DA7">
      <w:pPr>
        <w:rPr>
          <w:color w:val="000000" w:themeColor="text1"/>
        </w:rPr>
      </w:pPr>
    </w:p>
    <w:p w14:paraId="75ED41AF" w14:textId="77777777" w:rsidR="00EA2DA7" w:rsidRPr="00B95E28" w:rsidRDefault="00EA2DA7" w:rsidP="00EA2DA7">
      <w:pPr>
        <w:rPr>
          <w:color w:val="000000" w:themeColor="text1"/>
        </w:rPr>
      </w:pPr>
      <w:r w:rsidRPr="00B95E28">
        <w:rPr>
          <w:color w:val="000000" w:themeColor="text1"/>
        </w:rPr>
        <w:t>Prompt:</w:t>
      </w:r>
    </w:p>
    <w:p w14:paraId="29FDDB93" w14:textId="77777777" w:rsidR="00EA2DA7" w:rsidRPr="00B95E28" w:rsidRDefault="00EA2DA7" w:rsidP="00EA2DA7">
      <w:pPr>
        <w:rPr>
          <w:color w:val="000000" w:themeColor="text1"/>
        </w:rPr>
      </w:pPr>
      <w:r w:rsidRPr="00B95E28">
        <w:rPr>
          <w:color w:val="000000" w:themeColor="text1"/>
        </w:rPr>
        <w:t>“Who really owns decisions during integration?”</w:t>
      </w:r>
    </w:p>
    <w:p w14:paraId="0ADD59C4" w14:textId="77777777" w:rsidR="00EA2DA7" w:rsidRPr="00B95E28" w:rsidRDefault="00EA2DA7" w:rsidP="00EA2DA7">
      <w:pPr>
        <w:rPr>
          <w:color w:val="000000" w:themeColor="text1"/>
        </w:rPr>
      </w:pPr>
    </w:p>
    <w:p w14:paraId="68C972FE" w14:textId="77777777" w:rsidR="00EA2DA7" w:rsidRPr="00B95E28" w:rsidRDefault="00EA2DA7" w:rsidP="00EA2DA7">
      <w:pPr>
        <w:rPr>
          <w:b/>
          <w:bCs/>
          <w:color w:val="000000" w:themeColor="text1"/>
        </w:rPr>
      </w:pPr>
      <w:r w:rsidRPr="00B95E28">
        <w:rPr>
          <w:b/>
          <w:bCs/>
          <w:color w:val="000000" w:themeColor="text1"/>
        </w:rPr>
        <w:t>6. Learning &amp; Improvement</w:t>
      </w:r>
    </w:p>
    <w:p w14:paraId="134D5C5C" w14:textId="77777777" w:rsidR="00EA2DA7" w:rsidRPr="00B95E28" w:rsidRDefault="00EA2DA7" w:rsidP="00EA2DA7">
      <w:pPr>
        <w:rPr>
          <w:color w:val="000000" w:themeColor="text1"/>
        </w:rPr>
      </w:pPr>
    </w:p>
    <w:p w14:paraId="19DCDFFC" w14:textId="77777777" w:rsidR="00EA2DA7" w:rsidRPr="00B95E28" w:rsidRDefault="00EA2DA7" w:rsidP="00EA2DA7">
      <w:pPr>
        <w:rPr>
          <w:color w:val="000000" w:themeColor="text1"/>
        </w:rPr>
      </w:pPr>
      <w:r w:rsidRPr="00B95E28">
        <w:rPr>
          <w:color w:val="000000" w:themeColor="text1"/>
        </w:rPr>
        <w:t>“Do organizations actually get better at integration over time? Why or why not?”</w:t>
      </w:r>
    </w:p>
    <w:p w14:paraId="4989809E" w14:textId="77777777" w:rsidR="00EA2DA7" w:rsidRPr="00B95E28" w:rsidRDefault="00EA2DA7" w:rsidP="00EA2DA7">
      <w:pPr>
        <w:rPr>
          <w:color w:val="000000" w:themeColor="text1"/>
        </w:rPr>
      </w:pPr>
    </w:p>
    <w:p w14:paraId="3B17FE79" w14:textId="77777777" w:rsidR="00EA2DA7" w:rsidRPr="00B95E28" w:rsidRDefault="00EA2DA7" w:rsidP="00EA2DA7">
      <w:pPr>
        <w:rPr>
          <w:color w:val="000000" w:themeColor="text1"/>
        </w:rPr>
      </w:pPr>
      <w:r w:rsidRPr="00B95E28">
        <w:rPr>
          <w:color w:val="000000" w:themeColor="text1"/>
        </w:rPr>
        <w:t>“How do companies capture and apply lessons learned from past acquisitions?”</w:t>
      </w:r>
    </w:p>
    <w:p w14:paraId="228A2FF7" w14:textId="77777777" w:rsidR="00EA2DA7" w:rsidRPr="00B95E28" w:rsidRDefault="00EA2DA7" w:rsidP="00EA2DA7">
      <w:pPr>
        <w:rPr>
          <w:color w:val="000000" w:themeColor="text1"/>
        </w:rPr>
      </w:pPr>
    </w:p>
    <w:p w14:paraId="2A5EDF90" w14:textId="77777777" w:rsidR="00EA2DA7" w:rsidRPr="00B95E28" w:rsidRDefault="00EA2DA7" w:rsidP="00EA2DA7">
      <w:pPr>
        <w:rPr>
          <w:color w:val="000000" w:themeColor="text1"/>
        </w:rPr>
      </w:pPr>
      <w:r w:rsidRPr="00B95E28">
        <w:rPr>
          <w:color w:val="000000" w:themeColor="text1"/>
        </w:rPr>
        <w:t>Prompt:</w:t>
      </w:r>
    </w:p>
    <w:p w14:paraId="14B36012" w14:textId="77777777" w:rsidR="00EA2DA7" w:rsidRPr="00B95E28" w:rsidRDefault="00EA2DA7" w:rsidP="00EA2DA7">
      <w:pPr>
        <w:rPr>
          <w:color w:val="000000" w:themeColor="text1"/>
        </w:rPr>
      </w:pPr>
      <w:r w:rsidRPr="00B95E28">
        <w:rPr>
          <w:color w:val="000000" w:themeColor="text1"/>
        </w:rPr>
        <w:t>“Do you see formal playbooks, or is it more experience-driven?”</w:t>
      </w:r>
    </w:p>
    <w:p w14:paraId="40795454" w14:textId="77777777" w:rsidR="00EA2DA7" w:rsidRPr="00B95E28" w:rsidRDefault="00EA2DA7" w:rsidP="00EA2DA7">
      <w:pPr>
        <w:rPr>
          <w:color w:val="000000" w:themeColor="text1"/>
        </w:rPr>
      </w:pPr>
    </w:p>
    <w:p w14:paraId="09A4E06D" w14:textId="27376D7C" w:rsidR="00EA2DA7" w:rsidRPr="00B95E28" w:rsidRDefault="00EA2DA7" w:rsidP="00EA2DA7">
      <w:pPr>
        <w:rPr>
          <w:b/>
          <w:bCs/>
          <w:color w:val="000000" w:themeColor="text1"/>
        </w:rPr>
      </w:pPr>
      <w:r w:rsidRPr="00B95E28">
        <w:rPr>
          <w:b/>
          <w:bCs/>
          <w:color w:val="000000" w:themeColor="text1"/>
        </w:rPr>
        <w:t>7. Contradiction</w:t>
      </w:r>
    </w:p>
    <w:p w14:paraId="15427B22" w14:textId="77777777" w:rsidR="00EA2DA7" w:rsidRPr="00B95E28" w:rsidRDefault="00EA2DA7" w:rsidP="00EA2DA7">
      <w:pPr>
        <w:rPr>
          <w:color w:val="000000" w:themeColor="text1"/>
        </w:rPr>
      </w:pPr>
    </w:p>
    <w:p w14:paraId="327A9068" w14:textId="77777777" w:rsidR="00EA2DA7" w:rsidRPr="00B95E28" w:rsidRDefault="00EA2DA7" w:rsidP="00EA2DA7">
      <w:pPr>
        <w:rPr>
          <w:color w:val="000000" w:themeColor="text1"/>
        </w:rPr>
      </w:pPr>
      <w:r w:rsidRPr="00B95E28">
        <w:rPr>
          <w:color w:val="000000" w:themeColor="text1"/>
        </w:rPr>
        <w:t>“Have you seen a deal succeed even with weak or late integration planning?”</w:t>
      </w:r>
    </w:p>
    <w:p w14:paraId="2302C372" w14:textId="77777777" w:rsidR="00EA2DA7" w:rsidRPr="00B95E28" w:rsidRDefault="00EA2DA7" w:rsidP="00EA2DA7">
      <w:pPr>
        <w:rPr>
          <w:color w:val="000000" w:themeColor="text1"/>
        </w:rPr>
      </w:pPr>
    </w:p>
    <w:p w14:paraId="3C10A1D7" w14:textId="77777777" w:rsidR="00EA2DA7" w:rsidRPr="00B95E28" w:rsidRDefault="00EA2DA7" w:rsidP="00EA2DA7">
      <w:pPr>
        <w:rPr>
          <w:color w:val="000000" w:themeColor="text1"/>
        </w:rPr>
      </w:pPr>
      <w:r w:rsidRPr="00B95E28">
        <w:rPr>
          <w:color w:val="000000" w:themeColor="text1"/>
        </w:rPr>
        <w:t>If yes:</w:t>
      </w:r>
    </w:p>
    <w:p w14:paraId="651D7C23" w14:textId="77777777" w:rsidR="00EA2DA7" w:rsidRPr="00B95E28" w:rsidRDefault="00EA2DA7" w:rsidP="00EA2DA7">
      <w:pPr>
        <w:rPr>
          <w:color w:val="000000" w:themeColor="text1"/>
        </w:rPr>
      </w:pPr>
      <w:r w:rsidRPr="00B95E28">
        <w:rPr>
          <w:color w:val="000000" w:themeColor="text1"/>
        </w:rPr>
        <w:t>“What made it still work?”</w:t>
      </w:r>
    </w:p>
    <w:p w14:paraId="37302C0C" w14:textId="77777777" w:rsidR="00EA2DA7" w:rsidRPr="00B95E28" w:rsidRDefault="00EA2DA7" w:rsidP="00EA2DA7">
      <w:pPr>
        <w:rPr>
          <w:color w:val="000000" w:themeColor="text1"/>
        </w:rPr>
      </w:pPr>
    </w:p>
    <w:p w14:paraId="4E16A053" w14:textId="77777777" w:rsidR="00EA2DA7" w:rsidRPr="00B95E28" w:rsidRDefault="00EA2DA7" w:rsidP="00EA2DA7">
      <w:pPr>
        <w:rPr>
          <w:b/>
          <w:bCs/>
          <w:color w:val="000000" w:themeColor="text1"/>
        </w:rPr>
      </w:pPr>
      <w:r w:rsidRPr="00B95E28">
        <w:rPr>
          <w:b/>
          <w:bCs/>
          <w:color w:val="000000" w:themeColor="text1"/>
        </w:rPr>
        <w:t>8. Closing Insight</w:t>
      </w:r>
    </w:p>
    <w:p w14:paraId="5511736E" w14:textId="77777777" w:rsidR="00EA2DA7" w:rsidRPr="00B95E28" w:rsidRDefault="00EA2DA7" w:rsidP="00EA2DA7">
      <w:pPr>
        <w:rPr>
          <w:color w:val="000000" w:themeColor="text1"/>
        </w:rPr>
      </w:pPr>
    </w:p>
    <w:p w14:paraId="198636A7" w14:textId="77777777" w:rsidR="00EA2DA7" w:rsidRPr="00B95E28" w:rsidRDefault="00EA2DA7" w:rsidP="00EA2DA7">
      <w:pPr>
        <w:rPr>
          <w:color w:val="000000" w:themeColor="text1"/>
        </w:rPr>
      </w:pPr>
      <w:r w:rsidRPr="00B95E28">
        <w:rPr>
          <w:color w:val="000000" w:themeColor="text1"/>
        </w:rPr>
        <w:t>“What is something most people misunderstand about integration?”</w:t>
      </w:r>
    </w:p>
    <w:p w14:paraId="671B098E" w14:textId="77777777" w:rsidR="00EA2DA7" w:rsidRPr="00B95E28" w:rsidRDefault="00EA2DA7" w:rsidP="00EA2DA7">
      <w:pPr>
        <w:rPr>
          <w:color w:val="000000" w:themeColor="text1"/>
        </w:rPr>
      </w:pPr>
    </w:p>
    <w:p w14:paraId="17680E1D" w14:textId="0F84D10C" w:rsidR="00EA2DA7" w:rsidRPr="00B95E28" w:rsidRDefault="00EA2DA7" w:rsidP="00EA2DA7">
      <w:pPr>
        <w:pStyle w:val="Heading2"/>
        <w:rPr>
          <w:color w:val="000000" w:themeColor="text1"/>
        </w:rPr>
      </w:pPr>
      <w:bookmarkStart w:id="244" w:name="_Toc232351948"/>
      <w:r w:rsidRPr="00B95E28">
        <w:rPr>
          <w:color w:val="000000" w:themeColor="text1"/>
        </w:rPr>
        <w:t>APPENDIX B: INTERVIEW CONSENT FORMS</w:t>
      </w:r>
      <w:bookmarkEnd w:id="244"/>
    </w:p>
    <w:p w14:paraId="09419618" w14:textId="77777777" w:rsidR="00EA2DA7" w:rsidRPr="00B95E28" w:rsidRDefault="00EA2DA7" w:rsidP="008E5EF8">
      <w:pPr>
        <w:jc w:val="center"/>
        <w:rPr>
          <w:b/>
          <w:bCs/>
          <w:color w:val="000000" w:themeColor="text1"/>
        </w:rPr>
      </w:pPr>
      <w:r w:rsidRPr="00B95E28">
        <w:rPr>
          <w:b/>
          <w:bCs/>
          <w:color w:val="000000" w:themeColor="text1"/>
        </w:rPr>
        <w:t>Research Interview Consent Form</w:t>
      </w:r>
    </w:p>
    <w:p w14:paraId="7390DD76" w14:textId="77777777" w:rsidR="008E5EF8" w:rsidRPr="00B95E28" w:rsidRDefault="008E5EF8" w:rsidP="00EA2DA7">
      <w:pPr>
        <w:rPr>
          <w:color w:val="000000" w:themeColor="text1"/>
        </w:rPr>
      </w:pPr>
    </w:p>
    <w:p w14:paraId="3427D18A" w14:textId="594CD4E9" w:rsidR="00EA2DA7" w:rsidRPr="00B95E28" w:rsidRDefault="00EA2DA7" w:rsidP="00EA2DA7">
      <w:pPr>
        <w:rPr>
          <w:color w:val="000000" w:themeColor="text1"/>
        </w:rPr>
      </w:pPr>
      <w:r w:rsidRPr="00B95E28">
        <w:rPr>
          <w:color w:val="000000" w:themeColor="text1"/>
        </w:rPr>
        <w:t>Researcher: Amanda David</w:t>
      </w:r>
    </w:p>
    <w:p w14:paraId="769E6529" w14:textId="77777777" w:rsidR="00EA2DA7" w:rsidRPr="00B95E28" w:rsidRDefault="00EA2DA7" w:rsidP="00EA2DA7">
      <w:pPr>
        <w:rPr>
          <w:color w:val="000000" w:themeColor="text1"/>
        </w:rPr>
      </w:pPr>
      <w:r w:rsidRPr="00B95E28">
        <w:rPr>
          <w:color w:val="000000" w:themeColor="text1"/>
        </w:rPr>
        <w:t>Program: PhD by Portfolio – Swiss School of Business Research</w:t>
      </w:r>
    </w:p>
    <w:p w14:paraId="359BC16B" w14:textId="77777777" w:rsidR="00EA2DA7" w:rsidRPr="00B95E28" w:rsidRDefault="00EA2DA7" w:rsidP="00EA2DA7">
      <w:pPr>
        <w:rPr>
          <w:color w:val="000000" w:themeColor="text1"/>
        </w:rPr>
      </w:pPr>
      <w:r w:rsidRPr="00B95E28">
        <w:rPr>
          <w:color w:val="000000" w:themeColor="text1"/>
        </w:rPr>
        <w:t>Research Topic: Building Repeatable Integration Capability in Serial Acquirers</w:t>
      </w:r>
    </w:p>
    <w:p w14:paraId="3357F286" w14:textId="77777777" w:rsidR="00EA2DA7" w:rsidRPr="00B95E28" w:rsidRDefault="00EA2DA7" w:rsidP="00EA2DA7">
      <w:pPr>
        <w:rPr>
          <w:color w:val="000000" w:themeColor="text1"/>
        </w:rPr>
      </w:pPr>
    </w:p>
    <w:p w14:paraId="4FFFD18D" w14:textId="77777777" w:rsidR="00EA2DA7" w:rsidRPr="00B95E28" w:rsidRDefault="00EA2DA7" w:rsidP="00EA2DA7">
      <w:pPr>
        <w:rPr>
          <w:b/>
          <w:bCs/>
          <w:color w:val="000000" w:themeColor="text1"/>
        </w:rPr>
      </w:pPr>
      <w:r w:rsidRPr="00B95E28">
        <w:rPr>
          <w:b/>
          <w:bCs/>
          <w:color w:val="000000" w:themeColor="text1"/>
        </w:rPr>
        <w:t>Purpose of the Research</w:t>
      </w:r>
    </w:p>
    <w:p w14:paraId="2416E405" w14:textId="77777777" w:rsidR="00EA2DA7" w:rsidRPr="00B95E28" w:rsidRDefault="00EA2DA7" w:rsidP="00EA2DA7">
      <w:pPr>
        <w:rPr>
          <w:color w:val="000000" w:themeColor="text1"/>
        </w:rPr>
      </w:pPr>
      <w:r w:rsidRPr="00B95E28">
        <w:rPr>
          <w:color w:val="000000" w:themeColor="text1"/>
        </w:rPr>
        <w:t>This research aims to understand how organizations develop repeatable integration processes when they complete multiple acquisitions. The study collects insights from executives and professionals involved in mergers, acquisitions, and post-merger integration.</w:t>
      </w:r>
    </w:p>
    <w:p w14:paraId="639C7F3C" w14:textId="77777777" w:rsidR="00EA2DA7" w:rsidRPr="00B95E28" w:rsidRDefault="00EA2DA7" w:rsidP="00EA2DA7">
      <w:pPr>
        <w:rPr>
          <w:color w:val="000000" w:themeColor="text1"/>
        </w:rPr>
      </w:pPr>
    </w:p>
    <w:p w14:paraId="1D364678" w14:textId="73BAE2D2" w:rsidR="00EA2DA7" w:rsidRPr="00B95E28" w:rsidRDefault="00EA2DA7" w:rsidP="00EA2DA7">
      <w:pPr>
        <w:rPr>
          <w:b/>
          <w:bCs/>
          <w:color w:val="000000" w:themeColor="text1"/>
        </w:rPr>
      </w:pPr>
      <w:r w:rsidRPr="00B95E28">
        <w:rPr>
          <w:b/>
          <w:bCs/>
          <w:color w:val="000000" w:themeColor="text1"/>
        </w:rPr>
        <w:t>Participation</w:t>
      </w:r>
    </w:p>
    <w:p w14:paraId="463A3B57" w14:textId="77777777" w:rsidR="00EA2DA7" w:rsidRPr="00B95E28" w:rsidRDefault="00EA2DA7" w:rsidP="00EA2DA7">
      <w:pPr>
        <w:rPr>
          <w:color w:val="000000" w:themeColor="text1"/>
        </w:rPr>
      </w:pPr>
      <w:r w:rsidRPr="00B95E28">
        <w:rPr>
          <w:color w:val="000000" w:themeColor="text1"/>
        </w:rPr>
        <w:t>Participation involves a voluntary interview lasting approximately 30–45 minutes. The interview may be recorded or transcribed for research purposes. Participants may decline to answer any question and may withdraw from the study at any time.</w:t>
      </w:r>
    </w:p>
    <w:p w14:paraId="314209A5" w14:textId="77777777" w:rsidR="00EA2DA7" w:rsidRPr="00B95E28" w:rsidRDefault="00EA2DA7" w:rsidP="00EA2DA7">
      <w:pPr>
        <w:rPr>
          <w:color w:val="000000" w:themeColor="text1"/>
        </w:rPr>
      </w:pPr>
    </w:p>
    <w:p w14:paraId="430358F7" w14:textId="05C9FED6" w:rsidR="00EA2DA7" w:rsidRPr="00B95E28" w:rsidRDefault="00EA2DA7" w:rsidP="00EA2DA7">
      <w:pPr>
        <w:rPr>
          <w:b/>
          <w:bCs/>
          <w:color w:val="000000" w:themeColor="text1"/>
        </w:rPr>
      </w:pPr>
      <w:r w:rsidRPr="00B95E28">
        <w:rPr>
          <w:b/>
          <w:bCs/>
          <w:color w:val="000000" w:themeColor="text1"/>
        </w:rPr>
        <w:t>Use of Information</w:t>
      </w:r>
    </w:p>
    <w:p w14:paraId="7278C5D5" w14:textId="77777777" w:rsidR="00EA2DA7" w:rsidRPr="00B95E28" w:rsidRDefault="00EA2DA7" w:rsidP="00EA2DA7">
      <w:pPr>
        <w:rPr>
          <w:color w:val="000000" w:themeColor="text1"/>
        </w:rPr>
      </w:pPr>
      <w:r w:rsidRPr="00B95E28">
        <w:rPr>
          <w:color w:val="000000" w:themeColor="text1"/>
        </w:rPr>
        <w:t>Information collected from the interview will be used solely for academic research and may appear in the doctoral dissertation or related academic publications.</w:t>
      </w:r>
    </w:p>
    <w:p w14:paraId="2FF90424" w14:textId="77777777" w:rsidR="00EA2DA7" w:rsidRPr="00B95E28" w:rsidRDefault="00EA2DA7" w:rsidP="00EA2DA7">
      <w:pPr>
        <w:rPr>
          <w:color w:val="000000" w:themeColor="text1"/>
        </w:rPr>
      </w:pPr>
    </w:p>
    <w:p w14:paraId="1E4A6EDF" w14:textId="4D78D7BB" w:rsidR="00EA2DA7" w:rsidRPr="00B95E28" w:rsidRDefault="00EA2DA7" w:rsidP="00EA2DA7">
      <w:pPr>
        <w:rPr>
          <w:b/>
          <w:bCs/>
          <w:color w:val="000000" w:themeColor="text1"/>
        </w:rPr>
      </w:pPr>
      <w:r w:rsidRPr="00B95E28">
        <w:rPr>
          <w:b/>
          <w:bCs/>
          <w:color w:val="000000" w:themeColor="text1"/>
        </w:rPr>
        <w:t>Confidentiality Options</w:t>
      </w:r>
    </w:p>
    <w:p w14:paraId="288C2978" w14:textId="77777777" w:rsidR="00EA2DA7" w:rsidRPr="00B95E28" w:rsidRDefault="00EA2DA7" w:rsidP="00EA2DA7">
      <w:pPr>
        <w:rPr>
          <w:color w:val="000000" w:themeColor="text1"/>
        </w:rPr>
      </w:pPr>
      <w:r w:rsidRPr="00B95E28">
        <w:rPr>
          <w:color w:val="000000" w:themeColor="text1"/>
        </w:rPr>
        <w:t>Please select one option:</w:t>
      </w:r>
    </w:p>
    <w:p w14:paraId="241FACDF" w14:textId="77777777" w:rsidR="00EA2DA7" w:rsidRPr="00B95E28" w:rsidRDefault="00EA2DA7" w:rsidP="00EA2DA7">
      <w:pPr>
        <w:rPr>
          <w:color w:val="000000" w:themeColor="text1"/>
        </w:rPr>
      </w:pPr>
      <w:r w:rsidRPr="00B95E28">
        <w:rPr>
          <w:rFonts w:ascii="Segoe UI Symbol" w:hAnsi="Segoe UI Symbol" w:cs="Segoe UI Symbol"/>
          <w:color w:val="000000" w:themeColor="text1"/>
        </w:rPr>
        <w:lastRenderedPageBreak/>
        <w:t>☐</w:t>
      </w:r>
      <w:r w:rsidRPr="00B95E28">
        <w:rPr>
          <w:color w:val="000000" w:themeColor="text1"/>
        </w:rPr>
        <w:t xml:space="preserve"> I consent to being cited by name and professional role in the research.</w:t>
      </w:r>
    </w:p>
    <w:p w14:paraId="6E37BD67" w14:textId="77777777" w:rsidR="00EA2DA7" w:rsidRPr="00B95E28" w:rsidRDefault="00EA2DA7" w:rsidP="00EA2DA7">
      <w:pPr>
        <w:rPr>
          <w:color w:val="000000" w:themeColor="text1"/>
        </w:rPr>
      </w:pPr>
      <w:r w:rsidRPr="00B95E28">
        <w:rPr>
          <w:rFonts w:ascii="Segoe UI Symbol" w:hAnsi="Segoe UI Symbol" w:cs="Segoe UI Symbol"/>
          <w:color w:val="000000" w:themeColor="text1"/>
        </w:rPr>
        <w:t>☐</w:t>
      </w:r>
      <w:r w:rsidRPr="00B95E28">
        <w:rPr>
          <w:color w:val="000000" w:themeColor="text1"/>
        </w:rPr>
        <w:t xml:space="preserve"> I prefer that my participation remain anonymous.</w:t>
      </w:r>
    </w:p>
    <w:p w14:paraId="6B6A02D0" w14:textId="77777777" w:rsidR="00EA2DA7" w:rsidRPr="00B95E28" w:rsidRDefault="00EA2DA7" w:rsidP="00EA2DA7">
      <w:pPr>
        <w:rPr>
          <w:color w:val="000000" w:themeColor="text1"/>
        </w:rPr>
      </w:pPr>
      <w:r w:rsidRPr="00B95E28">
        <w:rPr>
          <w:color w:val="000000" w:themeColor="text1"/>
        </w:rPr>
        <w:t>Consent</w:t>
      </w:r>
    </w:p>
    <w:p w14:paraId="219154AB" w14:textId="77777777" w:rsidR="00EA2DA7" w:rsidRPr="00B95E28" w:rsidRDefault="00EA2DA7" w:rsidP="00EA2DA7">
      <w:pPr>
        <w:rPr>
          <w:color w:val="000000" w:themeColor="text1"/>
        </w:rPr>
      </w:pPr>
    </w:p>
    <w:p w14:paraId="5CFAE311" w14:textId="7F209F6F" w:rsidR="00EA2DA7" w:rsidRPr="00B95E28" w:rsidRDefault="00EA2DA7" w:rsidP="00EA2DA7">
      <w:pPr>
        <w:rPr>
          <w:color w:val="000000" w:themeColor="text1"/>
        </w:rPr>
      </w:pPr>
      <w:r w:rsidRPr="00B95E28">
        <w:rPr>
          <w:color w:val="000000" w:themeColor="text1"/>
        </w:rPr>
        <w:t>By signing below, I confirm that I understand the purpose of this research and voluntarily agree to participate in the interview.</w:t>
      </w:r>
    </w:p>
    <w:tbl>
      <w:tblPr>
        <w:tblStyle w:val="TableGrid"/>
        <w:tblW w:w="0" w:type="auto"/>
        <w:tblLook w:val="04A0" w:firstRow="1" w:lastRow="0" w:firstColumn="1" w:lastColumn="0" w:noHBand="0" w:noVBand="1"/>
      </w:tblPr>
      <w:tblGrid>
        <w:gridCol w:w="4320"/>
        <w:gridCol w:w="4320"/>
      </w:tblGrid>
      <w:tr w:rsidR="00EA2DA7" w:rsidRPr="00B95E28" w14:paraId="32ABFB05" w14:textId="77777777" w:rsidTr="00635272">
        <w:tc>
          <w:tcPr>
            <w:tcW w:w="4320" w:type="dxa"/>
          </w:tcPr>
          <w:p w14:paraId="1FE5E69C" w14:textId="77777777" w:rsidR="00EA2DA7" w:rsidRPr="00B95E28" w:rsidRDefault="00EA2DA7" w:rsidP="00EA2DA7">
            <w:pPr>
              <w:rPr>
                <w:color w:val="000000" w:themeColor="text1"/>
              </w:rPr>
            </w:pPr>
            <w:r w:rsidRPr="00B95E28">
              <w:rPr>
                <w:color w:val="000000" w:themeColor="text1"/>
              </w:rPr>
              <w:t>Participant Name</w:t>
            </w:r>
          </w:p>
        </w:tc>
        <w:tc>
          <w:tcPr>
            <w:tcW w:w="4320" w:type="dxa"/>
          </w:tcPr>
          <w:p w14:paraId="51CCA392" w14:textId="77777777" w:rsidR="00EA2DA7" w:rsidRPr="00B95E28" w:rsidRDefault="00EA2DA7" w:rsidP="00EA2DA7">
            <w:pPr>
              <w:rPr>
                <w:color w:val="000000" w:themeColor="text1"/>
              </w:rPr>
            </w:pPr>
          </w:p>
        </w:tc>
      </w:tr>
      <w:tr w:rsidR="00EA2DA7" w:rsidRPr="00B95E28" w14:paraId="2351F5BC" w14:textId="77777777" w:rsidTr="00635272">
        <w:tc>
          <w:tcPr>
            <w:tcW w:w="4320" w:type="dxa"/>
          </w:tcPr>
          <w:p w14:paraId="0AC9C6A3" w14:textId="77777777" w:rsidR="00EA2DA7" w:rsidRPr="00B95E28" w:rsidRDefault="00EA2DA7" w:rsidP="00EA2DA7">
            <w:pPr>
              <w:rPr>
                <w:color w:val="000000" w:themeColor="text1"/>
              </w:rPr>
            </w:pPr>
            <w:r w:rsidRPr="00B95E28">
              <w:rPr>
                <w:color w:val="000000" w:themeColor="text1"/>
              </w:rPr>
              <w:t>Signature</w:t>
            </w:r>
          </w:p>
        </w:tc>
        <w:tc>
          <w:tcPr>
            <w:tcW w:w="4320" w:type="dxa"/>
          </w:tcPr>
          <w:p w14:paraId="79D60A31" w14:textId="77777777" w:rsidR="00EA2DA7" w:rsidRPr="00B95E28" w:rsidRDefault="00EA2DA7" w:rsidP="00EA2DA7">
            <w:pPr>
              <w:rPr>
                <w:color w:val="000000" w:themeColor="text1"/>
              </w:rPr>
            </w:pPr>
          </w:p>
        </w:tc>
      </w:tr>
      <w:tr w:rsidR="00EA2DA7" w:rsidRPr="00B95E28" w14:paraId="4D79DDD8" w14:textId="77777777" w:rsidTr="00635272">
        <w:tc>
          <w:tcPr>
            <w:tcW w:w="4320" w:type="dxa"/>
          </w:tcPr>
          <w:p w14:paraId="1A4CF18F" w14:textId="77777777" w:rsidR="00EA2DA7" w:rsidRPr="00B95E28" w:rsidRDefault="00EA2DA7" w:rsidP="00EA2DA7">
            <w:pPr>
              <w:rPr>
                <w:color w:val="000000" w:themeColor="text1"/>
              </w:rPr>
            </w:pPr>
            <w:r w:rsidRPr="00B95E28">
              <w:rPr>
                <w:color w:val="000000" w:themeColor="text1"/>
              </w:rPr>
              <w:t>Date</w:t>
            </w:r>
          </w:p>
        </w:tc>
        <w:tc>
          <w:tcPr>
            <w:tcW w:w="4320" w:type="dxa"/>
          </w:tcPr>
          <w:p w14:paraId="14DBC0A3" w14:textId="77777777" w:rsidR="00EA2DA7" w:rsidRPr="00B95E28" w:rsidRDefault="00EA2DA7" w:rsidP="00EA2DA7">
            <w:pPr>
              <w:rPr>
                <w:color w:val="000000" w:themeColor="text1"/>
              </w:rPr>
            </w:pPr>
          </w:p>
        </w:tc>
      </w:tr>
    </w:tbl>
    <w:p w14:paraId="57407CE3" w14:textId="77777777" w:rsidR="00EA2DA7" w:rsidRPr="00B95E28" w:rsidRDefault="00EA2DA7" w:rsidP="00EA2DA7">
      <w:pPr>
        <w:rPr>
          <w:color w:val="000000" w:themeColor="text1"/>
        </w:rPr>
      </w:pPr>
    </w:p>
    <w:p w14:paraId="6003ED00" w14:textId="77777777" w:rsidR="00EA2DA7" w:rsidRPr="00B95E28" w:rsidRDefault="00EA2DA7" w:rsidP="00EA2DA7">
      <w:pPr>
        <w:rPr>
          <w:color w:val="000000" w:themeColor="text1"/>
        </w:rPr>
      </w:pPr>
      <w:r w:rsidRPr="00B95E28">
        <w:rPr>
          <w:color w:val="000000" w:themeColor="text1"/>
        </w:rPr>
        <w:t>Researcher Signature: ___________________________</w:t>
      </w:r>
    </w:p>
    <w:p w14:paraId="11A7FF5B" w14:textId="77777777" w:rsidR="00EA2DA7" w:rsidRPr="00B95E28" w:rsidRDefault="00EA2DA7" w:rsidP="00EA2DA7">
      <w:pPr>
        <w:rPr>
          <w:color w:val="000000" w:themeColor="text1"/>
        </w:rPr>
      </w:pPr>
      <w:r w:rsidRPr="00B95E28">
        <w:rPr>
          <w:color w:val="000000" w:themeColor="text1"/>
        </w:rPr>
        <w:t>Date: ___________________________</w:t>
      </w:r>
    </w:p>
    <w:p w14:paraId="4386D7EA" w14:textId="77777777" w:rsidR="00EA2DA7" w:rsidRPr="00B95E28" w:rsidRDefault="00EA2DA7" w:rsidP="00EA2DA7">
      <w:pPr>
        <w:rPr>
          <w:color w:val="000000" w:themeColor="text1"/>
        </w:rPr>
      </w:pPr>
    </w:p>
    <w:p w14:paraId="05C81A93" w14:textId="77777777" w:rsidR="00EA2DA7" w:rsidRPr="00B95E28" w:rsidRDefault="00EA2DA7" w:rsidP="00EA2DA7">
      <w:pPr>
        <w:rPr>
          <w:b/>
          <w:color w:val="000000" w:themeColor="text1"/>
        </w:rPr>
      </w:pPr>
    </w:p>
    <w:p w14:paraId="05913BE3" w14:textId="278E406D" w:rsidR="00EA2DA7" w:rsidRPr="00B95E28" w:rsidRDefault="00EA2DA7" w:rsidP="00EA2DA7">
      <w:pPr>
        <w:pStyle w:val="Heading2"/>
        <w:rPr>
          <w:color w:val="000000" w:themeColor="text1"/>
        </w:rPr>
      </w:pPr>
      <w:bookmarkStart w:id="245" w:name="_Toc232351949"/>
      <w:r w:rsidRPr="00B95E28">
        <w:rPr>
          <w:color w:val="000000" w:themeColor="text1"/>
        </w:rPr>
        <w:t xml:space="preserve">APPENDIX </w:t>
      </w:r>
      <w:r w:rsidR="004A49B8">
        <w:rPr>
          <w:color w:val="000000" w:themeColor="text1"/>
        </w:rPr>
        <w:t>C</w:t>
      </w:r>
      <w:r w:rsidRPr="00B95E28">
        <w:rPr>
          <w:color w:val="000000" w:themeColor="text1"/>
        </w:rPr>
        <w:t xml:space="preserve">: INTERVIEW </w:t>
      </w:r>
      <w:r w:rsidR="00686865" w:rsidRPr="00B95E28">
        <w:rPr>
          <w:color w:val="000000" w:themeColor="text1"/>
        </w:rPr>
        <w:t>THEME CODING FRAMEWORK</w:t>
      </w:r>
      <w:bookmarkEnd w:id="245"/>
    </w:p>
    <w:p w14:paraId="407011E5" w14:textId="77777777" w:rsidR="00686865" w:rsidRPr="00B95E28" w:rsidRDefault="00686865" w:rsidP="00EA2DA7">
      <w:pPr>
        <w:rPr>
          <w:b/>
          <w:color w:val="000000" w:themeColor="text1"/>
        </w:rPr>
      </w:pPr>
    </w:p>
    <w:p w14:paraId="01112614" w14:textId="117EE8FB" w:rsidR="00686865" w:rsidRPr="00B95E28" w:rsidRDefault="00686865" w:rsidP="00EA2DA7">
      <w:pPr>
        <w:rPr>
          <w:b/>
          <w:color w:val="000000" w:themeColor="text1"/>
        </w:rPr>
      </w:pPr>
      <w:r w:rsidRPr="00B95E28">
        <w:rPr>
          <w:noProof/>
          <w:color w:val="000000" w:themeColor="text1"/>
        </w:rPr>
        <w:drawing>
          <wp:inline distT="0" distB="0" distL="0" distR="0" wp14:anchorId="4CB54841" wp14:editId="4377F20C">
            <wp:extent cx="5943600" cy="1202690"/>
            <wp:effectExtent l="0" t="0" r="0" b="0"/>
            <wp:docPr id="144520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duotone>
                        <a:prstClr val="black"/>
                        <a:schemeClr val="accent1">
                          <a:lumMod val="40000"/>
                          <a:lumOff val="60000"/>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5943600" cy="1202690"/>
                    </a:xfrm>
                    <a:prstGeom prst="rect">
                      <a:avLst/>
                    </a:prstGeom>
                    <a:noFill/>
                    <a:ln>
                      <a:noFill/>
                    </a:ln>
                  </pic:spPr>
                </pic:pic>
              </a:graphicData>
            </a:graphic>
          </wp:inline>
        </w:drawing>
      </w:r>
    </w:p>
    <w:p w14:paraId="72AAA425" w14:textId="77777777" w:rsidR="00EA2DA7" w:rsidRPr="00B95E28" w:rsidRDefault="00EA2DA7" w:rsidP="00EA2DA7">
      <w:pPr>
        <w:rPr>
          <w:color w:val="000000" w:themeColor="text1"/>
        </w:rPr>
      </w:pPr>
    </w:p>
    <w:p w14:paraId="2F834A03" w14:textId="1C827A4B" w:rsidR="008E5EF8" w:rsidRPr="00B95E28" w:rsidRDefault="008E5EF8" w:rsidP="008E5EF8">
      <w:pPr>
        <w:pStyle w:val="Heading2"/>
        <w:rPr>
          <w:color w:val="000000" w:themeColor="text1"/>
        </w:rPr>
      </w:pPr>
      <w:bookmarkStart w:id="246" w:name="_Toc232351950"/>
      <w:r w:rsidRPr="00B95E28">
        <w:rPr>
          <w:color w:val="000000" w:themeColor="text1"/>
        </w:rPr>
        <w:t xml:space="preserve">APPENDIX </w:t>
      </w:r>
      <w:r w:rsidR="004A49B8">
        <w:rPr>
          <w:color w:val="000000" w:themeColor="text1"/>
        </w:rPr>
        <w:t>D</w:t>
      </w:r>
      <w:r w:rsidRPr="00B95E28">
        <w:rPr>
          <w:color w:val="000000" w:themeColor="text1"/>
        </w:rPr>
        <w:t>: LITERATURE REVIEW</w:t>
      </w:r>
      <w:bookmarkEnd w:id="246"/>
    </w:p>
    <w:p w14:paraId="724BB9FB" w14:textId="77777777" w:rsidR="008E5EF8" w:rsidRPr="00B95E28" w:rsidRDefault="008E5EF8" w:rsidP="008E5EF8">
      <w:pPr>
        <w:rPr>
          <w:b/>
          <w:color w:val="000000" w:themeColor="text1"/>
        </w:rPr>
      </w:pPr>
    </w:p>
    <w:tbl>
      <w:tblPr>
        <w:tblStyle w:val="TableGrid"/>
        <w:tblW w:w="0" w:type="auto"/>
        <w:tblLook w:val="04A0" w:firstRow="1" w:lastRow="0" w:firstColumn="1" w:lastColumn="0" w:noHBand="0" w:noVBand="1"/>
      </w:tblPr>
      <w:tblGrid>
        <w:gridCol w:w="636"/>
        <w:gridCol w:w="2087"/>
        <w:gridCol w:w="1609"/>
        <w:gridCol w:w="2566"/>
        <w:gridCol w:w="2452"/>
      </w:tblGrid>
      <w:tr w:rsidR="007D000D" w:rsidRPr="00B95E28" w14:paraId="6EE1C473" w14:textId="77777777" w:rsidTr="00FD282E">
        <w:tc>
          <w:tcPr>
            <w:tcW w:w="0" w:type="auto"/>
            <w:shd w:val="clear" w:color="auto" w:fill="B8CCE4" w:themeFill="accent1" w:themeFillTint="66"/>
            <w:hideMark/>
          </w:tcPr>
          <w:p w14:paraId="0E6AD128" w14:textId="77777777" w:rsidR="007D000D" w:rsidRPr="00B95E28" w:rsidRDefault="007D000D" w:rsidP="007D000D">
            <w:pPr>
              <w:rPr>
                <w:rFonts w:ascii="Times New Roman" w:hAnsi="Times New Roman" w:cs="Times New Roman"/>
                <w:b/>
                <w:bCs/>
                <w:color w:val="000000" w:themeColor="text1"/>
                <w:sz w:val="24"/>
                <w:szCs w:val="24"/>
                <w:lang w:val="en-CA"/>
              </w:rPr>
            </w:pPr>
            <w:r w:rsidRPr="00B95E28">
              <w:rPr>
                <w:rFonts w:ascii="Times New Roman" w:hAnsi="Times New Roman" w:cs="Times New Roman"/>
                <w:b/>
                <w:bCs/>
                <w:color w:val="000000" w:themeColor="text1"/>
                <w:sz w:val="24"/>
                <w:szCs w:val="24"/>
                <w:lang w:val="en-CA"/>
              </w:rPr>
              <w:t>Ref.</w:t>
            </w:r>
          </w:p>
        </w:tc>
        <w:tc>
          <w:tcPr>
            <w:tcW w:w="0" w:type="auto"/>
            <w:shd w:val="clear" w:color="auto" w:fill="B8CCE4" w:themeFill="accent1" w:themeFillTint="66"/>
            <w:hideMark/>
          </w:tcPr>
          <w:p w14:paraId="32E69A5D" w14:textId="77777777" w:rsidR="007D000D" w:rsidRPr="00B95E28" w:rsidRDefault="007D000D" w:rsidP="007D000D">
            <w:pPr>
              <w:rPr>
                <w:rFonts w:ascii="Times New Roman" w:hAnsi="Times New Roman" w:cs="Times New Roman"/>
                <w:b/>
                <w:bCs/>
                <w:color w:val="000000" w:themeColor="text1"/>
                <w:sz w:val="24"/>
                <w:szCs w:val="24"/>
                <w:lang w:val="en-CA"/>
              </w:rPr>
            </w:pPr>
            <w:r w:rsidRPr="00B95E28">
              <w:rPr>
                <w:rFonts w:ascii="Times New Roman" w:hAnsi="Times New Roman" w:cs="Times New Roman"/>
                <w:b/>
                <w:bCs/>
                <w:color w:val="000000" w:themeColor="text1"/>
                <w:sz w:val="24"/>
                <w:szCs w:val="24"/>
                <w:lang w:val="en-CA"/>
              </w:rPr>
              <w:t>Source</w:t>
            </w:r>
          </w:p>
        </w:tc>
        <w:tc>
          <w:tcPr>
            <w:tcW w:w="0" w:type="auto"/>
            <w:shd w:val="clear" w:color="auto" w:fill="B8CCE4" w:themeFill="accent1" w:themeFillTint="66"/>
            <w:hideMark/>
          </w:tcPr>
          <w:p w14:paraId="53BCA96A" w14:textId="77777777" w:rsidR="007D000D" w:rsidRPr="00B95E28" w:rsidRDefault="007D000D" w:rsidP="007D000D">
            <w:pPr>
              <w:rPr>
                <w:rFonts w:ascii="Times New Roman" w:hAnsi="Times New Roman" w:cs="Times New Roman"/>
                <w:b/>
                <w:bCs/>
                <w:color w:val="000000" w:themeColor="text1"/>
                <w:sz w:val="24"/>
                <w:szCs w:val="24"/>
                <w:lang w:val="en-CA"/>
              </w:rPr>
            </w:pPr>
            <w:r w:rsidRPr="00B95E28">
              <w:rPr>
                <w:rFonts w:ascii="Times New Roman" w:hAnsi="Times New Roman" w:cs="Times New Roman"/>
                <w:b/>
                <w:bCs/>
                <w:color w:val="000000" w:themeColor="text1"/>
                <w:sz w:val="24"/>
                <w:szCs w:val="24"/>
                <w:lang w:val="en-CA"/>
              </w:rPr>
              <w:t>Source Type</w:t>
            </w:r>
          </w:p>
        </w:tc>
        <w:tc>
          <w:tcPr>
            <w:tcW w:w="0" w:type="auto"/>
            <w:shd w:val="clear" w:color="auto" w:fill="B8CCE4" w:themeFill="accent1" w:themeFillTint="66"/>
            <w:hideMark/>
          </w:tcPr>
          <w:p w14:paraId="07BC3A3A" w14:textId="77777777" w:rsidR="007D000D" w:rsidRPr="00B95E28" w:rsidRDefault="007D000D" w:rsidP="007D000D">
            <w:pPr>
              <w:rPr>
                <w:rFonts w:ascii="Times New Roman" w:hAnsi="Times New Roman" w:cs="Times New Roman"/>
                <w:b/>
                <w:bCs/>
                <w:color w:val="000000" w:themeColor="text1"/>
                <w:sz w:val="24"/>
                <w:szCs w:val="24"/>
                <w:lang w:val="en-CA"/>
              </w:rPr>
            </w:pPr>
            <w:r w:rsidRPr="00B95E28">
              <w:rPr>
                <w:rFonts w:ascii="Times New Roman" w:hAnsi="Times New Roman" w:cs="Times New Roman"/>
                <w:b/>
                <w:bCs/>
                <w:color w:val="000000" w:themeColor="text1"/>
                <w:sz w:val="24"/>
                <w:szCs w:val="24"/>
                <w:lang w:val="en-CA"/>
              </w:rPr>
              <w:t>Main Contribution</w:t>
            </w:r>
          </w:p>
        </w:tc>
        <w:tc>
          <w:tcPr>
            <w:tcW w:w="0" w:type="auto"/>
            <w:shd w:val="clear" w:color="auto" w:fill="B8CCE4" w:themeFill="accent1" w:themeFillTint="66"/>
            <w:hideMark/>
          </w:tcPr>
          <w:p w14:paraId="5B127A11" w14:textId="77777777" w:rsidR="007D000D" w:rsidRPr="00B95E28" w:rsidRDefault="007D000D" w:rsidP="007D000D">
            <w:pPr>
              <w:rPr>
                <w:rFonts w:ascii="Times New Roman" w:hAnsi="Times New Roman" w:cs="Times New Roman"/>
                <w:b/>
                <w:bCs/>
                <w:color w:val="000000" w:themeColor="text1"/>
                <w:sz w:val="24"/>
                <w:szCs w:val="24"/>
                <w:lang w:val="en-CA"/>
              </w:rPr>
            </w:pPr>
            <w:r w:rsidRPr="00B95E28">
              <w:rPr>
                <w:rFonts w:ascii="Times New Roman" w:hAnsi="Times New Roman" w:cs="Times New Roman"/>
                <w:b/>
                <w:bCs/>
                <w:color w:val="000000" w:themeColor="text1"/>
                <w:sz w:val="24"/>
                <w:szCs w:val="24"/>
                <w:lang w:val="en-CA"/>
              </w:rPr>
              <w:t>Relevance to This Study</w:t>
            </w:r>
          </w:p>
        </w:tc>
      </w:tr>
      <w:tr w:rsidR="007D000D" w:rsidRPr="00B95E28" w14:paraId="7EE9DA46" w14:textId="77777777" w:rsidTr="002A4A74">
        <w:tc>
          <w:tcPr>
            <w:tcW w:w="0" w:type="auto"/>
            <w:hideMark/>
          </w:tcPr>
          <w:p w14:paraId="663A6DA8"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1</w:t>
            </w:r>
          </w:p>
        </w:tc>
        <w:tc>
          <w:tcPr>
            <w:tcW w:w="0" w:type="auto"/>
            <w:hideMark/>
          </w:tcPr>
          <w:p w14:paraId="6A8DA5DD"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Zollo &amp; Winter (2002), </w:t>
            </w:r>
            <w:r w:rsidRPr="00B95E28">
              <w:rPr>
                <w:rFonts w:ascii="Times New Roman" w:hAnsi="Times New Roman" w:cs="Times New Roman"/>
                <w:i/>
                <w:iCs/>
                <w:color w:val="000000" w:themeColor="text1"/>
                <w:sz w:val="24"/>
                <w:szCs w:val="24"/>
                <w:lang w:val="en-CA"/>
              </w:rPr>
              <w:t>Deliberate Learning and the Evolution of Dynamic Capabilities</w:t>
            </w:r>
          </w:p>
        </w:tc>
        <w:tc>
          <w:tcPr>
            <w:tcW w:w="0" w:type="auto"/>
            <w:hideMark/>
          </w:tcPr>
          <w:p w14:paraId="5720F556"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Peer-reviewed journal article</w:t>
            </w:r>
          </w:p>
        </w:tc>
        <w:tc>
          <w:tcPr>
            <w:tcW w:w="0" w:type="auto"/>
            <w:hideMark/>
          </w:tcPr>
          <w:p w14:paraId="2670CD38"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Explains how dynamic capabilities develop through experience accumulation, knowledge articulation, and knowledge codification.</w:t>
            </w:r>
          </w:p>
        </w:tc>
        <w:tc>
          <w:tcPr>
            <w:tcW w:w="0" w:type="auto"/>
            <w:hideMark/>
          </w:tcPr>
          <w:p w14:paraId="507DA32D"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Provides the theoretical foundation for explaining repeatable integration capability as a learned and codified organizational capability.</w:t>
            </w:r>
          </w:p>
        </w:tc>
      </w:tr>
      <w:tr w:rsidR="007D000D" w:rsidRPr="00B95E28" w14:paraId="257C59CF" w14:textId="77777777" w:rsidTr="002A4A74">
        <w:tc>
          <w:tcPr>
            <w:tcW w:w="0" w:type="auto"/>
            <w:hideMark/>
          </w:tcPr>
          <w:p w14:paraId="6C67A2F7"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2</w:t>
            </w:r>
          </w:p>
        </w:tc>
        <w:tc>
          <w:tcPr>
            <w:tcW w:w="0" w:type="auto"/>
            <w:hideMark/>
          </w:tcPr>
          <w:p w14:paraId="5EE3E187"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Teece (2007), </w:t>
            </w:r>
            <w:r w:rsidRPr="00B95E28">
              <w:rPr>
                <w:rFonts w:ascii="Times New Roman" w:hAnsi="Times New Roman" w:cs="Times New Roman"/>
                <w:i/>
                <w:iCs/>
                <w:color w:val="000000" w:themeColor="text1"/>
                <w:sz w:val="24"/>
                <w:szCs w:val="24"/>
                <w:lang w:val="en-CA"/>
              </w:rPr>
              <w:t>Explicating Dynamic Capabilities</w:t>
            </w:r>
          </w:p>
        </w:tc>
        <w:tc>
          <w:tcPr>
            <w:tcW w:w="0" w:type="auto"/>
            <w:hideMark/>
          </w:tcPr>
          <w:p w14:paraId="674FE55C"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Peer-reviewed journal article</w:t>
            </w:r>
          </w:p>
        </w:tc>
        <w:tc>
          <w:tcPr>
            <w:tcW w:w="0" w:type="auto"/>
            <w:hideMark/>
          </w:tcPr>
          <w:p w14:paraId="7F1EFB25"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Defines dynamic capabilities through sensing, seizing, and transforming.</w:t>
            </w:r>
          </w:p>
        </w:tc>
        <w:tc>
          <w:tcPr>
            <w:tcW w:w="0" w:type="auto"/>
            <w:hideMark/>
          </w:tcPr>
          <w:p w14:paraId="6295BCE4"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Supports the positioning of integration capability as a dynamic </w:t>
            </w:r>
            <w:r w:rsidRPr="00B95E28">
              <w:rPr>
                <w:rFonts w:ascii="Times New Roman" w:hAnsi="Times New Roman" w:cs="Times New Roman"/>
                <w:color w:val="000000" w:themeColor="text1"/>
                <w:sz w:val="24"/>
                <w:szCs w:val="24"/>
                <w:lang w:val="en-CA"/>
              </w:rPr>
              <w:lastRenderedPageBreak/>
              <w:t>capability rather than a one-time process.</w:t>
            </w:r>
          </w:p>
        </w:tc>
      </w:tr>
      <w:tr w:rsidR="007D000D" w:rsidRPr="00B95E28" w14:paraId="2B3C6BCA" w14:textId="77777777" w:rsidTr="002A4A74">
        <w:tc>
          <w:tcPr>
            <w:tcW w:w="0" w:type="auto"/>
            <w:hideMark/>
          </w:tcPr>
          <w:p w14:paraId="2E8E3204"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lastRenderedPageBreak/>
              <w:t>3</w:t>
            </w:r>
          </w:p>
        </w:tc>
        <w:tc>
          <w:tcPr>
            <w:tcW w:w="0" w:type="auto"/>
            <w:hideMark/>
          </w:tcPr>
          <w:p w14:paraId="202198CC"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Kim &amp; Olsen (1999), </w:t>
            </w:r>
            <w:r w:rsidRPr="00B95E28">
              <w:rPr>
                <w:rFonts w:ascii="Times New Roman" w:hAnsi="Times New Roman" w:cs="Times New Roman"/>
                <w:i/>
                <w:iCs/>
                <w:color w:val="000000" w:themeColor="text1"/>
                <w:sz w:val="24"/>
                <w:szCs w:val="24"/>
                <w:lang w:val="en-CA"/>
              </w:rPr>
              <w:t>Managing the Corporate Acquisition Process for Success</w:t>
            </w:r>
          </w:p>
        </w:tc>
        <w:tc>
          <w:tcPr>
            <w:tcW w:w="0" w:type="auto"/>
            <w:hideMark/>
          </w:tcPr>
          <w:p w14:paraId="43EF9FAD"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Peer-reviewed journal article</w:t>
            </w:r>
          </w:p>
        </w:tc>
        <w:tc>
          <w:tcPr>
            <w:tcW w:w="0" w:type="auto"/>
            <w:hideMark/>
          </w:tcPr>
          <w:p w14:paraId="5ACD9A52"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Links acquisition success to structured pre-acquisition management and post-acquisition integration.</w:t>
            </w:r>
          </w:p>
        </w:tc>
        <w:tc>
          <w:tcPr>
            <w:tcW w:w="0" w:type="auto"/>
            <w:hideMark/>
          </w:tcPr>
          <w:p w14:paraId="1CA619E7"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Supports the study’s lifecycle view of integration from pre-close planning through post-close execution.</w:t>
            </w:r>
          </w:p>
        </w:tc>
      </w:tr>
      <w:tr w:rsidR="007D000D" w:rsidRPr="00B95E28" w14:paraId="443D031A" w14:textId="77777777" w:rsidTr="002A4A74">
        <w:tc>
          <w:tcPr>
            <w:tcW w:w="0" w:type="auto"/>
            <w:hideMark/>
          </w:tcPr>
          <w:p w14:paraId="47FFF90D"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4</w:t>
            </w:r>
          </w:p>
        </w:tc>
        <w:tc>
          <w:tcPr>
            <w:tcW w:w="0" w:type="auto"/>
            <w:hideMark/>
          </w:tcPr>
          <w:p w14:paraId="42024B4D"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Mroczyński, </w:t>
            </w:r>
            <w:r w:rsidRPr="00B95E28">
              <w:rPr>
                <w:rFonts w:ascii="Times New Roman" w:hAnsi="Times New Roman" w:cs="Times New Roman"/>
                <w:i/>
                <w:iCs/>
                <w:color w:val="000000" w:themeColor="text1"/>
                <w:sz w:val="24"/>
                <w:szCs w:val="24"/>
                <w:lang w:val="en-CA"/>
              </w:rPr>
              <w:t>The Value-Driving Acquisition Process</w:t>
            </w:r>
          </w:p>
        </w:tc>
        <w:tc>
          <w:tcPr>
            <w:tcW w:w="0" w:type="auto"/>
            <w:hideMark/>
          </w:tcPr>
          <w:p w14:paraId="6D0FB22B"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Peer-reviewed journal article</w:t>
            </w:r>
          </w:p>
        </w:tc>
        <w:tc>
          <w:tcPr>
            <w:tcW w:w="0" w:type="auto"/>
            <w:hideMark/>
          </w:tcPr>
          <w:p w14:paraId="0E331CBA"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Argues that integration should begin before deal signing and continue through execution.</w:t>
            </w:r>
          </w:p>
        </w:tc>
        <w:tc>
          <w:tcPr>
            <w:tcW w:w="0" w:type="auto"/>
            <w:hideMark/>
          </w:tcPr>
          <w:p w14:paraId="59E1BDD9"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Supports the finding that integration planning must begin before close. Citation details need to be verified.</w:t>
            </w:r>
          </w:p>
        </w:tc>
      </w:tr>
      <w:tr w:rsidR="007D000D" w:rsidRPr="00B95E28" w14:paraId="24747E5D" w14:textId="77777777" w:rsidTr="002A4A74">
        <w:tc>
          <w:tcPr>
            <w:tcW w:w="0" w:type="auto"/>
            <w:hideMark/>
          </w:tcPr>
          <w:p w14:paraId="73ACCB0B"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5</w:t>
            </w:r>
          </w:p>
        </w:tc>
        <w:tc>
          <w:tcPr>
            <w:tcW w:w="0" w:type="auto"/>
            <w:hideMark/>
          </w:tcPr>
          <w:p w14:paraId="46F65397"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Sherman (2022), </w:t>
            </w:r>
            <w:r w:rsidRPr="00B95E28">
              <w:rPr>
                <w:rFonts w:ascii="Times New Roman" w:hAnsi="Times New Roman" w:cs="Times New Roman"/>
                <w:i/>
                <w:iCs/>
                <w:color w:val="000000" w:themeColor="text1"/>
                <w:sz w:val="24"/>
                <w:szCs w:val="24"/>
                <w:lang w:val="en-CA"/>
              </w:rPr>
              <w:t>Mergers and Acquisitions from A to Z</w:t>
            </w:r>
          </w:p>
        </w:tc>
        <w:tc>
          <w:tcPr>
            <w:tcW w:w="0" w:type="auto"/>
            <w:hideMark/>
          </w:tcPr>
          <w:p w14:paraId="72F1A597"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Practitioner book</w:t>
            </w:r>
          </w:p>
        </w:tc>
        <w:tc>
          <w:tcPr>
            <w:tcW w:w="0" w:type="auto"/>
            <w:hideMark/>
          </w:tcPr>
          <w:p w14:paraId="3B6A749D"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Presents M&amp;A as a structured lifecycle requiring disciplined execution.</w:t>
            </w:r>
          </w:p>
        </w:tc>
        <w:tc>
          <w:tcPr>
            <w:tcW w:w="0" w:type="auto"/>
            <w:hideMark/>
          </w:tcPr>
          <w:p w14:paraId="7E086E18"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Provides practitioner context for integration process design and execution.</w:t>
            </w:r>
          </w:p>
        </w:tc>
      </w:tr>
      <w:tr w:rsidR="007D000D" w:rsidRPr="00B95E28" w14:paraId="0FD360F9" w14:textId="77777777" w:rsidTr="002A4A74">
        <w:tc>
          <w:tcPr>
            <w:tcW w:w="0" w:type="auto"/>
            <w:hideMark/>
          </w:tcPr>
          <w:p w14:paraId="24208224"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6</w:t>
            </w:r>
          </w:p>
        </w:tc>
        <w:tc>
          <w:tcPr>
            <w:tcW w:w="0" w:type="auto"/>
            <w:hideMark/>
          </w:tcPr>
          <w:p w14:paraId="0E2D5614"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Gaughan (2018), </w:t>
            </w:r>
            <w:r w:rsidRPr="00B95E28">
              <w:rPr>
                <w:rFonts w:ascii="Times New Roman" w:hAnsi="Times New Roman" w:cs="Times New Roman"/>
                <w:i/>
                <w:iCs/>
                <w:color w:val="000000" w:themeColor="text1"/>
                <w:sz w:val="24"/>
                <w:szCs w:val="24"/>
                <w:lang w:val="en-CA"/>
              </w:rPr>
              <w:t>Mergers, Acquisitions, and Corporate Restructurings</w:t>
            </w:r>
          </w:p>
        </w:tc>
        <w:tc>
          <w:tcPr>
            <w:tcW w:w="0" w:type="auto"/>
            <w:hideMark/>
          </w:tcPr>
          <w:p w14:paraId="7C4BFD2D"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Practitioner book</w:t>
            </w:r>
          </w:p>
        </w:tc>
        <w:tc>
          <w:tcPr>
            <w:tcW w:w="0" w:type="auto"/>
            <w:hideMark/>
          </w:tcPr>
          <w:p w14:paraId="0A3CA53B"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Emphasizes strategy, deal structure, financing, restructuring, and synergy logic.</w:t>
            </w:r>
          </w:p>
        </w:tc>
        <w:tc>
          <w:tcPr>
            <w:tcW w:w="0" w:type="auto"/>
            <w:hideMark/>
          </w:tcPr>
          <w:p w14:paraId="539B81E7"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Provides background on traditional deal-centric M&amp;A literature and helps contrast this study’s integration capability focus.</w:t>
            </w:r>
          </w:p>
        </w:tc>
      </w:tr>
      <w:tr w:rsidR="007D000D" w:rsidRPr="00B95E28" w14:paraId="6B544871" w14:textId="77777777" w:rsidTr="002A4A74">
        <w:tc>
          <w:tcPr>
            <w:tcW w:w="0" w:type="auto"/>
            <w:hideMark/>
          </w:tcPr>
          <w:p w14:paraId="3B3BF312"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7</w:t>
            </w:r>
          </w:p>
        </w:tc>
        <w:tc>
          <w:tcPr>
            <w:tcW w:w="0" w:type="auto"/>
            <w:hideMark/>
          </w:tcPr>
          <w:p w14:paraId="05E8BF60"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Sirower (1997), </w:t>
            </w:r>
            <w:r w:rsidRPr="00B95E28">
              <w:rPr>
                <w:rFonts w:ascii="Times New Roman" w:hAnsi="Times New Roman" w:cs="Times New Roman"/>
                <w:i/>
                <w:iCs/>
                <w:color w:val="000000" w:themeColor="text1"/>
                <w:sz w:val="24"/>
                <w:szCs w:val="24"/>
                <w:lang w:val="en-CA"/>
              </w:rPr>
              <w:t>The Synergy Trap</w:t>
            </w:r>
          </w:p>
        </w:tc>
        <w:tc>
          <w:tcPr>
            <w:tcW w:w="0" w:type="auto"/>
            <w:hideMark/>
          </w:tcPr>
          <w:p w14:paraId="4D028471"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Book</w:t>
            </w:r>
          </w:p>
        </w:tc>
        <w:tc>
          <w:tcPr>
            <w:tcW w:w="0" w:type="auto"/>
            <w:hideMark/>
          </w:tcPr>
          <w:p w14:paraId="749FB039"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Argues that firms often overestimate synergies, leading to value destruction.</w:t>
            </w:r>
          </w:p>
        </w:tc>
        <w:tc>
          <w:tcPr>
            <w:tcW w:w="0" w:type="auto"/>
            <w:hideMark/>
          </w:tcPr>
          <w:p w14:paraId="2D387E5C"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Supports the importance of disciplined integration execution in realizing deal value.</w:t>
            </w:r>
          </w:p>
        </w:tc>
      </w:tr>
      <w:tr w:rsidR="007D000D" w:rsidRPr="00B95E28" w14:paraId="3AE5FC23" w14:textId="77777777" w:rsidTr="002A4A74">
        <w:tc>
          <w:tcPr>
            <w:tcW w:w="0" w:type="auto"/>
            <w:hideMark/>
          </w:tcPr>
          <w:p w14:paraId="1B6BF9A9"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8</w:t>
            </w:r>
          </w:p>
        </w:tc>
        <w:tc>
          <w:tcPr>
            <w:tcW w:w="0" w:type="auto"/>
            <w:hideMark/>
          </w:tcPr>
          <w:p w14:paraId="18557D5F"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Sirower, </w:t>
            </w:r>
            <w:r w:rsidRPr="00B95E28">
              <w:rPr>
                <w:rFonts w:ascii="Times New Roman" w:hAnsi="Times New Roman" w:cs="Times New Roman"/>
                <w:i/>
                <w:iCs/>
                <w:color w:val="000000" w:themeColor="text1"/>
                <w:sz w:val="24"/>
                <w:szCs w:val="24"/>
                <w:lang w:val="en-CA"/>
              </w:rPr>
              <w:t>Achieving Synergies in M&amp;A</w:t>
            </w:r>
          </w:p>
        </w:tc>
        <w:tc>
          <w:tcPr>
            <w:tcW w:w="0" w:type="auto"/>
            <w:hideMark/>
          </w:tcPr>
          <w:p w14:paraId="22B76919"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Practitioner source</w:t>
            </w:r>
          </w:p>
        </w:tc>
        <w:tc>
          <w:tcPr>
            <w:tcW w:w="0" w:type="auto"/>
            <w:hideMark/>
          </w:tcPr>
          <w:p w14:paraId="7147B7C6"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Emphasizes validating synergies early and translating them into integration plans.</w:t>
            </w:r>
          </w:p>
        </w:tc>
        <w:tc>
          <w:tcPr>
            <w:tcW w:w="0" w:type="auto"/>
            <w:hideMark/>
          </w:tcPr>
          <w:p w14:paraId="67622302"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Supports early integration planning, though this should be treated as a weaker practitioner source unless citation details are completed.</w:t>
            </w:r>
          </w:p>
        </w:tc>
      </w:tr>
      <w:tr w:rsidR="007D000D" w:rsidRPr="00B95E28" w14:paraId="01B2BA6E" w14:textId="77777777" w:rsidTr="002A4A74">
        <w:tc>
          <w:tcPr>
            <w:tcW w:w="0" w:type="auto"/>
            <w:hideMark/>
          </w:tcPr>
          <w:p w14:paraId="2406A096"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9</w:t>
            </w:r>
          </w:p>
        </w:tc>
        <w:tc>
          <w:tcPr>
            <w:tcW w:w="0" w:type="auto"/>
            <w:hideMark/>
          </w:tcPr>
          <w:p w14:paraId="2D4B541D"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Cartwright &amp; Schoenberg (2006), </w:t>
            </w:r>
            <w:r w:rsidRPr="00B95E28">
              <w:rPr>
                <w:rFonts w:ascii="Times New Roman" w:hAnsi="Times New Roman" w:cs="Times New Roman"/>
                <w:i/>
                <w:iCs/>
                <w:color w:val="000000" w:themeColor="text1"/>
                <w:sz w:val="24"/>
                <w:szCs w:val="24"/>
                <w:lang w:val="en-CA"/>
              </w:rPr>
              <w:t>Thirty Years of Mergers and Acquisitions Research</w:t>
            </w:r>
          </w:p>
        </w:tc>
        <w:tc>
          <w:tcPr>
            <w:tcW w:w="0" w:type="auto"/>
            <w:hideMark/>
          </w:tcPr>
          <w:p w14:paraId="3DE6AA29"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Peer-reviewed journal article</w:t>
            </w:r>
          </w:p>
        </w:tc>
        <w:tc>
          <w:tcPr>
            <w:tcW w:w="0" w:type="auto"/>
            <w:hideMark/>
          </w:tcPr>
          <w:p w14:paraId="551AC7A0"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Identifies persistent inconsistency in acquisition outcomes despite extensive M&amp;A research.</w:t>
            </w:r>
          </w:p>
        </w:tc>
        <w:tc>
          <w:tcPr>
            <w:tcW w:w="0" w:type="auto"/>
            <w:hideMark/>
          </w:tcPr>
          <w:p w14:paraId="7F693211"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Establishes the research gap around why acquisition performance remains variable.</w:t>
            </w:r>
          </w:p>
        </w:tc>
      </w:tr>
      <w:tr w:rsidR="007D000D" w:rsidRPr="00B95E28" w14:paraId="4A288129" w14:textId="77777777" w:rsidTr="002A4A74">
        <w:tc>
          <w:tcPr>
            <w:tcW w:w="0" w:type="auto"/>
            <w:hideMark/>
          </w:tcPr>
          <w:p w14:paraId="40A6B200"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10</w:t>
            </w:r>
          </w:p>
        </w:tc>
        <w:tc>
          <w:tcPr>
            <w:tcW w:w="0" w:type="auto"/>
            <w:hideMark/>
          </w:tcPr>
          <w:p w14:paraId="56079200"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Laamanen &amp; Keil (2008), </w:t>
            </w:r>
            <w:r w:rsidRPr="00B95E28">
              <w:rPr>
                <w:rFonts w:ascii="Times New Roman" w:hAnsi="Times New Roman" w:cs="Times New Roman"/>
                <w:i/>
                <w:iCs/>
                <w:color w:val="000000" w:themeColor="text1"/>
                <w:sz w:val="24"/>
                <w:szCs w:val="24"/>
                <w:lang w:val="en-CA"/>
              </w:rPr>
              <w:t>Performance of Serial Acquirers</w:t>
            </w:r>
          </w:p>
        </w:tc>
        <w:tc>
          <w:tcPr>
            <w:tcW w:w="0" w:type="auto"/>
            <w:hideMark/>
          </w:tcPr>
          <w:p w14:paraId="7B78FF56"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Peer-reviewed journal article</w:t>
            </w:r>
          </w:p>
        </w:tc>
        <w:tc>
          <w:tcPr>
            <w:tcW w:w="0" w:type="auto"/>
            <w:hideMark/>
          </w:tcPr>
          <w:p w14:paraId="6BE87150"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Shows that serial acquirers develop acquisition capability over time, but </w:t>
            </w:r>
            <w:r w:rsidRPr="00B95E28">
              <w:rPr>
                <w:rFonts w:ascii="Times New Roman" w:hAnsi="Times New Roman" w:cs="Times New Roman"/>
                <w:color w:val="000000" w:themeColor="text1"/>
                <w:sz w:val="24"/>
                <w:szCs w:val="24"/>
                <w:lang w:val="en-CA"/>
              </w:rPr>
              <w:lastRenderedPageBreak/>
              <w:t>performance varies based on how experience is managed.</w:t>
            </w:r>
          </w:p>
        </w:tc>
        <w:tc>
          <w:tcPr>
            <w:tcW w:w="0" w:type="auto"/>
            <w:hideMark/>
          </w:tcPr>
          <w:p w14:paraId="4F4FF9A1"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lastRenderedPageBreak/>
              <w:t xml:space="preserve">Directly supports the argument that experience alone is insufficient without </w:t>
            </w:r>
            <w:r w:rsidRPr="00B95E28">
              <w:rPr>
                <w:rFonts w:ascii="Times New Roman" w:hAnsi="Times New Roman" w:cs="Times New Roman"/>
                <w:color w:val="000000" w:themeColor="text1"/>
                <w:sz w:val="24"/>
                <w:szCs w:val="24"/>
                <w:lang w:val="en-CA"/>
              </w:rPr>
              <w:lastRenderedPageBreak/>
              <w:t>structured learning and program-level management.</w:t>
            </w:r>
          </w:p>
        </w:tc>
      </w:tr>
      <w:tr w:rsidR="007D000D" w:rsidRPr="00B95E28" w14:paraId="7828CC35" w14:textId="77777777" w:rsidTr="002A4A74">
        <w:tc>
          <w:tcPr>
            <w:tcW w:w="0" w:type="auto"/>
            <w:hideMark/>
          </w:tcPr>
          <w:p w14:paraId="0EEFDC69" w14:textId="036CC636" w:rsidR="007D000D" w:rsidRPr="00B95E28" w:rsidRDefault="004D50FA"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lastRenderedPageBreak/>
              <w:t>11</w:t>
            </w:r>
          </w:p>
        </w:tc>
        <w:tc>
          <w:tcPr>
            <w:tcW w:w="0" w:type="auto"/>
            <w:hideMark/>
          </w:tcPr>
          <w:p w14:paraId="22E76BCF"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Lajoux (2006), </w:t>
            </w:r>
            <w:r w:rsidRPr="00B95E28">
              <w:rPr>
                <w:rFonts w:ascii="Times New Roman" w:hAnsi="Times New Roman" w:cs="Times New Roman"/>
                <w:i/>
                <w:iCs/>
                <w:color w:val="000000" w:themeColor="text1"/>
                <w:sz w:val="24"/>
                <w:szCs w:val="24"/>
                <w:lang w:val="en-CA"/>
              </w:rPr>
              <w:t>The Art of M&amp;A Integration</w:t>
            </w:r>
          </w:p>
        </w:tc>
        <w:tc>
          <w:tcPr>
            <w:tcW w:w="0" w:type="auto"/>
            <w:hideMark/>
          </w:tcPr>
          <w:p w14:paraId="231F9880"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Practitioner integration guide</w:t>
            </w:r>
          </w:p>
        </w:tc>
        <w:tc>
          <w:tcPr>
            <w:tcW w:w="0" w:type="auto"/>
            <w:hideMark/>
          </w:tcPr>
          <w:p w14:paraId="0E2A381A"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Presents integration as coordinated planning across resources, processes, systems, communication, and responsibilities.</w:t>
            </w:r>
          </w:p>
        </w:tc>
        <w:tc>
          <w:tcPr>
            <w:tcW w:w="0" w:type="auto"/>
            <w:hideMark/>
          </w:tcPr>
          <w:p w14:paraId="04B6E982"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Supports the practical need for integration playbooks, Day 1 planning, governance routines, and cross-functional accountability.</w:t>
            </w:r>
          </w:p>
        </w:tc>
      </w:tr>
      <w:tr w:rsidR="007D000D" w:rsidRPr="00B95E28" w14:paraId="797C941D" w14:textId="77777777" w:rsidTr="002A4A74">
        <w:tc>
          <w:tcPr>
            <w:tcW w:w="0" w:type="auto"/>
            <w:hideMark/>
          </w:tcPr>
          <w:p w14:paraId="502EFEFF" w14:textId="02DDD1CF" w:rsidR="007D000D" w:rsidRPr="00B95E28" w:rsidRDefault="004D50FA"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12</w:t>
            </w:r>
          </w:p>
        </w:tc>
        <w:tc>
          <w:tcPr>
            <w:tcW w:w="0" w:type="auto"/>
            <w:hideMark/>
          </w:tcPr>
          <w:p w14:paraId="35F94C49"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Lincoln &amp; Guba (1988), </w:t>
            </w:r>
            <w:r w:rsidRPr="00B95E28">
              <w:rPr>
                <w:rFonts w:ascii="Times New Roman" w:hAnsi="Times New Roman" w:cs="Times New Roman"/>
                <w:i/>
                <w:iCs/>
                <w:color w:val="000000" w:themeColor="text1"/>
                <w:sz w:val="24"/>
                <w:szCs w:val="24"/>
                <w:lang w:val="en-CA"/>
              </w:rPr>
              <w:t>Criteria for Assessing Naturalistic Inquiries as Reports</w:t>
            </w:r>
          </w:p>
        </w:tc>
        <w:tc>
          <w:tcPr>
            <w:tcW w:w="0" w:type="auto"/>
            <w:hideMark/>
          </w:tcPr>
          <w:p w14:paraId="37F06995"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Methodology source</w:t>
            </w:r>
          </w:p>
        </w:tc>
        <w:tc>
          <w:tcPr>
            <w:tcW w:w="0" w:type="auto"/>
            <w:hideMark/>
          </w:tcPr>
          <w:p w14:paraId="1D0F4389"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Establishes criteria for assessing qualitative research, including trustworthiness, transferability, and dependability.</w:t>
            </w:r>
          </w:p>
        </w:tc>
        <w:tc>
          <w:tcPr>
            <w:tcW w:w="0" w:type="auto"/>
            <w:hideMark/>
          </w:tcPr>
          <w:p w14:paraId="6D9EA067"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Supports the methodological justification for evaluating qualitative interview-based findings.</w:t>
            </w:r>
          </w:p>
        </w:tc>
      </w:tr>
      <w:tr w:rsidR="007D000D" w:rsidRPr="00B95E28" w14:paraId="372D6251" w14:textId="77777777" w:rsidTr="002A4A74">
        <w:tc>
          <w:tcPr>
            <w:tcW w:w="0" w:type="auto"/>
            <w:hideMark/>
          </w:tcPr>
          <w:p w14:paraId="3B4B10C0" w14:textId="6EB4A570" w:rsidR="007D000D" w:rsidRPr="00B95E28" w:rsidRDefault="004D50FA"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13</w:t>
            </w:r>
          </w:p>
        </w:tc>
        <w:tc>
          <w:tcPr>
            <w:tcW w:w="0" w:type="auto"/>
            <w:hideMark/>
          </w:tcPr>
          <w:p w14:paraId="49CE6519"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 xml:space="preserve">Cartwright &amp; Schoenberg (2006), </w:t>
            </w:r>
            <w:r w:rsidRPr="00B95E28">
              <w:rPr>
                <w:rFonts w:ascii="Times New Roman" w:hAnsi="Times New Roman" w:cs="Times New Roman"/>
                <w:i/>
                <w:iCs/>
                <w:color w:val="000000" w:themeColor="text1"/>
                <w:sz w:val="24"/>
                <w:szCs w:val="24"/>
                <w:lang w:val="en-CA"/>
              </w:rPr>
              <w:t>Thirty Years of Mergers and Acquisitions Research</w:t>
            </w:r>
          </w:p>
        </w:tc>
        <w:tc>
          <w:tcPr>
            <w:tcW w:w="0" w:type="auto"/>
            <w:hideMark/>
          </w:tcPr>
          <w:p w14:paraId="0E0957A3"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Peer-reviewed journal article</w:t>
            </w:r>
          </w:p>
        </w:tc>
        <w:tc>
          <w:tcPr>
            <w:tcW w:w="0" w:type="auto"/>
            <w:hideMark/>
          </w:tcPr>
          <w:p w14:paraId="1773BCBE"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Explains that M&amp;A research has advanced across strategic, financial, organizational, and human dimensions, but outcomes remain inconsistent.</w:t>
            </w:r>
          </w:p>
        </w:tc>
        <w:tc>
          <w:tcPr>
            <w:tcW w:w="0" w:type="auto"/>
            <w:hideMark/>
          </w:tcPr>
          <w:p w14:paraId="4E1C8529" w14:textId="77777777" w:rsidR="007D000D" w:rsidRPr="00B95E28" w:rsidRDefault="007D000D" w:rsidP="007D000D">
            <w:pPr>
              <w:rPr>
                <w:rFonts w:ascii="Times New Roman" w:hAnsi="Times New Roman" w:cs="Times New Roman"/>
                <w:color w:val="000000" w:themeColor="text1"/>
                <w:sz w:val="24"/>
                <w:szCs w:val="24"/>
                <w:lang w:val="en-CA"/>
              </w:rPr>
            </w:pPr>
            <w:r w:rsidRPr="00B95E28">
              <w:rPr>
                <w:rFonts w:ascii="Times New Roman" w:hAnsi="Times New Roman" w:cs="Times New Roman"/>
                <w:color w:val="000000" w:themeColor="text1"/>
                <w:sz w:val="24"/>
                <w:szCs w:val="24"/>
                <w:lang w:val="en-CA"/>
              </w:rPr>
              <w:t>If retained, use this as the complete version of Ref. 9, not as a separate duplicate entry.</w:t>
            </w:r>
          </w:p>
        </w:tc>
      </w:tr>
    </w:tbl>
    <w:p w14:paraId="09C12E2B" w14:textId="77777777" w:rsidR="007D000D" w:rsidRPr="00B95E28" w:rsidRDefault="007D000D" w:rsidP="008E5EF8">
      <w:pPr>
        <w:rPr>
          <w:b/>
          <w:color w:val="000000" w:themeColor="text1"/>
        </w:rPr>
      </w:pPr>
    </w:p>
    <w:sectPr w:rsidR="007D000D" w:rsidRPr="00B95E28" w:rsidSect="002E2532">
      <w:headerReference w:type="default" r:id="rId37"/>
      <w:footerReference w:type="default" r:id="rId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E6832" w14:textId="77777777" w:rsidR="005B5A27" w:rsidRDefault="005B5A27">
      <w:r>
        <w:separator/>
      </w:r>
    </w:p>
  </w:endnote>
  <w:endnote w:type="continuationSeparator" w:id="0">
    <w:p w14:paraId="358AF120" w14:textId="77777777" w:rsidR="005B5A27" w:rsidRDefault="005B5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EF42" w14:textId="2255D0D4" w:rsidR="00E04446" w:rsidRDefault="00000000" w:rsidP="00BF4F69">
    <w:pPr>
      <w:pBdr>
        <w:top w:val="nil"/>
        <w:left w:val="nil"/>
        <w:bottom w:val="nil"/>
        <w:right w:val="nil"/>
        <w:between w:val="nil"/>
      </w:pBdr>
      <w:tabs>
        <w:tab w:val="center" w:pos="4320"/>
        <w:tab w:val="right" w:pos="8640"/>
      </w:tabs>
      <w:ind w:left="-851"/>
      <w:jc w:val="center"/>
      <w:rPr>
        <w:color w:val="000000"/>
      </w:rPr>
    </w:pPr>
    <w:r>
      <w:rPr>
        <w:color w:val="000000"/>
      </w:rPr>
      <w:fldChar w:fldCharType="begin"/>
    </w:r>
    <w:r>
      <w:rPr>
        <w:color w:val="000000"/>
      </w:rPr>
      <w:instrText>PAGE</w:instrText>
    </w:r>
    <w:r>
      <w:rPr>
        <w:color w:val="000000"/>
      </w:rPr>
      <w:fldChar w:fldCharType="separate"/>
    </w:r>
    <w:r w:rsidR="00B63600">
      <w:rPr>
        <w:noProof/>
        <w:color w:val="000000"/>
      </w:rPr>
      <w:t>5</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3850" w14:textId="51390C89" w:rsidR="00E04446"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B63600">
      <w:rPr>
        <w:noProof/>
        <w:color w:val="000000"/>
      </w:rPr>
      <w:t>1</w:t>
    </w:r>
    <w:r>
      <w:rPr>
        <w:color w:val="000000"/>
      </w:rPr>
      <w:fldChar w:fldCharType="end"/>
    </w:r>
  </w:p>
  <w:p w14:paraId="090D053F" w14:textId="77777777" w:rsidR="00E04446" w:rsidRDefault="00E04446">
    <w:pPr>
      <w:pBdr>
        <w:top w:val="nil"/>
        <w:left w:val="nil"/>
        <w:bottom w:val="nil"/>
        <w:right w:val="nil"/>
        <w:between w:val="nil"/>
      </w:pBdr>
      <w:tabs>
        <w:tab w:val="center" w:pos="4320"/>
        <w:tab w:val="right" w:pos="8640"/>
      </w:tabs>
      <w:rPr>
        <w:color w:val="000000"/>
        <w:sz w:val="21"/>
        <w:szCs w:val="2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6ECDC" w14:textId="45BD93E6" w:rsidR="00E04446" w:rsidRDefault="00000000">
    <w:pPr>
      <w:pBdr>
        <w:top w:val="nil"/>
        <w:left w:val="nil"/>
        <w:bottom w:val="nil"/>
        <w:right w:val="nil"/>
        <w:between w:val="nil"/>
      </w:pBdr>
      <w:tabs>
        <w:tab w:val="center" w:pos="4320"/>
        <w:tab w:val="right" w:pos="8640"/>
      </w:tabs>
      <w:ind w:right="-60"/>
      <w:jc w:val="center"/>
      <w:rPr>
        <w:color w:val="000000"/>
      </w:rPr>
    </w:pPr>
    <w:r>
      <w:rPr>
        <w:color w:val="000000"/>
      </w:rPr>
      <w:fldChar w:fldCharType="begin"/>
    </w:r>
    <w:r>
      <w:rPr>
        <w:color w:val="000000"/>
      </w:rPr>
      <w:instrText>PAGE</w:instrText>
    </w:r>
    <w:r>
      <w:rPr>
        <w:color w:val="000000"/>
      </w:rPr>
      <w:fldChar w:fldCharType="separate"/>
    </w:r>
    <w:r w:rsidR="00B63600">
      <w:rPr>
        <w:noProof/>
        <w:color w:val="000000"/>
      </w:rPr>
      <w:t>4</w:t>
    </w:r>
    <w:r>
      <w:rPr>
        <w:color w:val="000000"/>
      </w:rPr>
      <w:fldChar w:fldCharType="end"/>
    </w:r>
  </w:p>
  <w:p w14:paraId="1569939C" w14:textId="77777777" w:rsidR="00E04446" w:rsidRDefault="00E04446">
    <w:pPr>
      <w:pBdr>
        <w:top w:val="nil"/>
        <w:left w:val="nil"/>
        <w:bottom w:val="nil"/>
        <w:right w:val="nil"/>
        <w:between w:val="nil"/>
      </w:pBdr>
      <w:tabs>
        <w:tab w:val="center" w:pos="4320"/>
        <w:tab w:val="right" w:pos="8640"/>
      </w:tabs>
      <w:rPr>
        <w:color w:val="000000"/>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4F3EB" w14:textId="77777777" w:rsidR="005B5A27" w:rsidRDefault="005B5A27">
      <w:r>
        <w:separator/>
      </w:r>
    </w:p>
  </w:footnote>
  <w:footnote w:type="continuationSeparator" w:id="0">
    <w:p w14:paraId="49D1B4BF" w14:textId="77777777" w:rsidR="005B5A27" w:rsidRDefault="005B5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B1BC" w14:textId="77777777" w:rsidR="00E04446" w:rsidRDefault="00E04446">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BE143" w14:textId="77777777" w:rsidR="00E04446" w:rsidRDefault="00E04446">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D14A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AD596B"/>
    <w:multiLevelType w:val="hybridMultilevel"/>
    <w:tmpl w:val="2F82D81C"/>
    <w:lvl w:ilvl="0" w:tplc="ABD6A74A">
      <w:numFmt w:val="bullet"/>
      <w:lvlText w:val="•"/>
      <w:lvlJc w:val="left"/>
      <w:pPr>
        <w:ind w:left="720" w:hanging="360"/>
      </w:pPr>
      <w:rPr>
        <w:rFonts w:ascii="Cambria" w:eastAsia="MS Mincho" w:hAnsi="Cambri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54E0352"/>
    <w:multiLevelType w:val="hybridMultilevel"/>
    <w:tmpl w:val="CAD60728"/>
    <w:lvl w:ilvl="0" w:tplc="ABD6A74A">
      <w:numFmt w:val="bullet"/>
      <w:lvlText w:val="•"/>
      <w:lvlJc w:val="left"/>
      <w:pPr>
        <w:ind w:left="720" w:hanging="360"/>
      </w:pPr>
      <w:rPr>
        <w:rFonts w:ascii="Cambria" w:eastAsia="MS Mincho"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73449FD"/>
    <w:multiLevelType w:val="hybridMultilevel"/>
    <w:tmpl w:val="E0A011A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8CE3AEB"/>
    <w:multiLevelType w:val="hybridMultilevel"/>
    <w:tmpl w:val="0846BC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AD045E1"/>
    <w:multiLevelType w:val="hybridMultilevel"/>
    <w:tmpl w:val="399C6422"/>
    <w:lvl w:ilvl="0" w:tplc="ABD6A74A">
      <w:numFmt w:val="bullet"/>
      <w:lvlText w:val="•"/>
      <w:lvlJc w:val="left"/>
      <w:pPr>
        <w:ind w:left="720" w:hanging="360"/>
      </w:pPr>
      <w:rPr>
        <w:rFonts w:ascii="Cambria" w:eastAsia="MS Mincho" w:hAnsi="Cambri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2A25454"/>
    <w:multiLevelType w:val="hybridMultilevel"/>
    <w:tmpl w:val="BD0ACF88"/>
    <w:lvl w:ilvl="0" w:tplc="ABD6A74A">
      <w:numFmt w:val="bullet"/>
      <w:lvlText w:val="•"/>
      <w:lvlJc w:val="left"/>
      <w:pPr>
        <w:ind w:left="720" w:hanging="360"/>
      </w:pPr>
      <w:rPr>
        <w:rFonts w:ascii="Cambria" w:eastAsia="MS Mincho"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30C2FCD"/>
    <w:multiLevelType w:val="hybridMultilevel"/>
    <w:tmpl w:val="287A4E4E"/>
    <w:lvl w:ilvl="0" w:tplc="ABD6A74A">
      <w:numFmt w:val="bullet"/>
      <w:lvlText w:val="•"/>
      <w:lvlJc w:val="left"/>
      <w:pPr>
        <w:ind w:left="720" w:hanging="360"/>
      </w:pPr>
      <w:rPr>
        <w:rFonts w:ascii="Cambria" w:eastAsia="MS Mincho"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4BB5CB2"/>
    <w:multiLevelType w:val="hybridMultilevel"/>
    <w:tmpl w:val="DC58A9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BD677A7"/>
    <w:multiLevelType w:val="hybridMultilevel"/>
    <w:tmpl w:val="B090F9A8"/>
    <w:lvl w:ilvl="0" w:tplc="10090001">
      <w:start w:val="1"/>
      <w:numFmt w:val="bullet"/>
      <w:lvlText w:val=""/>
      <w:lvlJc w:val="left"/>
      <w:pPr>
        <w:ind w:left="720" w:hanging="360"/>
      </w:pPr>
      <w:rPr>
        <w:rFonts w:ascii="Symbol" w:hAnsi="Symbol" w:hint="default"/>
      </w:rPr>
    </w:lvl>
    <w:lvl w:ilvl="1" w:tplc="402A1504">
      <w:numFmt w:val="bullet"/>
      <w:lvlText w:val="·"/>
      <w:lvlJc w:val="left"/>
      <w:pPr>
        <w:ind w:left="1440" w:hanging="360"/>
      </w:pPr>
      <w:rPr>
        <w:rFonts w:ascii="Times New Roman" w:eastAsia="Times New Roman"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D083B24"/>
    <w:multiLevelType w:val="hybridMultilevel"/>
    <w:tmpl w:val="A1F24EBA"/>
    <w:lvl w:ilvl="0" w:tplc="ABD6A74A">
      <w:numFmt w:val="bullet"/>
      <w:lvlText w:val="•"/>
      <w:lvlJc w:val="left"/>
      <w:pPr>
        <w:ind w:left="720" w:hanging="360"/>
      </w:pPr>
      <w:rPr>
        <w:rFonts w:ascii="Cambria" w:eastAsia="MS Mincho"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1333B2"/>
    <w:multiLevelType w:val="multilevel"/>
    <w:tmpl w:val="C95E9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ED533E"/>
    <w:multiLevelType w:val="hybridMultilevel"/>
    <w:tmpl w:val="BE728EB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80B35B3"/>
    <w:multiLevelType w:val="hybridMultilevel"/>
    <w:tmpl w:val="B17C9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0AF404B"/>
    <w:multiLevelType w:val="hybridMultilevel"/>
    <w:tmpl w:val="7DFA6808"/>
    <w:lvl w:ilvl="0" w:tplc="ABD6A74A">
      <w:numFmt w:val="bullet"/>
      <w:lvlText w:val="•"/>
      <w:lvlJc w:val="left"/>
      <w:pPr>
        <w:ind w:left="720" w:hanging="360"/>
      </w:pPr>
      <w:rPr>
        <w:rFonts w:ascii="Cambria" w:eastAsia="MS Mincho"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E363429"/>
    <w:multiLevelType w:val="hybridMultilevel"/>
    <w:tmpl w:val="17626FD0"/>
    <w:lvl w:ilvl="0" w:tplc="ABD6A74A">
      <w:numFmt w:val="bullet"/>
      <w:lvlText w:val="•"/>
      <w:lvlJc w:val="left"/>
      <w:pPr>
        <w:ind w:left="720" w:hanging="360"/>
      </w:pPr>
      <w:rPr>
        <w:rFonts w:ascii="Cambria" w:eastAsia="MS Mincho"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73264DE"/>
    <w:multiLevelType w:val="hybridMultilevel"/>
    <w:tmpl w:val="E9B69552"/>
    <w:lvl w:ilvl="0" w:tplc="ABD6A74A">
      <w:numFmt w:val="bullet"/>
      <w:lvlText w:val="•"/>
      <w:lvlJc w:val="left"/>
      <w:pPr>
        <w:ind w:left="720" w:hanging="360"/>
      </w:pPr>
      <w:rPr>
        <w:rFonts w:ascii="Cambria" w:eastAsia="MS Mincho"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9445400"/>
    <w:multiLevelType w:val="multilevel"/>
    <w:tmpl w:val="4880BBCE"/>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900" w:hanging="54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B1A3553"/>
    <w:multiLevelType w:val="hybridMultilevel"/>
    <w:tmpl w:val="BA421A5E"/>
    <w:lvl w:ilvl="0" w:tplc="10090001">
      <w:start w:val="1"/>
      <w:numFmt w:val="bullet"/>
      <w:lvlText w:val=""/>
      <w:lvlJc w:val="left"/>
      <w:pPr>
        <w:ind w:left="6" w:hanging="360"/>
      </w:pPr>
      <w:rPr>
        <w:rFonts w:ascii="Symbol" w:hAnsi="Symbol" w:hint="default"/>
      </w:rPr>
    </w:lvl>
    <w:lvl w:ilvl="1" w:tplc="10090003" w:tentative="1">
      <w:start w:val="1"/>
      <w:numFmt w:val="bullet"/>
      <w:lvlText w:val="o"/>
      <w:lvlJc w:val="left"/>
      <w:pPr>
        <w:ind w:left="726" w:hanging="360"/>
      </w:pPr>
      <w:rPr>
        <w:rFonts w:ascii="Courier New" w:hAnsi="Courier New" w:cs="Courier New" w:hint="default"/>
      </w:rPr>
    </w:lvl>
    <w:lvl w:ilvl="2" w:tplc="10090005" w:tentative="1">
      <w:start w:val="1"/>
      <w:numFmt w:val="bullet"/>
      <w:lvlText w:val=""/>
      <w:lvlJc w:val="left"/>
      <w:pPr>
        <w:ind w:left="1446" w:hanging="360"/>
      </w:pPr>
      <w:rPr>
        <w:rFonts w:ascii="Wingdings" w:hAnsi="Wingdings" w:hint="default"/>
      </w:rPr>
    </w:lvl>
    <w:lvl w:ilvl="3" w:tplc="10090001" w:tentative="1">
      <w:start w:val="1"/>
      <w:numFmt w:val="bullet"/>
      <w:lvlText w:val=""/>
      <w:lvlJc w:val="left"/>
      <w:pPr>
        <w:ind w:left="2166" w:hanging="360"/>
      </w:pPr>
      <w:rPr>
        <w:rFonts w:ascii="Symbol" w:hAnsi="Symbol" w:hint="default"/>
      </w:rPr>
    </w:lvl>
    <w:lvl w:ilvl="4" w:tplc="10090003" w:tentative="1">
      <w:start w:val="1"/>
      <w:numFmt w:val="bullet"/>
      <w:lvlText w:val="o"/>
      <w:lvlJc w:val="left"/>
      <w:pPr>
        <w:ind w:left="2886" w:hanging="360"/>
      </w:pPr>
      <w:rPr>
        <w:rFonts w:ascii="Courier New" w:hAnsi="Courier New" w:cs="Courier New" w:hint="default"/>
      </w:rPr>
    </w:lvl>
    <w:lvl w:ilvl="5" w:tplc="10090005" w:tentative="1">
      <w:start w:val="1"/>
      <w:numFmt w:val="bullet"/>
      <w:lvlText w:val=""/>
      <w:lvlJc w:val="left"/>
      <w:pPr>
        <w:ind w:left="3606" w:hanging="360"/>
      </w:pPr>
      <w:rPr>
        <w:rFonts w:ascii="Wingdings" w:hAnsi="Wingdings" w:hint="default"/>
      </w:rPr>
    </w:lvl>
    <w:lvl w:ilvl="6" w:tplc="10090001" w:tentative="1">
      <w:start w:val="1"/>
      <w:numFmt w:val="bullet"/>
      <w:lvlText w:val=""/>
      <w:lvlJc w:val="left"/>
      <w:pPr>
        <w:ind w:left="4326" w:hanging="360"/>
      </w:pPr>
      <w:rPr>
        <w:rFonts w:ascii="Symbol" w:hAnsi="Symbol" w:hint="default"/>
      </w:rPr>
    </w:lvl>
    <w:lvl w:ilvl="7" w:tplc="10090003" w:tentative="1">
      <w:start w:val="1"/>
      <w:numFmt w:val="bullet"/>
      <w:lvlText w:val="o"/>
      <w:lvlJc w:val="left"/>
      <w:pPr>
        <w:ind w:left="5046" w:hanging="360"/>
      </w:pPr>
      <w:rPr>
        <w:rFonts w:ascii="Courier New" w:hAnsi="Courier New" w:cs="Courier New" w:hint="default"/>
      </w:rPr>
    </w:lvl>
    <w:lvl w:ilvl="8" w:tplc="10090005" w:tentative="1">
      <w:start w:val="1"/>
      <w:numFmt w:val="bullet"/>
      <w:lvlText w:val=""/>
      <w:lvlJc w:val="left"/>
      <w:pPr>
        <w:ind w:left="5766" w:hanging="360"/>
      </w:pPr>
      <w:rPr>
        <w:rFonts w:ascii="Wingdings" w:hAnsi="Wingdings" w:hint="default"/>
      </w:rPr>
    </w:lvl>
  </w:abstractNum>
  <w:abstractNum w:abstractNumId="19" w15:restartNumberingAfterBreak="0">
    <w:nsid w:val="5D251002"/>
    <w:multiLevelType w:val="hybridMultilevel"/>
    <w:tmpl w:val="7B5E3296"/>
    <w:lvl w:ilvl="0" w:tplc="ABD6A74A">
      <w:numFmt w:val="bullet"/>
      <w:lvlText w:val="•"/>
      <w:lvlJc w:val="left"/>
      <w:pPr>
        <w:ind w:left="1080" w:hanging="360"/>
      </w:pPr>
      <w:rPr>
        <w:rFonts w:ascii="Cambria" w:eastAsia="MS Mincho" w:hAnsi="Cambria" w:cs="Times New Roman"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62C27705"/>
    <w:multiLevelType w:val="multilevel"/>
    <w:tmpl w:val="4880BBCE"/>
    <w:lvl w:ilvl="0">
      <w:start w:val="1"/>
      <w:numFmt w:val="decimal"/>
      <w:lvlText w:val="%1."/>
      <w:lvlJc w:val="left"/>
      <w:pPr>
        <w:ind w:left="720" w:hanging="360"/>
      </w:pPr>
      <w:rPr>
        <w:rFonts w:ascii="Times New Roman" w:eastAsia="Times New Roman" w:hAnsi="Times New Roman" w:cs="Times New Roman"/>
      </w:rPr>
    </w:lvl>
    <w:lvl w:ilvl="1">
      <w:start w:val="4"/>
      <w:numFmt w:val="decimal"/>
      <w:isLgl/>
      <w:lvlText w:val="%1.%2"/>
      <w:lvlJc w:val="left"/>
      <w:pPr>
        <w:ind w:left="900" w:hanging="540"/>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0A234CB"/>
    <w:multiLevelType w:val="hybridMultilevel"/>
    <w:tmpl w:val="08201A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4E95785"/>
    <w:multiLevelType w:val="hybridMultilevel"/>
    <w:tmpl w:val="0CE873D2"/>
    <w:lvl w:ilvl="0" w:tplc="ABD6A74A">
      <w:numFmt w:val="bullet"/>
      <w:lvlText w:val="•"/>
      <w:lvlJc w:val="left"/>
      <w:pPr>
        <w:ind w:left="720" w:hanging="360"/>
      </w:pPr>
      <w:rPr>
        <w:rFonts w:ascii="Cambria" w:eastAsia="MS Mincho"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CAB7BFF"/>
    <w:multiLevelType w:val="hybridMultilevel"/>
    <w:tmpl w:val="4EF0CEBE"/>
    <w:lvl w:ilvl="0" w:tplc="ABD6A74A">
      <w:numFmt w:val="bullet"/>
      <w:lvlText w:val="•"/>
      <w:lvlJc w:val="left"/>
      <w:pPr>
        <w:ind w:left="720" w:hanging="360"/>
      </w:pPr>
      <w:rPr>
        <w:rFonts w:ascii="Cambria" w:eastAsia="MS Mincho" w:hAnsi="Cambria"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43622066">
    <w:abstractNumId w:val="17"/>
  </w:num>
  <w:num w:numId="2" w16cid:durableId="1227447401">
    <w:abstractNumId w:val="12"/>
  </w:num>
  <w:num w:numId="3" w16cid:durableId="842403427">
    <w:abstractNumId w:val="11"/>
  </w:num>
  <w:num w:numId="4" w16cid:durableId="44379786">
    <w:abstractNumId w:val="8"/>
  </w:num>
  <w:num w:numId="5" w16cid:durableId="1600092662">
    <w:abstractNumId w:val="4"/>
  </w:num>
  <w:num w:numId="6" w16cid:durableId="2060351100">
    <w:abstractNumId w:val="13"/>
  </w:num>
  <w:num w:numId="7" w16cid:durableId="218060144">
    <w:abstractNumId w:val="21"/>
  </w:num>
  <w:num w:numId="8" w16cid:durableId="931664831">
    <w:abstractNumId w:val="0"/>
  </w:num>
  <w:num w:numId="9" w16cid:durableId="1189760094">
    <w:abstractNumId w:val="1"/>
  </w:num>
  <w:num w:numId="10" w16cid:durableId="55393894">
    <w:abstractNumId w:val="7"/>
  </w:num>
  <w:num w:numId="11" w16cid:durableId="1076517795">
    <w:abstractNumId w:val="19"/>
  </w:num>
  <w:num w:numId="12" w16cid:durableId="349260750">
    <w:abstractNumId w:val="10"/>
  </w:num>
  <w:num w:numId="13" w16cid:durableId="1325550693">
    <w:abstractNumId w:val="22"/>
  </w:num>
  <w:num w:numId="14" w16cid:durableId="1580678593">
    <w:abstractNumId w:val="6"/>
  </w:num>
  <w:num w:numId="15" w16cid:durableId="1056128217">
    <w:abstractNumId w:val="15"/>
  </w:num>
  <w:num w:numId="16" w16cid:durableId="1460413441">
    <w:abstractNumId w:val="16"/>
  </w:num>
  <w:num w:numId="17" w16cid:durableId="321275614">
    <w:abstractNumId w:val="2"/>
  </w:num>
  <w:num w:numId="18" w16cid:durableId="1245411707">
    <w:abstractNumId w:val="14"/>
  </w:num>
  <w:num w:numId="19" w16cid:durableId="1657949636">
    <w:abstractNumId w:val="5"/>
  </w:num>
  <w:num w:numId="20" w16cid:durableId="531766006">
    <w:abstractNumId w:val="23"/>
  </w:num>
  <w:num w:numId="21" w16cid:durableId="114177882">
    <w:abstractNumId w:val="9"/>
  </w:num>
  <w:num w:numId="22" w16cid:durableId="1995985930">
    <w:abstractNumId w:val="18"/>
  </w:num>
  <w:num w:numId="23" w16cid:durableId="825778154">
    <w:abstractNumId w:val="20"/>
  </w:num>
  <w:num w:numId="24" w16cid:durableId="447512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446"/>
    <w:rsid w:val="00013707"/>
    <w:rsid w:val="00026020"/>
    <w:rsid w:val="00027E98"/>
    <w:rsid w:val="00045864"/>
    <w:rsid w:val="000A031C"/>
    <w:rsid w:val="000A158D"/>
    <w:rsid w:val="000B057B"/>
    <w:rsid w:val="00122675"/>
    <w:rsid w:val="00182F59"/>
    <w:rsid w:val="001B0561"/>
    <w:rsid w:val="001B1B39"/>
    <w:rsid w:val="001C1833"/>
    <w:rsid w:val="001E5B4A"/>
    <w:rsid w:val="001F089D"/>
    <w:rsid w:val="00211D17"/>
    <w:rsid w:val="00221F8D"/>
    <w:rsid w:val="002A4A74"/>
    <w:rsid w:val="002C3428"/>
    <w:rsid w:val="002E2532"/>
    <w:rsid w:val="002F7BE4"/>
    <w:rsid w:val="00310BF2"/>
    <w:rsid w:val="0033207C"/>
    <w:rsid w:val="00344D1C"/>
    <w:rsid w:val="003E681A"/>
    <w:rsid w:val="003F5F5D"/>
    <w:rsid w:val="0040070F"/>
    <w:rsid w:val="004530FF"/>
    <w:rsid w:val="004604AB"/>
    <w:rsid w:val="004606AA"/>
    <w:rsid w:val="00463C21"/>
    <w:rsid w:val="0047230D"/>
    <w:rsid w:val="0047781E"/>
    <w:rsid w:val="00481D1A"/>
    <w:rsid w:val="004A49B8"/>
    <w:rsid w:val="004C3257"/>
    <w:rsid w:val="004D32D2"/>
    <w:rsid w:val="004D50FA"/>
    <w:rsid w:val="004E060A"/>
    <w:rsid w:val="004E0B98"/>
    <w:rsid w:val="00513150"/>
    <w:rsid w:val="00543242"/>
    <w:rsid w:val="00557AB7"/>
    <w:rsid w:val="00584B4D"/>
    <w:rsid w:val="005917D3"/>
    <w:rsid w:val="005946D4"/>
    <w:rsid w:val="00596217"/>
    <w:rsid w:val="005B5A27"/>
    <w:rsid w:val="005C6111"/>
    <w:rsid w:val="005F5041"/>
    <w:rsid w:val="0063141E"/>
    <w:rsid w:val="006323FD"/>
    <w:rsid w:val="006746BB"/>
    <w:rsid w:val="00686865"/>
    <w:rsid w:val="0069272C"/>
    <w:rsid w:val="006A250C"/>
    <w:rsid w:val="006B63BF"/>
    <w:rsid w:val="006D23F8"/>
    <w:rsid w:val="006E38FE"/>
    <w:rsid w:val="00707103"/>
    <w:rsid w:val="00711D6A"/>
    <w:rsid w:val="00722471"/>
    <w:rsid w:val="007607DB"/>
    <w:rsid w:val="007840D8"/>
    <w:rsid w:val="00797CA3"/>
    <w:rsid w:val="007C4DA5"/>
    <w:rsid w:val="007D000D"/>
    <w:rsid w:val="007F571B"/>
    <w:rsid w:val="00801BAB"/>
    <w:rsid w:val="0080544F"/>
    <w:rsid w:val="008108A2"/>
    <w:rsid w:val="00826DC5"/>
    <w:rsid w:val="00846718"/>
    <w:rsid w:val="00850695"/>
    <w:rsid w:val="00877D11"/>
    <w:rsid w:val="008B56E5"/>
    <w:rsid w:val="008D2971"/>
    <w:rsid w:val="008D5C03"/>
    <w:rsid w:val="008E5EF8"/>
    <w:rsid w:val="008F402B"/>
    <w:rsid w:val="00911AC3"/>
    <w:rsid w:val="009370FF"/>
    <w:rsid w:val="0097562E"/>
    <w:rsid w:val="0098264E"/>
    <w:rsid w:val="00990CC7"/>
    <w:rsid w:val="0099247A"/>
    <w:rsid w:val="009C0245"/>
    <w:rsid w:val="009D07B6"/>
    <w:rsid w:val="009E0F4E"/>
    <w:rsid w:val="009E1787"/>
    <w:rsid w:val="00A50267"/>
    <w:rsid w:val="00A6496F"/>
    <w:rsid w:val="00A64C91"/>
    <w:rsid w:val="00A7009E"/>
    <w:rsid w:val="00A742DA"/>
    <w:rsid w:val="00A82A43"/>
    <w:rsid w:val="00A96328"/>
    <w:rsid w:val="00AD33A2"/>
    <w:rsid w:val="00AF6857"/>
    <w:rsid w:val="00B0055A"/>
    <w:rsid w:val="00B2351F"/>
    <w:rsid w:val="00B3577B"/>
    <w:rsid w:val="00B63600"/>
    <w:rsid w:val="00B73FCD"/>
    <w:rsid w:val="00B84B8F"/>
    <w:rsid w:val="00B91B93"/>
    <w:rsid w:val="00B95E28"/>
    <w:rsid w:val="00BB2278"/>
    <w:rsid w:val="00BB23B7"/>
    <w:rsid w:val="00BD6610"/>
    <w:rsid w:val="00BF4F69"/>
    <w:rsid w:val="00C217F9"/>
    <w:rsid w:val="00C300D1"/>
    <w:rsid w:val="00C36640"/>
    <w:rsid w:val="00CB5964"/>
    <w:rsid w:val="00CF0EE5"/>
    <w:rsid w:val="00D15BAF"/>
    <w:rsid w:val="00D1686D"/>
    <w:rsid w:val="00D634DB"/>
    <w:rsid w:val="00D664F9"/>
    <w:rsid w:val="00D66D8B"/>
    <w:rsid w:val="00D73DBE"/>
    <w:rsid w:val="00D76478"/>
    <w:rsid w:val="00DA622A"/>
    <w:rsid w:val="00DB4426"/>
    <w:rsid w:val="00DC2799"/>
    <w:rsid w:val="00DD6AAC"/>
    <w:rsid w:val="00DF73F3"/>
    <w:rsid w:val="00E04446"/>
    <w:rsid w:val="00E0797D"/>
    <w:rsid w:val="00EA2DA7"/>
    <w:rsid w:val="00EB0EA6"/>
    <w:rsid w:val="00EC3CAF"/>
    <w:rsid w:val="00F20EB7"/>
    <w:rsid w:val="00F77D89"/>
    <w:rsid w:val="00F8124F"/>
    <w:rsid w:val="00FD282E"/>
    <w:rsid w:val="00FE78C7"/>
    <w:rsid w:val="00FF038F"/>
    <w:rsid w:val="00FF0C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69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7D3"/>
  </w:style>
  <w:style w:type="paragraph" w:styleId="Heading1">
    <w:name w:val="heading 1"/>
    <w:basedOn w:val="Normal"/>
    <w:next w:val="Normal"/>
    <w:link w:val="Heading1Char"/>
    <w:uiPriority w:val="9"/>
    <w:qFormat/>
    <w:pPr>
      <w:keepNext/>
      <w:spacing w:line="480" w:lineRule="auto"/>
      <w:jc w:val="center"/>
      <w:outlineLvl w:val="0"/>
    </w:pPr>
    <w:rPr>
      <w:b/>
      <w:smallCaps/>
    </w:rPr>
  </w:style>
  <w:style w:type="paragraph" w:styleId="Heading2">
    <w:name w:val="heading 2"/>
    <w:basedOn w:val="Normal"/>
    <w:next w:val="Normal"/>
    <w:link w:val="Heading2Char"/>
    <w:uiPriority w:val="9"/>
    <w:unhideWhenUsed/>
    <w:qFormat/>
    <w:pPr>
      <w:keepNext/>
      <w:keepLines/>
      <w:spacing w:before="420" w:after="280"/>
      <w:ind w:left="720" w:hanging="720"/>
      <w:outlineLvl w:val="1"/>
    </w:pPr>
    <w:rPr>
      <w:b/>
    </w:rPr>
  </w:style>
  <w:style w:type="paragraph" w:styleId="Heading3">
    <w:name w:val="heading 3"/>
    <w:basedOn w:val="Normal"/>
    <w:next w:val="Normal"/>
    <w:uiPriority w:val="9"/>
    <w:unhideWhenUsed/>
    <w:qFormat/>
    <w:pPr>
      <w:keepNext/>
      <w:keepLines/>
      <w:spacing w:before="420" w:after="280"/>
      <w:ind w:left="720" w:hanging="720"/>
      <w:outlineLvl w:val="2"/>
    </w:pPr>
    <w:rPr>
      <w:b/>
    </w:rPr>
  </w:style>
  <w:style w:type="paragraph" w:styleId="Heading4">
    <w:name w:val="heading 4"/>
    <w:basedOn w:val="Normal"/>
    <w:next w:val="Normal"/>
    <w:uiPriority w:val="9"/>
    <w:unhideWhenUsed/>
    <w:qFormat/>
    <w:pPr>
      <w:keepNext/>
      <w:keepLines/>
      <w:spacing w:before="420" w:after="280"/>
      <w:ind w:left="720" w:hanging="720"/>
      <w:outlineLvl w:val="3"/>
    </w:pPr>
    <w:rPr>
      <w:b/>
    </w:rPr>
  </w:style>
  <w:style w:type="paragraph" w:styleId="Heading5">
    <w:name w:val="heading 5"/>
    <w:basedOn w:val="Normal"/>
    <w:next w:val="Normal"/>
    <w:uiPriority w:val="9"/>
    <w:unhideWhenUsed/>
    <w:qFormat/>
    <w:pPr>
      <w:keepNext/>
      <w:keepLines/>
      <w:spacing w:before="420" w:after="280"/>
      <w:ind w:left="720" w:hanging="72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TOC1">
    <w:name w:val="toc 1"/>
    <w:basedOn w:val="Normal"/>
    <w:next w:val="Normal"/>
    <w:autoRedefine/>
    <w:uiPriority w:val="39"/>
    <w:unhideWhenUsed/>
    <w:rsid w:val="00D76478"/>
    <w:pPr>
      <w:tabs>
        <w:tab w:val="right" w:pos="9356"/>
      </w:tabs>
      <w:spacing w:after="100" w:line="480" w:lineRule="auto"/>
    </w:pPr>
  </w:style>
  <w:style w:type="paragraph" w:styleId="TOC2">
    <w:name w:val="toc 2"/>
    <w:basedOn w:val="Normal"/>
    <w:next w:val="Normal"/>
    <w:autoRedefine/>
    <w:uiPriority w:val="39"/>
    <w:unhideWhenUsed/>
    <w:rsid w:val="00D73DBE"/>
    <w:pPr>
      <w:spacing w:after="100"/>
      <w:ind w:left="240"/>
    </w:pPr>
  </w:style>
  <w:style w:type="paragraph" w:styleId="TOC3">
    <w:name w:val="toc 3"/>
    <w:basedOn w:val="Normal"/>
    <w:next w:val="Normal"/>
    <w:autoRedefine/>
    <w:uiPriority w:val="39"/>
    <w:unhideWhenUsed/>
    <w:rsid w:val="00D73DBE"/>
    <w:pPr>
      <w:spacing w:after="100"/>
      <w:ind w:left="480"/>
    </w:pPr>
  </w:style>
  <w:style w:type="paragraph" w:styleId="TOC4">
    <w:name w:val="toc 4"/>
    <w:basedOn w:val="Normal"/>
    <w:next w:val="Normal"/>
    <w:autoRedefine/>
    <w:uiPriority w:val="39"/>
    <w:unhideWhenUsed/>
    <w:rsid w:val="00D73DBE"/>
    <w:pPr>
      <w:spacing w:after="100"/>
      <w:ind w:left="720"/>
    </w:pPr>
  </w:style>
  <w:style w:type="paragraph" w:styleId="TOC5">
    <w:name w:val="toc 5"/>
    <w:basedOn w:val="Normal"/>
    <w:next w:val="Normal"/>
    <w:autoRedefine/>
    <w:uiPriority w:val="39"/>
    <w:unhideWhenUsed/>
    <w:rsid w:val="00D73DBE"/>
    <w:pPr>
      <w:spacing w:after="100"/>
      <w:ind w:left="960"/>
    </w:pPr>
  </w:style>
  <w:style w:type="character" w:styleId="Hyperlink">
    <w:name w:val="Hyperlink"/>
    <w:basedOn w:val="DefaultParagraphFont"/>
    <w:uiPriority w:val="99"/>
    <w:unhideWhenUsed/>
    <w:rsid w:val="00D73DBE"/>
    <w:rPr>
      <w:color w:val="0000FF" w:themeColor="hyperlink"/>
      <w:u w:val="single"/>
    </w:rPr>
  </w:style>
  <w:style w:type="paragraph" w:styleId="ListParagraph">
    <w:name w:val="List Paragraph"/>
    <w:basedOn w:val="Normal"/>
    <w:uiPriority w:val="34"/>
    <w:qFormat/>
    <w:rsid w:val="00801BAB"/>
    <w:pPr>
      <w:ind w:left="720"/>
      <w:contextualSpacing/>
    </w:pPr>
  </w:style>
  <w:style w:type="paragraph" w:styleId="Caption">
    <w:name w:val="caption"/>
    <w:basedOn w:val="Normal"/>
    <w:next w:val="Normal"/>
    <w:uiPriority w:val="35"/>
    <w:unhideWhenUsed/>
    <w:qFormat/>
    <w:rsid w:val="004604AB"/>
    <w:pPr>
      <w:spacing w:after="200"/>
    </w:pPr>
    <w:rPr>
      <w:rFonts w:asciiTheme="minorHAnsi" w:eastAsiaTheme="minorHAnsi" w:hAnsiTheme="minorHAnsi" w:cstheme="minorBidi"/>
      <w:i/>
      <w:iCs/>
      <w:color w:val="1F497D" w:themeColor="text2"/>
      <w:kern w:val="2"/>
      <w:sz w:val="18"/>
      <w:szCs w:val="18"/>
      <w:lang w:val="en-CA" w:eastAsia="en-US"/>
      <w14:ligatures w14:val="standardContextual"/>
    </w:rPr>
  </w:style>
  <w:style w:type="paragraph" w:styleId="Header">
    <w:name w:val="header"/>
    <w:basedOn w:val="Normal"/>
    <w:link w:val="HeaderChar"/>
    <w:uiPriority w:val="99"/>
    <w:unhideWhenUsed/>
    <w:rsid w:val="004604AB"/>
    <w:pPr>
      <w:tabs>
        <w:tab w:val="center" w:pos="4680"/>
        <w:tab w:val="right" w:pos="9360"/>
      </w:tabs>
    </w:pPr>
  </w:style>
  <w:style w:type="character" w:customStyle="1" w:styleId="HeaderChar">
    <w:name w:val="Header Char"/>
    <w:basedOn w:val="DefaultParagraphFont"/>
    <w:link w:val="Header"/>
    <w:uiPriority w:val="99"/>
    <w:rsid w:val="004604AB"/>
  </w:style>
  <w:style w:type="paragraph" w:styleId="Footer">
    <w:name w:val="footer"/>
    <w:basedOn w:val="Normal"/>
    <w:link w:val="FooterChar"/>
    <w:uiPriority w:val="99"/>
    <w:unhideWhenUsed/>
    <w:rsid w:val="004604AB"/>
    <w:pPr>
      <w:tabs>
        <w:tab w:val="center" w:pos="4680"/>
        <w:tab w:val="right" w:pos="9360"/>
      </w:tabs>
    </w:pPr>
  </w:style>
  <w:style w:type="character" w:customStyle="1" w:styleId="FooterChar">
    <w:name w:val="Footer Char"/>
    <w:basedOn w:val="DefaultParagraphFont"/>
    <w:link w:val="Footer"/>
    <w:uiPriority w:val="99"/>
    <w:rsid w:val="004604AB"/>
  </w:style>
  <w:style w:type="character" w:customStyle="1" w:styleId="Heading1Char">
    <w:name w:val="Heading 1 Char"/>
    <w:basedOn w:val="DefaultParagraphFont"/>
    <w:link w:val="Heading1"/>
    <w:uiPriority w:val="9"/>
    <w:rsid w:val="00C217F9"/>
    <w:rPr>
      <w:b/>
      <w:smallCaps/>
    </w:rPr>
  </w:style>
  <w:style w:type="paragraph" w:styleId="TOCHeading">
    <w:name w:val="TOC Heading"/>
    <w:basedOn w:val="Heading1"/>
    <w:next w:val="Normal"/>
    <w:uiPriority w:val="39"/>
    <w:unhideWhenUsed/>
    <w:qFormat/>
    <w:rsid w:val="00D76478"/>
    <w:pPr>
      <w:keepLines/>
      <w:spacing w:before="240" w:line="259" w:lineRule="auto"/>
      <w:jc w:val="left"/>
      <w:outlineLvl w:val="9"/>
    </w:pPr>
    <w:rPr>
      <w:rFonts w:asciiTheme="majorHAnsi" w:eastAsiaTheme="majorEastAsia" w:hAnsiTheme="majorHAnsi" w:cstheme="majorBidi"/>
      <w:b w:val="0"/>
      <w:smallCaps w:val="0"/>
      <w:color w:val="365F91" w:themeColor="accent1" w:themeShade="BF"/>
      <w:sz w:val="32"/>
      <w:szCs w:val="32"/>
      <w:lang w:eastAsia="en-US"/>
    </w:rPr>
  </w:style>
  <w:style w:type="paragraph" w:styleId="TableofFigures">
    <w:name w:val="table of figures"/>
    <w:basedOn w:val="Normal"/>
    <w:next w:val="Normal"/>
    <w:uiPriority w:val="99"/>
    <w:unhideWhenUsed/>
    <w:rsid w:val="00877D11"/>
  </w:style>
  <w:style w:type="paragraph" w:styleId="ListBullet">
    <w:name w:val="List Bullet"/>
    <w:basedOn w:val="Normal"/>
    <w:uiPriority w:val="99"/>
    <w:unhideWhenUsed/>
    <w:rsid w:val="00013707"/>
    <w:pPr>
      <w:numPr>
        <w:numId w:val="8"/>
      </w:numPr>
      <w:tabs>
        <w:tab w:val="clear" w:pos="360"/>
      </w:tabs>
      <w:spacing w:after="200" w:line="276" w:lineRule="auto"/>
      <w:ind w:left="0" w:firstLine="0"/>
      <w:contextualSpacing/>
    </w:pPr>
    <w:rPr>
      <w:rFonts w:asciiTheme="minorHAnsi" w:eastAsiaTheme="minorEastAsia" w:hAnsiTheme="minorHAnsi" w:cstheme="minorBidi"/>
      <w:sz w:val="22"/>
      <w:szCs w:val="22"/>
      <w:lang w:eastAsia="en-US"/>
    </w:rPr>
  </w:style>
  <w:style w:type="paragraph" w:styleId="NormalWeb">
    <w:name w:val="Normal (Web)"/>
    <w:basedOn w:val="Normal"/>
    <w:uiPriority w:val="99"/>
    <w:semiHidden/>
    <w:unhideWhenUsed/>
    <w:rsid w:val="00013707"/>
    <w:pPr>
      <w:spacing w:before="100" w:beforeAutospacing="1" w:after="100" w:afterAutospacing="1"/>
    </w:pPr>
    <w:rPr>
      <w:lang w:val="en-CA"/>
    </w:rPr>
  </w:style>
  <w:style w:type="paragraph" w:styleId="TOC6">
    <w:name w:val="toc 6"/>
    <w:basedOn w:val="Normal"/>
    <w:next w:val="Normal"/>
    <w:autoRedefine/>
    <w:uiPriority w:val="39"/>
    <w:unhideWhenUsed/>
    <w:rsid w:val="0047230D"/>
    <w:pPr>
      <w:spacing w:after="100" w:line="278" w:lineRule="auto"/>
      <w:ind w:left="1200"/>
    </w:pPr>
    <w:rPr>
      <w:rFonts w:asciiTheme="minorHAnsi" w:eastAsiaTheme="minorEastAsia" w:hAnsiTheme="minorHAnsi" w:cstheme="minorBidi"/>
      <w:kern w:val="2"/>
      <w:lang w:val="en-CA"/>
      <w14:ligatures w14:val="standardContextual"/>
    </w:rPr>
  </w:style>
  <w:style w:type="paragraph" w:styleId="TOC7">
    <w:name w:val="toc 7"/>
    <w:basedOn w:val="Normal"/>
    <w:next w:val="Normal"/>
    <w:autoRedefine/>
    <w:uiPriority w:val="39"/>
    <w:unhideWhenUsed/>
    <w:rsid w:val="0047230D"/>
    <w:pPr>
      <w:spacing w:after="100" w:line="278" w:lineRule="auto"/>
      <w:ind w:left="1440"/>
    </w:pPr>
    <w:rPr>
      <w:rFonts w:asciiTheme="minorHAnsi" w:eastAsiaTheme="minorEastAsia" w:hAnsiTheme="minorHAnsi" w:cstheme="minorBidi"/>
      <w:kern w:val="2"/>
      <w:lang w:val="en-CA"/>
      <w14:ligatures w14:val="standardContextual"/>
    </w:rPr>
  </w:style>
  <w:style w:type="paragraph" w:styleId="TOC8">
    <w:name w:val="toc 8"/>
    <w:basedOn w:val="Normal"/>
    <w:next w:val="Normal"/>
    <w:autoRedefine/>
    <w:uiPriority w:val="39"/>
    <w:unhideWhenUsed/>
    <w:rsid w:val="0047230D"/>
    <w:pPr>
      <w:spacing w:after="100" w:line="278" w:lineRule="auto"/>
      <w:ind w:left="1680"/>
    </w:pPr>
    <w:rPr>
      <w:rFonts w:asciiTheme="minorHAnsi" w:eastAsiaTheme="minorEastAsia" w:hAnsiTheme="minorHAnsi" w:cstheme="minorBidi"/>
      <w:kern w:val="2"/>
      <w:lang w:val="en-CA"/>
      <w14:ligatures w14:val="standardContextual"/>
    </w:rPr>
  </w:style>
  <w:style w:type="paragraph" w:styleId="TOC9">
    <w:name w:val="toc 9"/>
    <w:basedOn w:val="Normal"/>
    <w:next w:val="Normal"/>
    <w:autoRedefine/>
    <w:uiPriority w:val="39"/>
    <w:unhideWhenUsed/>
    <w:rsid w:val="0047230D"/>
    <w:pPr>
      <w:spacing w:after="100" w:line="278" w:lineRule="auto"/>
      <w:ind w:left="1920"/>
    </w:pPr>
    <w:rPr>
      <w:rFonts w:asciiTheme="minorHAnsi" w:eastAsiaTheme="minorEastAsia" w:hAnsiTheme="minorHAnsi" w:cstheme="minorBidi"/>
      <w:kern w:val="2"/>
      <w:lang w:val="en-CA"/>
      <w14:ligatures w14:val="standardContextual"/>
    </w:rPr>
  </w:style>
  <w:style w:type="character" w:styleId="UnresolvedMention">
    <w:name w:val="Unresolved Mention"/>
    <w:basedOn w:val="DefaultParagraphFont"/>
    <w:uiPriority w:val="99"/>
    <w:semiHidden/>
    <w:unhideWhenUsed/>
    <w:rsid w:val="0047230D"/>
    <w:rPr>
      <w:color w:val="605E5C"/>
      <w:shd w:val="clear" w:color="auto" w:fill="E1DFDD"/>
    </w:rPr>
  </w:style>
  <w:style w:type="paragraph" w:styleId="NoSpacing">
    <w:name w:val="No Spacing"/>
    <w:uiPriority w:val="1"/>
    <w:qFormat/>
    <w:rsid w:val="00D15BAF"/>
  </w:style>
  <w:style w:type="character" w:customStyle="1" w:styleId="Heading2Char">
    <w:name w:val="Heading 2 Char"/>
    <w:basedOn w:val="DefaultParagraphFont"/>
    <w:link w:val="Heading2"/>
    <w:uiPriority w:val="9"/>
    <w:rsid w:val="00EA2DA7"/>
    <w:rPr>
      <w:b/>
    </w:rPr>
  </w:style>
  <w:style w:type="table" w:styleId="TableGrid">
    <w:name w:val="Table Grid"/>
    <w:basedOn w:val="TableNormal"/>
    <w:uiPriority w:val="59"/>
    <w:rsid w:val="00EA2DA7"/>
    <w:rPr>
      <w:rFonts w:asciiTheme="minorHAnsi" w:eastAsiaTheme="minorEastAsia"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742DA"/>
    <w:rPr>
      <w:sz w:val="16"/>
      <w:szCs w:val="16"/>
    </w:rPr>
  </w:style>
  <w:style w:type="paragraph" w:styleId="CommentText">
    <w:name w:val="annotation text"/>
    <w:basedOn w:val="Normal"/>
    <w:link w:val="CommentTextChar"/>
    <w:uiPriority w:val="99"/>
    <w:unhideWhenUsed/>
    <w:rsid w:val="00A742DA"/>
    <w:rPr>
      <w:sz w:val="20"/>
      <w:szCs w:val="20"/>
    </w:rPr>
  </w:style>
  <w:style w:type="character" w:customStyle="1" w:styleId="CommentTextChar">
    <w:name w:val="Comment Text Char"/>
    <w:basedOn w:val="DefaultParagraphFont"/>
    <w:link w:val="CommentText"/>
    <w:uiPriority w:val="99"/>
    <w:rsid w:val="00A742DA"/>
    <w:rPr>
      <w:sz w:val="20"/>
      <w:szCs w:val="20"/>
    </w:rPr>
  </w:style>
  <w:style w:type="paragraph" w:styleId="CommentSubject">
    <w:name w:val="annotation subject"/>
    <w:basedOn w:val="CommentText"/>
    <w:next w:val="CommentText"/>
    <w:link w:val="CommentSubjectChar"/>
    <w:uiPriority w:val="99"/>
    <w:semiHidden/>
    <w:unhideWhenUsed/>
    <w:rsid w:val="00A742DA"/>
    <w:rPr>
      <w:b/>
      <w:bCs/>
    </w:rPr>
  </w:style>
  <w:style w:type="character" w:customStyle="1" w:styleId="CommentSubjectChar">
    <w:name w:val="Comment Subject Char"/>
    <w:basedOn w:val="CommentTextChar"/>
    <w:link w:val="CommentSubject"/>
    <w:uiPriority w:val="99"/>
    <w:semiHidden/>
    <w:rsid w:val="00A742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fontTable" Target="fontTable.xml"/><Relationship Id="rId21" Type="http://schemas.openxmlformats.org/officeDocument/2006/relationships/image" Target="media/image11.emf"/><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emf"/><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10" Type="http://schemas.openxmlformats.org/officeDocument/2006/relationships/header" Target="header1.xml"/><Relationship Id="rId19" Type="http://schemas.openxmlformats.org/officeDocument/2006/relationships/image" Target="media/image9.emf"/><Relationship Id="rId31"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emf"/><Relationship Id="rId35" Type="http://schemas.openxmlformats.org/officeDocument/2006/relationships/image" Target="media/image25.emf"/><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D0A7D-852E-4636-8943-B3D1BF0C3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314</Pages>
  <Words>80667</Words>
  <Characters>459802</Characters>
  <Application>Microsoft Office Word</Application>
  <DocSecurity>0</DocSecurity>
  <Lines>3831</Lines>
  <Paragraphs>1078</Paragraphs>
  <ScaleCrop>false</ScaleCrop>
  <Company/>
  <LinksUpToDate>false</LinksUpToDate>
  <CharactersWithSpaces>539391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2026-06-07T16:02:00Z</dcterms:created>
  <dcterms:modified xsi:type="dcterms:W3CDTF">2026-06-16T14:14:00Z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f311ee74-8c41-4cf0-9264-8ecd56000fc1</vt:lpwstr>
  </property>
</Properties>
</file>